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76" w:type="dxa"/>
        <w:jc w:val="center"/>
        <w:tblInd w:w="-2643" w:type="dxa"/>
        <w:tblLayout w:type="fixed"/>
        <w:tblLook w:val="0000"/>
      </w:tblPr>
      <w:tblGrid>
        <w:gridCol w:w="4765"/>
        <w:gridCol w:w="9411"/>
      </w:tblGrid>
      <w:tr w:rsidR="00113041" w:rsidRPr="00E57F2F" w:rsidTr="00DB4966">
        <w:trPr>
          <w:trHeight w:val="1300"/>
          <w:jc w:val="center"/>
        </w:trPr>
        <w:tc>
          <w:tcPr>
            <w:tcW w:w="4765" w:type="dxa"/>
          </w:tcPr>
          <w:p w:rsidR="00113041" w:rsidRPr="00E57F2F" w:rsidRDefault="00113041" w:rsidP="00DB4966">
            <w:pPr>
              <w:widowControl w:val="0"/>
              <w:spacing w:after="0" w:line="240" w:lineRule="auto"/>
              <w:jc w:val="center"/>
              <w:rPr>
                <w:rFonts w:ascii="Times New Roman" w:hAnsi="Times New Roman" w:cs="Times New Roman"/>
                <w:sz w:val="24"/>
                <w:szCs w:val="24"/>
                <w:lang w:val="nl-NL"/>
              </w:rPr>
            </w:pPr>
            <w:r w:rsidRPr="00E57F2F">
              <w:rPr>
                <w:rFonts w:ascii="Times New Roman" w:hAnsi="Times New Roman" w:cs="Times New Roman"/>
                <w:sz w:val="24"/>
                <w:szCs w:val="24"/>
                <w:lang w:val="nl-NL"/>
              </w:rPr>
              <w:t>BỘ TÀI CHÍNH</w:t>
            </w:r>
          </w:p>
          <w:p w:rsidR="00113041" w:rsidRPr="00E57F2F" w:rsidRDefault="00113041" w:rsidP="00DB4966">
            <w:pPr>
              <w:widowControl w:val="0"/>
              <w:spacing w:after="0" w:line="240" w:lineRule="auto"/>
              <w:jc w:val="center"/>
              <w:rPr>
                <w:rFonts w:ascii="Times New Roman" w:hAnsi="Times New Roman" w:cs="Times New Roman"/>
                <w:b/>
                <w:sz w:val="24"/>
                <w:szCs w:val="24"/>
                <w:lang w:val="nl-NL"/>
              </w:rPr>
            </w:pPr>
            <w:r w:rsidRPr="00E57F2F">
              <w:rPr>
                <w:rFonts w:ascii="Times New Roman" w:hAnsi="Times New Roman" w:cs="Times New Roman"/>
                <w:b/>
                <w:sz w:val="24"/>
                <w:szCs w:val="24"/>
                <w:lang w:val="nl-NL"/>
              </w:rPr>
              <w:t xml:space="preserve">CỤC QUẢN LÝ, GIÁM SÁT </w:t>
            </w:r>
          </w:p>
          <w:p w:rsidR="00113041" w:rsidRPr="00E57F2F" w:rsidRDefault="00113041" w:rsidP="00DB4966">
            <w:pPr>
              <w:widowControl w:val="0"/>
              <w:spacing w:after="0" w:line="240" w:lineRule="auto"/>
              <w:jc w:val="center"/>
              <w:rPr>
                <w:rFonts w:ascii="Times New Roman" w:hAnsi="Times New Roman" w:cs="Times New Roman"/>
                <w:b/>
                <w:sz w:val="24"/>
                <w:szCs w:val="24"/>
                <w:lang w:val="nl-NL"/>
              </w:rPr>
            </w:pPr>
            <w:r w:rsidRPr="00E57F2F">
              <w:rPr>
                <w:rFonts w:ascii="Times New Roman" w:hAnsi="Times New Roman" w:cs="Times New Roman"/>
                <w:b/>
                <w:sz w:val="24"/>
                <w:szCs w:val="24"/>
                <w:lang w:val="nl-NL"/>
              </w:rPr>
              <w:t>CHÍNH SÁCH THUẾ, PHÍ VÀ LỆ PHÍ</w:t>
            </w:r>
          </w:p>
          <w:p w:rsidR="00113041" w:rsidRPr="00E57F2F" w:rsidRDefault="009E2D06" w:rsidP="00DB4966">
            <w:pPr>
              <w:widowControl w:val="0"/>
              <w:spacing w:after="0" w:line="240" w:lineRule="auto"/>
              <w:jc w:val="center"/>
              <w:outlineLvl w:val="2"/>
              <w:rPr>
                <w:rFonts w:ascii="Times New Roman" w:hAnsi="Times New Roman" w:cs="Times New Roman"/>
                <w:bCs/>
                <w:sz w:val="24"/>
                <w:szCs w:val="24"/>
                <w:lang w:val="nl-NL"/>
              </w:rPr>
            </w:pPr>
            <w:r>
              <w:rPr>
                <w:rFonts w:ascii="Times New Roman" w:hAnsi="Times New Roman" w:cs="Times New Roman"/>
                <w:bCs/>
                <w:noProof/>
                <w:sz w:val="24"/>
                <w:szCs w:val="24"/>
                <w:lang w:eastAsia="vi-VN"/>
              </w:rPr>
              <w:pict>
                <v:shapetype id="_x0000_t32" coordsize="21600,21600" o:spt="32" o:oned="t" path="m,l21600,21600e" filled="f">
                  <v:path arrowok="t" fillok="f" o:connecttype="none"/>
                  <o:lock v:ext="edit" shapetype="t"/>
                </v:shapetype>
                <v:shape id="_x0000_s1026" type="#_x0000_t32" style="position:absolute;left:0;text-align:left;margin-left:79.4pt;margin-top:4.35pt;width:71.4pt;height:0;z-index:251660288" o:connectortype="straight"/>
              </w:pict>
            </w:r>
          </w:p>
        </w:tc>
        <w:tc>
          <w:tcPr>
            <w:tcW w:w="9411" w:type="dxa"/>
          </w:tcPr>
          <w:p w:rsidR="00113041" w:rsidRPr="00E57F2F" w:rsidRDefault="00113041" w:rsidP="00DB4966">
            <w:pPr>
              <w:widowControl w:val="0"/>
              <w:spacing w:after="0" w:line="240" w:lineRule="auto"/>
              <w:jc w:val="center"/>
              <w:rPr>
                <w:rFonts w:ascii="Times New Roman" w:hAnsi="Times New Roman" w:cs="Times New Roman"/>
                <w:b/>
                <w:i/>
                <w:sz w:val="24"/>
                <w:szCs w:val="24"/>
                <w:lang w:val="nl-NL"/>
              </w:rPr>
            </w:pPr>
          </w:p>
        </w:tc>
      </w:tr>
    </w:tbl>
    <w:p w:rsidR="00113041" w:rsidRPr="00E57F2F" w:rsidRDefault="00113041" w:rsidP="00113041">
      <w:pPr>
        <w:keepNext/>
        <w:spacing w:after="0" w:line="240" w:lineRule="auto"/>
        <w:outlineLvl w:val="2"/>
        <w:rPr>
          <w:rFonts w:ascii="Times New Roman" w:eastAsia="Times New Roman" w:hAnsi="Times New Roman" w:cs="Times New Roman"/>
          <w:b/>
          <w:sz w:val="24"/>
          <w:szCs w:val="24"/>
          <w:lang w:val="nl-NL"/>
        </w:rPr>
      </w:pPr>
      <w:r w:rsidRPr="00E57F2F">
        <w:rPr>
          <w:rFonts w:ascii="Times New Roman" w:eastAsia="Times New Roman" w:hAnsi="Times New Roman" w:cs="Times New Roman"/>
          <w:b/>
          <w:sz w:val="24"/>
          <w:szCs w:val="24"/>
          <w:lang w:val="nl-NL"/>
        </w:rPr>
        <w:t xml:space="preserve"> </w:t>
      </w:r>
    </w:p>
    <w:p w:rsidR="00CA227B" w:rsidRDefault="00113041" w:rsidP="00113041">
      <w:pPr>
        <w:spacing w:after="0" w:line="240" w:lineRule="auto"/>
        <w:jc w:val="center"/>
        <w:rPr>
          <w:rFonts w:ascii="Times New Roman" w:eastAsia="Times New Roman" w:hAnsi="Times New Roman" w:cs="Times New Roman"/>
          <w:b/>
          <w:sz w:val="24"/>
          <w:szCs w:val="24"/>
          <w:lang w:val="nl-NL"/>
        </w:rPr>
      </w:pPr>
      <w:r w:rsidRPr="00E57F2F">
        <w:rPr>
          <w:rFonts w:ascii="Times New Roman" w:eastAsia="Times New Roman" w:hAnsi="Times New Roman" w:cs="Times New Roman"/>
          <w:b/>
          <w:sz w:val="24"/>
          <w:szCs w:val="24"/>
          <w:lang w:val="nl-NL"/>
        </w:rPr>
        <w:t xml:space="preserve">Bản tổng hợp, giải trình, tiếp thu ý kiến góp ý của các đơn vị trong Bộ về dự thảo </w:t>
      </w:r>
      <w:r w:rsidR="00AD30E4" w:rsidRPr="00E57F2F">
        <w:rPr>
          <w:rFonts w:ascii="Times New Roman" w:eastAsia="Times New Roman" w:hAnsi="Times New Roman" w:cs="Times New Roman"/>
          <w:b/>
          <w:sz w:val="24"/>
          <w:szCs w:val="24"/>
          <w:lang w:val="nl-NL"/>
        </w:rPr>
        <w:t>Thông t</w:t>
      </w:r>
      <w:r w:rsidR="00CA227B">
        <w:rPr>
          <w:rFonts w:ascii="Times New Roman" w:eastAsia="Times New Roman" w:hAnsi="Times New Roman" w:cs="Times New Roman"/>
          <w:b/>
          <w:sz w:val="24"/>
          <w:szCs w:val="24"/>
          <w:lang w:val="nl-NL"/>
        </w:rPr>
        <w:t>ư quy định chi tiết một số điều</w:t>
      </w:r>
    </w:p>
    <w:p w:rsidR="00113041" w:rsidRPr="00E57F2F" w:rsidRDefault="00AD30E4" w:rsidP="00113041">
      <w:pPr>
        <w:spacing w:after="0" w:line="240" w:lineRule="auto"/>
        <w:jc w:val="center"/>
        <w:rPr>
          <w:rFonts w:ascii="Times New Roman" w:eastAsia="Times New Roman" w:hAnsi="Times New Roman" w:cs="Times New Roman"/>
          <w:b/>
          <w:sz w:val="24"/>
          <w:szCs w:val="24"/>
          <w:lang w:val="nl-NL"/>
        </w:rPr>
      </w:pPr>
      <w:r w:rsidRPr="00E57F2F">
        <w:rPr>
          <w:rFonts w:ascii="Times New Roman" w:eastAsia="Times New Roman" w:hAnsi="Times New Roman" w:cs="Times New Roman"/>
          <w:b/>
          <w:sz w:val="24"/>
          <w:szCs w:val="24"/>
          <w:lang w:val="nl-NL"/>
        </w:rPr>
        <w:t>của Luật Thuế thu nhập cá nhân</w:t>
      </w:r>
      <w:r w:rsidR="00CA227B">
        <w:rPr>
          <w:rFonts w:ascii="Times New Roman" w:eastAsia="Times New Roman" w:hAnsi="Times New Roman" w:cs="Times New Roman"/>
          <w:b/>
          <w:sz w:val="24"/>
          <w:szCs w:val="24"/>
          <w:lang w:val="nl-NL"/>
        </w:rPr>
        <w:t xml:space="preserve"> và quy định chi tiết một số điều của Nghị định </w:t>
      </w:r>
    </w:p>
    <w:p w:rsidR="00113041" w:rsidRPr="00E57F2F" w:rsidRDefault="00113041" w:rsidP="00113041">
      <w:pPr>
        <w:spacing w:after="0" w:line="240" w:lineRule="auto"/>
        <w:jc w:val="center"/>
        <w:rPr>
          <w:rFonts w:ascii="Times New Roman" w:eastAsia="Times New Roman" w:hAnsi="Times New Roman" w:cs="Times New Roman"/>
          <w:i/>
          <w:sz w:val="24"/>
          <w:szCs w:val="24"/>
          <w:lang w:val="nl-NL"/>
        </w:rPr>
      </w:pPr>
      <w:r w:rsidRPr="00E57F2F">
        <w:rPr>
          <w:rFonts w:ascii="Times New Roman" w:eastAsia="Times New Roman" w:hAnsi="Times New Roman" w:cs="Times New Roman"/>
          <w:i/>
          <w:sz w:val="24"/>
          <w:szCs w:val="24"/>
          <w:lang w:val="nl-NL"/>
        </w:rPr>
        <w:t xml:space="preserve">(Kèm theo Tờ trình Bộ số </w:t>
      </w:r>
      <w:r w:rsidR="00B6509B">
        <w:rPr>
          <w:rFonts w:ascii="Times New Roman" w:eastAsia="Times New Roman" w:hAnsi="Times New Roman" w:cs="Times New Roman"/>
          <w:i/>
          <w:sz w:val="24"/>
          <w:szCs w:val="24"/>
          <w:lang w:val="nl-NL"/>
        </w:rPr>
        <w:t>190</w:t>
      </w:r>
      <w:r w:rsidRPr="00E57F2F">
        <w:rPr>
          <w:rFonts w:ascii="Times New Roman" w:eastAsia="Times New Roman" w:hAnsi="Times New Roman" w:cs="Times New Roman"/>
          <w:i/>
          <w:sz w:val="24"/>
          <w:szCs w:val="24"/>
          <w:lang w:val="nl-NL"/>
        </w:rPr>
        <w:t>/TTr-CST ngày 0</w:t>
      </w:r>
      <w:r w:rsidR="00100BA6">
        <w:rPr>
          <w:rFonts w:ascii="Times New Roman" w:eastAsia="Times New Roman" w:hAnsi="Times New Roman" w:cs="Times New Roman"/>
          <w:i/>
          <w:sz w:val="24"/>
          <w:szCs w:val="24"/>
          <w:lang w:val="nl-NL"/>
        </w:rPr>
        <w:t>7</w:t>
      </w:r>
      <w:r w:rsidRPr="00E57F2F">
        <w:rPr>
          <w:rFonts w:ascii="Times New Roman" w:eastAsia="Times New Roman" w:hAnsi="Times New Roman" w:cs="Times New Roman"/>
          <w:i/>
          <w:sz w:val="24"/>
          <w:szCs w:val="24"/>
          <w:lang w:val="nl-NL"/>
        </w:rPr>
        <w:t>/</w:t>
      </w:r>
      <w:r w:rsidR="00100BA6">
        <w:rPr>
          <w:rFonts w:ascii="Times New Roman" w:eastAsia="Times New Roman" w:hAnsi="Times New Roman" w:cs="Times New Roman"/>
          <w:i/>
          <w:sz w:val="24"/>
          <w:szCs w:val="24"/>
          <w:lang w:val="nl-NL"/>
        </w:rPr>
        <w:t>04</w:t>
      </w:r>
      <w:r w:rsidRPr="00E57F2F">
        <w:rPr>
          <w:rFonts w:ascii="Times New Roman" w:eastAsia="Times New Roman" w:hAnsi="Times New Roman" w:cs="Times New Roman"/>
          <w:i/>
          <w:sz w:val="24"/>
          <w:szCs w:val="24"/>
          <w:lang w:val="nl-NL"/>
        </w:rPr>
        <w:t>/2025)</w:t>
      </w:r>
    </w:p>
    <w:p w:rsidR="00113041" w:rsidRPr="00E57F2F" w:rsidRDefault="00113041" w:rsidP="00113041">
      <w:pPr>
        <w:spacing w:before="120" w:after="120" w:line="240" w:lineRule="auto"/>
        <w:ind w:firstLine="720"/>
        <w:jc w:val="both"/>
        <w:rPr>
          <w:rFonts w:ascii="Times New Roman" w:hAnsi="Times New Roman" w:cs="Times New Roman"/>
          <w:sz w:val="24"/>
          <w:szCs w:val="24"/>
          <w:lang w:val="nl-NL"/>
        </w:rPr>
      </w:pPr>
    </w:p>
    <w:p w:rsidR="00113041" w:rsidRPr="00E57F2F" w:rsidRDefault="00113041" w:rsidP="00645F8D">
      <w:pPr>
        <w:spacing w:before="120" w:after="120" w:line="240" w:lineRule="auto"/>
        <w:ind w:firstLine="720"/>
        <w:jc w:val="both"/>
        <w:rPr>
          <w:rFonts w:ascii="Times New Roman" w:eastAsia="Times New Roman" w:hAnsi="Times New Roman" w:cs="Times New Roman"/>
          <w:sz w:val="24"/>
          <w:szCs w:val="24"/>
          <w:lang w:val="it-IT"/>
        </w:rPr>
      </w:pPr>
      <w:r w:rsidRPr="00E57F2F">
        <w:rPr>
          <w:rFonts w:ascii="Times New Roman" w:hAnsi="Times New Roman" w:cs="Times New Roman"/>
          <w:sz w:val="24"/>
          <w:szCs w:val="24"/>
          <w:lang w:val="nl-NL"/>
        </w:rPr>
        <w:t xml:space="preserve">Căn cứ theo quy định của Luật Ban hành văn bản quy phạm pháp luật (VBQPPL), thực hiện Quyết định số 2835/QĐ-TTg ngày 31/12/2025 của Thủ tướng Chính phủ về ban hành Danh mục và phân công cơ quan chủ trì soạn thảo văn bản quy định chi tiết thi hành các luật, nghị quyết được Quốc hội khóa XV thông qua tại Kỳ họp thứ 10 trong đó có Luật Thuế thu nhập cá nhân (TNCN) số 109/2025/QH15. Ngày </w:t>
      </w:r>
      <w:r w:rsidR="002508EB">
        <w:rPr>
          <w:rFonts w:ascii="Times New Roman" w:hAnsi="Times New Roman" w:cs="Times New Roman"/>
          <w:sz w:val="24"/>
          <w:szCs w:val="24"/>
          <w:lang w:val="nl-NL"/>
        </w:rPr>
        <w:t>18</w:t>
      </w:r>
      <w:r w:rsidRPr="00E57F2F">
        <w:rPr>
          <w:rFonts w:ascii="Times New Roman" w:hAnsi="Times New Roman" w:cs="Times New Roman"/>
          <w:sz w:val="24"/>
          <w:szCs w:val="24"/>
          <w:lang w:val="nl-NL"/>
        </w:rPr>
        <w:t>/0</w:t>
      </w:r>
      <w:r w:rsidR="002508EB">
        <w:rPr>
          <w:rFonts w:ascii="Times New Roman" w:hAnsi="Times New Roman" w:cs="Times New Roman"/>
          <w:sz w:val="24"/>
          <w:szCs w:val="24"/>
          <w:lang w:val="nl-NL"/>
        </w:rPr>
        <w:t>3</w:t>
      </w:r>
      <w:r w:rsidRPr="00E57F2F">
        <w:rPr>
          <w:rFonts w:ascii="Times New Roman" w:hAnsi="Times New Roman" w:cs="Times New Roman"/>
          <w:sz w:val="24"/>
          <w:szCs w:val="24"/>
          <w:lang w:val="nl-NL"/>
        </w:rPr>
        <w:t xml:space="preserve">/2025, Cục Quản lý, giám sát chính sách thuế, phí và lệ phí đã có công văn số </w:t>
      </w:r>
      <w:r w:rsidR="001816DF">
        <w:rPr>
          <w:rFonts w:ascii="Times New Roman" w:hAnsi="Times New Roman" w:cs="Times New Roman"/>
          <w:sz w:val="24"/>
          <w:szCs w:val="24"/>
          <w:lang w:val="nl-NL"/>
        </w:rPr>
        <w:t>109</w:t>
      </w:r>
      <w:r w:rsidRPr="00E57F2F">
        <w:rPr>
          <w:rFonts w:ascii="Times New Roman" w:hAnsi="Times New Roman" w:cs="Times New Roman"/>
          <w:sz w:val="24"/>
          <w:szCs w:val="24"/>
          <w:lang w:val="nl-NL"/>
        </w:rPr>
        <w:t xml:space="preserve">/CST-TN gửi lấy ý kiến các đơn vị trong Bộ về dự thảo </w:t>
      </w:r>
      <w:r w:rsidR="00645F8D" w:rsidRPr="00645F8D">
        <w:rPr>
          <w:rFonts w:ascii="Times New Roman" w:eastAsia="Times New Roman" w:hAnsi="Times New Roman" w:cs="Times New Roman"/>
          <w:sz w:val="24"/>
          <w:szCs w:val="24"/>
          <w:lang w:val="nl-NL"/>
        </w:rPr>
        <w:t>Thông tư quy định chi tiết một số điều của Luật Thuế thu nhập cá nhân và quy định chi tiết một số điều của Nghị định</w:t>
      </w:r>
      <w:r w:rsidR="00645F8D">
        <w:rPr>
          <w:rFonts w:ascii="Times New Roman" w:eastAsia="Times New Roman" w:hAnsi="Times New Roman" w:cs="Times New Roman"/>
          <w:sz w:val="24"/>
          <w:szCs w:val="24"/>
          <w:lang w:val="nl-NL"/>
        </w:rPr>
        <w:t>.</w:t>
      </w:r>
    </w:p>
    <w:p w:rsidR="00113041" w:rsidRPr="00E57F2F" w:rsidRDefault="00113041" w:rsidP="00113041">
      <w:pPr>
        <w:spacing w:before="120" w:after="240" w:line="240" w:lineRule="auto"/>
        <w:ind w:firstLine="720"/>
        <w:jc w:val="both"/>
        <w:rPr>
          <w:rFonts w:ascii="Times New Roman" w:eastAsia="Times New Roman" w:hAnsi="Times New Roman" w:cs="Times New Roman"/>
          <w:i/>
          <w:sz w:val="24"/>
          <w:szCs w:val="24"/>
          <w:lang w:val="nl-NL"/>
        </w:rPr>
      </w:pPr>
      <w:r w:rsidRPr="00E57F2F">
        <w:rPr>
          <w:rFonts w:ascii="Times New Roman" w:hAnsi="Times New Roman" w:cs="Times New Roman"/>
          <w:sz w:val="24"/>
          <w:szCs w:val="24"/>
          <w:lang w:val="nl-NL"/>
        </w:rPr>
        <w:t xml:space="preserve">Cục QLGSCST đã nhận được </w:t>
      </w:r>
      <w:r w:rsidR="00DB37DF" w:rsidRPr="00E57F2F">
        <w:rPr>
          <w:rFonts w:ascii="Times New Roman" w:hAnsi="Times New Roman" w:cs="Times New Roman"/>
          <w:sz w:val="24"/>
          <w:szCs w:val="24"/>
          <w:lang w:val="nl-NL"/>
        </w:rPr>
        <w:t>1</w:t>
      </w:r>
      <w:r w:rsidR="007018AB">
        <w:rPr>
          <w:rFonts w:ascii="Times New Roman" w:hAnsi="Times New Roman" w:cs="Times New Roman"/>
          <w:sz w:val="24"/>
          <w:szCs w:val="24"/>
          <w:lang w:val="nl-NL"/>
        </w:rPr>
        <w:t>6/17</w:t>
      </w:r>
      <w:r w:rsidRPr="00E57F2F">
        <w:rPr>
          <w:rFonts w:ascii="Times New Roman" w:hAnsi="Times New Roman" w:cs="Times New Roman"/>
          <w:sz w:val="24"/>
          <w:szCs w:val="24"/>
          <w:lang w:val="nl-NL"/>
        </w:rPr>
        <w:t xml:space="preserve"> văn bản tham gia ý kiế</w:t>
      </w:r>
      <w:r w:rsidR="007018AB">
        <w:rPr>
          <w:rFonts w:ascii="Times New Roman" w:hAnsi="Times New Roman" w:cs="Times New Roman"/>
          <w:sz w:val="24"/>
          <w:szCs w:val="24"/>
          <w:lang w:val="nl-NL"/>
        </w:rPr>
        <w:t>n</w:t>
      </w:r>
      <w:r w:rsidRPr="00E57F2F">
        <w:rPr>
          <w:rFonts w:ascii="Times New Roman" w:hAnsi="Times New Roman" w:cs="Times New Roman"/>
          <w:sz w:val="24"/>
          <w:szCs w:val="24"/>
          <w:lang w:val="nl-NL"/>
        </w:rPr>
        <w:t xml:space="preserve">. </w:t>
      </w:r>
      <w:r w:rsidRPr="00E57F2F">
        <w:rPr>
          <w:rFonts w:ascii="Times New Roman" w:eastAsia="Times New Roman" w:hAnsi="Times New Roman" w:cs="Times New Roman"/>
          <w:sz w:val="24"/>
          <w:szCs w:val="24"/>
          <w:lang w:val="nl-NL"/>
        </w:rPr>
        <w:t xml:space="preserve">Trên cơ sở ý kiến của các đơn vị, </w:t>
      </w:r>
      <w:r w:rsidR="00D5096C" w:rsidRPr="00E57F2F">
        <w:rPr>
          <w:rFonts w:ascii="Times New Roman" w:hAnsi="Times New Roman" w:cs="Times New Roman"/>
          <w:sz w:val="24"/>
          <w:szCs w:val="24"/>
          <w:lang w:val="nl-NL"/>
        </w:rPr>
        <w:t>Cục Quản lý, giám sát chính sách thuế, phí và lệ phí</w:t>
      </w:r>
      <w:r w:rsidR="00D5096C" w:rsidRPr="00E57F2F">
        <w:rPr>
          <w:rFonts w:ascii="Times New Roman" w:eastAsia="Times New Roman" w:hAnsi="Times New Roman" w:cs="Times New Roman"/>
          <w:sz w:val="24"/>
          <w:szCs w:val="24"/>
          <w:lang w:val="nl-NL"/>
        </w:rPr>
        <w:t xml:space="preserve"> </w:t>
      </w:r>
      <w:r w:rsidRPr="00E57F2F">
        <w:rPr>
          <w:rFonts w:ascii="Times New Roman" w:eastAsia="Times New Roman" w:hAnsi="Times New Roman" w:cs="Times New Roman"/>
          <w:sz w:val="24"/>
          <w:szCs w:val="24"/>
          <w:lang w:val="nl-NL"/>
        </w:rPr>
        <w:t>đã tổng hợp đầy đủ các ý kiến góp ý và giải trình, tiếp thu ý kiến góp ý như sau:</w:t>
      </w:r>
    </w:p>
    <w:tbl>
      <w:tblPr>
        <w:tblW w:w="148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843"/>
        <w:gridCol w:w="7513"/>
        <w:gridCol w:w="4651"/>
      </w:tblGrid>
      <w:tr w:rsidR="00113041" w:rsidRPr="00E57F2F" w:rsidTr="000813C3">
        <w:trPr>
          <w:trHeight w:val="20"/>
          <w:tblHeader/>
        </w:trPr>
        <w:tc>
          <w:tcPr>
            <w:tcW w:w="850" w:type="dxa"/>
          </w:tcPr>
          <w:p w:rsidR="00113041" w:rsidRPr="00810BE0" w:rsidRDefault="00113041" w:rsidP="00DB4966">
            <w:pPr>
              <w:spacing w:after="0" w:line="240" w:lineRule="auto"/>
              <w:jc w:val="center"/>
              <w:rPr>
                <w:rFonts w:ascii="Times New Roman" w:eastAsia="Times New Roman" w:hAnsi="Times New Roman" w:cs="Times New Roman"/>
                <w:b/>
                <w:sz w:val="28"/>
                <w:szCs w:val="28"/>
                <w:lang w:val="nl-NL"/>
              </w:rPr>
            </w:pPr>
            <w:r w:rsidRPr="00810BE0">
              <w:rPr>
                <w:rFonts w:ascii="Times New Roman" w:eastAsia="Times New Roman" w:hAnsi="Times New Roman" w:cs="Times New Roman"/>
                <w:b/>
                <w:sz w:val="28"/>
                <w:szCs w:val="28"/>
                <w:lang w:val="nl-NL"/>
              </w:rPr>
              <w:t>STT</w:t>
            </w:r>
          </w:p>
        </w:tc>
        <w:tc>
          <w:tcPr>
            <w:tcW w:w="1843" w:type="dxa"/>
          </w:tcPr>
          <w:p w:rsidR="00113041" w:rsidRPr="00810BE0" w:rsidRDefault="00113041" w:rsidP="00DB4966">
            <w:pPr>
              <w:spacing w:after="0" w:line="240" w:lineRule="auto"/>
              <w:jc w:val="center"/>
              <w:rPr>
                <w:rFonts w:ascii="Times New Roman" w:eastAsia="Times New Roman" w:hAnsi="Times New Roman" w:cs="Times New Roman"/>
                <w:b/>
                <w:sz w:val="28"/>
                <w:szCs w:val="28"/>
                <w:lang w:val="nl-NL"/>
              </w:rPr>
            </w:pPr>
            <w:r w:rsidRPr="00810BE0">
              <w:rPr>
                <w:rFonts w:ascii="Times New Roman" w:eastAsia="Times New Roman" w:hAnsi="Times New Roman" w:cs="Times New Roman"/>
                <w:b/>
                <w:sz w:val="28"/>
                <w:szCs w:val="28"/>
                <w:lang w:val="nl-NL"/>
              </w:rPr>
              <w:t>CHỦ THỂ GÓP Ý</w:t>
            </w:r>
          </w:p>
        </w:tc>
        <w:tc>
          <w:tcPr>
            <w:tcW w:w="7513" w:type="dxa"/>
          </w:tcPr>
          <w:p w:rsidR="00113041" w:rsidRPr="00810BE0" w:rsidRDefault="00113041" w:rsidP="00DB4966">
            <w:pPr>
              <w:spacing w:before="120" w:after="0" w:line="240" w:lineRule="auto"/>
              <w:jc w:val="center"/>
              <w:rPr>
                <w:rFonts w:ascii="Times New Roman" w:eastAsia="Times New Roman" w:hAnsi="Times New Roman" w:cs="Times New Roman"/>
                <w:b/>
                <w:sz w:val="28"/>
                <w:szCs w:val="28"/>
                <w:lang w:val="nl-NL"/>
              </w:rPr>
            </w:pPr>
            <w:r w:rsidRPr="00810BE0">
              <w:rPr>
                <w:rFonts w:ascii="Times New Roman" w:eastAsia="Times New Roman" w:hAnsi="Times New Roman" w:cs="Times New Roman"/>
                <w:b/>
                <w:sz w:val="28"/>
                <w:szCs w:val="28"/>
                <w:lang w:val="nl-NL"/>
              </w:rPr>
              <w:t>NỘI DUNG GÓP Ý</w:t>
            </w:r>
          </w:p>
        </w:tc>
        <w:tc>
          <w:tcPr>
            <w:tcW w:w="4651" w:type="dxa"/>
          </w:tcPr>
          <w:p w:rsidR="00113041" w:rsidRPr="00810BE0" w:rsidRDefault="00113041" w:rsidP="00DB4966">
            <w:pPr>
              <w:spacing w:before="120" w:after="0" w:line="240" w:lineRule="auto"/>
              <w:jc w:val="center"/>
              <w:rPr>
                <w:rFonts w:ascii="Times New Roman" w:eastAsia="Times New Roman" w:hAnsi="Times New Roman" w:cs="Times New Roman"/>
                <w:b/>
                <w:sz w:val="28"/>
                <w:szCs w:val="28"/>
                <w:lang w:val="nl-NL"/>
              </w:rPr>
            </w:pPr>
            <w:r w:rsidRPr="00810BE0">
              <w:rPr>
                <w:rFonts w:ascii="Times New Roman" w:eastAsia="Times New Roman" w:hAnsi="Times New Roman" w:cs="Times New Roman"/>
                <w:b/>
                <w:sz w:val="28"/>
                <w:szCs w:val="28"/>
                <w:lang w:val="nl-NL"/>
              </w:rPr>
              <w:t>NỘI DUNG TIẾP THU, GIẢI TRÌNH</w:t>
            </w:r>
          </w:p>
        </w:tc>
      </w:tr>
      <w:tr w:rsidR="00AD30E4" w:rsidRPr="00E57F2F" w:rsidTr="000813C3">
        <w:trPr>
          <w:trHeight w:val="20"/>
        </w:trPr>
        <w:tc>
          <w:tcPr>
            <w:tcW w:w="850" w:type="dxa"/>
          </w:tcPr>
          <w:p w:rsidR="00AD30E4" w:rsidRPr="00810BE0" w:rsidRDefault="00E57F2F" w:rsidP="00E57F2F">
            <w:pPr>
              <w:pStyle w:val="ListParagraph"/>
              <w:numPr>
                <w:ilvl w:val="0"/>
                <w:numId w:val="28"/>
              </w:numPr>
              <w:spacing w:after="0" w:line="240" w:lineRule="auto"/>
              <w:jc w:val="center"/>
              <w:rPr>
                <w:rFonts w:eastAsia="Times New Roman"/>
                <w:sz w:val="28"/>
                <w:szCs w:val="28"/>
                <w:lang w:val="nl-NL"/>
              </w:rPr>
            </w:pPr>
            <w:r w:rsidRPr="00810BE0">
              <w:rPr>
                <w:rFonts w:eastAsia="Times New Roman"/>
                <w:sz w:val="28"/>
                <w:szCs w:val="28"/>
                <w:lang w:val="nl-NL"/>
              </w:rPr>
              <w:t>1</w:t>
            </w:r>
          </w:p>
        </w:tc>
        <w:tc>
          <w:tcPr>
            <w:tcW w:w="1843" w:type="dxa"/>
          </w:tcPr>
          <w:p w:rsidR="00AD30E4" w:rsidRPr="00E57F2F" w:rsidRDefault="00AD30E4" w:rsidP="00DB4966">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Cục Quản lý nợ và Kinh tế đối ngoại</w:t>
            </w:r>
            <w:r w:rsidR="00B719D0" w:rsidRPr="00E57F2F">
              <w:rPr>
                <w:rFonts w:ascii="Times New Roman" w:eastAsia="Yu Gothic" w:hAnsi="Times New Roman" w:cs="Times New Roman"/>
                <w:sz w:val="28"/>
                <w:szCs w:val="28"/>
                <w:lang w:val="nl-NL"/>
              </w:rPr>
              <w:t xml:space="preserve"> (CV số 972/QLN-QLVT ngày 24/3/2026) </w:t>
            </w:r>
          </w:p>
        </w:tc>
        <w:tc>
          <w:tcPr>
            <w:tcW w:w="7513" w:type="dxa"/>
          </w:tcPr>
          <w:p w:rsidR="002C217B" w:rsidRPr="00E57F2F" w:rsidRDefault="00AD30E4" w:rsidP="00AD30E4">
            <w:pPr>
              <w:spacing w:after="0" w:line="240" w:lineRule="auto"/>
              <w:ind w:firstLine="371"/>
              <w:jc w:val="both"/>
              <w:rPr>
                <w:rFonts w:ascii="Times New Roman" w:eastAsia="Yu Gothic" w:hAnsi="Times New Roman" w:cs="Times New Roman"/>
                <w:sz w:val="28"/>
                <w:szCs w:val="28"/>
              </w:rPr>
            </w:pPr>
            <w:r w:rsidRPr="00E57F2F">
              <w:rPr>
                <w:rFonts w:ascii="Times New Roman" w:eastAsia="Yu Gothic" w:hAnsi="Times New Roman" w:cs="Times New Roman"/>
                <w:sz w:val="28"/>
                <w:szCs w:val="28"/>
              </w:rPr>
              <w:t xml:space="preserve">- Đề nghị Cục Quản lý, giám sát chính sách thuế, phí và lệ phí rà soát dự thảo Thông tư đảm bảo các quy định về cung cấp hồ sơ để xác định người phụ thuộc được giảm trừ gia cảnh được cụ thể, rõ tên gọi hồ sơ, tránh đưa ra khái niệm hồ sơ chung chung (ví dụ các quy định tại điểm b Khoản 5 Điều 4 dự thảo Thông tư) . </w:t>
            </w:r>
          </w:p>
          <w:p w:rsidR="00AD30E4" w:rsidRPr="00E57F2F" w:rsidRDefault="00AD30E4" w:rsidP="00AD30E4">
            <w:pPr>
              <w:spacing w:after="0" w:line="240" w:lineRule="auto"/>
              <w:ind w:firstLine="371"/>
              <w:jc w:val="both"/>
              <w:rPr>
                <w:rFonts w:ascii="Times New Roman" w:eastAsia="Yu Gothic" w:hAnsi="Times New Roman" w:cs="Times New Roman"/>
                <w:sz w:val="28"/>
                <w:szCs w:val="28"/>
              </w:rPr>
            </w:pPr>
            <w:r w:rsidRPr="00E57F2F">
              <w:rPr>
                <w:rFonts w:ascii="Times New Roman" w:eastAsia="Yu Gothic" w:hAnsi="Times New Roman" w:cs="Times New Roman"/>
                <w:sz w:val="28"/>
                <w:szCs w:val="28"/>
              </w:rPr>
              <w:t>- Các nội dung khác tại dự thảo Thông tư, Cục QLN&amp;KTĐN không có thêm ý kiến.</w:t>
            </w:r>
          </w:p>
        </w:tc>
        <w:tc>
          <w:tcPr>
            <w:tcW w:w="4651" w:type="dxa"/>
          </w:tcPr>
          <w:p w:rsidR="00AD30E4" w:rsidRPr="00E57F2F" w:rsidRDefault="00F4338E" w:rsidP="00DB4966">
            <w:pPr>
              <w:spacing w:after="0" w:line="240" w:lineRule="auto"/>
              <w:jc w:val="both"/>
              <w:rPr>
                <w:rFonts w:ascii="Times New Roman" w:eastAsia="Times New Roman" w:hAnsi="Times New Roman" w:cs="Times New Roman"/>
                <w:sz w:val="24"/>
                <w:szCs w:val="24"/>
                <w:lang w:val="nl-NL"/>
              </w:rPr>
            </w:pPr>
            <w:r w:rsidRPr="00E57F2F">
              <w:rPr>
                <w:rFonts w:ascii="Times New Roman" w:eastAsia="Times New Roman" w:hAnsi="Times New Roman" w:cs="Times New Roman"/>
                <w:sz w:val="24"/>
                <w:szCs w:val="24"/>
                <w:lang w:val="nl-NL"/>
              </w:rPr>
              <w:t>Tiếp thu</w:t>
            </w:r>
          </w:p>
        </w:tc>
      </w:tr>
      <w:tr w:rsidR="00AD30E4" w:rsidRPr="00E57F2F" w:rsidTr="000813C3">
        <w:trPr>
          <w:trHeight w:val="20"/>
        </w:trPr>
        <w:tc>
          <w:tcPr>
            <w:tcW w:w="850" w:type="dxa"/>
          </w:tcPr>
          <w:p w:rsidR="00AD30E4" w:rsidRPr="00810BE0" w:rsidRDefault="00AD30E4"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AD30E4" w:rsidRPr="00E57F2F" w:rsidRDefault="00AD30E4" w:rsidP="00DB4966">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Cục Quản lý công sản</w:t>
            </w:r>
            <w:r w:rsidR="00B719D0" w:rsidRPr="00E57F2F">
              <w:rPr>
                <w:rFonts w:ascii="Times New Roman" w:eastAsia="Yu Gothic" w:hAnsi="Times New Roman" w:cs="Times New Roman"/>
                <w:sz w:val="28"/>
                <w:szCs w:val="28"/>
                <w:lang w:val="nl-NL"/>
              </w:rPr>
              <w:t xml:space="preserve"> (CV số 492/QLCS-NV3 ngày </w:t>
            </w:r>
            <w:r w:rsidR="00B719D0" w:rsidRPr="00E57F2F">
              <w:rPr>
                <w:rFonts w:ascii="Times New Roman" w:eastAsia="Yu Gothic" w:hAnsi="Times New Roman" w:cs="Times New Roman"/>
                <w:sz w:val="28"/>
                <w:szCs w:val="28"/>
                <w:lang w:val="nl-NL"/>
              </w:rPr>
              <w:lastRenderedPageBreak/>
              <w:t xml:space="preserve">23/03/2026) </w:t>
            </w:r>
          </w:p>
        </w:tc>
        <w:tc>
          <w:tcPr>
            <w:tcW w:w="7513" w:type="dxa"/>
          </w:tcPr>
          <w:p w:rsidR="00AD30E4" w:rsidRPr="00E57F2F" w:rsidRDefault="00AD30E4" w:rsidP="00AD30E4">
            <w:pPr>
              <w:spacing w:after="0" w:line="240" w:lineRule="auto"/>
              <w:ind w:firstLine="371"/>
              <w:jc w:val="both"/>
              <w:rPr>
                <w:rFonts w:ascii="Times New Roman" w:eastAsia="Yu Gothic" w:hAnsi="Times New Roman" w:cs="Times New Roman"/>
                <w:sz w:val="28"/>
                <w:szCs w:val="28"/>
              </w:rPr>
            </w:pPr>
            <w:r w:rsidRPr="00E57F2F">
              <w:rPr>
                <w:rFonts w:ascii="Times New Roman" w:eastAsia="Yu Gothic" w:hAnsi="Times New Roman" w:cs="Times New Roman"/>
                <w:sz w:val="28"/>
                <w:szCs w:val="28"/>
              </w:rPr>
              <w:lastRenderedPageBreak/>
              <w:t>Không có ý kiến khác.</w:t>
            </w:r>
          </w:p>
        </w:tc>
        <w:tc>
          <w:tcPr>
            <w:tcW w:w="4651" w:type="dxa"/>
          </w:tcPr>
          <w:p w:rsidR="00AD30E4" w:rsidRPr="00E57F2F" w:rsidRDefault="00AD30E4" w:rsidP="00DB4966">
            <w:pPr>
              <w:spacing w:after="0" w:line="240" w:lineRule="auto"/>
              <w:jc w:val="both"/>
              <w:rPr>
                <w:rFonts w:ascii="Times New Roman" w:eastAsia="Times New Roman" w:hAnsi="Times New Roman" w:cs="Times New Roman"/>
                <w:sz w:val="24"/>
                <w:szCs w:val="24"/>
                <w:lang w:val="nl-NL"/>
              </w:rPr>
            </w:pPr>
          </w:p>
        </w:tc>
      </w:tr>
      <w:tr w:rsidR="00AD30E4" w:rsidRPr="00E57F2F" w:rsidTr="000813C3">
        <w:trPr>
          <w:trHeight w:val="20"/>
        </w:trPr>
        <w:tc>
          <w:tcPr>
            <w:tcW w:w="850" w:type="dxa"/>
          </w:tcPr>
          <w:p w:rsidR="00AD30E4" w:rsidRPr="00810BE0" w:rsidRDefault="00AD30E4"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AD30E4" w:rsidRPr="00E57F2F" w:rsidRDefault="00AD30E4" w:rsidP="00DB4966">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Cục Công nghệ thông tin và chuyển đổi số</w:t>
            </w:r>
            <w:r w:rsidR="00B719D0" w:rsidRPr="00E57F2F">
              <w:rPr>
                <w:rFonts w:ascii="Times New Roman" w:eastAsia="Yu Gothic" w:hAnsi="Times New Roman" w:cs="Times New Roman"/>
                <w:sz w:val="28"/>
                <w:szCs w:val="28"/>
                <w:lang w:val="nl-NL"/>
              </w:rPr>
              <w:t xml:space="preserve"> (CV số 585/CNTT-CNTT ngày 23/03/2026)</w:t>
            </w:r>
          </w:p>
        </w:tc>
        <w:tc>
          <w:tcPr>
            <w:tcW w:w="7513" w:type="dxa"/>
          </w:tcPr>
          <w:p w:rsidR="00AD30E4" w:rsidRPr="00E57F2F" w:rsidRDefault="00AD30E4" w:rsidP="00AD30E4">
            <w:pPr>
              <w:spacing w:after="0" w:line="240" w:lineRule="auto"/>
              <w:ind w:firstLine="371"/>
              <w:jc w:val="both"/>
              <w:rPr>
                <w:rFonts w:ascii="Times New Roman" w:eastAsia="Yu Gothic" w:hAnsi="Times New Roman" w:cs="Times New Roman"/>
                <w:sz w:val="28"/>
                <w:szCs w:val="28"/>
              </w:rPr>
            </w:pPr>
            <w:r w:rsidRPr="00E57F2F">
              <w:rPr>
                <w:rFonts w:ascii="Times New Roman" w:eastAsia="Yu Gothic" w:hAnsi="Times New Roman" w:cs="Times New Roman"/>
                <w:sz w:val="28"/>
                <w:szCs w:val="28"/>
              </w:rPr>
              <w:t>Không có ý kiến khác</w:t>
            </w:r>
            <w:r w:rsidR="002C217B" w:rsidRPr="00E57F2F">
              <w:rPr>
                <w:rFonts w:ascii="Times New Roman" w:eastAsia="Yu Gothic" w:hAnsi="Times New Roman" w:cs="Times New Roman"/>
                <w:sz w:val="28"/>
                <w:szCs w:val="28"/>
              </w:rPr>
              <w:t>.</w:t>
            </w:r>
          </w:p>
        </w:tc>
        <w:tc>
          <w:tcPr>
            <w:tcW w:w="4651" w:type="dxa"/>
          </w:tcPr>
          <w:p w:rsidR="00AD30E4" w:rsidRPr="00E57F2F" w:rsidRDefault="00AD30E4" w:rsidP="00DB4966">
            <w:pPr>
              <w:spacing w:after="0" w:line="240" w:lineRule="auto"/>
              <w:jc w:val="both"/>
              <w:rPr>
                <w:rFonts w:ascii="Times New Roman" w:eastAsia="Times New Roman" w:hAnsi="Times New Roman" w:cs="Times New Roman"/>
                <w:sz w:val="24"/>
                <w:szCs w:val="24"/>
                <w:lang w:val="nl-NL"/>
              </w:rPr>
            </w:pPr>
          </w:p>
        </w:tc>
      </w:tr>
      <w:tr w:rsidR="002C217B" w:rsidRPr="00E57F2F" w:rsidTr="000813C3">
        <w:trPr>
          <w:trHeight w:val="20"/>
        </w:trPr>
        <w:tc>
          <w:tcPr>
            <w:tcW w:w="850" w:type="dxa"/>
          </w:tcPr>
          <w:p w:rsidR="002C217B" w:rsidRPr="00810BE0" w:rsidRDefault="002C217B"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2C217B" w:rsidRPr="00E57F2F" w:rsidRDefault="002C217B" w:rsidP="00AD30E4">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Cục Quản lý giám sát bảo hiểm</w:t>
            </w:r>
            <w:r w:rsidR="00B719D0" w:rsidRPr="00E57F2F">
              <w:rPr>
                <w:rFonts w:ascii="Times New Roman" w:eastAsia="Yu Gothic" w:hAnsi="Times New Roman" w:cs="Times New Roman"/>
                <w:sz w:val="28"/>
                <w:szCs w:val="28"/>
                <w:lang w:val="nl-NL"/>
              </w:rPr>
              <w:t xml:space="preserve"> (CV số 506/QLBH-PTTT ngày 24/03/2026) </w:t>
            </w:r>
          </w:p>
        </w:tc>
        <w:tc>
          <w:tcPr>
            <w:tcW w:w="7513" w:type="dxa"/>
          </w:tcPr>
          <w:p w:rsidR="002C217B" w:rsidRPr="00E57F2F" w:rsidRDefault="002C217B" w:rsidP="00AD30E4">
            <w:pPr>
              <w:spacing w:after="0" w:line="240" w:lineRule="auto"/>
              <w:ind w:firstLine="371"/>
              <w:jc w:val="both"/>
              <w:rPr>
                <w:rFonts w:ascii="Times New Roman" w:eastAsia="Yu Gothic" w:hAnsi="Times New Roman" w:cs="Times New Roman"/>
                <w:sz w:val="28"/>
                <w:szCs w:val="28"/>
              </w:rPr>
            </w:pPr>
            <w:r w:rsidRPr="00E57F2F">
              <w:rPr>
                <w:rFonts w:ascii="Times New Roman" w:eastAsia="Yu Gothic" w:hAnsi="Times New Roman" w:cs="Times New Roman"/>
                <w:sz w:val="28"/>
                <w:szCs w:val="28"/>
              </w:rPr>
              <w:t>Không có ý kiến khác.</w:t>
            </w:r>
          </w:p>
        </w:tc>
        <w:tc>
          <w:tcPr>
            <w:tcW w:w="4651" w:type="dxa"/>
          </w:tcPr>
          <w:p w:rsidR="002C217B" w:rsidRPr="00E57F2F" w:rsidRDefault="002C217B" w:rsidP="00DB4966">
            <w:pPr>
              <w:spacing w:after="0" w:line="240" w:lineRule="auto"/>
              <w:jc w:val="both"/>
              <w:rPr>
                <w:rFonts w:ascii="Times New Roman" w:eastAsia="Times New Roman" w:hAnsi="Times New Roman" w:cs="Times New Roman"/>
                <w:sz w:val="24"/>
                <w:szCs w:val="24"/>
                <w:lang w:val="nl-NL"/>
              </w:rPr>
            </w:pPr>
          </w:p>
        </w:tc>
      </w:tr>
      <w:tr w:rsidR="00AD30E4" w:rsidRPr="00E57F2F" w:rsidTr="000813C3">
        <w:trPr>
          <w:trHeight w:val="20"/>
        </w:trPr>
        <w:tc>
          <w:tcPr>
            <w:tcW w:w="850" w:type="dxa"/>
          </w:tcPr>
          <w:p w:rsidR="00AD30E4" w:rsidRPr="00810BE0" w:rsidRDefault="00AD30E4"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AD30E4" w:rsidRPr="00E57F2F" w:rsidRDefault="00AD30E4" w:rsidP="00AD30E4">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Vụ Các định chế tài chính</w:t>
            </w:r>
            <w:r w:rsidR="00B719D0" w:rsidRPr="00E57F2F">
              <w:rPr>
                <w:rFonts w:ascii="Times New Roman" w:eastAsia="Yu Gothic" w:hAnsi="Times New Roman" w:cs="Times New Roman"/>
                <w:sz w:val="28"/>
                <w:szCs w:val="28"/>
                <w:lang w:val="nl-NL"/>
              </w:rPr>
              <w:t xml:space="preserve"> (CV số 571/ĐCTC-TP ngày 23/03/2026) </w:t>
            </w:r>
          </w:p>
        </w:tc>
        <w:tc>
          <w:tcPr>
            <w:tcW w:w="7513" w:type="dxa"/>
          </w:tcPr>
          <w:p w:rsidR="00AD30E4" w:rsidRPr="00E57F2F" w:rsidRDefault="002C217B" w:rsidP="00AD30E4">
            <w:pPr>
              <w:spacing w:after="0" w:line="240" w:lineRule="auto"/>
              <w:ind w:firstLine="371"/>
              <w:jc w:val="both"/>
              <w:rPr>
                <w:rFonts w:ascii="Times New Roman" w:eastAsia="Yu Gothic" w:hAnsi="Times New Roman" w:cs="Times New Roman"/>
                <w:sz w:val="28"/>
                <w:szCs w:val="28"/>
              </w:rPr>
            </w:pPr>
            <w:r w:rsidRPr="00E57F2F">
              <w:rPr>
                <w:rFonts w:ascii="Times New Roman" w:eastAsia="Yu Gothic" w:hAnsi="Times New Roman" w:cs="Times New Roman"/>
                <w:sz w:val="28"/>
                <w:szCs w:val="28"/>
              </w:rPr>
              <w:t>Không có ý kiến khác.</w:t>
            </w:r>
          </w:p>
        </w:tc>
        <w:tc>
          <w:tcPr>
            <w:tcW w:w="4651" w:type="dxa"/>
          </w:tcPr>
          <w:p w:rsidR="00AD30E4" w:rsidRPr="00E57F2F" w:rsidRDefault="00AD30E4" w:rsidP="00DB4966">
            <w:pPr>
              <w:spacing w:after="0" w:line="240" w:lineRule="auto"/>
              <w:jc w:val="both"/>
              <w:rPr>
                <w:rFonts w:ascii="Times New Roman" w:eastAsia="Times New Roman" w:hAnsi="Times New Roman" w:cs="Times New Roman"/>
                <w:sz w:val="24"/>
                <w:szCs w:val="24"/>
                <w:lang w:val="nl-NL"/>
              </w:rPr>
            </w:pPr>
          </w:p>
        </w:tc>
      </w:tr>
      <w:tr w:rsidR="002C217B" w:rsidRPr="00E57F2F" w:rsidTr="000813C3">
        <w:trPr>
          <w:trHeight w:val="20"/>
        </w:trPr>
        <w:tc>
          <w:tcPr>
            <w:tcW w:w="850" w:type="dxa"/>
          </w:tcPr>
          <w:p w:rsidR="002C217B" w:rsidRPr="00810BE0" w:rsidRDefault="002C217B"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2C217B" w:rsidRPr="00E57F2F" w:rsidRDefault="002C217B" w:rsidP="002C217B">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 xml:space="preserve">Cục Phát triển doanh nghiệp nhà nước </w:t>
            </w:r>
          </w:p>
          <w:p w:rsidR="00B719D0" w:rsidRPr="00E57F2F" w:rsidRDefault="00B719D0" w:rsidP="002C217B">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(CV số 672/DNNN-NV2 ngày 23/03/2026</w:t>
            </w:r>
          </w:p>
        </w:tc>
        <w:tc>
          <w:tcPr>
            <w:tcW w:w="7513" w:type="dxa"/>
          </w:tcPr>
          <w:p w:rsidR="002C217B" w:rsidRPr="00E57F2F" w:rsidRDefault="002C217B" w:rsidP="00AD30E4">
            <w:pPr>
              <w:spacing w:after="0" w:line="240" w:lineRule="auto"/>
              <w:ind w:firstLine="371"/>
              <w:jc w:val="both"/>
              <w:rPr>
                <w:rFonts w:ascii="Times New Roman" w:eastAsia="Yu Gothic" w:hAnsi="Times New Roman" w:cs="Times New Roman"/>
                <w:sz w:val="28"/>
                <w:szCs w:val="28"/>
              </w:rPr>
            </w:pPr>
            <w:r w:rsidRPr="00E57F2F">
              <w:rPr>
                <w:rFonts w:ascii="Times New Roman" w:hAnsi="Times New Roman" w:cs="Times New Roman"/>
                <w:sz w:val="28"/>
                <w:szCs w:val="28"/>
              </w:rPr>
              <w:t xml:space="preserve">Qua rà soát, các nội dung tại dự thảo Thông tư quy định về mức thu nhập làm căn cứ xác định người phụ thuộc mà người nộp thuế được áp dụng giảm trừ, hồ sơ xác định người phụ thuộc được giảm trừ gia cảnh, quy định về thu nhập cá nhân đối với thu nhập từ chuyển nhượng chứng khoán phái sinh, không thuộc phạm vi quản lý theo chức năng, nhiệm vụ được giao của Cục Phát triển DNNN. Đề nghị Cục Chính sách thuế tổng hợp ý kiến </w:t>
            </w:r>
            <w:r w:rsidRPr="00E57F2F">
              <w:rPr>
                <w:rFonts w:ascii="Times New Roman" w:hAnsi="Times New Roman" w:cs="Times New Roman"/>
                <w:sz w:val="28"/>
                <w:szCs w:val="28"/>
              </w:rPr>
              <w:lastRenderedPageBreak/>
              <w:t>các đơn vị liên quan đến báo cáo Bộ ban hành Thông tư theo thẩm quyền, đảm bảo phù hợp với các quy định pháp luật có liên quan và tuân thủ đúng trình tự, thủ tục của Luật Ban hành văn bản quy phạm pháp luật.</w:t>
            </w:r>
          </w:p>
        </w:tc>
        <w:tc>
          <w:tcPr>
            <w:tcW w:w="4651" w:type="dxa"/>
          </w:tcPr>
          <w:p w:rsidR="002C217B" w:rsidRPr="00E57F2F" w:rsidRDefault="002C217B" w:rsidP="00DB4966">
            <w:pPr>
              <w:spacing w:after="0" w:line="240" w:lineRule="auto"/>
              <w:jc w:val="both"/>
              <w:rPr>
                <w:rFonts w:ascii="Times New Roman" w:eastAsia="Times New Roman" w:hAnsi="Times New Roman" w:cs="Times New Roman"/>
                <w:sz w:val="24"/>
                <w:szCs w:val="24"/>
                <w:lang w:val="nl-NL"/>
              </w:rPr>
            </w:pPr>
          </w:p>
        </w:tc>
      </w:tr>
      <w:tr w:rsidR="00B719D0" w:rsidRPr="00E57F2F" w:rsidTr="000813C3">
        <w:trPr>
          <w:trHeight w:val="20"/>
        </w:trPr>
        <w:tc>
          <w:tcPr>
            <w:tcW w:w="850" w:type="dxa"/>
          </w:tcPr>
          <w:p w:rsidR="00B719D0" w:rsidRPr="00810BE0" w:rsidRDefault="00B719D0"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B719D0" w:rsidRPr="00E57F2F" w:rsidRDefault="00B719D0" w:rsidP="002C217B">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Cục Phát triển doanh nghiệp tư nhân và kinh tế tập thể (CV số 662/DNTN-TH ngày 25/03/2026)</w:t>
            </w:r>
          </w:p>
        </w:tc>
        <w:tc>
          <w:tcPr>
            <w:tcW w:w="7513" w:type="dxa"/>
          </w:tcPr>
          <w:p w:rsidR="00B719D0" w:rsidRPr="00E57F2F" w:rsidRDefault="00B719D0"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Không có ý kiến khác. </w:t>
            </w:r>
          </w:p>
        </w:tc>
        <w:tc>
          <w:tcPr>
            <w:tcW w:w="4651" w:type="dxa"/>
          </w:tcPr>
          <w:p w:rsidR="00B719D0" w:rsidRPr="00E57F2F" w:rsidRDefault="00B719D0" w:rsidP="00DB4966">
            <w:pPr>
              <w:spacing w:after="0" w:line="240" w:lineRule="auto"/>
              <w:jc w:val="both"/>
              <w:rPr>
                <w:rFonts w:ascii="Times New Roman" w:eastAsia="Times New Roman" w:hAnsi="Times New Roman" w:cs="Times New Roman"/>
                <w:sz w:val="24"/>
                <w:szCs w:val="24"/>
                <w:lang w:val="nl-NL"/>
              </w:rPr>
            </w:pPr>
          </w:p>
        </w:tc>
      </w:tr>
      <w:tr w:rsidR="00B719D0" w:rsidRPr="00E57F2F" w:rsidTr="000813C3">
        <w:trPr>
          <w:trHeight w:val="20"/>
        </w:trPr>
        <w:tc>
          <w:tcPr>
            <w:tcW w:w="850" w:type="dxa"/>
          </w:tcPr>
          <w:p w:rsidR="00B719D0" w:rsidRPr="00810BE0" w:rsidRDefault="00B719D0"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B719D0" w:rsidRPr="00E57F2F" w:rsidRDefault="00B719D0" w:rsidP="002C217B">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 xml:space="preserve">Bảo hiểm xã hội Việt Nam (CV số 809/BHXH-QLT) </w:t>
            </w:r>
          </w:p>
        </w:tc>
        <w:tc>
          <w:tcPr>
            <w:tcW w:w="7513" w:type="dxa"/>
          </w:tcPr>
          <w:p w:rsidR="00B719D0" w:rsidRPr="00E57F2F" w:rsidRDefault="00B719D0"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Bổ sung thêm nội dung:</w:t>
            </w:r>
          </w:p>
          <w:p w:rsidR="00B719D0" w:rsidRPr="00E57F2F" w:rsidRDefault="00B719D0"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Về Hồ sơ xác định người phụ thuộc được giảm trừ gia cảnh tại Điều 4 của dự thảo Thông tư: Để nghị nghiên cứu quy định bố sung các trường hợp đã có thông tin trong cơ sở dữ liệu quốc gia tập trung liên thông để thay th</w:t>
            </w:r>
            <w:r w:rsidR="00E0105C" w:rsidRPr="00E57F2F">
              <w:rPr>
                <w:rFonts w:ascii="Times New Roman" w:hAnsi="Times New Roman" w:cs="Times New Roman"/>
                <w:sz w:val="28"/>
                <w:szCs w:val="28"/>
              </w:rPr>
              <w:t>ế</w:t>
            </w:r>
            <w:r w:rsidRPr="00E57F2F">
              <w:rPr>
                <w:rFonts w:ascii="Times New Roman" w:hAnsi="Times New Roman" w:cs="Times New Roman"/>
                <w:sz w:val="28"/>
                <w:szCs w:val="28"/>
              </w:rPr>
              <w:t xml:space="preserve"> một trong các thành phần hồ sơ liên quan xác định người phụ thuộc được giảm trừ gia cảnh nhằm giảm tải hồ sơ và đảm bảo nguyên tắc khi đã có trong cơ sở dữ liệu thì không yêu cầu tổ chức, cá nhân cung cấp hồ sơ (giấy) bổ sung. </w:t>
            </w:r>
          </w:p>
          <w:p w:rsidR="00B719D0" w:rsidRPr="00E57F2F" w:rsidRDefault="00B719D0"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Lý do: Người kê khai thực hiện kê khai các thông tin người phụ thuộc được giảm trừ gia cảnh, phần mềm quản lý tập trung liên thông của cơ quan Thuế sẽ tự động xác thực với cơ sở dữ liệu quốc gia tập trung liên thông đảm bảo chính xác, đồng bộ.</w:t>
            </w:r>
          </w:p>
        </w:tc>
        <w:tc>
          <w:tcPr>
            <w:tcW w:w="4651" w:type="dxa"/>
          </w:tcPr>
          <w:p w:rsidR="00B6509B" w:rsidRDefault="00B6509B" w:rsidP="00B6509B">
            <w:pPr>
              <w:pStyle w:val="NormalWeb"/>
              <w:spacing w:before="120" w:beforeAutospacing="0" w:after="120" w:afterAutospacing="0"/>
              <w:ind w:firstLine="459"/>
              <w:jc w:val="both"/>
              <w:rPr>
                <w:lang w:val="nl-NL"/>
              </w:rPr>
            </w:pPr>
            <w:r>
              <w:rPr>
                <w:lang w:val="nl-NL"/>
              </w:rPr>
              <w:t xml:space="preserve">Tại </w:t>
            </w:r>
            <w:r w:rsidR="004670C0">
              <w:rPr>
                <w:lang w:val="nl-NL"/>
              </w:rPr>
              <w:t xml:space="preserve">khoản 11 </w:t>
            </w:r>
            <w:r>
              <w:rPr>
                <w:lang w:val="nl-NL"/>
              </w:rPr>
              <w:t xml:space="preserve">Điều </w:t>
            </w:r>
            <w:r w:rsidR="00E0105C" w:rsidRPr="00E57F2F">
              <w:rPr>
                <w:lang w:val="nl-NL"/>
              </w:rPr>
              <w:t xml:space="preserve">4 dự thảo Thông tư đã quy định: </w:t>
            </w:r>
          </w:p>
          <w:p w:rsidR="004670C0" w:rsidRPr="004670C0" w:rsidRDefault="004670C0" w:rsidP="004670C0">
            <w:pPr>
              <w:spacing w:before="120" w:after="120" w:line="240" w:lineRule="auto"/>
              <w:ind w:firstLine="720"/>
              <w:jc w:val="both"/>
              <w:rPr>
                <w:rFonts w:ascii="Times New Roman" w:eastAsia="Times New Roman" w:hAnsi="Times New Roman" w:cs="Times New Roman"/>
                <w:color w:val="FF0000"/>
                <w:sz w:val="28"/>
                <w:szCs w:val="28"/>
              </w:rPr>
            </w:pPr>
            <w:r w:rsidRPr="004670C0">
              <w:rPr>
                <w:rFonts w:ascii="Times New Roman" w:eastAsia="Times New Roman" w:hAnsi="Times New Roman" w:cs="Times New Roman"/>
                <w:color w:val="FF0000"/>
                <w:sz w:val="28"/>
                <w:szCs w:val="28"/>
              </w:rPr>
              <w:t xml:space="preserve">11. Trên cơ sở thông tin đăng ký thuế của người nộp thuế, cơ quan thuế khai thác, sử dụng dữ liệu thông tin trong </w:t>
            </w:r>
            <w:r w:rsidRPr="004670C0">
              <w:rPr>
                <w:rFonts w:ascii="Times New Roman" w:eastAsia="Times New Roman" w:hAnsi="Times New Roman" w:cs="Times New Roman"/>
                <w:color w:val="FF0000"/>
                <w:sz w:val="28"/>
                <w:szCs w:val="28"/>
                <w:shd w:val="clear" w:color="auto" w:fill="FFFFFF"/>
              </w:rPr>
              <w:t>Cổng dịch vụ công quốc gia, hệ thống thông tin giải quyết thủ tục hành chính, cơ sở dữ liệu quốc gia, cơ sở dữ liệu chuyên ngành do cơ quan nhà nước quản lý được chia sẻ, khai thác theo quy định của pháp luật</w:t>
            </w:r>
            <w:r w:rsidRPr="004670C0">
              <w:rPr>
                <w:rFonts w:ascii="Times New Roman" w:eastAsia="Times New Roman" w:hAnsi="Times New Roman" w:cs="Times New Roman"/>
                <w:color w:val="FF0000"/>
                <w:sz w:val="28"/>
                <w:szCs w:val="28"/>
              </w:rPr>
              <w:t xml:space="preserve"> để làm căn cứ xác định người phụ thuộc được giảm trừ gia cảnh.</w:t>
            </w:r>
          </w:p>
          <w:p w:rsidR="004670C0" w:rsidRDefault="004670C0" w:rsidP="004670C0">
            <w:pPr>
              <w:shd w:val="clear" w:color="auto" w:fill="FFFFFF"/>
              <w:spacing w:before="120" w:after="120" w:line="212" w:lineRule="atLeast"/>
              <w:ind w:firstLine="317"/>
              <w:jc w:val="both"/>
              <w:rPr>
                <w:rFonts w:ascii="Times New Roman" w:eastAsia="Times New Roman" w:hAnsi="Times New Roman" w:cs="Times New Roman"/>
                <w:color w:val="FF0000"/>
                <w:sz w:val="28"/>
                <w:szCs w:val="28"/>
              </w:rPr>
            </w:pPr>
            <w:r w:rsidRPr="004670C0">
              <w:rPr>
                <w:rFonts w:ascii="Times New Roman" w:eastAsia="Times New Roman" w:hAnsi="Times New Roman" w:cs="Times New Roman"/>
                <w:color w:val="FF0000"/>
                <w:sz w:val="28"/>
                <w:szCs w:val="28"/>
              </w:rPr>
              <w:t xml:space="preserve">Trường hợp cơ quan thuế không thể khai thác, sử dụng được dữ liệu thông tin xác định người phụ thuộc trong </w:t>
            </w:r>
            <w:r w:rsidRPr="004670C0">
              <w:rPr>
                <w:rFonts w:ascii="Times New Roman" w:eastAsia="Times New Roman" w:hAnsi="Times New Roman" w:cs="Times New Roman"/>
                <w:color w:val="FF0000"/>
                <w:sz w:val="28"/>
                <w:szCs w:val="28"/>
                <w:shd w:val="clear" w:color="auto" w:fill="FFFFFF"/>
              </w:rPr>
              <w:t>Cổng dịch vụ công quốc gia, hệ thống thông tin giải quyết thủ tục hành chính, cơ sở dữ liệu quốc gia, cơ sở dữ liệu chuyên ngành do cơ quan nhà nước quản lý được chia sẻ, khai thác theo quy định của pháp luật</w:t>
            </w:r>
            <w:r w:rsidRPr="004670C0">
              <w:rPr>
                <w:rFonts w:ascii="Times New Roman" w:eastAsia="Times New Roman" w:hAnsi="Times New Roman" w:cs="Times New Roman"/>
                <w:color w:val="FF0000"/>
                <w:sz w:val="28"/>
                <w:szCs w:val="28"/>
              </w:rPr>
              <w:t xml:space="preserve"> thì người nộp thuế cung cấp các giấy tờ liên quan đến việc xác định người phụ thuộc quy định tại Điều này.</w:t>
            </w:r>
          </w:p>
          <w:p w:rsidR="00E0105C" w:rsidRPr="00E57F2F" w:rsidRDefault="00B6509B" w:rsidP="004670C0">
            <w:pPr>
              <w:shd w:val="clear" w:color="auto" w:fill="FFFFFF"/>
              <w:spacing w:before="120" w:after="120" w:line="212" w:lineRule="atLeast"/>
              <w:ind w:firstLine="317"/>
              <w:jc w:val="both"/>
              <w:rPr>
                <w:rFonts w:ascii="Times New Roman" w:eastAsia="Times New Roman" w:hAnsi="Times New Roman" w:cs="Times New Roman"/>
                <w:sz w:val="28"/>
                <w:szCs w:val="28"/>
                <w:lang w:val="vi-VN"/>
              </w:rPr>
            </w:pPr>
            <w:r>
              <w:rPr>
                <w:rFonts w:ascii="Times New Roman" w:eastAsia="Times New Roman" w:hAnsi="Times New Roman" w:cs="Times New Roman"/>
                <w:iCs/>
                <w:sz w:val="28"/>
                <w:szCs w:val="28"/>
              </w:rPr>
              <w:t xml:space="preserve">Quy định này đảm bảo </w:t>
            </w:r>
            <w:r w:rsidRPr="00B6509B">
              <w:rPr>
                <w:rFonts w:ascii="Times New Roman" w:eastAsia="Times New Roman" w:hAnsi="Times New Roman" w:cs="Times New Roman"/>
                <w:iCs/>
                <w:sz w:val="28"/>
                <w:szCs w:val="28"/>
              </w:rPr>
              <w:t xml:space="preserve">rõ nguyên tắc </w:t>
            </w:r>
            <w:r w:rsidRPr="00B6509B">
              <w:rPr>
                <w:rFonts w:ascii="Times New Roman" w:eastAsia="Times New Roman" w:hAnsi="Times New Roman" w:cs="Times New Roman"/>
                <w:sz w:val="28"/>
                <w:szCs w:val="28"/>
              </w:rPr>
              <w:t>trường hợp khai thác được thông tin trên Cơ sở dữ liệu quốc gia thì không yêu cầu người nộp thuế cung cấp hồ sơ, giấy tờ chứng minh</w:t>
            </w:r>
            <w:r>
              <w:rPr>
                <w:rFonts w:ascii="Times New Roman" w:eastAsia="Times New Roman" w:hAnsi="Times New Roman" w:cs="Times New Roman"/>
                <w:sz w:val="28"/>
                <w:szCs w:val="28"/>
              </w:rPr>
              <w:t>.</w:t>
            </w:r>
          </w:p>
          <w:p w:rsidR="00B719D0" w:rsidRPr="00E57F2F" w:rsidRDefault="00B719D0" w:rsidP="00DB4966">
            <w:pPr>
              <w:spacing w:after="0" w:line="240" w:lineRule="auto"/>
              <w:jc w:val="both"/>
              <w:rPr>
                <w:rFonts w:ascii="Times New Roman" w:eastAsia="Times New Roman" w:hAnsi="Times New Roman" w:cs="Times New Roman"/>
                <w:sz w:val="24"/>
                <w:szCs w:val="24"/>
                <w:lang w:val="nl-NL"/>
              </w:rPr>
            </w:pPr>
          </w:p>
        </w:tc>
      </w:tr>
      <w:tr w:rsidR="009047FF" w:rsidRPr="00E57F2F" w:rsidTr="000813C3">
        <w:trPr>
          <w:trHeight w:val="20"/>
        </w:trPr>
        <w:tc>
          <w:tcPr>
            <w:tcW w:w="850" w:type="dxa"/>
          </w:tcPr>
          <w:p w:rsidR="009047FF" w:rsidRPr="00810BE0" w:rsidRDefault="009047FF"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9047FF" w:rsidRPr="00E57F2F" w:rsidRDefault="009047FF" w:rsidP="002C217B">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Viện Chiến lược và Chính sách Kinh tế - Tài chính (CV số 412/CLCS-TCC ngày 25/3/2026)</w:t>
            </w:r>
          </w:p>
        </w:tc>
        <w:tc>
          <w:tcPr>
            <w:tcW w:w="7513" w:type="dxa"/>
          </w:tcPr>
          <w:p w:rsidR="009047FF" w:rsidRPr="00E57F2F" w:rsidRDefault="009047FF"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1. Đối với dự thảo Thông tư, Viện CLCS có một số ý kiến như sau: - Tại điểm 3, Điều 4 (trang 3), đề nghị cân nhắc sửa để đảm bảo bao quát hết thời gian chuyển từ bậc học phổ thông sang bậc học tiếp theo hoặc có công việc được trả lương: Đối với con đang theo học tại Việt Nam hoặc nước ngoài tại bậc học đại học, cao đẳng, trung học chuyên nghiệp, dạy nghề, kể cả con từ 18 tuổi trở lên đang học bậc học phổ thông (tính cả trong thời gian chờ kết quả thi đại học từ tháng 6 đến tháng 9 năm lớp 12 cho đến khi có xác nhận nhập học của bậc học mới hoặc được tuyển dụng làm việc chính thức, thời gian tối đa không quá 6 tháng kể từ tháng 9 năm lớp 12) không có thu nhập hoặc có thu nhập bình quân tháng trong năm từ tất cả các nguồn thu nhập không vượt quá ba triệu đồng (3.000.000 đồng) </w:t>
            </w:r>
          </w:p>
          <w:p w:rsidR="009047FF" w:rsidRPr="00E57F2F" w:rsidRDefault="009047FF" w:rsidP="009047FF">
            <w:pPr>
              <w:spacing w:after="0" w:line="240" w:lineRule="auto"/>
              <w:jc w:val="both"/>
              <w:rPr>
                <w:rFonts w:ascii="Times New Roman" w:hAnsi="Times New Roman" w:cs="Times New Roman"/>
                <w:sz w:val="28"/>
                <w:szCs w:val="28"/>
              </w:rPr>
            </w:pPr>
          </w:p>
        </w:tc>
        <w:tc>
          <w:tcPr>
            <w:tcW w:w="4651" w:type="dxa"/>
          </w:tcPr>
          <w:p w:rsidR="009047FF" w:rsidRPr="00E57F2F" w:rsidRDefault="00E701EE"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Đề nghị giữ như hiện hành vì thực tế thực hiện không phát sinh vướng mắc.</w:t>
            </w:r>
          </w:p>
        </w:tc>
      </w:tr>
      <w:tr w:rsidR="009047FF" w:rsidRPr="00E57F2F" w:rsidTr="000813C3">
        <w:trPr>
          <w:trHeight w:val="20"/>
        </w:trPr>
        <w:tc>
          <w:tcPr>
            <w:tcW w:w="850" w:type="dxa"/>
          </w:tcPr>
          <w:p w:rsidR="009047FF" w:rsidRPr="00810BE0" w:rsidRDefault="009047FF"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9047FF" w:rsidRPr="00E57F2F" w:rsidRDefault="009047FF" w:rsidP="002C217B">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Cục Hải quan (CV số 14444/CHQ-NVTHQ ngày 26/3/2026)</w:t>
            </w:r>
          </w:p>
        </w:tc>
        <w:tc>
          <w:tcPr>
            <w:tcW w:w="7513" w:type="dxa"/>
          </w:tcPr>
          <w:p w:rsidR="009047FF" w:rsidRPr="00E57F2F" w:rsidRDefault="009047FF"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Nhất trí với dự thảo </w:t>
            </w:r>
          </w:p>
        </w:tc>
        <w:tc>
          <w:tcPr>
            <w:tcW w:w="4651" w:type="dxa"/>
          </w:tcPr>
          <w:p w:rsidR="009047FF" w:rsidRPr="00E57F2F" w:rsidRDefault="009047FF"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tc>
      </w:tr>
      <w:tr w:rsidR="009047FF" w:rsidRPr="00E57F2F" w:rsidTr="000813C3">
        <w:trPr>
          <w:trHeight w:val="20"/>
        </w:trPr>
        <w:tc>
          <w:tcPr>
            <w:tcW w:w="850" w:type="dxa"/>
          </w:tcPr>
          <w:p w:rsidR="009047FF" w:rsidRPr="00810BE0" w:rsidRDefault="009047FF"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9047FF" w:rsidRPr="00E57F2F" w:rsidRDefault="009047FF" w:rsidP="002C217B">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 xml:space="preserve">Vụ Ngân sách Nhà nước (CV số 1079/NSNN-THDT ngày 27/3/2026) </w:t>
            </w:r>
          </w:p>
        </w:tc>
        <w:tc>
          <w:tcPr>
            <w:tcW w:w="7513" w:type="dxa"/>
          </w:tcPr>
          <w:p w:rsidR="009047FF" w:rsidRPr="00E57F2F" w:rsidRDefault="009047FF"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Đối với mức thu nhập xác nhận người phụ thuộc được giảm trừ gia cảnh theo quy định tại khoản 4 Điều 10 Luật Thuế thu nhập cá nhân 2025: Tại dự thảo đang dự kiến mức thu nhập trong năm từ tất cả các nguồn thu nhập không vượt quá ba triệu đồng (căn cứ trên tiêu chí thu nhập đo lường chuẩn nghèo đa chiều quốc gia giai đoạn 2027-2030 tại Nghị định số 351/2025/NĐ-CP), đề nghị Cục CST cân nhắc bổ sung thêm một phương án khác để làm căn cứ lựa chọn trong quá trình xin ý kiến công khai (tương tự như việc xây dựng mức giảm trừ gia cảnh trước đây). </w:t>
            </w:r>
          </w:p>
          <w:p w:rsidR="009047FF" w:rsidRPr="00E57F2F" w:rsidRDefault="009047FF"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Đối với các nội dung khác (hồ sơ xác nhận người phụ thuộc, thu nhập đối với chuyển nhượng chứng khoán phái sinh): Đề nghị Cục CST tổng hợp ý kiến từ các đơn vị khác để trình Bộ.</w:t>
            </w:r>
          </w:p>
        </w:tc>
        <w:tc>
          <w:tcPr>
            <w:tcW w:w="4651" w:type="dxa"/>
          </w:tcPr>
          <w:p w:rsidR="009047FF" w:rsidRPr="00E57F2F" w:rsidRDefault="00150168" w:rsidP="00F50D27">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r w:rsidRPr="00E57F2F">
              <w:rPr>
                <w:rFonts w:ascii="Times New Roman" w:eastAsia="Times New Roman" w:hAnsi="Times New Roman" w:cs="Times New Roman"/>
                <w:sz w:val="24"/>
                <w:szCs w:val="24"/>
                <w:lang w:val="nl-NL"/>
              </w:rPr>
              <w:t xml:space="preserve">Tiếp thu ý kiến, </w:t>
            </w:r>
            <w:r w:rsidR="00F50D27" w:rsidRPr="00E57F2F">
              <w:rPr>
                <w:rFonts w:ascii="Times New Roman" w:eastAsia="Times New Roman" w:hAnsi="Times New Roman" w:cs="Times New Roman"/>
                <w:sz w:val="24"/>
                <w:szCs w:val="24"/>
                <w:lang w:val="nl-NL"/>
              </w:rPr>
              <w:t>Cục CST</w:t>
            </w:r>
            <w:r w:rsidRPr="00E57F2F">
              <w:rPr>
                <w:rFonts w:ascii="Times New Roman" w:eastAsia="Times New Roman" w:hAnsi="Times New Roman" w:cs="Times New Roman"/>
                <w:sz w:val="24"/>
                <w:szCs w:val="24"/>
                <w:lang w:val="nl-NL"/>
              </w:rPr>
              <w:t xml:space="preserve"> sẽ cân nhắc phương án này.</w:t>
            </w:r>
          </w:p>
        </w:tc>
      </w:tr>
      <w:tr w:rsidR="00380D17" w:rsidRPr="00E57F2F" w:rsidTr="000813C3">
        <w:trPr>
          <w:trHeight w:val="20"/>
        </w:trPr>
        <w:tc>
          <w:tcPr>
            <w:tcW w:w="850" w:type="dxa"/>
          </w:tcPr>
          <w:p w:rsidR="00380D17" w:rsidRPr="00810BE0" w:rsidRDefault="00380D17"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380D17" w:rsidRPr="00E57F2F" w:rsidRDefault="00380D17" w:rsidP="002C217B">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 xml:space="preserve">Văn phòng Bộ (CV số 642/VP-CCHC ngày 30/3/2026) </w:t>
            </w:r>
          </w:p>
        </w:tc>
        <w:tc>
          <w:tcPr>
            <w:tcW w:w="7513" w:type="dxa"/>
          </w:tcPr>
          <w:p w:rsidR="00380D17" w:rsidRPr="00E57F2F" w:rsidRDefault="00380D17"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Dự thảo Thông tư không quy định thủ tục hành chính mới thuộc phạm vi điều chỉnh của Nghị định số 63/2010/NĐ-CP ngày 08/6/2010 của Chính phủ về kiểm soát thủ tục hành chính và các Nghị định sửa đổi, bổ sung về kiểm soát thủ tục hành chính hiện hành.</w:t>
            </w:r>
          </w:p>
        </w:tc>
        <w:tc>
          <w:tcPr>
            <w:tcW w:w="4651" w:type="dxa"/>
          </w:tcPr>
          <w:p w:rsidR="00380D17" w:rsidRPr="00E57F2F" w:rsidRDefault="00380D1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tc>
      </w:tr>
      <w:tr w:rsidR="00380D17" w:rsidRPr="00E57F2F" w:rsidTr="000813C3">
        <w:trPr>
          <w:trHeight w:val="20"/>
        </w:trPr>
        <w:tc>
          <w:tcPr>
            <w:tcW w:w="850" w:type="dxa"/>
          </w:tcPr>
          <w:p w:rsidR="00380D17" w:rsidRPr="00810BE0" w:rsidRDefault="00380D17"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380D17" w:rsidRPr="00E57F2F" w:rsidRDefault="00380D17" w:rsidP="00380D17">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 xml:space="preserve">Vụ Tài chính – Kinh tế ngành (CV số 1025/KTN-NV4 ngày 30/3/2026) </w:t>
            </w:r>
          </w:p>
        </w:tc>
        <w:tc>
          <w:tcPr>
            <w:tcW w:w="7513" w:type="dxa"/>
          </w:tcPr>
          <w:p w:rsidR="00380D17" w:rsidRPr="00E57F2F" w:rsidRDefault="00380D17"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1. Việc quy định các nội dung cụ thể về thuế thu nhập các nhân (mức thu nhập làm căn cứ xác định người phụ thuộc, hồ sơ xác định người phụ thuộc, thuế thu nhập cá nhân đối với thu nhập từ chuyển nhượng chứng khoán phái sinh) không thuộc chức năng, nhiệm vụ được giao của Vụ KTN, đề nghị Quý Cục tổng hợp ý kiến của các đơn vị khác liên quan, báo cáo Bộ có ý kiến tham gia theo chức năng, nhiệm vụ. </w:t>
            </w:r>
          </w:p>
          <w:p w:rsidR="00380D17" w:rsidRPr="00E57F2F" w:rsidRDefault="00380D17"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2. Vụ KTN có ý kiến để Quý Cục tham khảo như sau Đối với các giấy tờ xác định người phụ thuộc (Điều 4), đề nghị nghiên cứu, xem xét cho phép sử dụng Bản tự khai có xác nhận của các cơ quan, tổ chức thuộc chính quyền địa phương trong một số nội dung để giảm bớt thủ tục hành chính cho người dân như: xác nhận hộ nghèo, xác nhận người độc thân, không có hoặc không còn thân nhân, người khuyết tật,... </w:t>
            </w:r>
          </w:p>
          <w:p w:rsidR="00380D17" w:rsidRPr="00E57F2F" w:rsidRDefault="00380D17"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Dự thảo Thông tư có hiệu lực từ 01/07/2026, do đó, để nghị có hướng dẫn rõ cách xử lý chuyển tiếp cho 6 tháng đầu năm 2026 đối với việc việc khấu trừ thuế.</w:t>
            </w:r>
          </w:p>
        </w:tc>
        <w:tc>
          <w:tcPr>
            <w:tcW w:w="4651" w:type="dxa"/>
          </w:tcPr>
          <w:p w:rsidR="00380D17" w:rsidRPr="00E57F2F" w:rsidRDefault="00380D1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9B250F" w:rsidRPr="00E57F2F" w:rsidRDefault="009B250F"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9B250F" w:rsidRPr="00E57F2F" w:rsidRDefault="009B250F"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9B250F" w:rsidRPr="00E57F2F" w:rsidRDefault="009B250F"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9B250F" w:rsidRPr="00E57F2F" w:rsidRDefault="009B250F" w:rsidP="009B250F">
            <w:pPr>
              <w:widowControl w:val="0"/>
              <w:autoSpaceDE w:val="0"/>
              <w:autoSpaceDN w:val="0"/>
              <w:adjustRightInd w:val="0"/>
              <w:spacing w:line="264" w:lineRule="auto"/>
              <w:ind w:firstLine="459"/>
              <w:jc w:val="both"/>
              <w:rPr>
                <w:rFonts w:ascii="Times New Roman" w:eastAsia="Times New Roman" w:hAnsi="Times New Roman" w:cs="Times New Roman"/>
                <w:i/>
                <w:sz w:val="24"/>
                <w:szCs w:val="24"/>
                <w:lang w:val="nl-NL"/>
              </w:rPr>
            </w:pPr>
            <w:r w:rsidRPr="00E57F2F">
              <w:rPr>
                <w:rFonts w:ascii="Times New Roman" w:eastAsia="Times New Roman" w:hAnsi="Times New Roman" w:cs="Times New Roman"/>
                <w:sz w:val="24"/>
                <w:szCs w:val="24"/>
                <w:lang w:val="nl-NL"/>
              </w:rPr>
              <w:t xml:space="preserve">Dự thảo TT quy định về Hiệu lực thi hành thống nhất với quy định tại Luật Thuế TNCN và dự thảo Nghị định quy định chi tiết Luật: </w:t>
            </w:r>
            <w:r w:rsidRPr="00E57F2F">
              <w:rPr>
                <w:rFonts w:ascii="Times New Roman" w:eastAsia="Times New Roman" w:hAnsi="Times New Roman" w:cs="Times New Roman"/>
                <w:i/>
                <w:sz w:val="24"/>
                <w:szCs w:val="24"/>
              </w:rPr>
              <w:t xml:space="preserve">Thông tư này có hiệu lực thi hành từ ngày 01 tháng 7 năm 2026. </w:t>
            </w:r>
            <w:r w:rsidRPr="00E57F2F">
              <w:rPr>
                <w:rFonts w:ascii="Times New Roman" w:eastAsia="Times New Roman" w:hAnsi="Times New Roman" w:cs="Times New Roman"/>
                <w:i/>
                <w:sz w:val="24"/>
                <w:szCs w:val="24"/>
                <w:lang w:val="nl-NL"/>
              </w:rPr>
              <w:t>Các nội dung liên quan đến thu nhập từ kinh doanh, từ tiền lương, tiền công của cá nhân cư trú</w:t>
            </w:r>
            <w:r w:rsidRPr="00E57F2F">
              <w:rPr>
                <w:rFonts w:ascii="Times New Roman" w:eastAsia="Times New Roman" w:hAnsi="Times New Roman" w:cs="Times New Roman"/>
                <w:b/>
                <w:i/>
                <w:sz w:val="24"/>
                <w:szCs w:val="24"/>
                <w:lang w:val="nl-NL"/>
              </w:rPr>
              <w:t xml:space="preserve"> </w:t>
            </w:r>
            <w:r w:rsidRPr="00E57F2F">
              <w:rPr>
                <w:rFonts w:ascii="Times New Roman" w:eastAsia="Times New Roman" w:hAnsi="Times New Roman" w:cs="Times New Roman"/>
                <w:i/>
                <w:sz w:val="24"/>
                <w:szCs w:val="24"/>
                <w:lang w:val="nl-NL"/>
              </w:rPr>
              <w:t>áp dụng từ kỳ tính thuế năm 2026.</w:t>
            </w:r>
          </w:p>
          <w:p w:rsidR="009B250F" w:rsidRPr="00E57F2F" w:rsidRDefault="009B250F" w:rsidP="009B250F">
            <w:pPr>
              <w:widowControl w:val="0"/>
              <w:autoSpaceDE w:val="0"/>
              <w:autoSpaceDN w:val="0"/>
              <w:adjustRightInd w:val="0"/>
              <w:spacing w:line="264" w:lineRule="auto"/>
              <w:ind w:firstLine="459"/>
              <w:jc w:val="both"/>
              <w:rPr>
                <w:rFonts w:ascii="Times New Roman" w:eastAsia="Times New Roman" w:hAnsi="Times New Roman" w:cs="Times New Roman"/>
                <w:sz w:val="24"/>
                <w:szCs w:val="24"/>
              </w:rPr>
            </w:pPr>
            <w:r w:rsidRPr="00E57F2F">
              <w:rPr>
                <w:rFonts w:ascii="Times New Roman" w:eastAsia="Times New Roman" w:hAnsi="Times New Roman" w:cs="Times New Roman"/>
                <w:sz w:val="24"/>
                <w:szCs w:val="24"/>
                <w:lang w:val="nl-NL"/>
              </w:rPr>
              <w:t>Do đó, đối với thu nhập từ kinh doanh, từ tiền lương, tiền công của cá nhân cư trú</w:t>
            </w:r>
            <w:r w:rsidRPr="00E57F2F">
              <w:rPr>
                <w:rFonts w:ascii="Times New Roman" w:eastAsia="Times New Roman" w:hAnsi="Times New Roman" w:cs="Times New Roman"/>
                <w:b/>
                <w:sz w:val="24"/>
                <w:szCs w:val="24"/>
                <w:lang w:val="nl-NL"/>
              </w:rPr>
              <w:t xml:space="preserve"> </w:t>
            </w:r>
            <w:r w:rsidRPr="00E57F2F">
              <w:rPr>
                <w:rFonts w:ascii="Times New Roman" w:eastAsia="Times New Roman" w:hAnsi="Times New Roman" w:cs="Times New Roman"/>
                <w:sz w:val="24"/>
                <w:szCs w:val="24"/>
                <w:lang w:val="nl-NL"/>
              </w:rPr>
              <w:t>áp dụng từ kỳ tính thuế năm 2026</w:t>
            </w:r>
          </w:p>
        </w:tc>
      </w:tr>
      <w:tr w:rsidR="00F44EC4" w:rsidRPr="00E57F2F" w:rsidTr="000813C3">
        <w:trPr>
          <w:trHeight w:val="20"/>
        </w:trPr>
        <w:tc>
          <w:tcPr>
            <w:tcW w:w="850" w:type="dxa"/>
          </w:tcPr>
          <w:p w:rsidR="00F44EC4" w:rsidRPr="00810BE0" w:rsidRDefault="00F44EC4"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F44EC4" w:rsidRPr="00E57F2F" w:rsidRDefault="00F44EC4" w:rsidP="00380D17">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UBCKNN (cv số 2623/UBCKNN-PTTT ngày 03/4/2026)</w:t>
            </w:r>
          </w:p>
        </w:tc>
        <w:tc>
          <w:tcPr>
            <w:tcW w:w="7513" w:type="dxa"/>
          </w:tcPr>
          <w:p w:rsidR="00CE6927" w:rsidRPr="00E57F2F" w:rsidRDefault="00CE6927" w:rsidP="00CE6927">
            <w:pPr>
              <w:spacing w:before="120" w:after="120"/>
              <w:ind w:firstLine="567"/>
              <w:jc w:val="both"/>
              <w:rPr>
                <w:rFonts w:ascii="Times New Roman" w:hAnsi="Times New Roman" w:cs="Times New Roman"/>
                <w:sz w:val="28"/>
                <w:szCs w:val="28"/>
              </w:rPr>
            </w:pPr>
            <w:r w:rsidRPr="00E57F2F">
              <w:rPr>
                <w:rFonts w:ascii="Times New Roman" w:hAnsi="Times New Roman" w:cs="Times New Roman"/>
                <w:sz w:val="28"/>
                <w:szCs w:val="28"/>
              </w:rPr>
              <w:t xml:space="preserve">1. Về cơ bản, UBCKNN nhất trí đối với thu nhập từ chuyển nhượng chứng khoán phái sinh là hợp đồng tương lai quy định tại Điều 5 Dự thảo Thông tư, do các nội dung này được kế thừa hướng dẫn tại Công văn số 11133/BTC-CST ngày 21/8/2017 của Bộ Tài chính và thống nhất với các quy định tại Thông tư số 20/2026/TT-BTC </w:t>
            </w:r>
            <w:r w:rsidRPr="00E57F2F">
              <w:rPr>
                <w:rFonts w:ascii="Times New Roman" w:eastAsia="Arial" w:hAnsi="Times New Roman" w:cs="Times New Roman"/>
                <w:sz w:val="28"/>
                <w:szCs w:val="28"/>
              </w:rPr>
              <w:t xml:space="preserve">ngày 12/3/2026 của Bộ trưởng Bộ Tài chính </w:t>
            </w:r>
            <w:r w:rsidRPr="00E57F2F">
              <w:rPr>
                <w:rFonts w:ascii="Times New Roman" w:hAnsi="Times New Roman" w:cs="Times New Roman"/>
                <w:sz w:val="28"/>
                <w:szCs w:val="28"/>
              </w:rPr>
              <w:t xml:space="preserve">quy định chi tiết một số điều của Luật Thuế TNDN </w:t>
            </w:r>
            <w:r w:rsidRPr="00E57F2F">
              <w:rPr>
                <w:rFonts w:ascii="Times New Roman" w:eastAsia="Arial" w:hAnsi="Times New Roman" w:cs="Times New Roman"/>
                <w:sz w:val="28"/>
                <w:szCs w:val="28"/>
              </w:rPr>
              <w:t>và Nghị định số 320/2025/NĐ-CP ngày 15/12/2025 của Chính phủ quy định chi tiết một số điều và biện pháp để tổ chức, hướng dẫn thi hành Luật Thuế thu nhập doanh nghiệp</w:t>
            </w:r>
            <w:r w:rsidRPr="00E57F2F">
              <w:rPr>
                <w:rFonts w:ascii="Times New Roman" w:hAnsi="Times New Roman" w:cs="Times New Roman"/>
                <w:sz w:val="28"/>
                <w:szCs w:val="28"/>
              </w:rPr>
              <w:t>. Tuy nhiên, để có cơ sở thực hiện rõ ràng hơn, UBCKNN đề nghị Cục CST xem xét hoàn chỉnh như sau:</w:t>
            </w:r>
          </w:p>
          <w:p w:rsidR="00CE6927" w:rsidRPr="00E57F2F" w:rsidRDefault="00CE6927" w:rsidP="00CE6927">
            <w:pPr>
              <w:shd w:val="clear" w:color="auto" w:fill="FFFFFF"/>
              <w:spacing w:before="120" w:after="120"/>
              <w:ind w:firstLine="567"/>
              <w:jc w:val="both"/>
              <w:rPr>
                <w:rFonts w:ascii="Times New Roman" w:hAnsi="Times New Roman" w:cs="Times New Roman"/>
                <w:i/>
                <w:sz w:val="28"/>
                <w:szCs w:val="28"/>
              </w:rPr>
            </w:pPr>
            <w:r w:rsidRPr="00E57F2F">
              <w:rPr>
                <w:rFonts w:ascii="Times New Roman" w:hAnsi="Times New Roman" w:cs="Times New Roman"/>
                <w:i/>
                <w:sz w:val="28"/>
                <w:szCs w:val="28"/>
              </w:rPr>
              <w:t>“Điều 5. Thuế thu nhập cá nhân đối với chuyển nhượng chứng khoán phái sinh quy định tại khoản 5 Điều 54 Nghị định số   /2026/NĐ-CP.</w:t>
            </w:r>
          </w:p>
          <w:p w:rsidR="00CE6927" w:rsidRPr="00E57F2F" w:rsidRDefault="00CE6927" w:rsidP="00CE6927">
            <w:pPr>
              <w:shd w:val="clear" w:color="auto" w:fill="FFFFFF"/>
              <w:spacing w:before="120" w:after="120"/>
              <w:ind w:firstLine="567"/>
              <w:jc w:val="both"/>
              <w:rPr>
                <w:rFonts w:ascii="Times New Roman" w:hAnsi="Times New Roman" w:cs="Times New Roman"/>
                <w:i/>
                <w:sz w:val="28"/>
                <w:szCs w:val="28"/>
              </w:rPr>
            </w:pPr>
            <w:r w:rsidRPr="00E57F2F">
              <w:rPr>
                <w:rFonts w:ascii="Times New Roman" w:hAnsi="Times New Roman" w:cs="Times New Roman"/>
                <w:i/>
                <w:sz w:val="28"/>
                <w:szCs w:val="28"/>
              </w:rPr>
              <w:t>1. Thuế thu nhập cá nhân đối với thu nhập từ chuyển nhượng chứng khoán phái sinh được xác định bằng giá chuyển nhượng nhân (x) với thuế suất 0,1% theo từng lần chuyển nhượng.</w:t>
            </w:r>
          </w:p>
          <w:p w:rsidR="00CE6927" w:rsidRPr="00E57F2F" w:rsidRDefault="00CE6927" w:rsidP="00CE6927">
            <w:pPr>
              <w:shd w:val="clear" w:color="auto" w:fill="FFFFFF"/>
              <w:spacing w:before="120" w:after="120"/>
              <w:ind w:firstLine="567"/>
              <w:jc w:val="both"/>
              <w:rPr>
                <w:rFonts w:ascii="Times New Roman" w:hAnsi="Times New Roman" w:cs="Times New Roman"/>
                <w:i/>
                <w:sz w:val="28"/>
                <w:szCs w:val="28"/>
              </w:rPr>
            </w:pPr>
            <w:r w:rsidRPr="00E57F2F">
              <w:rPr>
                <w:rFonts w:ascii="Times New Roman" w:hAnsi="Times New Roman" w:cs="Times New Roman"/>
                <w:i/>
                <w:sz w:val="28"/>
                <w:szCs w:val="28"/>
              </w:rPr>
              <w:t>2. Giá chuyển nhượng được xác định như sau:</w:t>
            </w:r>
          </w:p>
          <w:p w:rsidR="00CE6927" w:rsidRPr="00E57F2F" w:rsidRDefault="00CE6927" w:rsidP="00CE6927">
            <w:pPr>
              <w:shd w:val="clear" w:color="auto" w:fill="FFFFFF"/>
              <w:spacing w:before="120" w:after="120"/>
              <w:ind w:firstLine="567"/>
              <w:jc w:val="both"/>
              <w:rPr>
                <w:rFonts w:ascii="Times New Roman" w:hAnsi="Times New Roman" w:cs="Times New Roman"/>
                <w:i/>
                <w:sz w:val="28"/>
                <w:szCs w:val="28"/>
              </w:rPr>
            </w:pPr>
            <w:r w:rsidRPr="00E57F2F">
              <w:rPr>
                <w:rFonts w:ascii="Times New Roman" w:hAnsi="Times New Roman" w:cs="Times New Roman"/>
                <w:i/>
                <w:sz w:val="28"/>
                <w:szCs w:val="28"/>
              </w:rPr>
              <w:t>Đối với chuyển nhượng chứng khoán phái sinh là hợp đồng tương lai, giá chuyển nhượng là giá chuyển nhượng hợp đồng tương lai từng lần. Trong đó, giá chuyển nhượng hợp đồng tương lai từng lần được xác định bằng giá thanh toán của hợp đồng tương lai tại thời điểm xác định thu nhập tính thuế x hệ số nhân hợp đồng nhân (x) với số lượng hợp đồng nhân (x) với tỷ lệ ký quỹ ban đầu chia (:) cho 2. (Tỷ lệ ký quỹ ban đầu do Tổng Công ty Lưu ký và Bù trừ Chứng khoán Việt Nam công bố theo quy định).</w:t>
            </w:r>
          </w:p>
          <w:p w:rsidR="00CE6927" w:rsidRPr="00E57F2F" w:rsidRDefault="00CE6927" w:rsidP="00CE6927">
            <w:pPr>
              <w:shd w:val="clear" w:color="auto" w:fill="FFFFFF"/>
              <w:spacing w:before="120" w:after="120"/>
              <w:ind w:firstLine="567"/>
              <w:jc w:val="both"/>
              <w:rPr>
                <w:rFonts w:ascii="Times New Roman" w:hAnsi="Times New Roman" w:cs="Times New Roman"/>
                <w:i/>
                <w:sz w:val="28"/>
                <w:szCs w:val="28"/>
              </w:rPr>
            </w:pPr>
            <w:r w:rsidRPr="00E57F2F">
              <w:rPr>
                <w:rFonts w:ascii="Times New Roman" w:hAnsi="Times New Roman" w:cs="Times New Roman"/>
                <w:i/>
                <w:sz w:val="28"/>
                <w:szCs w:val="28"/>
              </w:rPr>
              <w:t>3. Thời điểm xác định thu nhập tính thuế</w:t>
            </w:r>
          </w:p>
          <w:p w:rsidR="00CE6927" w:rsidRPr="00E57F2F" w:rsidRDefault="00CE6927" w:rsidP="00CE6927">
            <w:pPr>
              <w:shd w:val="clear" w:color="auto" w:fill="FFFFFF"/>
              <w:spacing w:before="120" w:after="120"/>
              <w:ind w:firstLine="567"/>
              <w:jc w:val="both"/>
              <w:rPr>
                <w:rFonts w:ascii="Times New Roman" w:hAnsi="Times New Roman" w:cs="Times New Roman"/>
                <w:i/>
                <w:sz w:val="28"/>
                <w:szCs w:val="28"/>
              </w:rPr>
            </w:pPr>
            <w:r w:rsidRPr="00E57F2F">
              <w:rPr>
                <w:rFonts w:ascii="Times New Roman" w:hAnsi="Times New Roman" w:cs="Times New Roman"/>
                <w:i/>
                <w:sz w:val="28"/>
                <w:szCs w:val="28"/>
              </w:rPr>
              <w:t>Thời điểm xác định thu nhập tính thuế đối với chứng khoán phái sinh là hợp đồng tương lai là thời điểm khớp lệnh mua, bán hợp đồng tương lai của nhà đầu tư trên hệ thống giao dịch của Sở Giao dịch chứng khoán hoặc thời điểm hợp đồng tương lai đáo hạn.”</w:t>
            </w:r>
          </w:p>
          <w:p w:rsidR="00CE6927" w:rsidRPr="00E57F2F" w:rsidRDefault="00CE6927" w:rsidP="00CE6927">
            <w:pPr>
              <w:shd w:val="clear" w:color="auto" w:fill="FFFFFF"/>
              <w:spacing w:before="120" w:after="120"/>
              <w:ind w:firstLine="567"/>
              <w:jc w:val="both"/>
              <w:rPr>
                <w:rFonts w:ascii="Times New Roman" w:hAnsi="Times New Roman" w:cs="Times New Roman"/>
                <w:i/>
                <w:sz w:val="28"/>
                <w:szCs w:val="28"/>
              </w:rPr>
            </w:pPr>
            <w:r w:rsidRPr="00E57F2F">
              <w:rPr>
                <w:rFonts w:ascii="Times New Roman" w:hAnsi="Times New Roman" w:cs="Times New Roman"/>
                <w:sz w:val="28"/>
                <w:szCs w:val="28"/>
              </w:rPr>
              <w:t>2. Tại Thuyết minh Dự thảo Thông tư, Cục CST thuyết minh chính sách thuế thu nhập cá nhân đối với chuyển nhượng chứng khoán phái sinh là nội dung thuộc mục “</w:t>
            </w:r>
            <w:r w:rsidRPr="00E57F2F">
              <w:rPr>
                <w:rFonts w:ascii="Times New Roman" w:hAnsi="Times New Roman" w:cs="Times New Roman"/>
                <w:i/>
                <w:sz w:val="28"/>
                <w:szCs w:val="28"/>
              </w:rPr>
              <w:t>3.2 Nội dung bổ sung so với quy định hiện hành.”</w:t>
            </w:r>
          </w:p>
          <w:p w:rsidR="00F44EC4" w:rsidRPr="00E57F2F" w:rsidRDefault="00CE6927" w:rsidP="00CE6927">
            <w:pPr>
              <w:shd w:val="clear" w:color="auto" w:fill="FFFFFF"/>
              <w:spacing w:before="120" w:after="120"/>
              <w:ind w:firstLine="567"/>
              <w:jc w:val="both"/>
              <w:rPr>
                <w:sz w:val="28"/>
                <w:szCs w:val="28"/>
              </w:rPr>
            </w:pPr>
            <w:r w:rsidRPr="00E57F2F">
              <w:rPr>
                <w:rFonts w:ascii="Times New Roman" w:hAnsi="Times New Roman" w:cs="Times New Roman"/>
                <w:sz w:val="28"/>
                <w:szCs w:val="28"/>
              </w:rPr>
              <w:t>Chính sách thuế đối hợp đồng tương lai trên thị trường chứng khoán phái sinh hiện đang thực hiện ổn định theo Công văn số 11133/BTC-CST ngày 21/8/2017 của Bộ Tài chính. UBCKNN đề nghị Cục CST báo cáo Bộ nội dung này được kế thừa toàn bộ từ Công văn số 11133/BTC-CST.</w:t>
            </w:r>
          </w:p>
        </w:tc>
        <w:tc>
          <w:tcPr>
            <w:tcW w:w="4651" w:type="dxa"/>
          </w:tcPr>
          <w:p w:rsidR="00F44EC4" w:rsidRPr="00E57F2F" w:rsidRDefault="00A7237A"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Tiếp thu</w:t>
            </w: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CE6927"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p>
          <w:p w:rsidR="00CE6927" w:rsidRPr="00E57F2F" w:rsidRDefault="00A7237A"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Tiếp thu</w:t>
            </w:r>
          </w:p>
        </w:tc>
      </w:tr>
      <w:tr w:rsidR="009B250F" w:rsidRPr="00E57F2F" w:rsidTr="000813C3">
        <w:trPr>
          <w:trHeight w:val="20"/>
        </w:trPr>
        <w:tc>
          <w:tcPr>
            <w:tcW w:w="850" w:type="dxa"/>
            <w:vMerge w:val="restart"/>
          </w:tcPr>
          <w:p w:rsidR="009B250F" w:rsidRPr="00810BE0" w:rsidRDefault="009B250F" w:rsidP="00E57F2F">
            <w:pPr>
              <w:pStyle w:val="ListParagraph"/>
              <w:numPr>
                <w:ilvl w:val="0"/>
                <w:numId w:val="28"/>
              </w:numPr>
              <w:spacing w:after="0" w:line="240" w:lineRule="auto"/>
              <w:jc w:val="center"/>
              <w:rPr>
                <w:rFonts w:eastAsia="Times New Roman"/>
                <w:sz w:val="28"/>
                <w:szCs w:val="28"/>
                <w:lang w:val="nl-NL"/>
              </w:rPr>
            </w:pPr>
          </w:p>
        </w:tc>
        <w:tc>
          <w:tcPr>
            <w:tcW w:w="1843" w:type="dxa"/>
            <w:vMerge w:val="restart"/>
          </w:tcPr>
          <w:p w:rsidR="009B250F" w:rsidRPr="00E57F2F" w:rsidRDefault="009B250F" w:rsidP="00380D17">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Vụ Pháp chế (CV số 1176/PC-PCT ngày 31/3/2026)</w:t>
            </w:r>
          </w:p>
        </w:tc>
        <w:tc>
          <w:tcPr>
            <w:tcW w:w="7513" w:type="dxa"/>
          </w:tcPr>
          <w:p w:rsidR="009B250F" w:rsidRPr="00E57F2F" w:rsidRDefault="009B250F" w:rsidP="00AD30E4">
            <w:pPr>
              <w:spacing w:after="0" w:line="240" w:lineRule="auto"/>
              <w:ind w:firstLine="371"/>
              <w:jc w:val="both"/>
              <w:rPr>
                <w:rFonts w:ascii="Times New Roman" w:hAnsi="Times New Roman" w:cs="Times New Roman"/>
                <w:b/>
                <w:sz w:val="28"/>
                <w:szCs w:val="28"/>
              </w:rPr>
            </w:pPr>
            <w:r w:rsidRPr="00E57F2F">
              <w:rPr>
                <w:rFonts w:ascii="Times New Roman" w:hAnsi="Times New Roman" w:cs="Times New Roman"/>
                <w:b/>
                <w:sz w:val="28"/>
                <w:szCs w:val="28"/>
              </w:rPr>
              <w:t>I. Về thủ tục và tiến độ soạn thảo Thông tư</w:t>
            </w:r>
          </w:p>
          <w:p w:rsidR="009B250F" w:rsidRPr="00E57F2F" w:rsidRDefault="009B250F"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1. Về thủ tục soạn thảo Thông tư, đề nghị Cục CST thực hiện soạn thảo Thông tư theo quy định của Luật Ban hành văn bản QPPL năm 2025 và Nghị định số 78/2025/NĐ-CP (được sửa đổi, bổ sung tại Nghị định số 187/2025/NĐCP) và Quyết định số 3132/QĐ-BTC ngày 09/9/2025; trong đó lưu ý thực hiện: </w:t>
            </w:r>
          </w:p>
          <w:p w:rsidR="009B250F" w:rsidRPr="00E57F2F" w:rsidRDefault="009B250F"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 Chuẩn bị các tài liệu thuộc hồ sơ dự thảo Thông tư theo điểm a khoản 21 Điều 1 Nghị định số 187/2025/NĐ-CP1 ; lưu ý tuân thủ các mẫu biểu liên quan kèm theo Phụ lục IV Nghị định số 187/2025/NĐ-CP. </w:t>
            </w:r>
          </w:p>
          <w:p w:rsidR="009B250F" w:rsidRPr="00E57F2F" w:rsidRDefault="009B250F"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Lấy ý kiến Văn phòng Bộ, Cục Công nghệ thông tin và Chuyển đổi số theo khoản 2 Điều 58 Quy chế xây dựng, ban hành và tổ chức thi hành VBQPPL của Bộ Tài chính ban hành kèm theo Quyết định số 3132/QĐ-BTC ngày 09/9/2025.</w:t>
            </w:r>
          </w:p>
          <w:p w:rsidR="009B250F" w:rsidRPr="00E57F2F" w:rsidRDefault="009B250F" w:rsidP="00AD30E4">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 - Lấy ý kiến đối tượng chịu sự tác động, cơ quan, tổ chức có liên quan và đăng tải hồ sơ dự thảo Thông tư trên cổng thông tin điện tử của Bộ Tài chính theo điểm c, điểm d khoản 2 Điều 39 Nghị định số 78/2025/NĐ-CP; tổng hợp, giải trình, tiếp thu đầy đủ ý kiến góp ý gửi Vụ Pháp chế thẩm định theo quy định tại điểm đ khoản 2 Điều 39 và Điều 40 Nghị định số 78/2025/NĐ-CP (được sửa đổi, bổ sung bởi Nghị định số 187/2025/NĐ-CP). </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 Thực hiện đăng tải bản tổng hợp ý kiến, tiếp thu, giải trình ý kiến góp ý trên Cổng thông tin điện tử của Bộ Tài chính và thực hiện truyền thông dự thảo văn bản theo quy định tại điểm b khoản 1 Điều 1 Nghị định số 187/2025/NĐ-CP, Điều 3 Nghị định số 78/2025/NĐ-CP. </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 Xin ý kiến Ban Thường vụ Đảng ủy Bộ Tài chính đối với hồ sơ dự thảo Thông tư theo quy định tại Điều 3 Quy chế xây dựng, ban hành và tổ chức thi hành VBQPPL của Bộ Tài chính ban hành kèm theo Quyết định số 3132/QĐBTC ngày 09/9/2025. </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2. Về tiến độ soạn thảo Thông tư:</w:t>
            </w:r>
          </w:p>
          <w:p w:rsidR="009B250F" w:rsidRPr="00E57F2F" w:rsidRDefault="009B250F" w:rsidP="00E0105C">
            <w:pPr>
              <w:shd w:val="clear" w:color="auto" w:fill="FFFFFF"/>
              <w:spacing w:before="120" w:after="120" w:line="212" w:lineRule="atLeast"/>
              <w:ind w:firstLine="317"/>
              <w:jc w:val="both"/>
              <w:rPr>
                <w:rFonts w:ascii="Times New Roman" w:hAnsi="Times New Roman" w:cs="Times New Roman"/>
                <w:sz w:val="28"/>
                <w:szCs w:val="28"/>
              </w:rPr>
            </w:pPr>
            <w:r w:rsidRPr="00E57F2F">
              <w:rPr>
                <w:rFonts w:ascii="Times New Roman" w:hAnsi="Times New Roman" w:cs="Times New Roman"/>
                <w:sz w:val="28"/>
                <w:szCs w:val="28"/>
              </w:rPr>
              <w:t xml:space="preserve">Theo Quyết định số 2835/QĐ-TTg ngày 31/12/2025 của Thủ tướng Chính phủ thì tiến độ trình Bộ dự thảo Thông tư quy định chi tiết một số điều của luật Thuế TNCN và hướng dẫn thực hiện Nghị định quy định chi tiết một số điều của Luật Thuế TNCN vào tháng 4/2026. Vì vậy, đề nghị Cục CST khẩn trương thực hiện các thủ tục soạn thảo các Thông tư theo quy định của pháp luật ban hành văn bản quy phạm pháp luật đảm bảo trình Bộ theo tiến độ được giao. </w:t>
            </w:r>
          </w:p>
        </w:tc>
        <w:tc>
          <w:tcPr>
            <w:tcW w:w="4651" w:type="dxa"/>
          </w:tcPr>
          <w:p w:rsidR="009B250F" w:rsidRPr="00E57F2F" w:rsidRDefault="009B250F" w:rsidP="00E0105C">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r w:rsidRPr="00E57F2F">
              <w:rPr>
                <w:rFonts w:ascii="Times New Roman" w:eastAsia="Times New Roman" w:hAnsi="Times New Roman" w:cs="Times New Roman"/>
                <w:sz w:val="24"/>
                <w:szCs w:val="24"/>
                <w:lang w:val="nl-NL"/>
              </w:rPr>
              <w:t>Tiếp thu, Cục CST sẽ lưu ý thủ tục soạn thảo theo đúng quy định của Luật Ban hành VBQPPL.</w:t>
            </w:r>
          </w:p>
        </w:tc>
      </w:tr>
      <w:tr w:rsidR="009B250F" w:rsidRPr="00E57F2F" w:rsidTr="000813C3">
        <w:trPr>
          <w:trHeight w:val="20"/>
        </w:trPr>
        <w:tc>
          <w:tcPr>
            <w:tcW w:w="850" w:type="dxa"/>
            <w:vMerge/>
          </w:tcPr>
          <w:p w:rsidR="009B250F" w:rsidRPr="00810BE0" w:rsidRDefault="009B250F" w:rsidP="00E57F2F">
            <w:pPr>
              <w:pStyle w:val="ListParagraph"/>
              <w:numPr>
                <w:ilvl w:val="0"/>
                <w:numId w:val="28"/>
              </w:numPr>
              <w:spacing w:after="0" w:line="240" w:lineRule="auto"/>
              <w:jc w:val="center"/>
              <w:rPr>
                <w:rFonts w:eastAsia="Times New Roman"/>
                <w:sz w:val="28"/>
                <w:szCs w:val="28"/>
                <w:lang w:val="nl-NL"/>
              </w:rPr>
            </w:pPr>
          </w:p>
        </w:tc>
        <w:tc>
          <w:tcPr>
            <w:tcW w:w="1843" w:type="dxa"/>
            <w:vMerge/>
          </w:tcPr>
          <w:p w:rsidR="009B250F" w:rsidRPr="00E57F2F" w:rsidRDefault="009B250F" w:rsidP="00380D17">
            <w:pPr>
              <w:spacing w:after="0" w:line="240" w:lineRule="auto"/>
              <w:rPr>
                <w:rFonts w:ascii="Times New Roman" w:eastAsia="Yu Gothic" w:hAnsi="Times New Roman" w:cs="Times New Roman"/>
                <w:sz w:val="28"/>
                <w:szCs w:val="28"/>
                <w:lang w:val="nl-NL"/>
              </w:rPr>
            </w:pPr>
          </w:p>
        </w:tc>
        <w:tc>
          <w:tcPr>
            <w:tcW w:w="7513" w:type="dxa"/>
          </w:tcPr>
          <w:p w:rsidR="009B250F" w:rsidRPr="00E57F2F" w:rsidRDefault="009B250F" w:rsidP="00380D17">
            <w:pPr>
              <w:spacing w:after="0" w:line="240" w:lineRule="auto"/>
              <w:ind w:firstLine="371"/>
              <w:jc w:val="both"/>
              <w:rPr>
                <w:rFonts w:ascii="Times New Roman" w:hAnsi="Times New Roman" w:cs="Times New Roman"/>
                <w:b/>
                <w:sz w:val="28"/>
                <w:szCs w:val="28"/>
              </w:rPr>
            </w:pPr>
            <w:r w:rsidRPr="00E57F2F">
              <w:rPr>
                <w:rFonts w:ascii="Times New Roman" w:hAnsi="Times New Roman" w:cs="Times New Roman"/>
                <w:b/>
                <w:sz w:val="28"/>
                <w:szCs w:val="28"/>
              </w:rPr>
              <w:t>II. Về nội dung dự thảo Thông tư:</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1. Ý kiến chung:</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Dự thảo Thông tư được soạn thảo trên cơ sở Luật Thuế thu nhập cá nhân số 109/2025/QH15 và Nghị định quy định chi tiết một số điều của Luật Thuế thu nhập cá nhân. Dự thảo Nghị định quy định chi tiết một số điều của Luật Thuế thu nhập cá nhân đang được soạn thảo (đang lấy ý kiến đối tượng chịu sự tác động và các cơ quan, đơn vị có liên quan). Vì vậy, đề nghị Cục CST lưu ý rà soát, hoàn thiện nội dung dự thảo Thông tư đảm bảo thống nhất với Nghị định đang được soạn thảo, quy định đầy đủ các nhiệm vụ Bộ Tài chính được giao tại Nghị định và Luật thuế TNCN.</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2. Về tên dự thảo Thông tư, đề nghị Cục CST rà soát, hoàn thiện cho thống nhất với tên Thông tư được giao xây dựng tại Quyết định số 2835/QĐ-TTg ngày 31/12/2025 của Thủ tướng Chính phủ. Trường hợp có chỉnh lý lại tên, đề nghị Cục CST thuyết minh rõ trong tờ trình dự thảo Thông tư.</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3. Tại phần căn cứ ban hành, đề nghị Cục CST rà soát, hoàn thiện căn cứ ban hành đảm bảo đầy đủ theo quy định tại Điều 62 Nghị định số 78/2025/NĐ-CP, phù hợp với quy định tại về kỹ thuật trình bày căn cứ ban hành tại điểm d khoản 1 mục III Phụ lục I ban hành kèm theo Nghị định số 187/2025/NĐ-CP, ví dụ:</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Sửa căn cứ thứ ba thành: Căn cứ Nghị định số 29/2025/NĐ-CP của Chính phủ quy định chức năng, nhiệm vụ, quyền hạn và cơ cấu tổ chức của Bộ Tài chính được sửa đổi, bổ sung bởi Nghị định số 166/2025/NĐ-CP;</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Bỏ trích dẫn ngày thông qua của Luật Thuế TNCN và ngày ban hành của 3 các Nghị định.</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3. Về nội dung cụ thể của dự thảo Thông tư</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3.1 Về quy định tại khoản 1 Điều 1, Điều 3 dự thảo Thông tư</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Điểm b khoản 4 Điều 10 Luật Thuế TNCN quy định giảm trừ gia cảnh đối với người phụ thuộc là người mà người nộp thuế có trách nhiệm nuôi dưỡng, bao gồm </w:t>
            </w:r>
            <w:r w:rsidRPr="00E57F2F">
              <w:rPr>
                <w:rFonts w:ascii="Times New Roman" w:hAnsi="Times New Roman" w:cs="Times New Roman"/>
                <w:i/>
                <w:sz w:val="28"/>
                <w:szCs w:val="28"/>
              </w:rPr>
              <w:t>các cá nhân không có thu nhập hoặc có thu nhập không vượt quá mức do Bộ trưởng Bộ Tài chính quy định.</w:t>
            </w:r>
            <w:r w:rsidRPr="00E57F2F">
              <w:rPr>
                <w:rFonts w:ascii="Times New Roman" w:hAnsi="Times New Roman" w:cs="Times New Roman"/>
                <w:sz w:val="28"/>
                <w:szCs w:val="28"/>
              </w:rPr>
              <w:t xml:space="preserve"> Do vậy, đề nghị Cục CST chỉnh lý nội dung tại khoản 1 Điều 1 và tên Điều 3 dự thảo Thông tư theo hướng: </w:t>
            </w:r>
            <w:r w:rsidRPr="00E57F2F">
              <w:rPr>
                <w:rFonts w:ascii="Times New Roman" w:hAnsi="Times New Roman" w:cs="Times New Roman"/>
                <w:i/>
                <w:sz w:val="28"/>
                <w:szCs w:val="28"/>
              </w:rPr>
              <w:t xml:space="preserve">Mức thu nhập làm căn cứ xác định người phụ thuộc mà người nộp thuế được áp dụng giảm trừ gia cảnh </w:t>
            </w:r>
            <w:r w:rsidRPr="00E57F2F">
              <w:rPr>
                <w:rFonts w:ascii="Times New Roman" w:hAnsi="Times New Roman" w:cs="Times New Roman"/>
                <w:i/>
                <w:sz w:val="28"/>
                <w:szCs w:val="28"/>
                <w:u w:val="single"/>
              </w:rPr>
              <w:t xml:space="preserve">quy định tại điểm b khoản 4 Điều 10 </w:t>
            </w:r>
            <w:r w:rsidRPr="00E57F2F">
              <w:rPr>
                <w:rFonts w:ascii="Times New Roman" w:hAnsi="Times New Roman" w:cs="Times New Roman"/>
                <w:i/>
                <w:sz w:val="28"/>
                <w:szCs w:val="28"/>
              </w:rPr>
              <w:t>Luật Thuế thu nhập cá nhân.</w:t>
            </w:r>
            <w:r w:rsidRPr="00E57F2F">
              <w:rPr>
                <w:rFonts w:ascii="Times New Roman" w:hAnsi="Times New Roman" w:cs="Times New Roman"/>
                <w:sz w:val="28"/>
                <w:szCs w:val="28"/>
              </w:rPr>
              <w:t xml:space="preserve"> </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3.2. Về quy định tại Điều 4 dự thảo Thông tư</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a) Tại khoản 1, khoản 2, khoản 3 Điều 4 dự thảo Thông tư quy định về hồ sơ xác định người phụ thuộc có: bản chụp giấy khai sinh </w:t>
            </w:r>
            <w:r w:rsidRPr="00E57F2F">
              <w:rPr>
                <w:rFonts w:ascii="Times New Roman" w:hAnsi="Times New Roman" w:cs="Times New Roman"/>
                <w:sz w:val="28"/>
                <w:szCs w:val="28"/>
                <w:u w:val="single"/>
              </w:rPr>
              <w:t>hoặc</w:t>
            </w:r>
            <w:r w:rsidRPr="00E57F2F">
              <w:rPr>
                <w:rFonts w:ascii="Times New Roman" w:hAnsi="Times New Roman" w:cs="Times New Roman"/>
                <w:sz w:val="28"/>
                <w:szCs w:val="28"/>
              </w:rPr>
              <w:t xml:space="preserve"> bản chụp căn cước/bản chụp giấy khai sinh </w:t>
            </w:r>
            <w:r w:rsidRPr="00E57F2F">
              <w:rPr>
                <w:rFonts w:ascii="Times New Roman" w:hAnsi="Times New Roman" w:cs="Times New Roman"/>
                <w:sz w:val="28"/>
                <w:szCs w:val="28"/>
                <w:u w:val="single"/>
              </w:rPr>
              <w:t>và</w:t>
            </w:r>
            <w:r w:rsidRPr="00E57F2F">
              <w:rPr>
                <w:rFonts w:ascii="Times New Roman" w:hAnsi="Times New Roman" w:cs="Times New Roman"/>
                <w:sz w:val="28"/>
                <w:szCs w:val="28"/>
              </w:rPr>
              <w:t xml:space="preserve"> bản chụp căn cước/bản chụp giấy khai sinh. Đề nghị Cục CST rà soát, hoàn thiện quy định đảm bảo đồng nhất, theo hướng: đối với các trường hợp cá nhân đã có thẻ căn cước theo Luật Căn cước thì yêu cầu có bản chụp thẻ căn cước; cá nhân chưa có thẻ căn cước thì yêu cầu có bản chụp giấy khai sinh.</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Ngoài ra, đề nghị cân nhắc rà soát để bổ sung đầy đủ các giấy tờ có thông tin chứng minh người phụ thuộc để cá nhân có thể lựa chọn (ví dụ bổ sung bản chụp xác nhận thông tin cư trú do trong đó có thông tin ngày sinh và mối quan hệ với chủ hộ).</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b) Điểm a, điểm b khoản 6 Điều 4 dự thảo Thông tư quy định các giấy tờ pháp lý xác định được mối quan hệ với người nộp thuế như: </w:t>
            </w:r>
            <w:r w:rsidRPr="00E57F2F">
              <w:rPr>
                <w:rFonts w:ascii="Times New Roman" w:hAnsi="Times New Roman" w:cs="Times New Roman"/>
                <w:i/>
                <w:sz w:val="28"/>
                <w:szCs w:val="28"/>
              </w:rPr>
              <w:t>“Bản tự khai của người nộp thuế theo mẫu ban hành kèm theo Thông tư số …/TT-BTC của Bộ trưởng Bộ Tài chính hướng dẫn thi hành một số điều của Luật Quản lý thuế và Nghị định số /NĐ-CP của Chính phủ quy định chi tiết một số điều của Luật Quản lý thuế về việc …”.</w:t>
            </w:r>
            <w:r w:rsidRPr="00E57F2F">
              <w:rPr>
                <w:rFonts w:ascii="Times New Roman" w:hAnsi="Times New Roman" w:cs="Times New Roman"/>
                <w:sz w:val="28"/>
                <w:szCs w:val="28"/>
              </w:rPr>
              <w:t xml:space="preserve"> </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Qua rà soát tại dự thảo Thông tư hướng dẫn thi hành một số điều của Luật Quản lý thuế và Nghị định quy định chi tiết một số điều của Luật Quản lý thuế không quy định mẫu </w:t>
            </w:r>
            <w:r w:rsidRPr="00E57F2F">
              <w:rPr>
                <w:rFonts w:ascii="Times New Roman" w:hAnsi="Times New Roman" w:cs="Times New Roman"/>
                <w:i/>
                <w:sz w:val="28"/>
                <w:szCs w:val="28"/>
              </w:rPr>
              <w:t xml:space="preserve">“Bản tự khai của người nộp thuế” </w:t>
            </w:r>
            <w:r w:rsidRPr="00E57F2F">
              <w:rPr>
                <w:rFonts w:ascii="Times New Roman" w:hAnsi="Times New Roman" w:cs="Times New Roman"/>
                <w:sz w:val="28"/>
                <w:szCs w:val="28"/>
              </w:rPr>
              <w:t>(chỉ bao gồm mẫu số 07/XN-NPT-TNCN Phụ lục bảng kê khai về người phải trực tiếp nuôi dưỡng). Đề nghị Cục CST rà soát, hoàn thiện quy định đảm bảo thống nhất với dự thảo Thông tư về quản lý thuế do Cục Thuế chủ trì soạn thảo; tránh phát sinh vướng mắc trong quá trình áp dụng.</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c) Khoản 7 Điều 4 dự thảo Thông tư quy định: </w:t>
            </w:r>
            <w:r w:rsidRPr="00E57F2F">
              <w:rPr>
                <w:rFonts w:ascii="Times New Roman" w:hAnsi="Times New Roman" w:cs="Times New Roman"/>
                <w:i/>
                <w:sz w:val="28"/>
                <w:szCs w:val="28"/>
              </w:rPr>
              <w:t xml:space="preserve">“Cá nhân cư trú là người nước ngoài, nếu không có hồ sơ theo hướng dẫn đối với từng trường hợp cụ thể 2 Khi trình bày tên văn bản QPPL trong phần căn cứ phải ghi tên loại văn bản, số, ký hiệu văn bản, tên cơ quan ban hành và tên gọi của văn bản. Tham khảo kỹ thuật trình bày tại căn cứ ban hành của Thông tư số 26/2025-TT-BTP ngày 12/12/2025. 4 nêu trên thì phải có các </w:t>
            </w:r>
            <w:r w:rsidRPr="00E57F2F">
              <w:rPr>
                <w:rFonts w:ascii="Times New Roman" w:hAnsi="Times New Roman" w:cs="Times New Roman"/>
                <w:i/>
                <w:sz w:val="28"/>
                <w:szCs w:val="28"/>
                <w:u w:val="single"/>
              </w:rPr>
              <w:t>tài liệu pháp lý tương tự</w:t>
            </w:r>
            <w:r w:rsidRPr="00E57F2F">
              <w:rPr>
                <w:rFonts w:ascii="Times New Roman" w:hAnsi="Times New Roman" w:cs="Times New Roman"/>
                <w:i/>
                <w:sz w:val="28"/>
                <w:szCs w:val="28"/>
              </w:rPr>
              <w:t xml:space="preserve"> để làm căn cứ chứng minh người phụ thuộc”.</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Hiện nay, pháp luật QLT và pháp luật Thuế TNCN chưa có quy định về việc xác định tài liệu pháp lý tương tự để làm căn cứ chứng minh người phụ thuộc bao gồm những tài liệu gì. Vì vậy, đề nghị Cục CST phối hợp với Viện Chiến lược và Chính sách kinh tế - tài chính và Cục Thuế nghiên cứu, tham khảo kinh nghiệm quốc tế để đề xuất hoàn thiện quy định nêu trên đảm bảo thực hiện thống nhất và khả thi.</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d) Khoản 8 Điều 4 dự thảo Thông tư quy định “Đối với người nộp thuế trong các tổ chức, cơ quan hành chính, đơn vị sự nghiệp có bố, mẹ, … và những người khác thuộc diện được tính là người phụ thuộc đã khai rõ trong lý lịch/hồ sơ của người nộp thuế thì … cần tờ khai đăng ký người phụ thuộc theo quy định của pháp luật quản lý thuế có xác nhận của đơn vị”. Bên cạnh cơ quan hành chính, đơn vị sự nghiệp công lập, đề nghị Cục CST rà soát, hoàn thiện theo hướng bổ sung cơ quan nhà nước khác vào đối tượng áp dụng quy định tại khoản này.</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 xml:space="preserve">3.3. Tại phần nơi nhận của Thông tư, đề nghị Cục CST rà soát thành phần, cập nhật tên các đơn vị đảm bảo liệt kê đầy đủ, đúng tên các cơ quan, tổ chức có liên quan (ví dụ: sửa </w:t>
            </w:r>
            <w:r w:rsidRPr="00E57F2F">
              <w:rPr>
                <w:rFonts w:ascii="Times New Roman" w:hAnsi="Times New Roman" w:cs="Times New Roman"/>
                <w:i/>
                <w:sz w:val="28"/>
                <w:szCs w:val="28"/>
              </w:rPr>
              <w:t xml:space="preserve">Cục Kiểm tra văn bản và Quản lý xử lý vi phạm hành chính </w:t>
            </w:r>
            <w:r w:rsidRPr="00E57F2F">
              <w:rPr>
                <w:rFonts w:ascii="Times New Roman" w:hAnsi="Times New Roman" w:cs="Times New Roman"/>
                <w:sz w:val="28"/>
                <w:szCs w:val="28"/>
              </w:rPr>
              <w:t xml:space="preserve">thành </w:t>
            </w:r>
            <w:r w:rsidRPr="00E57F2F">
              <w:rPr>
                <w:rFonts w:ascii="Times New Roman" w:hAnsi="Times New Roman" w:cs="Times New Roman"/>
                <w:i/>
                <w:sz w:val="28"/>
                <w:szCs w:val="28"/>
              </w:rPr>
              <w:t>Cục Kiểm tra văn bản và Tổ chức thi hành pháp luật</w:t>
            </w:r>
            <w:r w:rsidRPr="00E57F2F">
              <w:rPr>
                <w:rFonts w:ascii="Times New Roman" w:hAnsi="Times New Roman" w:cs="Times New Roman"/>
                <w:sz w:val="28"/>
                <w:szCs w:val="28"/>
              </w:rPr>
              <w:t xml:space="preserve"> theo quy định tại Nghị định số 09/2026/NĐ-CP ngày 10/01/2026).</w:t>
            </w:r>
          </w:p>
          <w:p w:rsidR="009B250F" w:rsidRPr="00E57F2F" w:rsidRDefault="009B250F" w:rsidP="00380D17">
            <w:pPr>
              <w:spacing w:after="0" w:line="240" w:lineRule="auto"/>
              <w:ind w:firstLine="371"/>
              <w:jc w:val="both"/>
              <w:rPr>
                <w:rFonts w:ascii="Times New Roman" w:hAnsi="Times New Roman" w:cs="Times New Roman"/>
                <w:sz w:val="28"/>
                <w:szCs w:val="28"/>
              </w:rPr>
            </w:pPr>
            <w:r w:rsidRPr="00E57F2F">
              <w:rPr>
                <w:rFonts w:ascii="Times New Roman" w:hAnsi="Times New Roman" w:cs="Times New Roman"/>
                <w:sz w:val="28"/>
                <w:szCs w:val="28"/>
              </w:rPr>
              <w:t>3.4. Về thể thức, kỹ thuật trình bày Thông tư, đề nghị Cục CST rà soát, hoàn thiện đảm bảo phù hợp với quy định về thể thức, kỹ thuật trình bày văn bản QPPL tại Luật Ban hành văn bản QPPL, Nghị định số 78/2025/NĐ-CP (được sửa đổi, bổ sung bởi Nghị định số 187/2025/NĐ-CP), ví dụ: sửa từ “Bộ Tài chính” thành “Bộ trưởng Bộ Tài chính” tại khoản 2 và khoản 3 Điều 6 dự thảo Thông tư.</w:t>
            </w:r>
          </w:p>
          <w:p w:rsidR="009B250F" w:rsidRPr="00E57F2F" w:rsidRDefault="009B250F" w:rsidP="00380D17">
            <w:pPr>
              <w:spacing w:after="0" w:line="240" w:lineRule="auto"/>
              <w:ind w:firstLine="371"/>
              <w:jc w:val="both"/>
              <w:rPr>
                <w:rFonts w:ascii="Times New Roman" w:hAnsi="Times New Roman" w:cs="Times New Roman"/>
                <w:b/>
                <w:sz w:val="28"/>
                <w:szCs w:val="28"/>
              </w:rPr>
            </w:pPr>
            <w:r w:rsidRPr="00E57F2F">
              <w:rPr>
                <w:rFonts w:ascii="Times New Roman" w:hAnsi="Times New Roman" w:cs="Times New Roman"/>
                <w:sz w:val="28"/>
                <w:szCs w:val="28"/>
              </w:rPr>
              <w:t>3.5. Ngoài ra, đề nghị Cục CST rà soát để đảm bảo quy định đầy đủ các trường hợp cần có quy định chuyển tiếp tại dự thảo Thông tư, tránh vướng mắc trong quá trình thực hiện.</w:t>
            </w:r>
          </w:p>
        </w:tc>
        <w:tc>
          <w:tcPr>
            <w:tcW w:w="4651" w:type="dxa"/>
          </w:tcPr>
          <w:p w:rsidR="009B250F" w:rsidRPr="00E57F2F" w:rsidRDefault="00A7237A" w:rsidP="00A7237A">
            <w:pPr>
              <w:shd w:val="clear" w:color="auto" w:fill="FFFFFF"/>
              <w:spacing w:before="120" w:after="120" w:line="212" w:lineRule="atLeast"/>
              <w:ind w:firstLine="317"/>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Tiếp thu</w:t>
            </w:r>
            <w:r w:rsidR="001C0696" w:rsidRPr="00E57F2F">
              <w:rPr>
                <w:rFonts w:ascii="Times New Roman" w:eastAsia="Times New Roman" w:hAnsi="Times New Roman" w:cs="Times New Roman"/>
                <w:sz w:val="24"/>
                <w:szCs w:val="24"/>
                <w:lang w:val="nl-NL"/>
              </w:rPr>
              <w:t>.</w:t>
            </w:r>
          </w:p>
        </w:tc>
      </w:tr>
      <w:tr w:rsidR="00F44EC4" w:rsidRPr="00DB4966" w:rsidTr="000813C3">
        <w:trPr>
          <w:trHeight w:val="20"/>
        </w:trPr>
        <w:tc>
          <w:tcPr>
            <w:tcW w:w="850" w:type="dxa"/>
          </w:tcPr>
          <w:p w:rsidR="00F44EC4" w:rsidRPr="00810BE0" w:rsidRDefault="00F44EC4" w:rsidP="00E57F2F">
            <w:pPr>
              <w:pStyle w:val="ListParagraph"/>
              <w:numPr>
                <w:ilvl w:val="0"/>
                <w:numId w:val="28"/>
              </w:numPr>
              <w:spacing w:after="0" w:line="240" w:lineRule="auto"/>
              <w:jc w:val="center"/>
              <w:rPr>
                <w:rFonts w:eastAsia="Times New Roman"/>
                <w:sz w:val="28"/>
                <w:szCs w:val="28"/>
                <w:lang w:val="nl-NL"/>
              </w:rPr>
            </w:pPr>
          </w:p>
        </w:tc>
        <w:tc>
          <w:tcPr>
            <w:tcW w:w="1843" w:type="dxa"/>
          </w:tcPr>
          <w:p w:rsidR="00F44EC4" w:rsidRPr="00E57F2F" w:rsidRDefault="004813CA" w:rsidP="00380D17">
            <w:pPr>
              <w:spacing w:after="0" w:line="240" w:lineRule="auto"/>
              <w:rPr>
                <w:rFonts w:ascii="Times New Roman" w:eastAsia="Yu Gothic" w:hAnsi="Times New Roman" w:cs="Times New Roman"/>
                <w:sz w:val="28"/>
                <w:szCs w:val="28"/>
                <w:lang w:val="nl-NL"/>
              </w:rPr>
            </w:pPr>
            <w:r w:rsidRPr="00E57F2F">
              <w:rPr>
                <w:rFonts w:ascii="Times New Roman" w:eastAsia="Yu Gothic" w:hAnsi="Times New Roman" w:cs="Times New Roman"/>
                <w:sz w:val="28"/>
                <w:szCs w:val="28"/>
                <w:lang w:val="nl-NL"/>
              </w:rPr>
              <w:t>Cục Thuế</w:t>
            </w:r>
            <w:r w:rsidR="00CE6927" w:rsidRPr="00E57F2F">
              <w:rPr>
                <w:rFonts w:ascii="Times New Roman" w:eastAsia="Yu Gothic" w:hAnsi="Times New Roman" w:cs="Times New Roman"/>
                <w:sz w:val="28"/>
                <w:szCs w:val="28"/>
                <w:lang w:val="nl-NL"/>
              </w:rPr>
              <w:t xml:space="preserve"> </w:t>
            </w:r>
          </w:p>
        </w:tc>
        <w:tc>
          <w:tcPr>
            <w:tcW w:w="7513" w:type="dxa"/>
          </w:tcPr>
          <w:p w:rsidR="004813CA" w:rsidRPr="00E57F2F" w:rsidRDefault="004813CA" w:rsidP="004813CA">
            <w:pPr>
              <w:pStyle w:val="NoSpacing"/>
              <w:spacing w:before="120" w:after="120"/>
              <w:ind w:firstLine="567"/>
              <w:jc w:val="both"/>
              <w:rPr>
                <w:b/>
                <w:color w:val="000000"/>
                <w:sz w:val="28"/>
                <w:szCs w:val="28"/>
                <w:shd w:val="clear" w:color="auto" w:fill="FFFFFF"/>
                <w:lang w:val="vi-VN"/>
              </w:rPr>
            </w:pPr>
            <w:r w:rsidRPr="00E57F2F">
              <w:rPr>
                <w:b/>
                <w:color w:val="000000"/>
                <w:sz w:val="28"/>
                <w:szCs w:val="28"/>
                <w:shd w:val="clear" w:color="auto" w:fill="FFFFFF"/>
              </w:rPr>
              <w:t>I. Ý kiến chi tiết</w:t>
            </w:r>
            <w:r w:rsidRPr="00E57F2F">
              <w:rPr>
                <w:b/>
                <w:color w:val="000000"/>
                <w:sz w:val="28"/>
                <w:szCs w:val="28"/>
                <w:shd w:val="clear" w:color="auto" w:fill="FFFFFF"/>
                <w:lang w:val="vi-VN"/>
              </w:rPr>
              <w:t xml:space="preserve"> dự thảo </w:t>
            </w:r>
            <w:r w:rsidRPr="00E57F2F">
              <w:rPr>
                <w:b/>
                <w:color w:val="000000"/>
                <w:sz w:val="28"/>
                <w:szCs w:val="28"/>
                <w:shd w:val="clear" w:color="auto" w:fill="FFFFFF"/>
              </w:rPr>
              <w:t>Thông tư</w:t>
            </w:r>
            <w:r w:rsidRPr="00E57F2F">
              <w:rPr>
                <w:b/>
                <w:color w:val="000000"/>
                <w:sz w:val="28"/>
                <w:szCs w:val="28"/>
                <w:shd w:val="clear" w:color="auto" w:fill="FFFFFF"/>
                <w:lang w:val="vi-VN"/>
              </w:rPr>
              <w:t xml:space="preserve"> (bản dự thảo ngày </w:t>
            </w:r>
            <w:r w:rsidRPr="00E57F2F">
              <w:rPr>
                <w:b/>
                <w:color w:val="000000"/>
                <w:sz w:val="28"/>
                <w:szCs w:val="28"/>
                <w:shd w:val="clear" w:color="auto" w:fill="FFFFFF"/>
              </w:rPr>
              <w:t>18/03/2026</w:t>
            </w:r>
            <w:r w:rsidRPr="00E57F2F">
              <w:rPr>
                <w:b/>
                <w:color w:val="000000"/>
                <w:sz w:val="28"/>
                <w:szCs w:val="28"/>
                <w:shd w:val="clear" w:color="auto" w:fill="FFFFFF"/>
                <w:lang w:val="vi-VN"/>
              </w:rPr>
              <w:t xml:space="preserve">) </w:t>
            </w:r>
          </w:p>
          <w:p w:rsidR="004813CA" w:rsidRPr="00E57F2F" w:rsidRDefault="004813CA" w:rsidP="004813CA">
            <w:pPr>
              <w:pStyle w:val="NoSpacing"/>
              <w:spacing w:before="120" w:after="120"/>
              <w:ind w:firstLine="567"/>
              <w:jc w:val="both"/>
              <w:rPr>
                <w:b/>
                <w:color w:val="000000"/>
                <w:sz w:val="28"/>
                <w:szCs w:val="28"/>
                <w:lang w:eastAsia="vi-VN"/>
              </w:rPr>
            </w:pPr>
            <w:r w:rsidRPr="00E57F2F">
              <w:rPr>
                <w:b/>
                <w:color w:val="000000"/>
                <w:sz w:val="28"/>
                <w:szCs w:val="28"/>
                <w:lang w:eastAsia="vi-VN"/>
              </w:rPr>
              <w:t>1. Khoản 1 Điều 3</w:t>
            </w:r>
          </w:p>
          <w:p w:rsidR="004813CA" w:rsidRPr="00E57F2F" w:rsidRDefault="004813CA" w:rsidP="004813CA">
            <w:pPr>
              <w:pStyle w:val="NoSpacing"/>
              <w:spacing w:before="120" w:after="120"/>
              <w:ind w:firstLine="567"/>
              <w:jc w:val="both"/>
              <w:rPr>
                <w:b/>
                <w:color w:val="000000"/>
                <w:sz w:val="28"/>
                <w:szCs w:val="28"/>
                <w:lang w:eastAsia="vi-VN"/>
              </w:rPr>
            </w:pPr>
            <w:r w:rsidRPr="00E57F2F">
              <w:rPr>
                <w:b/>
                <w:color w:val="000000"/>
                <w:sz w:val="28"/>
                <w:szCs w:val="28"/>
                <w:lang w:eastAsia="vi-VN"/>
              </w:rPr>
              <w:t xml:space="preserve">+ Ý kiến 1: </w:t>
            </w:r>
          </w:p>
          <w:p w:rsidR="004813CA" w:rsidRPr="00E57F2F" w:rsidRDefault="004813CA" w:rsidP="004813CA">
            <w:pPr>
              <w:pStyle w:val="NoSpacing"/>
              <w:spacing w:before="120" w:after="120"/>
              <w:ind w:firstLine="567"/>
              <w:jc w:val="both"/>
              <w:rPr>
                <w:i/>
                <w:color w:val="000000"/>
                <w:sz w:val="28"/>
                <w:szCs w:val="28"/>
                <w:lang w:eastAsia="vi-VN"/>
              </w:rPr>
            </w:pPr>
            <w:r w:rsidRPr="00E57F2F">
              <w:rPr>
                <w:i/>
                <w:color w:val="000000"/>
                <w:sz w:val="28"/>
                <w:szCs w:val="28"/>
                <w:lang w:eastAsia="vi-VN"/>
              </w:rPr>
              <w:t>“1. Con (bao gồm con đẻ, con nuôi, con riêng của vợ, con riêng của chồng) đang học đại học, cao đẳng, trung học chuyên nghiệp, dạy nghề, kể cả con từ 18 tuổi trở lên đang học bậc học phổ thông, không có thu nhập hoặc có thu nhập bình quân tháng trong năm từ tất cả các nguồn thu nhập không vượt quá ba triệu đồng (3.000.000 đồng)</w:t>
            </w:r>
          </w:p>
          <w:p w:rsidR="004813CA" w:rsidRPr="00E57F2F" w:rsidRDefault="004813CA" w:rsidP="004813CA">
            <w:pPr>
              <w:pStyle w:val="NoSpacing"/>
              <w:spacing w:before="120" w:after="120"/>
              <w:ind w:firstLine="567"/>
              <w:jc w:val="both"/>
              <w:rPr>
                <w:sz w:val="28"/>
                <w:szCs w:val="28"/>
              </w:rPr>
            </w:pPr>
            <w:r w:rsidRPr="00E57F2F">
              <w:rPr>
                <w:color w:val="000000"/>
                <w:sz w:val="28"/>
                <w:szCs w:val="28"/>
                <w:u w:val="single"/>
                <w:lang w:eastAsia="vi-VN"/>
              </w:rPr>
              <w:t>Đ</w:t>
            </w:r>
            <w:r w:rsidRPr="00E57F2F">
              <w:rPr>
                <w:sz w:val="28"/>
                <w:szCs w:val="28"/>
                <w:u w:val="single"/>
              </w:rPr>
              <w:t>ề xuất:</w:t>
            </w:r>
            <w:r w:rsidRPr="00E57F2F">
              <w:rPr>
                <w:sz w:val="28"/>
                <w:szCs w:val="28"/>
              </w:rPr>
              <w:t xml:space="preserve"> Đề nghị đơn vị soạn thảo nghiên cứu, xem xét điều chỉnh mức thu nhập làm căn cứ xác định người phụ thuộc đối với trường hợp con trên 18 tuổi đang học </w:t>
            </w:r>
            <w:r w:rsidRPr="00E57F2F">
              <w:rPr>
                <w:sz w:val="28"/>
                <w:szCs w:val="28"/>
                <w:lang w:val="vi-VN"/>
              </w:rPr>
              <w:t>đ</w:t>
            </w:r>
            <w:r w:rsidRPr="00E57F2F">
              <w:rPr>
                <w:sz w:val="28"/>
                <w:szCs w:val="28"/>
              </w:rPr>
              <w:t>ại học, cao đẳng, trung học chuyên nghiệp, dạy nghề, học bậc học phổ thông.</w:t>
            </w:r>
          </w:p>
          <w:p w:rsidR="004813CA" w:rsidRPr="00E57F2F" w:rsidRDefault="004813CA" w:rsidP="004813CA">
            <w:pPr>
              <w:pStyle w:val="NoSpacing"/>
              <w:spacing w:before="120" w:after="120"/>
              <w:ind w:firstLine="567"/>
              <w:jc w:val="both"/>
              <w:rPr>
                <w:sz w:val="28"/>
                <w:szCs w:val="28"/>
              </w:rPr>
            </w:pPr>
            <w:r w:rsidRPr="00E57F2F">
              <w:rPr>
                <w:sz w:val="28"/>
                <w:szCs w:val="28"/>
              </w:rPr>
              <w:t xml:space="preserve">Lý do: </w:t>
            </w:r>
            <w:r w:rsidRPr="00E57F2F">
              <w:rPr>
                <w:color w:val="000000"/>
                <w:sz w:val="28"/>
                <w:szCs w:val="28"/>
                <w:lang w:eastAsia="vi-VN"/>
              </w:rPr>
              <w:t>H</w:t>
            </w:r>
            <w:r w:rsidRPr="00E57F2F">
              <w:rPr>
                <w:sz w:val="28"/>
                <w:szCs w:val="28"/>
              </w:rPr>
              <w:t>iện nay chi phí giáo dục Đại học đối với sinh viên khá cao (ví dụ: 1 gia đình có con đang theo học bậc Đại học sẽ phải chi trả học phí, tiền ăn, tiền sinh hoạt, nhà ở, v.v.). Việc sinh viên đi làm thêm để nâng cao kỹ năng và phụ giúp gia đình là điều phổ biến. Như vậy, nếu thực hiện theo quy định tại dự thảo Thông tư như trên thì con đang học đại học mà có thu nhập hơn 3 triệu đồng (~36 triệu đồng/năm) thì không được xác định là người phụ thuộc được giảm trừ. Điều n</w:t>
            </w:r>
            <w:r w:rsidRPr="00E57F2F">
              <w:rPr>
                <w:sz w:val="28"/>
                <w:szCs w:val="28"/>
                <w:lang w:val="vi-VN"/>
              </w:rPr>
              <w:t>ày</w:t>
            </w:r>
            <w:r w:rsidRPr="00E57F2F">
              <w:rPr>
                <w:sz w:val="28"/>
                <w:szCs w:val="28"/>
              </w:rPr>
              <w:t xml:space="preserve"> là chưa phù hợp với thực tế mức sinh hoạt phí của sinh viên hiện nay. </w:t>
            </w:r>
          </w:p>
          <w:p w:rsidR="004813CA" w:rsidRPr="00E57F2F" w:rsidRDefault="004813CA" w:rsidP="004813CA">
            <w:pPr>
              <w:pStyle w:val="NoSpacing"/>
              <w:spacing w:before="120" w:after="120"/>
              <w:ind w:firstLine="567"/>
              <w:jc w:val="both"/>
              <w:rPr>
                <w:sz w:val="28"/>
                <w:szCs w:val="28"/>
              </w:rPr>
            </w:pPr>
            <w:r w:rsidRPr="00E57F2F">
              <w:rPr>
                <w:b/>
                <w:bCs/>
                <w:sz w:val="28"/>
                <w:szCs w:val="28"/>
                <w:lang w:val="vi-VN"/>
              </w:rPr>
              <w:t>+ Ý kiến 2</w:t>
            </w:r>
            <w:r w:rsidRPr="00E57F2F">
              <w:rPr>
                <w:sz w:val="28"/>
                <w:szCs w:val="28"/>
                <w:lang w:val="vi-VN"/>
              </w:rPr>
              <w:t xml:space="preserve">: </w:t>
            </w:r>
            <w:r w:rsidRPr="00E57F2F">
              <w:rPr>
                <w:sz w:val="28"/>
                <w:szCs w:val="28"/>
              </w:rPr>
              <w:t>Đề nghị đơn vị soạn thảo nghiên cứu bổ sung hướng dẫn về cách xác lập “thu nhập bình quân tháng” đối với các cá nhân có thu nhập không ổn định trong năm để người nộp thuế tự kê khai và chịu trách nhiệm.</w:t>
            </w:r>
          </w:p>
          <w:p w:rsidR="004813CA" w:rsidRPr="00E57F2F" w:rsidRDefault="004813CA" w:rsidP="004813CA">
            <w:pPr>
              <w:pStyle w:val="NoSpacing"/>
              <w:spacing w:before="120" w:after="120"/>
              <w:ind w:firstLine="567"/>
              <w:jc w:val="both"/>
              <w:rPr>
                <w:sz w:val="28"/>
                <w:szCs w:val="28"/>
              </w:rPr>
            </w:pPr>
            <w:r w:rsidRPr="00E57F2F">
              <w:rPr>
                <w:sz w:val="28"/>
                <w:szCs w:val="28"/>
              </w:rPr>
              <w:t>Ví dụ trong trường hợp, người phụ thuộc là con trên 18 tuổi theo học bậc Đại học, tháng 6 năm 2026 đi làm tại công ty và có thu nhập từ tháng 9 đến hết tháng 12 năm 2026 là 250.000.000 đồng, nếu tính thu nhập bình quân tháng trong năm (12 tháng) thì thu nhập là 20 triệu đồng/tháng. Như vậy, từ tháng 1 đến tháng 5 năm 2026, khi người phụ thuộc vẫn đang học bậc Đại học thì người nộp thuế không được tính giảm trừ gia cảnh cho người phụ thuộc là con trong khi từ tháng 1 đến tháng 5 thì người phụ thuộc vẫn chưa có thu nhập.</w:t>
            </w:r>
          </w:p>
          <w:p w:rsidR="004813CA" w:rsidRPr="00E57F2F" w:rsidRDefault="004813CA" w:rsidP="004813CA">
            <w:pPr>
              <w:pStyle w:val="NoSpacing"/>
              <w:tabs>
                <w:tab w:val="left" w:pos="2394"/>
              </w:tabs>
              <w:spacing w:before="120" w:after="120"/>
              <w:ind w:firstLine="567"/>
              <w:jc w:val="both"/>
              <w:rPr>
                <w:sz w:val="28"/>
                <w:szCs w:val="28"/>
                <w:lang w:val="vi-VN"/>
              </w:rPr>
            </w:pPr>
            <w:r w:rsidRPr="00E57F2F">
              <w:rPr>
                <w:sz w:val="28"/>
                <w:szCs w:val="28"/>
              </w:rPr>
              <w:t>Do đó, cần làm rõ, "</w:t>
            </w:r>
            <w:r w:rsidRPr="00E57F2F">
              <w:rPr>
                <w:i/>
                <w:sz w:val="28"/>
                <w:szCs w:val="28"/>
              </w:rPr>
              <w:t xml:space="preserve">thu nhập bình quân tháng trong năm từ tất cả các nguồn” được </w:t>
            </w:r>
            <w:r w:rsidRPr="00E57F2F">
              <w:rPr>
                <w:sz w:val="28"/>
                <w:szCs w:val="28"/>
              </w:rPr>
              <w:t>tính theo 12 tháng hay số tháng phát sinh thu nhập, thu nhập để xác định thu nhập bình quân có bao gồm thu nhập miễn thuế hay không</w:t>
            </w:r>
            <w:r w:rsidRPr="00E57F2F">
              <w:rPr>
                <w:sz w:val="28"/>
                <w:szCs w:val="28"/>
                <w:lang w:val="vi-VN"/>
              </w:rPr>
              <w:t xml:space="preserve">. </w:t>
            </w:r>
          </w:p>
          <w:p w:rsidR="004813CA" w:rsidRPr="00E57F2F" w:rsidRDefault="004813CA" w:rsidP="004813CA">
            <w:pPr>
              <w:pStyle w:val="NoSpacing"/>
              <w:tabs>
                <w:tab w:val="left" w:pos="2394"/>
              </w:tabs>
              <w:spacing w:before="120" w:after="120"/>
              <w:ind w:firstLine="567"/>
              <w:jc w:val="both"/>
              <w:rPr>
                <w:sz w:val="28"/>
                <w:szCs w:val="28"/>
                <w:lang w:val="vi-VN"/>
              </w:rPr>
            </w:pPr>
            <w:r w:rsidRPr="00E57F2F">
              <w:rPr>
                <w:sz w:val="28"/>
                <w:szCs w:val="28"/>
                <w:lang w:val="vi-VN"/>
              </w:rPr>
              <w:t>Đề xuất: thu nhập bình quân tháng trong năm từ tất cả các nguồn được tính theo số tháng phát sinh thu nhập.</w:t>
            </w:r>
          </w:p>
          <w:p w:rsidR="004813CA" w:rsidRPr="00E57F2F" w:rsidRDefault="004813CA" w:rsidP="004813CA">
            <w:pPr>
              <w:pStyle w:val="NoSpacing"/>
              <w:spacing w:before="120" w:after="120"/>
              <w:ind w:firstLine="567"/>
              <w:jc w:val="both"/>
              <w:rPr>
                <w:b/>
                <w:bCs/>
                <w:sz w:val="28"/>
                <w:szCs w:val="28"/>
                <w:lang w:val="vi-VN"/>
              </w:rPr>
            </w:pPr>
            <w:r w:rsidRPr="00E57F2F">
              <w:rPr>
                <w:b/>
                <w:bCs/>
                <w:sz w:val="28"/>
                <w:szCs w:val="28"/>
                <w:lang w:val="vi-VN"/>
              </w:rPr>
              <w:t xml:space="preserve">+ Ý kiến 3: </w:t>
            </w:r>
          </w:p>
          <w:p w:rsidR="004813CA" w:rsidRPr="00E57F2F" w:rsidRDefault="004813CA" w:rsidP="004813CA">
            <w:pPr>
              <w:pStyle w:val="NoSpacing"/>
              <w:spacing w:before="120" w:after="120"/>
              <w:ind w:firstLine="567"/>
              <w:jc w:val="both"/>
              <w:rPr>
                <w:sz w:val="28"/>
                <w:szCs w:val="28"/>
              </w:rPr>
            </w:pPr>
            <w:r w:rsidRPr="00E57F2F">
              <w:rPr>
                <w:sz w:val="28"/>
                <w:szCs w:val="28"/>
                <w:u w:val="single"/>
              </w:rPr>
              <w:t>Đề xuất:</w:t>
            </w:r>
            <w:r w:rsidRPr="00E57F2F">
              <w:rPr>
                <w:sz w:val="28"/>
                <w:szCs w:val="28"/>
              </w:rPr>
              <w:t xml:space="preserve">  đối với quy định “</w:t>
            </w:r>
            <w:r w:rsidRPr="00E57F2F">
              <w:rPr>
                <w:i/>
                <w:sz w:val="28"/>
                <w:szCs w:val="28"/>
              </w:rPr>
              <w:t>trong độ tuổi lao động</w:t>
            </w:r>
            <w:r w:rsidRPr="00E57F2F">
              <w:rPr>
                <w:sz w:val="28"/>
                <w:szCs w:val="28"/>
              </w:rPr>
              <w:t xml:space="preserve">” </w:t>
            </w:r>
            <w:r w:rsidRPr="00E57F2F">
              <w:rPr>
                <w:rFonts w:eastAsia="Calibri"/>
                <w:kern w:val="2"/>
                <w:sz w:val="28"/>
                <w:szCs w:val="28"/>
                <w:lang w:val="nl-NL"/>
              </w:rPr>
              <w:t>cần có dẫn chiếu căn cứ quy định của pháp luật để quy định cho các đối tượng là cá nhân trong độ tuổi lao động.</w:t>
            </w:r>
          </w:p>
          <w:p w:rsidR="004813CA" w:rsidRPr="00E57F2F" w:rsidRDefault="004813CA" w:rsidP="004813CA">
            <w:pPr>
              <w:pStyle w:val="NoSpacing"/>
              <w:spacing w:before="120" w:after="120"/>
              <w:ind w:firstLine="567"/>
              <w:jc w:val="both"/>
              <w:rPr>
                <w:rFonts w:eastAsia="Calibri"/>
                <w:kern w:val="2"/>
                <w:sz w:val="28"/>
                <w:szCs w:val="28"/>
                <w:lang w:val="nl-NL"/>
              </w:rPr>
            </w:pPr>
            <w:r w:rsidRPr="00E57F2F">
              <w:rPr>
                <w:rFonts w:eastAsia="Calibri"/>
                <w:bCs/>
                <w:kern w:val="2"/>
                <w:sz w:val="28"/>
                <w:szCs w:val="28"/>
                <w:u w:val="single"/>
                <w:lang w:val="nl-NL"/>
              </w:rPr>
              <w:t>Lý do:</w:t>
            </w:r>
            <w:r w:rsidRPr="00E57F2F">
              <w:rPr>
                <w:rFonts w:eastAsia="Calibri"/>
                <w:kern w:val="2"/>
                <w:sz w:val="28"/>
                <w:szCs w:val="28"/>
                <w:lang w:val="nl-NL"/>
              </w:rPr>
              <w:t xml:space="preserve"> Theo quy định của Bộ Luật lao động, trong độ tuổi lao động có nhiều khung do áp dụng theo ngành nghề thông thường và các ngành nghề đặc thù có khung xác định độ tuổi lao động khác nhau.</w:t>
            </w:r>
          </w:p>
          <w:p w:rsidR="004813CA" w:rsidRPr="00E57F2F" w:rsidRDefault="004813CA" w:rsidP="004813CA">
            <w:pPr>
              <w:pStyle w:val="NoSpacing"/>
              <w:spacing w:before="120" w:after="120"/>
              <w:ind w:firstLine="567"/>
              <w:jc w:val="both"/>
              <w:rPr>
                <w:sz w:val="28"/>
                <w:szCs w:val="28"/>
              </w:rPr>
            </w:pPr>
            <w:r w:rsidRPr="00E57F2F">
              <w:rPr>
                <w:b/>
                <w:sz w:val="28"/>
                <w:szCs w:val="28"/>
              </w:rPr>
              <w:t>2. Điều 5 dự thảo Thông tư:</w:t>
            </w:r>
            <w:r w:rsidRPr="00E57F2F">
              <w:rPr>
                <w:sz w:val="28"/>
                <w:szCs w:val="28"/>
              </w:rPr>
              <w:t xml:space="preserve"> đang quy định về thuế thu nhập cá nhân đối với chuyển nhượng chứng khoán phái sinh.</w:t>
            </w:r>
          </w:p>
          <w:p w:rsidR="004813CA" w:rsidRPr="002435F2" w:rsidRDefault="004813CA" w:rsidP="004813CA">
            <w:pPr>
              <w:pStyle w:val="NoSpacing"/>
              <w:spacing w:before="120" w:after="120"/>
              <w:ind w:firstLine="567"/>
              <w:jc w:val="both"/>
              <w:rPr>
                <w:sz w:val="28"/>
                <w:szCs w:val="28"/>
              </w:rPr>
            </w:pPr>
            <w:r w:rsidRPr="00E57F2F">
              <w:rPr>
                <w:sz w:val="28"/>
                <w:szCs w:val="28"/>
                <w:u w:val="single"/>
              </w:rPr>
              <w:t>Đề xuất</w:t>
            </w:r>
            <w:r w:rsidRPr="00E57F2F">
              <w:rPr>
                <w:sz w:val="28"/>
                <w:szCs w:val="28"/>
              </w:rPr>
              <w:t xml:space="preserve">: </w:t>
            </w:r>
            <w:r w:rsidRPr="00E57F2F">
              <w:rPr>
                <w:sz w:val="28"/>
                <w:szCs w:val="28"/>
                <w:lang w:val="vi-VN"/>
              </w:rPr>
              <w:t xml:space="preserve">Nội dung này liên quan đến căn cứ tính thuế và chính sách thuế nên đề xuất </w:t>
            </w:r>
            <w:r w:rsidRPr="00E57F2F">
              <w:rPr>
                <w:sz w:val="28"/>
                <w:szCs w:val="28"/>
              </w:rPr>
              <w:t xml:space="preserve">đưa nội dung này vào Nghị định thuế TNCN để đồng bộ quy định với thu nhập từ chuyển nhượng </w:t>
            </w:r>
            <w:r w:rsidRPr="002435F2">
              <w:rPr>
                <w:sz w:val="28"/>
                <w:szCs w:val="28"/>
              </w:rPr>
              <w:t>chứng khoán.</w:t>
            </w:r>
          </w:p>
          <w:p w:rsidR="004813CA" w:rsidRPr="00E57F2F" w:rsidRDefault="004813CA" w:rsidP="004813CA">
            <w:pPr>
              <w:pStyle w:val="NoSpacing"/>
              <w:spacing w:before="120" w:after="120"/>
              <w:ind w:firstLine="567"/>
              <w:jc w:val="both"/>
              <w:rPr>
                <w:sz w:val="28"/>
                <w:szCs w:val="28"/>
              </w:rPr>
            </w:pPr>
            <w:r w:rsidRPr="002435F2">
              <w:rPr>
                <w:sz w:val="28"/>
                <w:szCs w:val="28"/>
              </w:rPr>
              <w:t xml:space="preserve"> Đồng thời cần bổ sung về quy định tổ chức khấu trừ hoặc cá nhân tự khai hoặc tổ chức khai thuế thay, nộp thuế thay thuế TNCN đối với chuyển nhượng chứng khoán phái sinh.</w:t>
            </w:r>
          </w:p>
          <w:p w:rsidR="004813CA" w:rsidRPr="00E57F2F" w:rsidRDefault="00254666" w:rsidP="004813CA">
            <w:pPr>
              <w:pStyle w:val="NoSpacing"/>
              <w:spacing w:before="120" w:after="120"/>
              <w:ind w:firstLine="567"/>
              <w:jc w:val="both"/>
              <w:rPr>
                <w:b/>
                <w:i/>
                <w:sz w:val="28"/>
                <w:szCs w:val="28"/>
                <w:lang w:val="vi-VN"/>
              </w:rPr>
            </w:pPr>
            <w:r w:rsidRPr="00E57F2F">
              <w:rPr>
                <w:b/>
                <w:sz w:val="28"/>
                <w:szCs w:val="28"/>
              </w:rPr>
              <w:t>3</w:t>
            </w:r>
            <w:r w:rsidR="004813CA" w:rsidRPr="00E57F2F">
              <w:rPr>
                <w:b/>
                <w:sz w:val="28"/>
                <w:szCs w:val="28"/>
              </w:rPr>
              <w:t>. Điều 6 dự thảo Thông tư</w:t>
            </w:r>
          </w:p>
          <w:p w:rsidR="004813CA" w:rsidRPr="00E57F2F" w:rsidRDefault="004813CA" w:rsidP="004813CA">
            <w:pPr>
              <w:pStyle w:val="NoSpacing"/>
              <w:spacing w:before="120" w:after="120"/>
              <w:ind w:firstLine="567"/>
              <w:jc w:val="both"/>
              <w:rPr>
                <w:i/>
                <w:sz w:val="28"/>
                <w:szCs w:val="28"/>
                <w:lang w:val="vi-VN"/>
              </w:rPr>
            </w:pPr>
            <w:r w:rsidRPr="00E57F2F">
              <w:rPr>
                <w:i/>
                <w:sz w:val="28"/>
                <w:szCs w:val="28"/>
              </w:rPr>
              <w:t>“Điều 6. Hiệu lực thi hành</w:t>
            </w:r>
          </w:p>
          <w:p w:rsidR="004813CA" w:rsidRPr="00E57F2F" w:rsidRDefault="004813CA" w:rsidP="004813CA">
            <w:pPr>
              <w:pStyle w:val="NoSpacing"/>
              <w:spacing w:before="120" w:after="120"/>
              <w:ind w:firstLine="567"/>
              <w:jc w:val="both"/>
              <w:rPr>
                <w:i/>
                <w:sz w:val="28"/>
                <w:szCs w:val="28"/>
                <w:lang w:val="vi-VN"/>
              </w:rPr>
            </w:pPr>
            <w:r w:rsidRPr="00E57F2F">
              <w:rPr>
                <w:i/>
                <w:sz w:val="28"/>
                <w:szCs w:val="28"/>
              </w:rPr>
              <w:t>1. Thông tư này có hiệu lực thi hành từ ngày 01 tháng 7 năm 2026. Các nội dung liên quan đến thu nhập từ kinh doanh, từ tiền lương, tiền công của cá nhân cư trú áp dụng từ kỳ tính thuế năm 2026.</w:t>
            </w:r>
          </w:p>
          <w:p w:rsidR="004813CA" w:rsidRPr="00E57F2F" w:rsidRDefault="004813CA" w:rsidP="004813CA">
            <w:pPr>
              <w:pStyle w:val="NoSpacing"/>
              <w:spacing w:before="120" w:after="120"/>
              <w:ind w:firstLine="567"/>
              <w:jc w:val="both"/>
              <w:rPr>
                <w:i/>
                <w:sz w:val="28"/>
                <w:szCs w:val="28"/>
                <w:lang w:val="vi-VN"/>
              </w:rPr>
            </w:pPr>
            <w:r w:rsidRPr="00E57F2F">
              <w:rPr>
                <w:i/>
                <w:sz w:val="28"/>
                <w:szCs w:val="28"/>
              </w:rPr>
              <w:t>2. Thông tư này thay thế Thông tư số 111/2013/TT-BTC ngày 15 tháng 8 năm 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sidR="004813CA" w:rsidRPr="00E57F2F" w:rsidRDefault="004813CA" w:rsidP="004813CA">
            <w:pPr>
              <w:pStyle w:val="NoSpacing"/>
              <w:spacing w:before="120" w:after="120"/>
              <w:ind w:firstLine="567"/>
              <w:jc w:val="both"/>
              <w:rPr>
                <w:i/>
                <w:sz w:val="28"/>
                <w:szCs w:val="28"/>
                <w:lang w:val="vi-VN"/>
              </w:rPr>
            </w:pPr>
            <w:r w:rsidRPr="00E57F2F">
              <w:rPr>
                <w:sz w:val="28"/>
                <w:szCs w:val="28"/>
                <w:u w:val="single"/>
              </w:rPr>
              <w:t>Đề xuất:</w:t>
            </w:r>
            <w:r w:rsidRPr="00E57F2F">
              <w:rPr>
                <w:sz w:val="28"/>
                <w:szCs w:val="28"/>
              </w:rPr>
              <w:t xml:space="preserve"> nghị đơn vị soạn thảo xem xét bổ sung hướng dẫn về việc xử lý không hồi tố đối với </w:t>
            </w:r>
            <w:r w:rsidRPr="00E57F2F">
              <w:rPr>
                <w:sz w:val="28"/>
                <w:szCs w:val="28"/>
                <w:u w:val="single"/>
              </w:rPr>
              <w:t>các thủ tục</w:t>
            </w:r>
            <w:r w:rsidRPr="00E57F2F">
              <w:rPr>
                <w:sz w:val="28"/>
                <w:szCs w:val="28"/>
              </w:rPr>
              <w:t xml:space="preserve"> liên quan đã thực hiện trước khi Thông tư có hiệu lực thi hành (trước 01/7/2026) để hạn chế gây vướng mắc khi thực hiện đăng ký giảm trừ gia cảnh, quyết toán thuế TNCN. Do Thông tư có hiệu lực từ 01/07/2026, nhưng riêng thu nhập từ kinh doanh, tiền lương, tiền công áp dụng từ kỳ tính thuế năm 2026 (từ 01/01/2026). </w:t>
            </w:r>
          </w:p>
          <w:p w:rsidR="004813CA" w:rsidRPr="00E57F2F" w:rsidRDefault="004813CA" w:rsidP="004813CA">
            <w:pPr>
              <w:pStyle w:val="NoSpacing"/>
              <w:spacing w:before="120" w:after="120"/>
              <w:ind w:firstLine="567"/>
              <w:jc w:val="both"/>
              <w:rPr>
                <w:sz w:val="28"/>
                <w:szCs w:val="28"/>
              </w:rPr>
            </w:pPr>
            <w:r w:rsidRPr="00E57F2F">
              <w:rPr>
                <w:sz w:val="28"/>
                <w:szCs w:val="28"/>
              </w:rPr>
              <w:t xml:space="preserve">Đối với khoản 2 Điều 6 dự thảo quy định </w:t>
            </w:r>
            <w:r w:rsidRPr="00E57F2F">
              <w:rPr>
                <w:i/>
                <w:sz w:val="28"/>
                <w:szCs w:val="28"/>
              </w:rPr>
              <w:t>“Thông tư này thay thế Thông tư số 111/2013/TT-BTC...”</w:t>
            </w:r>
            <w:r w:rsidRPr="00E57F2F">
              <w:rPr>
                <w:sz w:val="28"/>
                <w:szCs w:val="28"/>
              </w:rPr>
              <w:t xml:space="preserve"> tuy nhiên Điều 1 về phạm vi điều chỉnh thì chỉ đề cập đến thu nhập từ tiền lương, tiền công và thu nhập từ chứng khoán phái sinh, trong khi Thông tư 111/2013/TT-BTC của Bộ Tài chính hướng dẫn đối với các khoản thu nhập khác (đầu tư vốn, chuyển nhượng vốn, thừa kế, quà tặng,…). Do đó, đề nghị khoản 2 Điều 6 nên được chỉ rõ nội dung thay thế (điểm, khoản, điều,…) của Thông tư 111/2013/TT-BTC của Bộ Tài chính.</w:t>
            </w:r>
          </w:p>
          <w:p w:rsidR="009D6755" w:rsidRDefault="004813CA" w:rsidP="009D6755">
            <w:pPr>
              <w:pStyle w:val="NoSpacing"/>
              <w:spacing w:before="120" w:after="120"/>
              <w:ind w:firstLine="567"/>
              <w:jc w:val="both"/>
              <w:rPr>
                <w:b/>
                <w:sz w:val="28"/>
                <w:szCs w:val="28"/>
              </w:rPr>
            </w:pPr>
            <w:r w:rsidRPr="00E57F2F">
              <w:rPr>
                <w:b/>
                <w:sz w:val="28"/>
                <w:szCs w:val="28"/>
              </w:rPr>
              <w:t>II. Ý kiến khác</w:t>
            </w:r>
          </w:p>
          <w:p w:rsidR="004813CA" w:rsidRDefault="00CB42A3" w:rsidP="009D6755">
            <w:pPr>
              <w:pStyle w:val="NoSpacing"/>
              <w:spacing w:before="120" w:after="120"/>
              <w:ind w:firstLine="567"/>
              <w:jc w:val="both"/>
              <w:rPr>
                <w:b/>
                <w:sz w:val="28"/>
                <w:szCs w:val="28"/>
              </w:rPr>
            </w:pPr>
            <w:r>
              <w:rPr>
                <w:b/>
                <w:sz w:val="28"/>
                <w:szCs w:val="28"/>
              </w:rPr>
              <w:t>Về đề nghị bổ sung biểu quy đổi thuế TNCN từ nhận thu nhập chưa có thuế (NET) sang thu nhập tính thuế (Gross)</w:t>
            </w:r>
          </w:p>
          <w:p w:rsidR="00F44EC4" w:rsidRPr="00E57F2F" w:rsidRDefault="00F44EC4" w:rsidP="004813CA">
            <w:pPr>
              <w:spacing w:after="0" w:line="240" w:lineRule="auto"/>
              <w:ind w:firstLine="371"/>
              <w:jc w:val="both"/>
              <w:rPr>
                <w:rFonts w:ascii="Times New Roman" w:hAnsi="Times New Roman" w:cs="Times New Roman"/>
                <w:b/>
                <w:sz w:val="28"/>
                <w:szCs w:val="28"/>
              </w:rPr>
            </w:pPr>
          </w:p>
        </w:tc>
        <w:tc>
          <w:tcPr>
            <w:tcW w:w="4651" w:type="dxa"/>
          </w:tcPr>
          <w:p w:rsidR="004813CA" w:rsidRPr="00E57F2F" w:rsidRDefault="004813CA"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Việc xác định mức thu nhập của người phụ thuộc là cá nhân không có thu nhập hoặc có thu nhập bình quân tháng ở một mức nhất định, thường tương tương với mức thu nhập của hộ nghèo, hộ cận nghèo. Do đó, cần tính toán mức này phù hợp.</w:t>
            </w: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Đối với khoản chi phí giáo dục, dự thảo Nghị định quy định chi tiết một số điều của Luật Thuế TNCN đã cho phép trừ khoản này trước khi tính thuế TNCN.</w:t>
            </w: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4813CA"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r w:rsidRPr="00E57F2F">
              <w:rPr>
                <w:rFonts w:ascii="Times New Roman" w:eastAsia="Times New Roman" w:hAnsi="Times New Roman" w:cs="Times New Roman"/>
                <w:sz w:val="24"/>
                <w:szCs w:val="24"/>
                <w:lang w:val="nl-NL"/>
              </w:rPr>
              <w:t xml:space="preserve">Nội dung này </w:t>
            </w:r>
            <w:r w:rsidR="00A7237A">
              <w:rPr>
                <w:rFonts w:ascii="Times New Roman" w:eastAsia="Times New Roman" w:hAnsi="Times New Roman" w:cs="Times New Roman"/>
                <w:sz w:val="24"/>
                <w:szCs w:val="24"/>
                <w:lang w:val="nl-NL"/>
              </w:rPr>
              <w:t>thực tế thực hiện không phát sinh vướng mắc, do đó, đề nghị giữ như quy định hiện hành và dự thảo.</w:t>
            </w:r>
            <w:r w:rsidR="00657FE7" w:rsidRPr="00E57F2F">
              <w:rPr>
                <w:rFonts w:ascii="Times New Roman" w:eastAsia="Times New Roman" w:hAnsi="Times New Roman" w:cs="Times New Roman"/>
                <w:sz w:val="24"/>
                <w:szCs w:val="24"/>
                <w:lang w:val="nl-NL"/>
              </w:rPr>
              <w:t xml:space="preserve"> </w:t>
            </w:r>
          </w:p>
          <w:p w:rsidR="004813CA" w:rsidRPr="00E57F2F" w:rsidRDefault="004813CA"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4670C0" w:rsidP="004813CA">
            <w:pPr>
              <w:shd w:val="clear" w:color="auto" w:fill="FFFFFF"/>
              <w:spacing w:before="120" w:after="120" w:line="212" w:lineRule="atLeast"/>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Quy định về độ tuổi lao động thực hiện theo Bộ luật Lao động.</w:t>
            </w: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r w:rsidRPr="00E57F2F">
              <w:rPr>
                <w:rFonts w:ascii="Times New Roman" w:eastAsia="Times New Roman" w:hAnsi="Times New Roman" w:cs="Times New Roman"/>
                <w:sz w:val="24"/>
                <w:szCs w:val="24"/>
                <w:lang w:val="nl-NL"/>
              </w:rPr>
              <w:t xml:space="preserve">Nội dung này </w:t>
            </w:r>
            <w:r>
              <w:rPr>
                <w:rFonts w:ascii="Times New Roman" w:eastAsia="Times New Roman" w:hAnsi="Times New Roman" w:cs="Times New Roman"/>
                <w:sz w:val="24"/>
                <w:szCs w:val="24"/>
                <w:lang w:val="nl-NL"/>
              </w:rPr>
              <w:t>thực tế thực hiện không phát sinh vướng mắc, do đó, đề nghị giữ như quy định hiện hành và dự thảo</w:t>
            </w:r>
          </w:p>
          <w:p w:rsidR="00A3346B" w:rsidRPr="00E57F2F"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Quy định này để đảm bảo đồng bộ với thuế TNDN.</w:t>
            </w: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Pr="00E57F2F"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Pr="00E57F2F"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Tiếp thu</w:t>
            </w: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CB42A3" w:rsidP="004813CA">
            <w:pPr>
              <w:shd w:val="clear" w:color="auto" w:fill="FFFFFF"/>
              <w:spacing w:before="120" w:after="120" w:line="212" w:lineRule="atLeast"/>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Nội dung này đã được quy định tại dự thảo Nghị định quy định chi tiết một số điều của Luật Thuế TNCN.</w:t>
            </w: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6B5245" w:rsidRPr="00E57F2F" w:rsidRDefault="006B5245"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p w:rsidR="00A3346B" w:rsidRDefault="00A3346B" w:rsidP="004813CA">
            <w:pPr>
              <w:shd w:val="clear" w:color="auto" w:fill="FFFFFF"/>
              <w:spacing w:before="120" w:after="120" w:line="212" w:lineRule="atLeast"/>
              <w:jc w:val="both"/>
              <w:rPr>
                <w:rFonts w:ascii="Times New Roman" w:eastAsia="Times New Roman" w:hAnsi="Times New Roman" w:cs="Times New Roman"/>
                <w:sz w:val="24"/>
                <w:szCs w:val="24"/>
                <w:lang w:val="nl-NL"/>
              </w:rPr>
            </w:pPr>
          </w:p>
        </w:tc>
      </w:tr>
    </w:tbl>
    <w:p w:rsidR="00113041" w:rsidRPr="00113041" w:rsidRDefault="00113041" w:rsidP="00113041">
      <w:pPr>
        <w:rPr>
          <w:rFonts w:ascii="Times New Roman" w:hAnsi="Times New Roman" w:cs="Times New Roman"/>
          <w:sz w:val="24"/>
          <w:szCs w:val="24"/>
        </w:rPr>
      </w:pPr>
    </w:p>
    <w:p w:rsidR="0076475A" w:rsidRDefault="0076475A"/>
    <w:sectPr w:rsidR="0076475A" w:rsidSect="00DB4966">
      <w:headerReference w:type="default" r:id="rId8"/>
      <w:pgSz w:w="16840" w:h="11907" w:orient="landscape" w:code="9"/>
      <w:pgMar w:top="1134" w:right="1134" w:bottom="851" w:left="1134" w:header="624"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3CA" w:rsidRDefault="004813CA" w:rsidP="00113041">
      <w:pPr>
        <w:spacing w:after="0" w:line="240" w:lineRule="auto"/>
      </w:pPr>
      <w:r>
        <w:separator/>
      </w:r>
    </w:p>
  </w:endnote>
  <w:endnote w:type="continuationSeparator" w:id="0">
    <w:p w:rsidR="004813CA" w:rsidRDefault="004813CA" w:rsidP="00113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3CA" w:rsidRDefault="004813CA" w:rsidP="00113041">
      <w:pPr>
        <w:spacing w:after="0" w:line="240" w:lineRule="auto"/>
      </w:pPr>
      <w:r>
        <w:separator/>
      </w:r>
    </w:p>
  </w:footnote>
  <w:footnote w:type="continuationSeparator" w:id="0">
    <w:p w:rsidR="004813CA" w:rsidRDefault="004813CA" w:rsidP="001130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062501"/>
      <w:docPartObj>
        <w:docPartGallery w:val="Page Numbers (Top of Page)"/>
        <w:docPartUnique/>
      </w:docPartObj>
    </w:sdtPr>
    <w:sdtContent>
      <w:p w:rsidR="004813CA" w:rsidRDefault="009E2D06">
        <w:pPr>
          <w:pStyle w:val="Header"/>
          <w:jc w:val="center"/>
        </w:pPr>
        <w:fldSimple w:instr=" PAGE   \* MERGEFORMAT ">
          <w:r w:rsidR="007018AB">
            <w:rPr>
              <w:noProof/>
            </w:rPr>
            <w:t>17</w:t>
          </w:r>
        </w:fldSimple>
      </w:p>
    </w:sdtContent>
  </w:sdt>
  <w:p w:rsidR="004813CA" w:rsidRDefault="004813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A01"/>
    <w:multiLevelType w:val="hybridMultilevel"/>
    <w:tmpl w:val="69CA0454"/>
    <w:lvl w:ilvl="0" w:tplc="9AEA6E8C">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nsid w:val="08931DA7"/>
    <w:multiLevelType w:val="hybridMultilevel"/>
    <w:tmpl w:val="676C3BB4"/>
    <w:lvl w:ilvl="0" w:tplc="12B05D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22F0E"/>
    <w:multiLevelType w:val="hybridMultilevel"/>
    <w:tmpl w:val="589022F6"/>
    <w:lvl w:ilvl="0" w:tplc="5846D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E6190"/>
    <w:multiLevelType w:val="hybridMultilevel"/>
    <w:tmpl w:val="DEA600F6"/>
    <w:lvl w:ilvl="0" w:tplc="D23CCCD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1C2F4A"/>
    <w:multiLevelType w:val="hybridMultilevel"/>
    <w:tmpl w:val="51884132"/>
    <w:lvl w:ilvl="0" w:tplc="42A29B7C">
      <w:start w:val="2"/>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nsid w:val="1F5D7440"/>
    <w:multiLevelType w:val="hybridMultilevel"/>
    <w:tmpl w:val="95E87B58"/>
    <w:lvl w:ilvl="0" w:tplc="899456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5C10A81"/>
    <w:multiLevelType w:val="hybridMultilevel"/>
    <w:tmpl w:val="7B7228FA"/>
    <w:lvl w:ilvl="0" w:tplc="6B4CC9C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2AAF3E74"/>
    <w:multiLevelType w:val="hybridMultilevel"/>
    <w:tmpl w:val="1A1E3A0E"/>
    <w:lvl w:ilvl="0" w:tplc="F8709164">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2BA75FD0"/>
    <w:multiLevelType w:val="hybridMultilevel"/>
    <w:tmpl w:val="167018AC"/>
    <w:lvl w:ilvl="0" w:tplc="F5906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B33B3"/>
    <w:multiLevelType w:val="hybridMultilevel"/>
    <w:tmpl w:val="FFCA9482"/>
    <w:lvl w:ilvl="0" w:tplc="73A28E28">
      <w:start w:val="5"/>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30CB1D65"/>
    <w:multiLevelType w:val="hybridMultilevel"/>
    <w:tmpl w:val="E26A983C"/>
    <w:lvl w:ilvl="0" w:tplc="F4A8895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792F58"/>
    <w:multiLevelType w:val="hybridMultilevel"/>
    <w:tmpl w:val="D8A85604"/>
    <w:lvl w:ilvl="0" w:tplc="EE92E228">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2">
    <w:nsid w:val="406F295B"/>
    <w:multiLevelType w:val="multilevel"/>
    <w:tmpl w:val="7AA8F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EC70ED"/>
    <w:multiLevelType w:val="hybridMultilevel"/>
    <w:tmpl w:val="CA5A8C0C"/>
    <w:lvl w:ilvl="0" w:tplc="DA78AA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54B1A09"/>
    <w:multiLevelType w:val="multilevel"/>
    <w:tmpl w:val="E3560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89132F7"/>
    <w:multiLevelType w:val="hybridMultilevel"/>
    <w:tmpl w:val="F75071DA"/>
    <w:lvl w:ilvl="0" w:tplc="DA80059E">
      <w:start w:val="3"/>
      <w:numFmt w:val="bullet"/>
      <w:lvlText w:val=""/>
      <w:lvlJc w:val="left"/>
      <w:pPr>
        <w:ind w:left="1080" w:hanging="360"/>
      </w:pPr>
      <w:rPr>
        <w:rFonts w:ascii="Symbol" w:eastAsia="Batang"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063FD2"/>
    <w:multiLevelType w:val="hybridMultilevel"/>
    <w:tmpl w:val="02CA6B28"/>
    <w:lvl w:ilvl="0" w:tplc="246CC23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41166CE"/>
    <w:multiLevelType w:val="hybridMultilevel"/>
    <w:tmpl w:val="4CC2411A"/>
    <w:lvl w:ilvl="0" w:tplc="3D50939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EA1724"/>
    <w:multiLevelType w:val="hybridMultilevel"/>
    <w:tmpl w:val="8E26D17E"/>
    <w:lvl w:ilvl="0" w:tplc="F8DE1616">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9">
    <w:nsid w:val="56F07A17"/>
    <w:multiLevelType w:val="hybridMultilevel"/>
    <w:tmpl w:val="5D96AD78"/>
    <w:lvl w:ilvl="0" w:tplc="662E6E78">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57163AB0"/>
    <w:multiLevelType w:val="hybridMultilevel"/>
    <w:tmpl w:val="2CE4904C"/>
    <w:lvl w:ilvl="0" w:tplc="2BC699C8">
      <w:start w:val="2"/>
      <w:numFmt w:val="bullet"/>
      <w:lvlText w:val=""/>
      <w:lvlJc w:val="left"/>
      <w:pPr>
        <w:ind w:left="1063" w:hanging="360"/>
      </w:pPr>
      <w:rPr>
        <w:rFonts w:ascii="Symbol" w:eastAsia="Times New Roman" w:hAnsi="Symbol" w:cs="Times New Roman"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21">
    <w:nsid w:val="5A955B7A"/>
    <w:multiLevelType w:val="hybridMultilevel"/>
    <w:tmpl w:val="86CA6636"/>
    <w:lvl w:ilvl="0" w:tplc="DEE0F29A">
      <w:start w:val="1"/>
      <w:numFmt w:val="bullet"/>
      <w:lvlText w:val=""/>
      <w:lvlJc w:val="left"/>
      <w:pPr>
        <w:ind w:left="1066" w:hanging="360"/>
      </w:pPr>
      <w:rPr>
        <w:rFonts w:ascii="Symbol" w:eastAsia="Times New Roman" w:hAnsi="Symbol"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2">
    <w:nsid w:val="5F115DF9"/>
    <w:multiLevelType w:val="hybridMultilevel"/>
    <w:tmpl w:val="B3B00F68"/>
    <w:lvl w:ilvl="0" w:tplc="132CFC9C">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62383F77"/>
    <w:multiLevelType w:val="hybridMultilevel"/>
    <w:tmpl w:val="0B8C3E98"/>
    <w:lvl w:ilvl="0" w:tplc="9172450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7631B8D"/>
    <w:multiLevelType w:val="hybridMultilevel"/>
    <w:tmpl w:val="90F23A96"/>
    <w:lvl w:ilvl="0" w:tplc="2FA8BD6C">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6FCF2FF9"/>
    <w:multiLevelType w:val="hybridMultilevel"/>
    <w:tmpl w:val="D19253FC"/>
    <w:lvl w:ilvl="0" w:tplc="18A83C1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72697DD7"/>
    <w:multiLevelType w:val="hybridMultilevel"/>
    <w:tmpl w:val="FCEEC91E"/>
    <w:lvl w:ilvl="0" w:tplc="4B182FE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727416A1"/>
    <w:multiLevelType w:val="hybridMultilevel"/>
    <w:tmpl w:val="18D0618C"/>
    <w:lvl w:ilvl="0" w:tplc="91B8ED38">
      <w:start w:val="3"/>
      <w:numFmt w:val="bullet"/>
      <w:lvlText w:val="-"/>
      <w:lvlJc w:val="left"/>
      <w:pPr>
        <w:ind w:left="1069" w:hanging="360"/>
      </w:pPr>
      <w:rPr>
        <w:rFonts w:ascii="Times New Roman" w:eastAsia="Times New Roman" w:hAnsi="Times New Roman" w:cs="Times New Roman" w:hint="default"/>
        <w:b w:val="0"/>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7F814E11"/>
    <w:multiLevelType w:val="hybridMultilevel"/>
    <w:tmpl w:val="D3F63168"/>
    <w:lvl w:ilvl="0" w:tplc="FA8202D4">
      <w:start w:val="1"/>
      <w:numFmt w:val="bullet"/>
      <w:lvlText w:val=""/>
      <w:lvlJc w:val="left"/>
      <w:pPr>
        <w:ind w:left="1063" w:hanging="360"/>
      </w:pPr>
      <w:rPr>
        <w:rFonts w:ascii="Symbol" w:eastAsia="Times New Roman" w:hAnsi="Symbol" w:cs="Times New Roman"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num w:numId="1">
    <w:abstractNumId w:val="13"/>
  </w:num>
  <w:num w:numId="2">
    <w:abstractNumId w:val="28"/>
  </w:num>
  <w:num w:numId="3">
    <w:abstractNumId w:val="27"/>
  </w:num>
  <w:num w:numId="4">
    <w:abstractNumId w:val="26"/>
  </w:num>
  <w:num w:numId="5">
    <w:abstractNumId w:val="3"/>
  </w:num>
  <w:num w:numId="6">
    <w:abstractNumId w:val="17"/>
  </w:num>
  <w:num w:numId="7">
    <w:abstractNumId w:val="0"/>
  </w:num>
  <w:num w:numId="8">
    <w:abstractNumId w:val="1"/>
  </w:num>
  <w:num w:numId="9">
    <w:abstractNumId w:val="7"/>
  </w:num>
  <w:num w:numId="10">
    <w:abstractNumId w:val="9"/>
  </w:num>
  <w:num w:numId="11">
    <w:abstractNumId w:val="16"/>
  </w:num>
  <w:num w:numId="12">
    <w:abstractNumId w:val="6"/>
  </w:num>
  <w:num w:numId="13">
    <w:abstractNumId w:val="22"/>
  </w:num>
  <w:num w:numId="14">
    <w:abstractNumId w:val="21"/>
  </w:num>
  <w:num w:numId="15">
    <w:abstractNumId w:val="4"/>
  </w:num>
  <w:num w:numId="16">
    <w:abstractNumId w:val="10"/>
  </w:num>
  <w:num w:numId="17">
    <w:abstractNumId w:val="19"/>
  </w:num>
  <w:num w:numId="18">
    <w:abstractNumId w:val="14"/>
  </w:num>
  <w:num w:numId="19">
    <w:abstractNumId w:val="15"/>
  </w:num>
  <w:num w:numId="20">
    <w:abstractNumId w:val="24"/>
  </w:num>
  <w:num w:numId="21">
    <w:abstractNumId w:val="18"/>
  </w:num>
  <w:num w:numId="22">
    <w:abstractNumId w:val="5"/>
  </w:num>
  <w:num w:numId="23">
    <w:abstractNumId w:val="12"/>
  </w:num>
  <w:num w:numId="24">
    <w:abstractNumId w:val="20"/>
  </w:num>
  <w:num w:numId="25">
    <w:abstractNumId w:val="11"/>
  </w:num>
  <w:num w:numId="26">
    <w:abstractNumId w:val="25"/>
  </w:num>
  <w:num w:numId="27">
    <w:abstractNumId w:val="2"/>
  </w:num>
  <w:num w:numId="28">
    <w:abstractNumId w:val="8"/>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defaultTabStop w:val="720"/>
  <w:drawingGridHorizontalSpacing w:val="11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13041"/>
    <w:rsid w:val="00045B87"/>
    <w:rsid w:val="000813C3"/>
    <w:rsid w:val="000A6957"/>
    <w:rsid w:val="000F7145"/>
    <w:rsid w:val="00100BA6"/>
    <w:rsid w:val="0010332C"/>
    <w:rsid w:val="00113041"/>
    <w:rsid w:val="00120886"/>
    <w:rsid w:val="00126B0C"/>
    <w:rsid w:val="00150168"/>
    <w:rsid w:val="00155D80"/>
    <w:rsid w:val="00161834"/>
    <w:rsid w:val="0016335D"/>
    <w:rsid w:val="001816DF"/>
    <w:rsid w:val="001A618C"/>
    <w:rsid w:val="001C0696"/>
    <w:rsid w:val="0020432E"/>
    <w:rsid w:val="00205417"/>
    <w:rsid w:val="00211349"/>
    <w:rsid w:val="00217AC8"/>
    <w:rsid w:val="00222F2A"/>
    <w:rsid w:val="002435F2"/>
    <w:rsid w:val="002508EB"/>
    <w:rsid w:val="00254666"/>
    <w:rsid w:val="0026549E"/>
    <w:rsid w:val="00287654"/>
    <w:rsid w:val="002C217B"/>
    <w:rsid w:val="00380D17"/>
    <w:rsid w:val="0038632E"/>
    <w:rsid w:val="00465DD9"/>
    <w:rsid w:val="004670C0"/>
    <w:rsid w:val="004813CA"/>
    <w:rsid w:val="00524286"/>
    <w:rsid w:val="0058515E"/>
    <w:rsid w:val="00585E76"/>
    <w:rsid w:val="005865F7"/>
    <w:rsid w:val="00621C9B"/>
    <w:rsid w:val="00645F8D"/>
    <w:rsid w:val="00655B9F"/>
    <w:rsid w:val="00657FE7"/>
    <w:rsid w:val="006767ED"/>
    <w:rsid w:val="006B392C"/>
    <w:rsid w:val="006B5245"/>
    <w:rsid w:val="00700C76"/>
    <w:rsid w:val="007018AB"/>
    <w:rsid w:val="0076475A"/>
    <w:rsid w:val="00772F63"/>
    <w:rsid w:val="00805244"/>
    <w:rsid w:val="00810BE0"/>
    <w:rsid w:val="0083207B"/>
    <w:rsid w:val="00860254"/>
    <w:rsid w:val="008B746B"/>
    <w:rsid w:val="008C43EF"/>
    <w:rsid w:val="009047FF"/>
    <w:rsid w:val="00920A77"/>
    <w:rsid w:val="00976819"/>
    <w:rsid w:val="009A40A0"/>
    <w:rsid w:val="009B250F"/>
    <w:rsid w:val="009D6755"/>
    <w:rsid w:val="009D6BC8"/>
    <w:rsid w:val="009E2D06"/>
    <w:rsid w:val="009F00FA"/>
    <w:rsid w:val="00A3346B"/>
    <w:rsid w:val="00A43914"/>
    <w:rsid w:val="00A5013B"/>
    <w:rsid w:val="00A7237A"/>
    <w:rsid w:val="00AD30E4"/>
    <w:rsid w:val="00AF2B4A"/>
    <w:rsid w:val="00B03DF5"/>
    <w:rsid w:val="00B045D9"/>
    <w:rsid w:val="00B04721"/>
    <w:rsid w:val="00B54022"/>
    <w:rsid w:val="00B6509B"/>
    <w:rsid w:val="00B719D0"/>
    <w:rsid w:val="00BD26BF"/>
    <w:rsid w:val="00C03636"/>
    <w:rsid w:val="00C163C4"/>
    <w:rsid w:val="00C734A4"/>
    <w:rsid w:val="00CA227B"/>
    <w:rsid w:val="00CB42A3"/>
    <w:rsid w:val="00CE6927"/>
    <w:rsid w:val="00CF7705"/>
    <w:rsid w:val="00D04D5E"/>
    <w:rsid w:val="00D478E2"/>
    <w:rsid w:val="00D5096C"/>
    <w:rsid w:val="00D97302"/>
    <w:rsid w:val="00DB37DF"/>
    <w:rsid w:val="00DB4966"/>
    <w:rsid w:val="00DD75D0"/>
    <w:rsid w:val="00DE6062"/>
    <w:rsid w:val="00E0105C"/>
    <w:rsid w:val="00E12547"/>
    <w:rsid w:val="00E57F2F"/>
    <w:rsid w:val="00E701EE"/>
    <w:rsid w:val="00EE6008"/>
    <w:rsid w:val="00EE6F90"/>
    <w:rsid w:val="00F061AE"/>
    <w:rsid w:val="00F15DE3"/>
    <w:rsid w:val="00F23C39"/>
    <w:rsid w:val="00F4338E"/>
    <w:rsid w:val="00F44EC4"/>
    <w:rsid w:val="00F50D27"/>
    <w:rsid w:val="00FF0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41"/>
    <w:rPr>
      <w:rFonts w:asciiTheme="minorHAnsi" w:hAnsiTheme="minorHAnsi" w:cstheme="minorBidi"/>
      <w:sz w:val="22"/>
      <w:szCs w:val="22"/>
    </w:rPr>
  </w:style>
  <w:style w:type="paragraph" w:styleId="Heading1">
    <w:name w:val="heading 1"/>
    <w:basedOn w:val="Normal"/>
    <w:next w:val="Normal"/>
    <w:link w:val="Heading1Char"/>
    <w:uiPriority w:val="9"/>
    <w:qFormat/>
    <w:rsid w:val="00113041"/>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qFormat/>
    <w:rsid w:val="00113041"/>
    <w:pPr>
      <w:keepNext/>
      <w:spacing w:after="0" w:line="240" w:lineRule="auto"/>
      <w:jc w:val="center"/>
      <w:outlineLvl w:val="2"/>
    </w:pPr>
    <w:rPr>
      <w:rFonts w:ascii=".VnTime" w:eastAsia="Times New Roman" w:hAnsi=".VnTime" w:cs="Times New Roman"/>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041"/>
    <w:rPr>
      <w:rFonts w:ascii="Cambria" w:eastAsia="Times New Roman" w:hAnsi="Cambria"/>
      <w:b/>
      <w:bCs/>
      <w:kern w:val="32"/>
      <w:sz w:val="32"/>
      <w:szCs w:val="32"/>
    </w:rPr>
  </w:style>
  <w:style w:type="character" w:customStyle="1" w:styleId="Heading3Char">
    <w:name w:val="Heading 3 Char"/>
    <w:basedOn w:val="DefaultParagraphFont"/>
    <w:link w:val="Heading3"/>
    <w:rsid w:val="00113041"/>
    <w:rPr>
      <w:rFonts w:ascii=".VnTime" w:eastAsia="Times New Roman" w:hAnsi=".VnTime"/>
      <w:b/>
      <w:color w:val="0000FF"/>
      <w:sz w:val="32"/>
      <w:szCs w:val="20"/>
    </w:rPr>
  </w:style>
  <w:style w:type="character" w:styleId="Hyperlink">
    <w:name w:val="Hyperlink"/>
    <w:basedOn w:val="DefaultParagraphFont"/>
    <w:uiPriority w:val="99"/>
    <w:unhideWhenUsed/>
    <w:rsid w:val="00113041"/>
    <w:rPr>
      <w:color w:val="0000FF" w:themeColor="hyperlink"/>
      <w:u w:val="single"/>
    </w:rPr>
  </w:style>
  <w:style w:type="paragraph" w:styleId="NormalWeb">
    <w:name w:val="Normal (Web)"/>
    <w:aliases w:val="Char Char,Normal (Web) Char1,Char8 Char,Char8,webb,Обычный (веб)1,Обычный (веб) Знак,Обычный (веб) Знак1,Обычный (веб) Знак Знак,표준 (웹),Char Char5,Char Char Char Char Char Char Char Char Char Char Char Char,Char Char Char1, Char Char25"/>
    <w:basedOn w:val="Normal"/>
    <w:link w:val="NormalWebChar"/>
    <w:uiPriority w:val="99"/>
    <w:unhideWhenUsed/>
    <w:qFormat/>
    <w:rsid w:val="00113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113041"/>
    <w:pPr>
      <w:spacing w:after="160" w:line="240" w:lineRule="exact"/>
    </w:pPr>
    <w:rPr>
      <w:rFonts w:ascii="Verdana" w:eastAsia="Times New Roman" w:hAnsi="Verdana" w:cs="Verdana"/>
      <w:sz w:val="20"/>
      <w:szCs w:val="20"/>
    </w:rPr>
  </w:style>
  <w:style w:type="table" w:styleId="TableGrid">
    <w:name w:val="Table Grid"/>
    <w:basedOn w:val="TableNormal"/>
    <w:rsid w:val="0011304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rsid w:val="00113041"/>
    <w:pPr>
      <w:spacing w:before="120" w:after="40" w:line="300" w:lineRule="atLeast"/>
      <w:ind w:firstLine="510"/>
      <w:jc w:val="both"/>
    </w:pPr>
    <w:rPr>
      <w:rFonts w:ascii=".VnTime" w:eastAsia="Times New Roman" w:hAnsi=".VnTime" w:cs="Times New Roman"/>
      <w:color w:val="000000"/>
      <w:szCs w:val="20"/>
    </w:rPr>
  </w:style>
  <w:style w:type="paragraph" w:styleId="BodyTextIndent">
    <w:name w:val="Body Text Indent"/>
    <w:aliases w:val="Body Text Indent Char1"/>
    <w:basedOn w:val="Normal"/>
    <w:link w:val="BodyTextIndentChar"/>
    <w:rsid w:val="00113041"/>
    <w:pPr>
      <w:spacing w:after="40" w:line="300" w:lineRule="atLeast"/>
      <w:ind w:firstLine="454"/>
      <w:jc w:val="both"/>
    </w:pPr>
    <w:rPr>
      <w:rFonts w:ascii=".VnTime" w:eastAsia="Times New Roman" w:hAnsi=".VnTime" w:cs="Times New Roman"/>
      <w:color w:val="000000"/>
      <w:szCs w:val="20"/>
    </w:rPr>
  </w:style>
  <w:style w:type="character" w:customStyle="1" w:styleId="BodyTextIndentChar">
    <w:name w:val="Body Text Indent Char"/>
    <w:aliases w:val="Body Text Indent Char1 Char"/>
    <w:basedOn w:val="DefaultParagraphFont"/>
    <w:link w:val="BodyTextIndent"/>
    <w:rsid w:val="00113041"/>
    <w:rPr>
      <w:rFonts w:ascii=".VnTime" w:eastAsia="Times New Roman" w:hAnsi=".VnTime"/>
      <w:color w:val="000000"/>
      <w:sz w:val="22"/>
      <w:szCs w:val="20"/>
    </w:rPr>
  </w:style>
  <w:style w:type="paragraph" w:customStyle="1" w:styleId="CharCharCharCharCharCharCharCharCharChar">
    <w:name w:val="Char Char Char Char Char Char Char Char Char Char"/>
    <w:basedOn w:val="Normal"/>
    <w:autoRedefine/>
    <w:rsid w:val="00113041"/>
    <w:pPr>
      <w:spacing w:after="160" w:line="240" w:lineRule="exact"/>
    </w:pPr>
    <w:rPr>
      <w:rFonts w:ascii="Verdana" w:eastAsia="Times New Roman" w:hAnsi="Verdana" w:cs="Verdana"/>
      <w:sz w:val="20"/>
      <w:szCs w:val="20"/>
    </w:rPr>
  </w:style>
  <w:style w:type="paragraph" w:customStyle="1" w:styleId="CharCharCharChar">
    <w:name w:val="Char Char Char Char"/>
    <w:basedOn w:val="Normal"/>
    <w:rsid w:val="00113041"/>
    <w:pPr>
      <w:spacing w:after="160" w:line="240" w:lineRule="exact"/>
    </w:pPr>
    <w:rPr>
      <w:rFonts w:ascii="Verdana" w:eastAsia="Times New Roman" w:hAnsi="Verdana" w:cs="Angsana New"/>
      <w:sz w:val="20"/>
      <w:szCs w:val="20"/>
      <w:lang w:val="en-GB"/>
    </w:rPr>
  </w:style>
  <w:style w:type="paragraph" w:customStyle="1" w:styleId="CharCharChar">
    <w:name w:val="Char Char Char"/>
    <w:basedOn w:val="Normal"/>
    <w:rsid w:val="00113041"/>
    <w:pPr>
      <w:spacing w:after="160" w:line="240" w:lineRule="exact"/>
    </w:pPr>
    <w:rPr>
      <w:rFonts w:ascii="Verdana" w:eastAsia="Times New Roman" w:hAnsi="Verdana" w:cs="Times New Roman"/>
      <w:sz w:val="20"/>
      <w:szCs w:val="20"/>
    </w:rPr>
  </w:style>
  <w:style w:type="paragraph" w:customStyle="1" w:styleId="normal-p">
    <w:name w:val="normal-p"/>
    <w:basedOn w:val="Normal"/>
    <w:rsid w:val="00113041"/>
    <w:pPr>
      <w:spacing w:before="150" w:after="150"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113041"/>
  </w:style>
  <w:style w:type="paragraph" w:styleId="BodyText">
    <w:name w:val="Body Text"/>
    <w:basedOn w:val="Normal"/>
    <w:link w:val="BodyTextChar"/>
    <w:qFormat/>
    <w:rsid w:val="00113041"/>
    <w:pPr>
      <w:spacing w:after="0" w:line="240" w:lineRule="auto"/>
      <w:jc w:val="center"/>
    </w:pPr>
    <w:rPr>
      <w:rFonts w:ascii=".VnTime" w:eastAsia="Times New Roman" w:hAnsi=".VnTime" w:cs="Times New Roman"/>
      <w:b/>
      <w:i/>
      <w:sz w:val="28"/>
      <w:szCs w:val="20"/>
      <w:lang w:eastAsia="en-GB"/>
    </w:rPr>
  </w:style>
  <w:style w:type="character" w:customStyle="1" w:styleId="BodyTextChar">
    <w:name w:val="Body Text Char"/>
    <w:basedOn w:val="DefaultParagraphFont"/>
    <w:link w:val="BodyText"/>
    <w:rsid w:val="00113041"/>
    <w:rPr>
      <w:rFonts w:ascii=".VnTime" w:eastAsia="Times New Roman" w:hAnsi=".VnTime"/>
      <w:b/>
      <w:i/>
      <w:szCs w:val="20"/>
      <w:lang w:eastAsia="en-GB"/>
    </w:rPr>
  </w:style>
  <w:style w:type="paragraph" w:customStyle="1" w:styleId="dieu0">
    <w:name w:val="dieu"/>
    <w:basedOn w:val="Normal"/>
    <w:link w:val="dieuChar"/>
    <w:rsid w:val="00113041"/>
    <w:pPr>
      <w:spacing w:after="120" w:line="240" w:lineRule="auto"/>
      <w:ind w:firstLine="720"/>
    </w:pPr>
    <w:rPr>
      <w:rFonts w:ascii="Times New Roman" w:eastAsia="Times New Roman" w:hAnsi="Times New Roman" w:cs="Times New Roman"/>
      <w:b/>
      <w:color w:val="0000FF"/>
      <w:sz w:val="26"/>
      <w:szCs w:val="20"/>
    </w:rPr>
  </w:style>
  <w:style w:type="character" w:customStyle="1" w:styleId="dieuChar">
    <w:name w:val="dieu Char"/>
    <w:link w:val="dieu0"/>
    <w:rsid w:val="00113041"/>
    <w:rPr>
      <w:rFonts w:eastAsia="Times New Roman"/>
      <w:b/>
      <w:color w:val="0000FF"/>
      <w:sz w:val="26"/>
      <w:szCs w:val="20"/>
    </w:rPr>
  </w:style>
  <w:style w:type="paragraph" w:customStyle="1" w:styleId="n-dieu">
    <w:name w:val="n-dieu"/>
    <w:basedOn w:val="Normal"/>
    <w:link w:val="n-dieuChar"/>
    <w:autoRedefine/>
    <w:rsid w:val="00113041"/>
    <w:pPr>
      <w:spacing w:before="240" w:after="120" w:line="240" w:lineRule="auto"/>
      <w:ind w:left="57" w:firstLine="627"/>
      <w:jc w:val="both"/>
    </w:pPr>
    <w:rPr>
      <w:rFonts w:ascii=".VnTime" w:eastAsia="Times New Roman" w:hAnsi=".VnTime" w:cs="Times New Roman"/>
      <w:b/>
      <w:i/>
      <w:sz w:val="28"/>
      <w:szCs w:val="28"/>
      <w:lang w:val="pt-BR" w:eastAsia="ja-JP"/>
    </w:rPr>
  </w:style>
  <w:style w:type="paragraph" w:customStyle="1" w:styleId="n-dieund">
    <w:name w:val="n-dieund"/>
    <w:basedOn w:val="Normal"/>
    <w:rsid w:val="00113041"/>
    <w:pPr>
      <w:spacing w:after="120" w:line="240" w:lineRule="auto"/>
      <w:ind w:firstLine="709"/>
      <w:jc w:val="both"/>
    </w:pPr>
    <w:rPr>
      <w:rFonts w:ascii=".VnTime" w:eastAsia="Times New Roman" w:hAnsi=".VnTime" w:cs="Times New Roman"/>
      <w:sz w:val="28"/>
      <w:szCs w:val="20"/>
      <w:lang w:eastAsia="ja-JP"/>
    </w:rPr>
  </w:style>
  <w:style w:type="character" w:customStyle="1" w:styleId="n-dieuChar">
    <w:name w:val="n-dieu Char"/>
    <w:link w:val="n-dieu"/>
    <w:rsid w:val="00113041"/>
    <w:rPr>
      <w:rFonts w:ascii=".VnTime" w:eastAsia="Times New Roman" w:hAnsi=".VnTime"/>
      <w:b/>
      <w:i/>
      <w:lang w:val="pt-BR" w:eastAsia="ja-JP"/>
    </w:rPr>
  </w:style>
  <w:style w:type="paragraph" w:customStyle="1" w:styleId="CharCharCharCharCharCharCharCharCharCharCharCharCharCharCharChar">
    <w:name w:val="Char Char Char Char Char Char Char Char Char Char Char Char Char Char Char Char"/>
    <w:basedOn w:val="Normal"/>
    <w:semiHidden/>
    <w:rsid w:val="00113041"/>
    <w:pPr>
      <w:spacing w:after="160" w:line="240" w:lineRule="exact"/>
    </w:pPr>
    <w:rPr>
      <w:rFonts w:ascii="Arial" w:eastAsia="Times New Roman" w:hAnsi="Arial" w:cs="Times New Roman"/>
    </w:rPr>
  </w:style>
  <w:style w:type="character" w:styleId="Strong">
    <w:name w:val="Strong"/>
    <w:qFormat/>
    <w:rsid w:val="00113041"/>
    <w:rPr>
      <w:b/>
      <w:bCs/>
    </w:rPr>
  </w:style>
  <w:style w:type="character" w:customStyle="1" w:styleId="dieuchar0">
    <w:name w:val="dieuchar"/>
    <w:rsid w:val="00113041"/>
    <w:rPr>
      <w:b/>
      <w:bCs/>
      <w:color w:val="0000FF"/>
    </w:rPr>
  </w:style>
  <w:style w:type="paragraph" w:styleId="BodyTextIndent2">
    <w:name w:val="Body Text Indent 2"/>
    <w:basedOn w:val="Normal"/>
    <w:link w:val="BodyTextIndent2Char"/>
    <w:rsid w:val="00113041"/>
    <w:pPr>
      <w:spacing w:after="120" w:line="480" w:lineRule="auto"/>
      <w:ind w:left="36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113041"/>
    <w:rPr>
      <w:rFonts w:eastAsia="Times New Roman"/>
      <w:sz w:val="26"/>
      <w:szCs w:val="26"/>
    </w:rPr>
  </w:style>
  <w:style w:type="paragraph" w:customStyle="1" w:styleId="Baocao">
    <w:name w:val="Baocao"/>
    <w:basedOn w:val="Normal"/>
    <w:rsid w:val="00113041"/>
    <w:pPr>
      <w:widowControl w:val="0"/>
      <w:spacing w:before="120" w:after="120" w:line="240" w:lineRule="auto"/>
      <w:ind w:firstLine="720"/>
      <w:jc w:val="both"/>
    </w:pPr>
    <w:rPr>
      <w:rFonts w:ascii=".VnTime" w:eastAsia="Times New Roman" w:hAnsi=".VnTime" w:cs="Times New Roman"/>
      <w:sz w:val="28"/>
      <w:szCs w:val="20"/>
    </w:rPr>
  </w:style>
  <w:style w:type="paragraph" w:customStyle="1" w:styleId="CharCharCharCharCharCharCharCharChar1CharCharCharChar">
    <w:name w:val="Char Char Char Char Char Char Char Char Char1 Char Char Char Char"/>
    <w:basedOn w:val="Normal"/>
    <w:rsid w:val="00113041"/>
    <w:pPr>
      <w:spacing w:after="160" w:line="240" w:lineRule="exact"/>
    </w:pPr>
    <w:rPr>
      <w:rFonts w:ascii="Verdana" w:eastAsia="Times New Roman" w:hAnsi="Verdana" w:cs="Times New Roman"/>
      <w:sz w:val="20"/>
      <w:szCs w:val="20"/>
    </w:rPr>
  </w:style>
  <w:style w:type="character" w:customStyle="1" w:styleId="normalchar1">
    <w:name w:val="normal__char1"/>
    <w:rsid w:val="00113041"/>
    <w:rPr>
      <w:rFonts w:ascii="Arial" w:hAnsi="Arial" w:cs="Arial" w:hint="default"/>
      <w:sz w:val="22"/>
      <w:szCs w:val="22"/>
    </w:rPr>
  </w:style>
  <w:style w:type="paragraph" w:styleId="Header">
    <w:name w:val="header"/>
    <w:basedOn w:val="Normal"/>
    <w:link w:val="HeaderChar"/>
    <w:uiPriority w:val="99"/>
    <w:rsid w:val="00113041"/>
    <w:pPr>
      <w:tabs>
        <w:tab w:val="center" w:pos="4680"/>
        <w:tab w:val="right" w:pos="936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uiPriority w:val="99"/>
    <w:rsid w:val="00113041"/>
    <w:rPr>
      <w:rFonts w:eastAsia="Times New Roman"/>
      <w:sz w:val="26"/>
      <w:szCs w:val="26"/>
    </w:rPr>
  </w:style>
  <w:style w:type="paragraph" w:styleId="Footer">
    <w:name w:val="footer"/>
    <w:basedOn w:val="Normal"/>
    <w:link w:val="FooterChar"/>
    <w:uiPriority w:val="99"/>
    <w:rsid w:val="00113041"/>
    <w:pPr>
      <w:tabs>
        <w:tab w:val="center" w:pos="4680"/>
        <w:tab w:val="right" w:pos="9360"/>
      </w:tabs>
      <w:spacing w:after="0" w:line="240" w:lineRule="auto"/>
    </w:pPr>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rsid w:val="00113041"/>
    <w:rPr>
      <w:rFonts w:eastAsia="Times New Roman"/>
      <w:sz w:val="26"/>
      <w:szCs w:val="26"/>
    </w:rPr>
  </w:style>
  <w:style w:type="paragraph" w:styleId="BodyText2">
    <w:name w:val="Body Text 2"/>
    <w:basedOn w:val="Normal"/>
    <w:link w:val="BodyText2Char"/>
    <w:rsid w:val="00113041"/>
    <w:pPr>
      <w:spacing w:after="120" w:line="48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113041"/>
    <w:rPr>
      <w:rFonts w:eastAsia="Times New Roman"/>
      <w:sz w:val="26"/>
      <w:szCs w:val="26"/>
    </w:rPr>
  </w:style>
  <w:style w:type="paragraph" w:styleId="BalloonText">
    <w:name w:val="Balloon Text"/>
    <w:basedOn w:val="Normal"/>
    <w:link w:val="BalloonTextChar"/>
    <w:rsid w:val="001130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13041"/>
    <w:rPr>
      <w:rFonts w:ascii="Tahoma" w:eastAsia="Times New Roman" w:hAnsi="Tahoma" w:cs="Tahoma"/>
      <w:sz w:val="16"/>
      <w:szCs w:val="16"/>
    </w:rPr>
  </w:style>
  <w:style w:type="paragraph" w:styleId="FootnoteText">
    <w:name w:val="footnote text"/>
    <w:basedOn w:val="Normal"/>
    <w:link w:val="FootnoteTextChar"/>
    <w:rsid w:val="0011304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13041"/>
    <w:rPr>
      <w:rFonts w:eastAsia="Times New Roman"/>
      <w:sz w:val="20"/>
      <w:szCs w:val="20"/>
    </w:rPr>
  </w:style>
  <w:style w:type="character" w:styleId="FootnoteReference">
    <w:name w:val="footnote reference"/>
    <w:rsid w:val="00113041"/>
    <w:rPr>
      <w:rFonts w:cs="Times New Roman"/>
      <w:vertAlign w:val="superscript"/>
    </w:rPr>
  </w:style>
  <w:style w:type="paragraph" w:styleId="Subtitle">
    <w:name w:val="Subtitle"/>
    <w:basedOn w:val="Normal"/>
    <w:next w:val="Normal"/>
    <w:link w:val="SubtitleChar"/>
    <w:qFormat/>
    <w:rsid w:val="0011304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113041"/>
    <w:rPr>
      <w:rFonts w:ascii="Cambria" w:eastAsia="Times New Roman" w:hAnsi="Cambria"/>
      <w:sz w:val="24"/>
      <w:szCs w:val="24"/>
    </w:rPr>
  </w:style>
  <w:style w:type="character" w:customStyle="1" w:styleId="normal-h1">
    <w:name w:val="normal-h1"/>
    <w:rsid w:val="00113041"/>
    <w:rPr>
      <w:rFonts w:ascii="Times New Roman" w:hAnsi="Times New Roman" w:cs="Times New Roman"/>
      <w:sz w:val="28"/>
      <w:szCs w:val="28"/>
    </w:rPr>
  </w:style>
  <w:style w:type="paragraph" w:customStyle="1" w:styleId="ColorfulList-Accent11">
    <w:name w:val="Colorful List - Accent 11"/>
    <w:basedOn w:val="Normal"/>
    <w:link w:val="ColorfulList-Accent1Char"/>
    <w:uiPriority w:val="34"/>
    <w:qFormat/>
    <w:rsid w:val="00113041"/>
    <w:pPr>
      <w:ind w:left="720"/>
    </w:pPr>
    <w:rPr>
      <w:rFonts w:ascii="Times New Roman" w:eastAsia="SimSun" w:hAnsi="Times New Roman" w:cs="Times New Roman"/>
      <w:sz w:val="24"/>
      <w:szCs w:val="24"/>
      <w:lang w:eastAsia="zh-CN"/>
    </w:rPr>
  </w:style>
  <w:style w:type="character" w:customStyle="1" w:styleId="ColorfulList-Accent1Char">
    <w:name w:val="Colorful List - Accent 1 Char"/>
    <w:link w:val="ColorfulList-Accent11"/>
    <w:uiPriority w:val="34"/>
    <w:locked/>
    <w:rsid w:val="00113041"/>
    <w:rPr>
      <w:rFonts w:eastAsia="SimSun"/>
      <w:sz w:val="24"/>
      <w:szCs w:val="24"/>
      <w:lang w:eastAsia="zh-CN"/>
    </w:rPr>
  </w:style>
  <w:style w:type="paragraph" w:styleId="ListParagraph">
    <w:name w:val="List Paragraph"/>
    <w:aliases w:val="A2,henry cuerpo,List Paragraph1,箇条書,リスト段落1"/>
    <w:basedOn w:val="Normal"/>
    <w:link w:val="ListParagraphChar"/>
    <w:uiPriority w:val="34"/>
    <w:qFormat/>
    <w:rsid w:val="00113041"/>
    <w:pPr>
      <w:ind w:left="720"/>
    </w:pPr>
    <w:rPr>
      <w:rFonts w:ascii="Times New Roman" w:eastAsia="SimSun" w:hAnsi="Times New Roman" w:cs="Times New Roman"/>
      <w:sz w:val="24"/>
      <w:szCs w:val="24"/>
      <w:lang w:eastAsia="zh-CN"/>
    </w:rPr>
  </w:style>
  <w:style w:type="character" w:customStyle="1" w:styleId="ListParagraphChar">
    <w:name w:val="List Paragraph Char"/>
    <w:aliases w:val="A2 Char,henry cuerpo Char,List Paragraph1 Char,箇条書 Char,リスト段落1 Char"/>
    <w:link w:val="ListParagraph"/>
    <w:uiPriority w:val="34"/>
    <w:locked/>
    <w:rsid w:val="00113041"/>
    <w:rPr>
      <w:rFonts w:eastAsia="SimSun"/>
      <w:sz w:val="24"/>
      <w:szCs w:val="24"/>
      <w:lang w:eastAsia="zh-CN"/>
    </w:rPr>
  </w:style>
  <w:style w:type="character" w:customStyle="1" w:styleId="Vnbnnidung">
    <w:name w:val="Văn bản nội dung_"/>
    <w:link w:val="Vnbnnidung0"/>
    <w:rsid w:val="00113041"/>
    <w:rPr>
      <w:sz w:val="26"/>
      <w:szCs w:val="26"/>
    </w:rPr>
  </w:style>
  <w:style w:type="paragraph" w:customStyle="1" w:styleId="Vnbnnidung0">
    <w:name w:val="Văn bản nội dung"/>
    <w:basedOn w:val="Normal"/>
    <w:link w:val="Vnbnnidung"/>
    <w:rsid w:val="00113041"/>
    <w:pPr>
      <w:widowControl w:val="0"/>
      <w:spacing w:after="100" w:line="240" w:lineRule="auto"/>
      <w:ind w:firstLine="320"/>
    </w:pPr>
    <w:rPr>
      <w:rFonts w:ascii="Times New Roman" w:hAnsi="Times New Roman" w:cs="Times New Roman"/>
      <w:sz w:val="26"/>
      <w:szCs w:val="26"/>
    </w:rPr>
  </w:style>
  <w:style w:type="character" w:customStyle="1" w:styleId="NormalWebChar">
    <w:name w:val="Normal (Web) Char"/>
    <w:aliases w:val="Char Char Char2,Normal (Web) Char1 Char,Char8 Char Char,Char8 Char1,webb Char,Обычный (веб)1 Char,Обычный (веб) Знак Char,Обычный (веб) Знак1 Char,Обычный (веб) Знак Знак Char,표준 (웹) Char,Char Char5 Char,Char Char Char1 Char"/>
    <w:link w:val="NormalWeb"/>
    <w:uiPriority w:val="99"/>
    <w:locked/>
    <w:rsid w:val="00113041"/>
    <w:rPr>
      <w:rFonts w:eastAsia="Times New Roman"/>
      <w:sz w:val="24"/>
      <w:szCs w:val="24"/>
    </w:rPr>
  </w:style>
  <w:style w:type="character" w:customStyle="1" w:styleId="uv3um">
    <w:name w:val="uv3um"/>
    <w:basedOn w:val="DefaultParagraphFont"/>
    <w:rsid w:val="00113041"/>
  </w:style>
  <w:style w:type="paragraph" w:customStyle="1" w:styleId="Vv">
    <w:name w:val="V/v"/>
    <w:basedOn w:val="Normal"/>
    <w:rsid w:val="00113041"/>
    <w:pPr>
      <w:tabs>
        <w:tab w:val="center" w:pos="1701"/>
      </w:tabs>
      <w:spacing w:before="60" w:after="0" w:line="260" w:lineRule="atLeast"/>
      <w:jc w:val="both"/>
    </w:pPr>
    <w:rPr>
      <w:rFonts w:ascii=".VnTime" w:eastAsia="Times New Roman" w:hAnsi=".VnTime" w:cs=".VnTime"/>
    </w:rPr>
  </w:style>
  <w:style w:type="paragraph" w:styleId="NoSpacing">
    <w:name w:val="No Spacing"/>
    <w:uiPriority w:val="1"/>
    <w:qFormat/>
    <w:rsid w:val="004813CA"/>
    <w:pPr>
      <w:spacing w:after="0" w:line="240" w:lineRule="auto"/>
    </w:pPr>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3D51D-E698-4196-A022-95CD410A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17</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Ngoc Giap</dc:creator>
  <cp:lastModifiedBy>phamthiquynh</cp:lastModifiedBy>
  <cp:revision>34</cp:revision>
  <cp:lastPrinted>2026-04-10T09:16:00Z</cp:lastPrinted>
  <dcterms:created xsi:type="dcterms:W3CDTF">2026-01-30T08:41:00Z</dcterms:created>
  <dcterms:modified xsi:type="dcterms:W3CDTF">2026-04-10T09:18:00Z</dcterms:modified>
</cp:coreProperties>
</file>