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E2B7" w14:textId="77777777" w:rsidR="00025A35" w:rsidRPr="00025A35" w:rsidRDefault="00025A35" w:rsidP="00025A35">
      <w:pPr>
        <w:jc w:val="center"/>
        <w:rPr>
          <w:rFonts w:ascii="Times New Roman" w:hAnsi="Times New Roman" w:cs="Times New Roman"/>
          <w:b/>
          <w:sz w:val="28"/>
          <w:szCs w:val="28"/>
        </w:rPr>
      </w:pPr>
      <w:r w:rsidRPr="00025A35">
        <w:rPr>
          <w:rFonts w:ascii="Times New Roman" w:hAnsi="Times New Roman" w:cs="Times New Roman"/>
          <w:b/>
          <w:sz w:val="28"/>
          <w:szCs w:val="28"/>
        </w:rPr>
        <w:t>PHỤ LỤC</w:t>
      </w:r>
    </w:p>
    <w:p w14:paraId="20986B1D" w14:textId="77777777" w:rsidR="00025A35" w:rsidRPr="00025A35" w:rsidRDefault="00025A35" w:rsidP="00025A35">
      <w:pPr>
        <w:jc w:val="center"/>
        <w:rPr>
          <w:rFonts w:ascii="Times New Roman" w:hAnsi="Times New Roman" w:cs="Times New Roman"/>
          <w:b/>
          <w:sz w:val="28"/>
          <w:szCs w:val="28"/>
        </w:rPr>
      </w:pPr>
      <w:r w:rsidRPr="00025A35">
        <w:rPr>
          <w:rFonts w:ascii="Times New Roman" w:hAnsi="Times New Roman" w:cs="Times New Roman"/>
          <w:b/>
          <w:sz w:val="28"/>
          <w:szCs w:val="28"/>
        </w:rPr>
        <w:t xml:space="preserve">TỔNG HỢP MỘT SỐ VƯỚNG MẮC TRONG QUÁ TRÌNH THI HÀNH </w:t>
      </w:r>
    </w:p>
    <w:p w14:paraId="1251E8D7" w14:textId="77777777" w:rsidR="00025A35" w:rsidRPr="00025A35" w:rsidRDefault="00025A35" w:rsidP="00025A35">
      <w:pPr>
        <w:jc w:val="center"/>
        <w:rPr>
          <w:rFonts w:ascii="Times New Roman" w:hAnsi="Times New Roman" w:cs="Times New Roman"/>
          <w:b/>
          <w:sz w:val="28"/>
          <w:szCs w:val="28"/>
        </w:rPr>
      </w:pPr>
      <w:r w:rsidRPr="00025A35">
        <w:rPr>
          <w:rFonts w:ascii="Times New Roman" w:hAnsi="Times New Roman" w:cs="Times New Roman"/>
          <w:b/>
          <w:sz w:val="28"/>
          <w:szCs w:val="28"/>
        </w:rPr>
        <w:t>CÁC VĂN BẢN HƯỚNG DẪN LUẬT HÓA CHẤT 2025</w:t>
      </w:r>
    </w:p>
    <w:p w14:paraId="6B5E4783" w14:textId="7A3EB905" w:rsidR="00025A35" w:rsidRPr="00025A35" w:rsidRDefault="00025A35" w:rsidP="00025A35">
      <w:pPr>
        <w:jc w:val="center"/>
        <w:rPr>
          <w:rFonts w:ascii="Times New Roman" w:hAnsi="Times New Roman" w:cs="Times New Roman"/>
          <w:i/>
          <w:sz w:val="26"/>
          <w:szCs w:val="26"/>
        </w:rPr>
      </w:pPr>
      <w:r w:rsidRPr="00025A35">
        <w:rPr>
          <w:rFonts w:ascii="Times New Roman" w:hAnsi="Times New Roman" w:cs="Times New Roman"/>
          <w:i/>
          <w:sz w:val="26"/>
          <w:szCs w:val="26"/>
        </w:rPr>
        <w:t xml:space="preserve">(Phụ lục đính </w:t>
      </w:r>
      <w:proofErr w:type="spellStart"/>
      <w:r w:rsidRPr="00025A35">
        <w:rPr>
          <w:rFonts w:ascii="Times New Roman" w:hAnsi="Times New Roman" w:cs="Times New Roman"/>
          <w:i/>
          <w:sz w:val="26"/>
          <w:szCs w:val="26"/>
        </w:rPr>
        <w:t>kèm</w:t>
      </w:r>
      <w:proofErr w:type="spellEnd"/>
      <w:r w:rsidRPr="00025A35">
        <w:rPr>
          <w:rFonts w:ascii="Times New Roman" w:hAnsi="Times New Roman" w:cs="Times New Roman"/>
          <w:i/>
          <w:sz w:val="26"/>
          <w:szCs w:val="26"/>
        </w:rPr>
        <w:t xml:space="preserve"> Công </w:t>
      </w:r>
      <w:proofErr w:type="spellStart"/>
      <w:r w:rsidRPr="00025A35">
        <w:rPr>
          <w:rFonts w:ascii="Times New Roman" w:hAnsi="Times New Roman" w:cs="Times New Roman"/>
          <w:i/>
          <w:sz w:val="26"/>
          <w:szCs w:val="26"/>
        </w:rPr>
        <w:t>văn</w:t>
      </w:r>
      <w:proofErr w:type="spellEnd"/>
      <w:r w:rsidRPr="00025A35">
        <w:rPr>
          <w:rFonts w:ascii="Times New Roman" w:hAnsi="Times New Roman" w:cs="Times New Roman"/>
          <w:i/>
          <w:sz w:val="26"/>
          <w:szCs w:val="26"/>
        </w:rPr>
        <w:t xml:space="preserve"> </w:t>
      </w:r>
      <w:proofErr w:type="spellStart"/>
      <w:r w:rsidRPr="00025A35">
        <w:rPr>
          <w:rFonts w:ascii="Times New Roman" w:hAnsi="Times New Roman" w:cs="Times New Roman"/>
          <w:i/>
          <w:sz w:val="26"/>
          <w:szCs w:val="26"/>
        </w:rPr>
        <w:t>số</w:t>
      </w:r>
      <w:proofErr w:type="spellEnd"/>
      <w:r w:rsidR="0065317D">
        <w:rPr>
          <w:rFonts w:ascii="Times New Roman" w:hAnsi="Times New Roman" w:cs="Times New Roman"/>
          <w:i/>
          <w:sz w:val="26"/>
          <w:szCs w:val="26"/>
        </w:rPr>
        <w:t xml:space="preserve"> 0584</w:t>
      </w:r>
      <w:r w:rsidRPr="00025A35">
        <w:rPr>
          <w:rFonts w:ascii="Times New Roman" w:hAnsi="Times New Roman" w:cs="Times New Roman"/>
          <w:i/>
          <w:sz w:val="26"/>
          <w:szCs w:val="26"/>
        </w:rPr>
        <w:t xml:space="preserve">/LĐTM-PC </w:t>
      </w:r>
      <w:proofErr w:type="spellStart"/>
      <w:r w:rsidRPr="00025A35">
        <w:rPr>
          <w:rFonts w:ascii="Times New Roman" w:hAnsi="Times New Roman" w:cs="Times New Roman"/>
          <w:i/>
          <w:sz w:val="26"/>
          <w:szCs w:val="26"/>
        </w:rPr>
        <w:t>ngày</w:t>
      </w:r>
      <w:proofErr w:type="spellEnd"/>
      <w:r w:rsidR="0065317D">
        <w:rPr>
          <w:rFonts w:ascii="Times New Roman" w:hAnsi="Times New Roman" w:cs="Times New Roman"/>
          <w:i/>
          <w:sz w:val="26"/>
          <w:szCs w:val="26"/>
        </w:rPr>
        <w:t xml:space="preserve"> 03/4/2026</w:t>
      </w:r>
      <w:r w:rsidRPr="00025A35">
        <w:rPr>
          <w:rFonts w:ascii="Times New Roman" w:hAnsi="Times New Roman" w:cs="Times New Roman"/>
          <w:i/>
          <w:sz w:val="26"/>
          <w:szCs w:val="26"/>
        </w:rPr>
        <w:t>)</w:t>
      </w:r>
    </w:p>
    <w:tbl>
      <w:tblPr>
        <w:tblStyle w:val="TableGrid"/>
        <w:tblW w:w="0" w:type="auto"/>
        <w:tblLook w:val="04A0" w:firstRow="1" w:lastRow="0" w:firstColumn="1" w:lastColumn="0" w:noHBand="0" w:noVBand="1"/>
      </w:tblPr>
      <w:tblGrid>
        <w:gridCol w:w="715"/>
        <w:gridCol w:w="4050"/>
        <w:gridCol w:w="4947"/>
        <w:gridCol w:w="3238"/>
      </w:tblGrid>
      <w:tr w:rsidR="009B35BD" w:rsidRPr="00F93025" w14:paraId="0FFAA723" w14:textId="77777777" w:rsidTr="009B35BD">
        <w:tc>
          <w:tcPr>
            <w:tcW w:w="715" w:type="dxa"/>
          </w:tcPr>
          <w:p w14:paraId="1AEA4A67" w14:textId="77777777" w:rsidR="009B35BD" w:rsidRPr="00F93025" w:rsidRDefault="009B35BD" w:rsidP="00F93025">
            <w:pPr>
              <w:spacing w:before="120" w:after="120" w:line="312" w:lineRule="auto"/>
              <w:jc w:val="center"/>
              <w:rPr>
                <w:rFonts w:ascii="Times New Roman" w:hAnsi="Times New Roman" w:cs="Times New Roman"/>
                <w:b/>
                <w:sz w:val="26"/>
                <w:szCs w:val="26"/>
              </w:rPr>
            </w:pPr>
            <w:r w:rsidRPr="00F93025">
              <w:rPr>
                <w:rFonts w:ascii="Times New Roman" w:hAnsi="Times New Roman" w:cs="Times New Roman"/>
                <w:b/>
                <w:sz w:val="26"/>
                <w:szCs w:val="26"/>
              </w:rPr>
              <w:t>STT</w:t>
            </w:r>
          </w:p>
        </w:tc>
        <w:tc>
          <w:tcPr>
            <w:tcW w:w="4050" w:type="dxa"/>
          </w:tcPr>
          <w:p w14:paraId="293514C8" w14:textId="77777777" w:rsidR="009B35BD" w:rsidRPr="00F93025" w:rsidRDefault="009B35BD" w:rsidP="00F93025">
            <w:pPr>
              <w:spacing w:before="120" w:after="120" w:line="312" w:lineRule="auto"/>
              <w:jc w:val="center"/>
              <w:rPr>
                <w:rFonts w:ascii="Times New Roman" w:hAnsi="Times New Roman" w:cs="Times New Roman"/>
                <w:b/>
                <w:sz w:val="26"/>
                <w:szCs w:val="26"/>
              </w:rPr>
            </w:pPr>
            <w:r w:rsidRPr="00F93025">
              <w:rPr>
                <w:rFonts w:ascii="Times New Roman" w:hAnsi="Times New Roman" w:cs="Times New Roman"/>
                <w:b/>
                <w:sz w:val="26"/>
                <w:szCs w:val="26"/>
              </w:rPr>
              <w:t>Quy định</w:t>
            </w:r>
          </w:p>
        </w:tc>
        <w:tc>
          <w:tcPr>
            <w:tcW w:w="4947" w:type="dxa"/>
          </w:tcPr>
          <w:p w14:paraId="746AFB71" w14:textId="77777777" w:rsidR="009B35BD" w:rsidRPr="00F93025" w:rsidRDefault="009B35BD" w:rsidP="00F93025">
            <w:pPr>
              <w:spacing w:before="120" w:after="120" w:line="312" w:lineRule="auto"/>
              <w:jc w:val="center"/>
              <w:rPr>
                <w:rFonts w:ascii="Times New Roman" w:hAnsi="Times New Roman" w:cs="Times New Roman"/>
                <w:b/>
                <w:sz w:val="26"/>
                <w:szCs w:val="26"/>
              </w:rPr>
            </w:pPr>
            <w:r w:rsidRPr="00F93025">
              <w:rPr>
                <w:rFonts w:ascii="Times New Roman" w:hAnsi="Times New Roman" w:cs="Times New Roman"/>
                <w:b/>
                <w:sz w:val="26"/>
                <w:szCs w:val="26"/>
              </w:rPr>
              <w:t>Vướng mắc</w:t>
            </w:r>
          </w:p>
        </w:tc>
        <w:tc>
          <w:tcPr>
            <w:tcW w:w="3238" w:type="dxa"/>
          </w:tcPr>
          <w:p w14:paraId="473D267F" w14:textId="77777777" w:rsidR="009B35BD" w:rsidRPr="00F93025" w:rsidRDefault="009B35BD" w:rsidP="00F93025">
            <w:pPr>
              <w:spacing w:before="120" w:after="120" w:line="312" w:lineRule="auto"/>
              <w:jc w:val="center"/>
              <w:rPr>
                <w:rFonts w:ascii="Times New Roman" w:hAnsi="Times New Roman" w:cs="Times New Roman"/>
                <w:b/>
                <w:sz w:val="26"/>
                <w:szCs w:val="26"/>
              </w:rPr>
            </w:pPr>
            <w:r w:rsidRPr="00F93025">
              <w:rPr>
                <w:rFonts w:ascii="Times New Roman" w:hAnsi="Times New Roman" w:cs="Times New Roman"/>
                <w:b/>
                <w:sz w:val="26"/>
                <w:szCs w:val="26"/>
              </w:rPr>
              <w:t>Kiến nghị</w:t>
            </w:r>
          </w:p>
        </w:tc>
      </w:tr>
      <w:tr w:rsidR="0047725E" w:rsidRPr="00F93025" w14:paraId="4BA6E058" w14:textId="77777777" w:rsidTr="009B35BD">
        <w:tc>
          <w:tcPr>
            <w:tcW w:w="715" w:type="dxa"/>
          </w:tcPr>
          <w:p w14:paraId="1DEAAAC1" w14:textId="77777777" w:rsidR="0047725E" w:rsidRPr="00F93025" w:rsidRDefault="003B7EC4"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1</w:t>
            </w:r>
          </w:p>
        </w:tc>
        <w:tc>
          <w:tcPr>
            <w:tcW w:w="4050" w:type="dxa"/>
          </w:tcPr>
          <w:p w14:paraId="4EA57B10" w14:textId="77777777" w:rsidR="0047725E" w:rsidRPr="00F93025" w:rsidRDefault="0047725E"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Khai báo thành phần hóa chất nhập khẩu với Hải quan</w:t>
            </w:r>
          </w:p>
          <w:p w14:paraId="3D6F038F" w14:textId="77777777" w:rsidR="0047725E" w:rsidRPr="00F93025" w:rsidRDefault="0047725E"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Khai báo hóa chất nhập khẩu đối với các sản phẩm thuộc và không thuộc diện miễn trừ theo Luật Hóa chất 2025 và Điều 6 Nghị định 26/2026/NĐ-CP</w:t>
            </w:r>
          </w:p>
        </w:tc>
        <w:tc>
          <w:tcPr>
            <w:tcW w:w="4947" w:type="dxa"/>
          </w:tcPr>
          <w:p w14:paraId="66E84A41" w14:textId="77777777" w:rsidR="0047725E" w:rsidRPr="00F93025" w:rsidRDefault="003B7EC4" w:rsidP="00F93025">
            <w:pPr>
              <w:pStyle w:val="NormalWeb"/>
              <w:spacing w:before="120" w:beforeAutospacing="0" w:after="120" w:afterAutospacing="0" w:line="312" w:lineRule="auto"/>
              <w:rPr>
                <w:sz w:val="26"/>
                <w:szCs w:val="26"/>
              </w:rPr>
            </w:pPr>
            <w:r w:rsidRPr="00F93025">
              <w:rPr>
                <w:rStyle w:val="citation-801"/>
                <w:sz w:val="26"/>
                <w:szCs w:val="26"/>
              </w:rPr>
              <w:t xml:space="preserve">- </w:t>
            </w:r>
            <w:r w:rsidR="0047725E" w:rsidRPr="00F93025">
              <w:rPr>
                <w:rStyle w:val="citation-801"/>
                <w:sz w:val="26"/>
                <w:szCs w:val="26"/>
              </w:rPr>
              <w:t xml:space="preserve">Mặc dù Luật Hóa chất 2025 có quy định miễn khai báo đối với một số nhóm sản phẩm không thuộc Chương 28 và 29, cơ quan Hải quan hiện vẫn yêu cầu doanh nghiệp phải khai báo 100% thành phần. </w:t>
            </w:r>
            <w:r w:rsidR="0047725E" w:rsidRPr="00F93025">
              <w:rPr>
                <w:rStyle w:val="citation-800"/>
                <w:sz w:val="26"/>
                <w:szCs w:val="26"/>
              </w:rPr>
              <w:t xml:space="preserve">Điều này dẫn đến ách tắc hàng hóa tại cảng và nguy cơ lộ thông tin công thức, bí mật thương mại cốt lõi (CBI) của doanh nghiệp. </w:t>
            </w:r>
          </w:p>
          <w:p w14:paraId="7875A07D" w14:textId="77777777" w:rsidR="0047725E" w:rsidRPr="00F93025" w:rsidRDefault="003B7EC4" w:rsidP="00F93025">
            <w:pPr>
              <w:pStyle w:val="NormalWeb"/>
              <w:spacing w:before="120" w:beforeAutospacing="0" w:after="120" w:afterAutospacing="0" w:line="312" w:lineRule="auto"/>
              <w:rPr>
                <w:rStyle w:val="citation-799"/>
                <w:sz w:val="26"/>
                <w:szCs w:val="26"/>
              </w:rPr>
            </w:pPr>
            <w:r w:rsidRPr="00F93025">
              <w:rPr>
                <w:sz w:val="26"/>
                <w:szCs w:val="26"/>
              </w:rPr>
              <w:t xml:space="preserve">- </w:t>
            </w:r>
            <w:r w:rsidR="0047725E" w:rsidRPr="00F93025">
              <w:rPr>
                <w:sz w:val="26"/>
                <w:szCs w:val="26"/>
              </w:rPr>
              <w:t xml:space="preserve">Hệ thống khai báo trực tuyến yêu cầu điền chính xác "công thức hóa học" và một con số "hàm lượng" cụ thể. </w:t>
            </w:r>
            <w:r w:rsidR="0047725E" w:rsidRPr="00F93025">
              <w:rPr>
                <w:rStyle w:val="citation-799"/>
                <w:sz w:val="26"/>
                <w:szCs w:val="26"/>
              </w:rPr>
              <w:t xml:space="preserve">Tuy nhiên, một số chất hóa học bản chất không có công thức, và nhà sản xuất nước ngoài thường chỉ cung cấp hàm lượng dưới dạng khoảng (từ... đến...) để bảo mật. </w:t>
            </w:r>
          </w:p>
          <w:p w14:paraId="539AC56F" w14:textId="77777777" w:rsidR="0047725E" w:rsidRPr="00F93025" w:rsidRDefault="003B7EC4" w:rsidP="00F93025">
            <w:pPr>
              <w:pStyle w:val="NormalWeb"/>
              <w:spacing w:before="120" w:beforeAutospacing="0" w:after="120" w:afterAutospacing="0" w:line="312" w:lineRule="auto"/>
              <w:rPr>
                <w:sz w:val="26"/>
                <w:szCs w:val="26"/>
              </w:rPr>
            </w:pPr>
            <w:r w:rsidRPr="00F93025">
              <w:rPr>
                <w:rStyle w:val="citation-798"/>
                <w:sz w:val="26"/>
                <w:szCs w:val="26"/>
              </w:rPr>
              <w:lastRenderedPageBreak/>
              <w:t xml:space="preserve">- </w:t>
            </w:r>
            <w:r w:rsidR="0047725E" w:rsidRPr="00F93025">
              <w:rPr>
                <w:rStyle w:val="citation-798"/>
                <w:sz w:val="26"/>
                <w:szCs w:val="26"/>
              </w:rPr>
              <w:t xml:space="preserve">Các quy định trước đây có điều khoản miễn trừ khai báo cho thực phẩm, dược phẩm, mỹ phẩm, thức ăn chăn nuôi, nhưng theo quy định hiện hành thì bắt buộc phải khai báo tất cả. </w:t>
            </w:r>
          </w:p>
        </w:tc>
        <w:tc>
          <w:tcPr>
            <w:tcW w:w="3238" w:type="dxa"/>
          </w:tcPr>
          <w:p w14:paraId="73950E0F"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97"/>
                <w:sz w:val="26"/>
                <w:szCs w:val="26"/>
              </w:rPr>
              <w:lastRenderedPageBreak/>
              <w:t xml:space="preserve">- Cần có hướng dẫn thống nhất giữa các cơ quan (Hải quan – Cục Hóa chất) để tránh việc bắt buộc công bố toàn bộ thành phần đối với hàng hóa thuộc diện CBI và tuân thủ nguyên tắc quốc tế. </w:t>
            </w:r>
          </w:p>
          <w:p w14:paraId="38495461"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96"/>
                <w:sz w:val="26"/>
                <w:szCs w:val="26"/>
              </w:rPr>
              <w:t xml:space="preserve">- Đề nghị xem xét bổ sung lại các điều khoản miễn trừ khai báo cho thực phẩm, dược phẩm, mỹ phẩm, thức ăn chăn nuôi. </w:t>
            </w:r>
          </w:p>
          <w:p w14:paraId="7036DBB0"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95"/>
                <w:sz w:val="26"/>
                <w:szCs w:val="26"/>
              </w:rPr>
              <w:t xml:space="preserve">- Cho phép doanh nghiệp khai báo theo khoảng hàm lượng và chỉ bắt buộc khai </w:t>
            </w:r>
            <w:r w:rsidRPr="00F93025">
              <w:rPr>
                <w:rStyle w:val="citation-795"/>
                <w:sz w:val="26"/>
                <w:szCs w:val="26"/>
              </w:rPr>
              <w:lastRenderedPageBreak/>
              <w:t>công thức đối với các chất có công thức hóa học.</w:t>
            </w:r>
          </w:p>
          <w:p w14:paraId="0396CF99" w14:textId="77777777" w:rsidR="0047725E" w:rsidRPr="00F93025" w:rsidRDefault="0047725E" w:rsidP="00F93025">
            <w:pPr>
              <w:spacing w:before="120" w:after="120" w:line="312" w:lineRule="auto"/>
              <w:rPr>
                <w:rFonts w:ascii="Times New Roman" w:hAnsi="Times New Roman" w:cs="Times New Roman"/>
                <w:sz w:val="26"/>
                <w:szCs w:val="26"/>
              </w:rPr>
            </w:pPr>
          </w:p>
        </w:tc>
      </w:tr>
      <w:tr w:rsidR="0047725E" w:rsidRPr="00F93025" w14:paraId="0885BDAC" w14:textId="77777777" w:rsidTr="009B35BD">
        <w:tc>
          <w:tcPr>
            <w:tcW w:w="715" w:type="dxa"/>
          </w:tcPr>
          <w:p w14:paraId="5BF97FE9" w14:textId="77777777" w:rsidR="0047725E" w:rsidRPr="00F93025" w:rsidRDefault="00F93025" w:rsidP="00F93025">
            <w:pPr>
              <w:spacing w:before="120" w:after="120" w:line="312" w:lineRule="auto"/>
              <w:rPr>
                <w:rFonts w:ascii="Times New Roman" w:hAnsi="Times New Roman" w:cs="Times New Roman"/>
                <w:sz w:val="26"/>
                <w:szCs w:val="26"/>
              </w:rPr>
            </w:pPr>
            <w:r>
              <w:rPr>
                <w:rFonts w:ascii="Times New Roman" w:hAnsi="Times New Roman" w:cs="Times New Roman"/>
                <w:sz w:val="26"/>
                <w:szCs w:val="26"/>
              </w:rPr>
              <w:lastRenderedPageBreak/>
              <w:t>2</w:t>
            </w:r>
          </w:p>
        </w:tc>
        <w:tc>
          <w:tcPr>
            <w:tcW w:w="4050" w:type="dxa"/>
          </w:tcPr>
          <w:p w14:paraId="0DACF5B9" w14:textId="77777777" w:rsidR="0047725E" w:rsidRPr="00F93025" w:rsidRDefault="0047725E"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Chồng chéo ngưỡng nồng độ miễn trừ cấp phép (0,1% - 1% - 5%)</w:t>
            </w:r>
          </w:p>
          <w:p w14:paraId="3F5B7926" w14:textId="77777777" w:rsidR="0047725E" w:rsidRPr="00F93025" w:rsidRDefault="0047725E"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Điều 21 Nghị định 26/2026/NĐ-CP và Phụ lục II, Phụ lục III Nghị định 24/2026/NĐ-CP.</w:t>
            </w:r>
          </w:p>
          <w:p w14:paraId="33437076"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lang w:val="de-DE"/>
              </w:rPr>
              <w:t>Phần 2 Phụ lục II ban hành kèm theo Nghị định số 24/2026/NĐ-CP của Chính phủ quy định các danh mục hóa chất thuộc phạm vi điều chỉnh của Luật Hóa chất quy định: </w:t>
            </w:r>
            <w:r w:rsidRPr="00F93025">
              <w:rPr>
                <w:rFonts w:ascii="Times New Roman" w:hAnsi="Times New Roman" w:cs="Times New Roman"/>
                <w:i/>
                <w:iCs/>
                <w:sz w:val="26"/>
                <w:szCs w:val="26"/>
                <w:lang w:val="de-DE"/>
              </w:rPr>
              <w:t>“Hỗn hợp chất sản xuất, kinh doanh có điều kiện là hỗn hợp chất chứa ít nhất một thành phần trong Danh mục hóa chất sản xuất, kinh doanh có điều kiện của Nghị định này có hàm lượng lớn hơn 5% khối lượng.”</w:t>
            </w:r>
          </w:p>
          <w:p w14:paraId="3D3E278C"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lang w:val="de-DE"/>
              </w:rPr>
              <w:lastRenderedPageBreak/>
              <w:t>Phần 2 Phụ lục III ban hành kèm theo Nghị định số 24/2026/NĐ-CP của Chính phủ quy định: </w:t>
            </w:r>
            <w:r w:rsidRPr="00F93025">
              <w:rPr>
                <w:rFonts w:ascii="Times New Roman" w:hAnsi="Times New Roman" w:cs="Times New Roman"/>
                <w:i/>
                <w:iCs/>
                <w:sz w:val="26"/>
                <w:szCs w:val="26"/>
                <w:lang w:val="de-DE"/>
              </w:rPr>
              <w:t>“Hỗn hợp chất cần kiểm soát đặc biệt là hỗn hợp chất chứa ít nhất một thành phần:</w:t>
            </w:r>
          </w:p>
          <w:p w14:paraId="1480070B"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i/>
                <w:iCs/>
                <w:sz w:val="26"/>
                <w:szCs w:val="26"/>
                <w:lang w:val="de-DE"/>
              </w:rPr>
              <w:t>- Thuộc nhóm 1 của Danh mục hóa chất cần kiểm soát đặc biệt của Nghị định này có hàm lượng lớn hơn 1% khối lượng.</w:t>
            </w:r>
          </w:p>
          <w:p w14:paraId="0E9AFB07"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i/>
                <w:iCs/>
                <w:sz w:val="26"/>
                <w:szCs w:val="26"/>
                <w:lang w:val="de-DE"/>
              </w:rPr>
              <w:t>- Hóa chất thuộc công ước cấm phát triển, sản xuất, tàng trữ, sử dụng và phá hủy vũ khí hóa học và hóa chất thuộc các công ước quốc tế về hóa chất thuộc nhóm 2 của Danh mục hóa chất cần kiểm soát đặc biệt của Nghị định này có hàm lượng lớn hơn 1% khối lượng.</w:t>
            </w:r>
          </w:p>
          <w:p w14:paraId="6A9D00B3"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i/>
                <w:iCs/>
                <w:sz w:val="26"/>
                <w:szCs w:val="26"/>
                <w:lang w:val="de-DE"/>
              </w:rPr>
              <w:t>- Các tiền chất công nghiệp thuộc nhóm 2 của Danh mục hóa chất cần kiểm soát đặc biệt của Nghị định này có hàm lượng lớn hơn 5% khối lượng.”</w:t>
            </w:r>
          </w:p>
          <w:p w14:paraId="2430C5F8"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lang w:val="de-DE"/>
              </w:rPr>
              <w:lastRenderedPageBreak/>
              <w:t>Khoản 1 Điều 21 Nghị định 26/2026: </w:t>
            </w:r>
            <w:r w:rsidRPr="00F93025">
              <w:rPr>
                <w:rFonts w:ascii="Times New Roman" w:hAnsi="Times New Roman" w:cs="Times New Roman"/>
                <w:i/>
                <w:iCs/>
                <w:sz w:val="26"/>
                <w:szCs w:val="26"/>
                <w:lang w:val="de-DE"/>
              </w:rPr>
              <w:t>“1. Miễn trừ cấp Giấy chứng nhận, Giấy phép sản xuất, kinh doanh đối với hóa chất có điều kiện, hóa chất cần kiểm soát đặc biệt có nồng độ dưới 0,1% (&lt;0,1%) khối lượng của hỗn hợp chất.”</w:t>
            </w:r>
          </w:p>
        </w:tc>
        <w:tc>
          <w:tcPr>
            <w:tcW w:w="4947" w:type="dxa"/>
          </w:tcPr>
          <w:p w14:paraId="7E2786FE"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93"/>
                <w:sz w:val="26"/>
                <w:szCs w:val="26"/>
              </w:rPr>
              <w:lastRenderedPageBreak/>
              <w:t xml:space="preserve">Tồn tại sự mâu thuẫn giữa các văn bản về ngưỡng miễn trừ cấp phép. </w:t>
            </w:r>
          </w:p>
          <w:p w14:paraId="4D72BE8D"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92"/>
                <w:sz w:val="26"/>
                <w:szCs w:val="26"/>
              </w:rPr>
              <w:t xml:space="preserve">- Phần 2 Phụ lục II và III của Nghị định 24 quy định ngưỡng quản lý hỗn hợp chất sản xuất kinh doanh có điều kiện và kiểm soát đặc biệt là lớn hơn 1% hoặc 5%. </w:t>
            </w:r>
            <w:r w:rsidRPr="00F93025">
              <w:rPr>
                <w:rStyle w:val="citation-791"/>
                <w:sz w:val="26"/>
                <w:szCs w:val="26"/>
              </w:rPr>
              <w:t xml:space="preserve">Tuy nhiên, khoản 1 Điều 21 Nghị định 26 lại quy định miễn trừ với nồng độ dưới 0,1%. </w:t>
            </w:r>
          </w:p>
          <w:p w14:paraId="4604FFDD" w14:textId="77777777" w:rsidR="0047725E" w:rsidRPr="00F93025" w:rsidRDefault="0047725E" w:rsidP="00F93025">
            <w:pPr>
              <w:pStyle w:val="NormalWeb"/>
              <w:spacing w:before="120" w:beforeAutospacing="0" w:after="120" w:afterAutospacing="0" w:line="312" w:lineRule="auto"/>
              <w:rPr>
                <w:sz w:val="26"/>
                <w:szCs w:val="26"/>
              </w:rPr>
            </w:pPr>
            <w:r w:rsidRPr="00F93025">
              <w:rPr>
                <w:sz w:val="26"/>
                <w:szCs w:val="26"/>
              </w:rPr>
              <w:t xml:space="preserve">- Thực tế triển khai, Cục Hóa chất và Sở Công Thương dùng ngưỡng của Nghị định 24 để miễn trừ, nhưng cơ quan Hải quan lại chọn ngưỡng thấp hơn của Nghị định 26 (0,1%) để an toàn. </w:t>
            </w:r>
            <w:r w:rsidRPr="00F93025">
              <w:rPr>
                <w:rStyle w:val="citation-790"/>
                <w:sz w:val="26"/>
                <w:szCs w:val="26"/>
              </w:rPr>
              <w:t xml:space="preserve">Điều này khiến doanh nghiệp bối rối và làm kẹt lô hàng nhập khẩu. </w:t>
            </w:r>
          </w:p>
          <w:p w14:paraId="48D8968E" w14:textId="77777777" w:rsidR="0047725E" w:rsidRPr="00F93025" w:rsidRDefault="0047725E" w:rsidP="00F93025">
            <w:pPr>
              <w:pStyle w:val="NormalWeb"/>
              <w:spacing w:before="120" w:beforeAutospacing="0" w:after="120" w:afterAutospacing="0" w:line="312" w:lineRule="auto"/>
              <w:rPr>
                <w:rStyle w:val="citation-801"/>
                <w:sz w:val="26"/>
                <w:szCs w:val="26"/>
              </w:rPr>
            </w:pPr>
          </w:p>
        </w:tc>
        <w:tc>
          <w:tcPr>
            <w:tcW w:w="3238" w:type="dxa"/>
          </w:tcPr>
          <w:p w14:paraId="38149430" w14:textId="77777777" w:rsidR="0047725E" w:rsidRPr="00F93025" w:rsidRDefault="0047725E" w:rsidP="00F93025">
            <w:pPr>
              <w:pStyle w:val="NormalWeb"/>
              <w:spacing w:before="120" w:beforeAutospacing="0" w:after="120" w:afterAutospacing="0" w:line="312" w:lineRule="auto"/>
              <w:rPr>
                <w:rStyle w:val="citation-797"/>
                <w:sz w:val="26"/>
                <w:szCs w:val="26"/>
              </w:rPr>
            </w:pPr>
            <w:r w:rsidRPr="00F93025">
              <w:rPr>
                <w:rStyle w:val="citation-789"/>
                <w:sz w:val="26"/>
                <w:szCs w:val="26"/>
              </w:rPr>
              <w:t>Điều chỉnh các điều khoản miễn trừ tại Nghị định 26/2026/NĐ-CP để tương thích với định nghĩa và ngưỡng phần trăm tại Nghị định 24/2026/NĐ-CP, đồng thời ban hành hướng dẫn chính thức giải thích cách áp dụng các ngưỡng này.</w:t>
            </w:r>
          </w:p>
        </w:tc>
      </w:tr>
      <w:tr w:rsidR="0047725E" w:rsidRPr="00F93025" w14:paraId="7C83D553" w14:textId="77777777" w:rsidTr="009B35BD">
        <w:tc>
          <w:tcPr>
            <w:tcW w:w="715" w:type="dxa"/>
          </w:tcPr>
          <w:p w14:paraId="0DCA26DC" w14:textId="77777777" w:rsidR="0047725E" w:rsidRPr="00F93025" w:rsidRDefault="00F93025" w:rsidP="00F93025">
            <w:pPr>
              <w:spacing w:before="120" w:after="120" w:line="312" w:lineRule="auto"/>
              <w:rPr>
                <w:rFonts w:ascii="Times New Roman" w:hAnsi="Times New Roman" w:cs="Times New Roman"/>
                <w:sz w:val="26"/>
                <w:szCs w:val="26"/>
              </w:rPr>
            </w:pPr>
            <w:r>
              <w:rPr>
                <w:rFonts w:ascii="Times New Roman" w:hAnsi="Times New Roman" w:cs="Times New Roman"/>
                <w:sz w:val="26"/>
                <w:szCs w:val="26"/>
              </w:rPr>
              <w:lastRenderedPageBreak/>
              <w:t>3</w:t>
            </w:r>
          </w:p>
        </w:tc>
        <w:tc>
          <w:tcPr>
            <w:tcW w:w="4050" w:type="dxa"/>
          </w:tcPr>
          <w:p w14:paraId="1F418251" w14:textId="77777777" w:rsidR="0047725E" w:rsidRPr="00F93025" w:rsidRDefault="0047725E"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Quy định liên quan đến hóa chất UVCB</w:t>
            </w:r>
          </w:p>
          <w:p w14:paraId="2F312057" w14:textId="77777777" w:rsidR="0047725E" w:rsidRPr="00F93025" w:rsidRDefault="0047725E"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Điều 1 Nghị định 26/2026/NĐ-CP và Nghị định 24/2026/NĐ-CP đối với ngưỡng kiểm soát hóa chất có điều kiện / kiểm soát đặc biệt.</w:t>
            </w:r>
          </w:p>
        </w:tc>
        <w:tc>
          <w:tcPr>
            <w:tcW w:w="4947" w:type="dxa"/>
          </w:tcPr>
          <w:p w14:paraId="0AB264F4"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87"/>
                <w:sz w:val="26"/>
                <w:szCs w:val="26"/>
              </w:rPr>
              <w:t xml:space="preserve">UVCB (Unknown or Variable composition, Complex reaction products, or Biological materials) là loại chất có thành phần phức tạp, chưa xác định hoặc biến đổi (ví dụ: dung môi dầu mỏ), thường được xem là một "chất đơn lẻ" với tên chung và số CAS tương ứng. </w:t>
            </w:r>
          </w:p>
          <w:p w14:paraId="78D792B8" w14:textId="77777777" w:rsidR="0047725E" w:rsidRPr="00F93025" w:rsidRDefault="0047725E" w:rsidP="00F93025">
            <w:pPr>
              <w:pStyle w:val="NormalWeb"/>
              <w:spacing w:before="120" w:beforeAutospacing="0" w:after="120" w:afterAutospacing="0" w:line="312" w:lineRule="auto"/>
              <w:rPr>
                <w:rStyle w:val="citation-793"/>
                <w:sz w:val="26"/>
                <w:szCs w:val="26"/>
              </w:rPr>
            </w:pPr>
            <w:r w:rsidRPr="00F93025">
              <w:rPr>
                <w:sz w:val="26"/>
                <w:szCs w:val="26"/>
              </w:rPr>
              <w:t xml:space="preserve">Tuy nhiên, UVCB có thể chứa các thành phần nhỏ (như n-hexane) thuộc diện kiểm soát đặc biệt của Việt Nam. </w:t>
            </w:r>
            <w:r w:rsidRPr="00F93025">
              <w:rPr>
                <w:rStyle w:val="citation-786"/>
                <w:sz w:val="26"/>
                <w:szCs w:val="26"/>
              </w:rPr>
              <w:t xml:space="preserve">Hiện quy định pháp luật chưa rõ liệu các ngưỡng quản lý có áp dụng đối với UVCB hay không, và UVCB có phải làm các thủ tục xin giấy phép không. </w:t>
            </w:r>
          </w:p>
        </w:tc>
        <w:tc>
          <w:tcPr>
            <w:tcW w:w="3238" w:type="dxa"/>
          </w:tcPr>
          <w:p w14:paraId="012491E3" w14:textId="77777777" w:rsidR="0047725E" w:rsidRPr="00F93025" w:rsidRDefault="003B7EC4" w:rsidP="00F93025">
            <w:pPr>
              <w:pStyle w:val="NormalWeb"/>
              <w:spacing w:before="120" w:beforeAutospacing="0" w:after="120" w:afterAutospacing="0" w:line="312" w:lineRule="auto"/>
              <w:rPr>
                <w:rStyle w:val="citation-785"/>
                <w:sz w:val="26"/>
                <w:szCs w:val="26"/>
              </w:rPr>
            </w:pPr>
            <w:r w:rsidRPr="00F93025">
              <w:rPr>
                <w:sz w:val="26"/>
                <w:szCs w:val="26"/>
              </w:rPr>
              <w:t xml:space="preserve">- </w:t>
            </w:r>
            <w:r w:rsidR="0047725E" w:rsidRPr="00F93025">
              <w:rPr>
                <w:sz w:val="26"/>
                <w:szCs w:val="26"/>
              </w:rPr>
              <w:t xml:space="preserve">UVCB nên được đối xử và quản lý theo phương thức khác biệt so với hỗn hợp thông thường. </w:t>
            </w:r>
            <w:r w:rsidR="0047725E" w:rsidRPr="00F93025">
              <w:rPr>
                <w:rStyle w:val="citation-785"/>
                <w:sz w:val="26"/>
                <w:szCs w:val="26"/>
              </w:rPr>
              <w:t>Khi nhập khẩu, chỉ nên yêu cầu khai báo tên hóa học chung và mã CAS để đáp ứng yêu cầu thay vì phải khai báo chi tiết từng thành phần cấu thành.</w:t>
            </w:r>
          </w:p>
          <w:p w14:paraId="72FD5A73" w14:textId="77777777" w:rsidR="003B7EC4" w:rsidRPr="00F93025" w:rsidRDefault="003B7EC4" w:rsidP="00F93025">
            <w:pPr>
              <w:pStyle w:val="NormalWeb"/>
              <w:spacing w:before="120" w:beforeAutospacing="0" w:after="120" w:afterAutospacing="0" w:line="312" w:lineRule="auto"/>
              <w:rPr>
                <w:rStyle w:val="citation-789"/>
                <w:sz w:val="26"/>
                <w:szCs w:val="26"/>
              </w:rPr>
            </w:pPr>
            <w:r w:rsidRPr="00F93025">
              <w:rPr>
                <w:sz w:val="26"/>
                <w:szCs w:val="26"/>
              </w:rPr>
              <w:t xml:space="preserve">- Cần làm rõ liệu các ngưỡng đối với hóa chất sản xuất, kinh doanh có điều kiện và hóa chất phải kiểm soát đặc biệt có áp dụng đối với các chất UVCB hay không. Đồng thời, cần làm </w:t>
            </w:r>
            <w:r w:rsidRPr="00F93025">
              <w:rPr>
                <w:sz w:val="26"/>
                <w:szCs w:val="26"/>
              </w:rPr>
              <w:lastRenderedPageBreak/>
              <w:t>rõ các chất UVCB có phải thực hiện thủ tục xin giấy phép hoặc giấy chứng nhận trong quá trình sản xuất, kinh doanh hoặc sử dụng hay không.</w:t>
            </w:r>
          </w:p>
        </w:tc>
      </w:tr>
      <w:tr w:rsidR="0047725E" w:rsidRPr="00F93025" w14:paraId="349E1B81" w14:textId="77777777" w:rsidTr="009B35BD">
        <w:tc>
          <w:tcPr>
            <w:tcW w:w="715" w:type="dxa"/>
          </w:tcPr>
          <w:p w14:paraId="689BDDF1" w14:textId="77777777" w:rsidR="0047725E" w:rsidRPr="00F93025" w:rsidRDefault="00F93025" w:rsidP="00F93025">
            <w:pPr>
              <w:spacing w:before="120" w:after="120" w:line="312" w:lineRule="auto"/>
              <w:rPr>
                <w:rFonts w:ascii="Times New Roman" w:hAnsi="Times New Roman" w:cs="Times New Roman"/>
                <w:sz w:val="26"/>
                <w:szCs w:val="26"/>
              </w:rPr>
            </w:pPr>
            <w:r>
              <w:rPr>
                <w:rFonts w:ascii="Times New Roman" w:hAnsi="Times New Roman" w:cs="Times New Roman"/>
                <w:sz w:val="26"/>
                <w:szCs w:val="26"/>
              </w:rPr>
              <w:lastRenderedPageBreak/>
              <w:t>4</w:t>
            </w:r>
          </w:p>
        </w:tc>
        <w:tc>
          <w:tcPr>
            <w:tcW w:w="4050" w:type="dxa"/>
          </w:tcPr>
          <w:p w14:paraId="3E9E4C14" w14:textId="77777777" w:rsidR="0047725E" w:rsidRPr="00F93025" w:rsidRDefault="0047725E"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Ghi nhận thông tin tại Mục 15 Phiếu an toàn hóa chất (SDS)</w:t>
            </w:r>
          </w:p>
          <w:p w14:paraId="59D979D3" w14:textId="77777777" w:rsidR="0047725E" w:rsidRPr="00F93025" w:rsidRDefault="0047725E"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Mẫu Phiếu an toàn hóa chất tại Phụ lục I ban hành kèm Thông tư 01/2026/TT-BCT.</w:t>
            </w:r>
          </w:p>
          <w:p w14:paraId="07237656"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Phụ lục I Mẫu Phiếu an toàn hóa chất (Ban hành kèm theo Thông tư số 01/2026/TT-BCT ngày 17 tháng 01 năm 2026 của Bộ trưởng Bộ Công Thương), mục số 15 yêu cầu thể hiện “Các thông tin pháp luật về an toàn, sức khỏe và môi trường đối với hóa chất”. </w:t>
            </w:r>
          </w:p>
          <w:p w14:paraId="767F7D2F"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bCs/>
                <w:sz w:val="26"/>
                <w:szCs w:val="26"/>
              </w:rPr>
              <w:t>Mục 15 SDS</w:t>
            </w:r>
            <w:r w:rsidRPr="00F93025">
              <w:rPr>
                <w:rFonts w:ascii="Times New Roman" w:hAnsi="Times New Roman" w:cs="Times New Roman"/>
                <w:sz w:val="26"/>
                <w:szCs w:val="26"/>
              </w:rPr>
              <w:t> chỉ yêu cầu thể hiện </w:t>
            </w:r>
            <w:r w:rsidRPr="00F93025">
              <w:rPr>
                <w:rFonts w:ascii="Times New Roman" w:hAnsi="Times New Roman" w:cs="Times New Roman"/>
                <w:bCs/>
                <w:sz w:val="26"/>
                <w:szCs w:val="26"/>
              </w:rPr>
              <w:t xml:space="preserve">các quy định pháp luật liên </w:t>
            </w:r>
            <w:r w:rsidRPr="00F93025">
              <w:rPr>
                <w:rFonts w:ascii="Times New Roman" w:hAnsi="Times New Roman" w:cs="Times New Roman"/>
                <w:bCs/>
                <w:sz w:val="26"/>
                <w:szCs w:val="26"/>
              </w:rPr>
              <w:lastRenderedPageBreak/>
              <w:t>quan, không quy định ghi riêng luật Việt Nam.</w:t>
            </w:r>
          </w:p>
          <w:p w14:paraId="13F259E8" w14:textId="77777777" w:rsidR="001C6D2F" w:rsidRPr="00F93025" w:rsidRDefault="001C6D2F" w:rsidP="00F93025">
            <w:pPr>
              <w:spacing w:before="120" w:after="120" w:line="312" w:lineRule="auto"/>
              <w:rPr>
                <w:rFonts w:ascii="Times New Roman" w:hAnsi="Times New Roman" w:cs="Times New Roman"/>
                <w:sz w:val="26"/>
                <w:szCs w:val="26"/>
              </w:rPr>
            </w:pPr>
          </w:p>
        </w:tc>
        <w:tc>
          <w:tcPr>
            <w:tcW w:w="4947" w:type="dxa"/>
          </w:tcPr>
          <w:p w14:paraId="536FC710" w14:textId="77777777" w:rsidR="0047725E" w:rsidRPr="00F93025" w:rsidRDefault="003E2D92" w:rsidP="00F93025">
            <w:pPr>
              <w:pStyle w:val="NormalWeb"/>
              <w:spacing w:before="120" w:beforeAutospacing="0" w:after="120" w:afterAutospacing="0" w:line="312" w:lineRule="auto"/>
              <w:rPr>
                <w:rStyle w:val="citation-787"/>
                <w:sz w:val="26"/>
                <w:szCs w:val="26"/>
              </w:rPr>
            </w:pPr>
            <w:r w:rsidRPr="00F93025">
              <w:rPr>
                <w:rStyle w:val="citation-783"/>
                <w:sz w:val="26"/>
                <w:szCs w:val="26"/>
              </w:rPr>
              <w:lastRenderedPageBreak/>
              <w:t>Thực tế, các cơ quan có thẩm quyền</w:t>
            </w:r>
            <w:r w:rsidR="0047725E" w:rsidRPr="00F93025">
              <w:rPr>
                <w:rStyle w:val="citation-783"/>
                <w:sz w:val="26"/>
                <w:szCs w:val="26"/>
              </w:rPr>
              <w:t xml:space="preserve"> yêu cầu doanh nghiệp phải ghi rõ tên Luật của Việt Nam vào Mục 15 khi xin giấy phép nhập khẩu, mâu thuẫn với yêu cầu của Thông tư 01 (chỉ quy định thể hiện các thông tin pháp luật nói chung). </w:t>
            </w:r>
            <w:r w:rsidR="0047725E" w:rsidRPr="00F93025">
              <w:rPr>
                <w:rStyle w:val="citation-782"/>
                <w:sz w:val="26"/>
                <w:szCs w:val="26"/>
              </w:rPr>
              <w:t>MSDS được xây dựng theo chuẩn GHS toàn cầu, việc bắt buộc chỉnh sửa cho riêng thị trường Việt Nam làm gia tăng chi phí, thời gian và nguy cơ thiếu đồng bộ dữ liệu giữa các thị trường.</w:t>
            </w:r>
          </w:p>
        </w:tc>
        <w:tc>
          <w:tcPr>
            <w:tcW w:w="3238" w:type="dxa"/>
          </w:tcPr>
          <w:p w14:paraId="023489FB" w14:textId="77777777" w:rsidR="0047725E" w:rsidRPr="00F93025" w:rsidRDefault="003E2D92" w:rsidP="00F93025">
            <w:pPr>
              <w:pStyle w:val="NormalWeb"/>
              <w:spacing w:before="120" w:beforeAutospacing="0" w:after="120" w:afterAutospacing="0" w:line="312" w:lineRule="auto"/>
              <w:rPr>
                <w:sz w:val="26"/>
                <w:szCs w:val="26"/>
              </w:rPr>
            </w:pPr>
            <w:r w:rsidRPr="00F93025">
              <w:rPr>
                <w:sz w:val="26"/>
                <w:szCs w:val="26"/>
              </w:rPr>
              <w:t>Cần thống nhất trong thực hiện theo hướng</w:t>
            </w:r>
            <w:r w:rsidR="0047725E" w:rsidRPr="00F93025">
              <w:rPr>
                <w:sz w:val="26"/>
                <w:szCs w:val="26"/>
              </w:rPr>
              <w:t xml:space="preserve"> chấp nhận SDS được tuân thủ theo chuẩn GHS toàn cầu.</w:t>
            </w:r>
          </w:p>
        </w:tc>
      </w:tr>
      <w:tr w:rsidR="0047725E" w:rsidRPr="00F93025" w14:paraId="734F46B9" w14:textId="77777777" w:rsidTr="009B35BD">
        <w:tc>
          <w:tcPr>
            <w:tcW w:w="715" w:type="dxa"/>
          </w:tcPr>
          <w:p w14:paraId="3091FBFC" w14:textId="77777777" w:rsidR="0047725E" w:rsidRPr="00F93025" w:rsidRDefault="00F93025" w:rsidP="00F93025">
            <w:pPr>
              <w:spacing w:before="120" w:after="120" w:line="312" w:lineRule="auto"/>
              <w:rPr>
                <w:rFonts w:ascii="Times New Roman" w:hAnsi="Times New Roman" w:cs="Times New Roman"/>
                <w:sz w:val="26"/>
                <w:szCs w:val="26"/>
              </w:rPr>
            </w:pPr>
            <w:r>
              <w:rPr>
                <w:rFonts w:ascii="Times New Roman" w:hAnsi="Times New Roman" w:cs="Times New Roman"/>
                <w:sz w:val="26"/>
                <w:szCs w:val="26"/>
              </w:rPr>
              <w:t>5</w:t>
            </w:r>
          </w:p>
        </w:tc>
        <w:tc>
          <w:tcPr>
            <w:tcW w:w="4050" w:type="dxa"/>
          </w:tcPr>
          <w:p w14:paraId="6B7CAE0A" w14:textId="77777777" w:rsidR="0047725E" w:rsidRPr="00F93025" w:rsidRDefault="0047725E"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Hồ sơ và thời gian cấp phép nhập khẩu Hóa chất Kiểm soát đặc biệt Nhóm 2</w:t>
            </w:r>
          </w:p>
          <w:p w14:paraId="292D9804" w14:textId="77777777" w:rsidR="0047725E" w:rsidRPr="00F93025" w:rsidRDefault="0047725E"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Trình tự, thủ tục hồ sơ tại Điều 14 Nghị định 26/2026/NĐ-CP.</w:t>
            </w:r>
          </w:p>
        </w:tc>
        <w:tc>
          <w:tcPr>
            <w:tcW w:w="4947" w:type="dxa"/>
          </w:tcPr>
          <w:p w14:paraId="552D97F6" w14:textId="77777777" w:rsidR="0047725E" w:rsidRPr="00F93025" w:rsidRDefault="001C6D2F" w:rsidP="00F93025">
            <w:pPr>
              <w:pStyle w:val="NormalWeb"/>
              <w:spacing w:before="120" w:beforeAutospacing="0" w:after="120" w:afterAutospacing="0" w:line="312" w:lineRule="auto"/>
              <w:rPr>
                <w:sz w:val="26"/>
                <w:szCs w:val="26"/>
              </w:rPr>
            </w:pPr>
            <w:r w:rsidRPr="00F93025">
              <w:rPr>
                <w:rStyle w:val="citation-779"/>
                <w:sz w:val="26"/>
                <w:szCs w:val="26"/>
              </w:rPr>
              <w:t xml:space="preserve">- </w:t>
            </w:r>
            <w:r w:rsidR="0047725E" w:rsidRPr="00F93025">
              <w:rPr>
                <w:rStyle w:val="citation-779"/>
                <w:sz w:val="26"/>
                <w:szCs w:val="26"/>
              </w:rPr>
              <w:t xml:space="preserve">Yêu cầu hồ sơ phải có "hóa đơn thương mại bản gốc", nhưng trên thực tế xuất nhập khẩu, hóa đơn này chỉ được phát hành sau khi hàng đã lên tàu. </w:t>
            </w:r>
          </w:p>
          <w:p w14:paraId="512B8F49" w14:textId="77777777" w:rsidR="0047725E" w:rsidRPr="00F93025" w:rsidRDefault="001C6D2F" w:rsidP="00F93025">
            <w:pPr>
              <w:pStyle w:val="NormalWeb"/>
              <w:spacing w:before="120" w:beforeAutospacing="0" w:after="120" w:afterAutospacing="0" w:line="312" w:lineRule="auto"/>
              <w:rPr>
                <w:rStyle w:val="citation-783"/>
                <w:sz w:val="26"/>
                <w:szCs w:val="26"/>
              </w:rPr>
            </w:pPr>
            <w:r w:rsidRPr="00F93025">
              <w:rPr>
                <w:sz w:val="26"/>
                <w:szCs w:val="26"/>
              </w:rPr>
              <w:t xml:space="preserve">- </w:t>
            </w:r>
            <w:r w:rsidR="0047725E" w:rsidRPr="00F93025">
              <w:rPr>
                <w:sz w:val="26"/>
                <w:szCs w:val="26"/>
              </w:rPr>
              <w:t>Thời gian</w:t>
            </w:r>
            <w:r w:rsidRPr="00F93025">
              <w:rPr>
                <w:sz w:val="26"/>
                <w:szCs w:val="26"/>
              </w:rPr>
              <w:t xml:space="preserve"> là 07 ngày làm việc kể từ ngày nhận được hồ sơ là dài (thực tế thời gian này còn lâu hơn)</w:t>
            </w:r>
            <w:r w:rsidR="0047725E" w:rsidRPr="00F93025">
              <w:rPr>
                <w:sz w:val="26"/>
                <w:szCs w:val="26"/>
              </w:rPr>
              <w:t xml:space="preserve">, trong khi hàng từ Trung Quốc/Đông Nam Á đi về Việt Nam chỉ mất từ 3-4 ngày. </w:t>
            </w:r>
            <w:r w:rsidR="0047725E" w:rsidRPr="00F93025">
              <w:rPr>
                <w:rStyle w:val="citation-778"/>
                <w:sz w:val="26"/>
                <w:szCs w:val="26"/>
              </w:rPr>
              <w:t xml:space="preserve">Doanh nghiệp dễ chịu rủi ro lưu bãi container ngoài cảng do chưa có giấy phép thông quan. </w:t>
            </w:r>
          </w:p>
        </w:tc>
        <w:tc>
          <w:tcPr>
            <w:tcW w:w="3238" w:type="dxa"/>
          </w:tcPr>
          <w:p w14:paraId="0F24B1F9" w14:textId="77777777" w:rsidR="001C6D2F" w:rsidRPr="00F93025" w:rsidRDefault="0047725E" w:rsidP="00F93025">
            <w:pPr>
              <w:pStyle w:val="NormalWeb"/>
              <w:spacing w:before="120" w:beforeAutospacing="0" w:after="120" w:afterAutospacing="0" w:line="312" w:lineRule="auto"/>
              <w:rPr>
                <w:sz w:val="26"/>
                <w:szCs w:val="26"/>
              </w:rPr>
            </w:pPr>
            <w:r w:rsidRPr="00F93025">
              <w:rPr>
                <w:sz w:val="26"/>
                <w:szCs w:val="26"/>
              </w:rPr>
              <w:t xml:space="preserve">Thay thế yêu cầu "hóa đơn thương mại bản gốc" bằng "Hợp đồng mua bán / Đơn đặt hàng" để doanh nghiệp có thể làm hồ sơ xin cấp phép trước khi hàng cập cảng. </w:t>
            </w:r>
          </w:p>
          <w:p w14:paraId="0DCC57C1"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77"/>
                <w:sz w:val="26"/>
                <w:szCs w:val="26"/>
              </w:rPr>
              <w:t>Đồng thời, đề nghị thống nhất và rút ngắn thời gian xử lý thủ tục cấp phép</w:t>
            </w:r>
          </w:p>
        </w:tc>
      </w:tr>
      <w:tr w:rsidR="0047725E" w:rsidRPr="00F93025" w14:paraId="76026C46" w14:textId="77777777" w:rsidTr="009B35BD">
        <w:tc>
          <w:tcPr>
            <w:tcW w:w="715" w:type="dxa"/>
          </w:tcPr>
          <w:p w14:paraId="43592F94" w14:textId="77777777" w:rsidR="0047725E" w:rsidRPr="00F93025" w:rsidRDefault="00F93025" w:rsidP="00F93025">
            <w:pPr>
              <w:spacing w:before="120" w:after="120" w:line="312" w:lineRule="auto"/>
              <w:rPr>
                <w:rFonts w:ascii="Times New Roman" w:hAnsi="Times New Roman" w:cs="Times New Roman"/>
                <w:sz w:val="26"/>
                <w:szCs w:val="26"/>
              </w:rPr>
            </w:pPr>
            <w:r>
              <w:rPr>
                <w:rFonts w:ascii="Times New Roman" w:hAnsi="Times New Roman" w:cs="Times New Roman"/>
                <w:sz w:val="26"/>
                <w:szCs w:val="26"/>
              </w:rPr>
              <w:t>6</w:t>
            </w:r>
          </w:p>
        </w:tc>
        <w:tc>
          <w:tcPr>
            <w:tcW w:w="4050" w:type="dxa"/>
          </w:tcPr>
          <w:p w14:paraId="4F830AB8" w14:textId="77777777" w:rsidR="0047725E" w:rsidRPr="00F93025" w:rsidRDefault="0047725E"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Phiếu kiểm soát mua, bán hóa chất kiểm soát đặc biệt</w:t>
            </w:r>
          </w:p>
          <w:p w14:paraId="713F1965" w14:textId="77777777" w:rsidR="0047725E" w:rsidRPr="00F93025" w:rsidRDefault="0047725E"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Điều 11, Điều 17 Luật Hóa chất 2025 và Điều 8 Thông tư 01/2026/TT-BCT.</w:t>
            </w:r>
          </w:p>
          <w:p w14:paraId="1CBE2EC1" w14:textId="77777777" w:rsidR="001C6D2F" w:rsidRPr="00F93025" w:rsidRDefault="001C6D2F"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Luật Hóa chất quy định:</w:t>
            </w:r>
          </w:p>
          <w:p w14:paraId="47146DB7"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Điều 11. Kinh doanh hóa chất</w:t>
            </w:r>
          </w:p>
          <w:p w14:paraId="75C1E9E2"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lastRenderedPageBreak/>
              <w:t xml:space="preserve">4. Tổ chức, cá nhân mua, bán hóa chất cần kiểm soát đặc biệt phải lập phiếu kiểm soát mua, bán hóa chất cần kiểm soát đặc biệt theo quy định tại Điều 17 của Luật này và phải được xác thực dữ liệu về tổ chức, cá nhân mua, bán theo lộ trình thực hiện do Chính phủ quy định. </w:t>
            </w:r>
          </w:p>
          <w:p w14:paraId="2B366C3A"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 xml:space="preserve">Điều 17. Kiểm soát mua, bán hóa chất cần kiểm soát đặc biệt </w:t>
            </w:r>
          </w:p>
          <w:p w14:paraId="61E2C0EA"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 xml:space="preserve">1. Tổ chức kinh doanh hóa chất thuộc Danh mục hóa chất cần kiểm soát đặc biệt phải lập phiếu kiểm soát mua, bán hóa chất cần kiểm soát đặc biệt cho từng lần giao hàng. </w:t>
            </w:r>
          </w:p>
          <w:p w14:paraId="530FB4A9" w14:textId="77777777" w:rsidR="001C6D2F" w:rsidRPr="00F93025" w:rsidRDefault="001C6D2F"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Thông tư 01/2026/TT-BCT quy định:</w:t>
            </w:r>
          </w:p>
          <w:p w14:paraId="1C92A791"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 xml:space="preserve">Điều 8. Phiếu kiểm soát mua, bán hóa chất cần kiểm soát đặc biệt </w:t>
            </w:r>
          </w:p>
          <w:p w14:paraId="413315EE" w14:textId="77777777" w:rsidR="001C6D2F" w:rsidRPr="00F93025" w:rsidRDefault="001C6D2F"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 xml:space="preserve">1. Kể từ ngày 01 tháng 01 năm 2026, trong thời hạn 10 ngày kể từ ngày giao hàng, tổ chức kinh doanh hóa chất thuộc Danh mục hóa chất </w:t>
            </w:r>
            <w:r w:rsidRPr="00F93025">
              <w:rPr>
                <w:rFonts w:ascii="Times New Roman" w:hAnsi="Times New Roman" w:cs="Times New Roman"/>
                <w:sz w:val="26"/>
                <w:szCs w:val="26"/>
              </w:rPr>
              <w:lastRenderedPageBreak/>
              <w:t>cần kiểm soát đặc biệt phải lập phiếu kiểm soát mua, bán hóa chất cần kiểm soát đặc biệt theo mẫu tại Phụ lục IX được ban hành kèm theo Thông tư này, thông qua hệ thống định danh, truy xuất nguồn gốc hóa chất cần kiểm soát đặc biệt trên nền tảng định danh, xác thực điện tử do Bộ Công an quản lý.</w:t>
            </w:r>
          </w:p>
          <w:p w14:paraId="5FDD2466" w14:textId="77777777" w:rsidR="00B335FD" w:rsidRPr="00F93025" w:rsidRDefault="00B335FD" w:rsidP="00F93025">
            <w:pPr>
              <w:spacing w:before="120" w:after="120" w:line="312" w:lineRule="auto"/>
              <w:rPr>
                <w:rFonts w:ascii="Times New Roman" w:hAnsi="Times New Roman" w:cs="Times New Roman"/>
                <w:sz w:val="26"/>
                <w:szCs w:val="26"/>
              </w:rPr>
            </w:pPr>
            <w:r w:rsidRPr="00F93025">
              <w:rPr>
                <w:rFonts w:ascii="Times New Roman" w:hAnsi="Times New Roman" w:cs="Times New Roman"/>
                <w:sz w:val="26"/>
                <w:szCs w:val="26"/>
              </w:rPr>
              <w:t>2. Cục Hóa chất có trách nhiệm đảm bảo cơ sở hạ tầng để tiếp nhận nội dung phiếu kiểm soát mua bán hóa chất cần kiểm soát đặc biệt về Cơ sở dữ liệu chuyên ngành hóa chất, kể từ ngày hệ thống định danh, truy xuất nguồn gốc hóa chất cần kiểm soát đặc biệt được công bố chính thức.</w:t>
            </w:r>
          </w:p>
        </w:tc>
        <w:tc>
          <w:tcPr>
            <w:tcW w:w="4947" w:type="dxa"/>
          </w:tcPr>
          <w:p w14:paraId="41CA4E32" w14:textId="77777777" w:rsidR="0047725E" w:rsidRPr="00F93025" w:rsidRDefault="00B335FD" w:rsidP="00F93025">
            <w:pPr>
              <w:pStyle w:val="NormalWeb"/>
              <w:spacing w:before="120" w:beforeAutospacing="0" w:after="120" w:afterAutospacing="0" w:line="312" w:lineRule="auto"/>
              <w:rPr>
                <w:sz w:val="26"/>
                <w:szCs w:val="26"/>
              </w:rPr>
            </w:pPr>
            <w:r w:rsidRPr="00F93025">
              <w:rPr>
                <w:sz w:val="26"/>
                <w:szCs w:val="26"/>
              </w:rPr>
              <w:lastRenderedPageBreak/>
              <w:t xml:space="preserve">- Theo quy định hiện tại, việc kê khai Phiếu kiểm soát mua, bán cần được thực hiện bởi cả bên bán và bên mua; đồng thời, hệ thống “Cơ sở dữ liệu chuyên ngành hóa chất” hiện tại không ghi nhận sự liên kết dữ liệu mua bán giữa hai doanh nghiệp trong quá trình phát sinh giao dịch. Điều này dẫn đến việc </w:t>
            </w:r>
            <w:r w:rsidRPr="00F93025">
              <w:rPr>
                <w:sz w:val="26"/>
                <w:szCs w:val="26"/>
              </w:rPr>
              <w:lastRenderedPageBreak/>
              <w:t>trùng lặp quy trình cho doanh nghiệp, nhưng dữ liệu có khả năng không đồng nhất.</w:t>
            </w:r>
            <w:r w:rsidR="0047725E" w:rsidRPr="00F93025">
              <w:rPr>
                <w:rStyle w:val="citation-775"/>
                <w:sz w:val="26"/>
                <w:szCs w:val="26"/>
              </w:rPr>
              <w:t xml:space="preserve"> </w:t>
            </w:r>
          </w:p>
          <w:p w14:paraId="0926B8A6"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74"/>
                <w:sz w:val="26"/>
                <w:szCs w:val="26"/>
              </w:rPr>
              <w:t xml:space="preserve">- Biểu mẫu yêu cầu kê khai "mã mục đích sử dụng của bên mua", gây phiền hà cho bên bán vì phải đợi thông tin cung cấp. </w:t>
            </w:r>
          </w:p>
          <w:p w14:paraId="2D865BAC" w14:textId="77777777" w:rsidR="0047725E" w:rsidRPr="00F93025" w:rsidRDefault="0047725E" w:rsidP="00F93025">
            <w:pPr>
              <w:pStyle w:val="NormalWeb"/>
              <w:spacing w:before="120" w:beforeAutospacing="0" w:after="120" w:afterAutospacing="0" w:line="312" w:lineRule="auto"/>
              <w:rPr>
                <w:sz w:val="26"/>
                <w:szCs w:val="26"/>
              </w:rPr>
            </w:pPr>
            <w:r w:rsidRPr="00F93025">
              <w:rPr>
                <w:sz w:val="26"/>
                <w:szCs w:val="26"/>
              </w:rPr>
              <w:t xml:space="preserve">- Mẫu phiếu yêu cầu kê khai thông tin người đại diện pháp luật. </w:t>
            </w:r>
            <w:r w:rsidR="00745047" w:rsidRPr="00F93025">
              <w:rPr>
                <w:sz w:val="26"/>
                <w:szCs w:val="26"/>
              </w:rPr>
              <w:t>Cơ sở dữ liệu chuyên ngành hóa chất của từng công ty đã có thông tin “người đại diện pháp luật” ở từng tài khoản, do đó không cần kê khai thông tin này trên Phiếu kiểm soát.</w:t>
            </w:r>
          </w:p>
          <w:p w14:paraId="1677A523"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72"/>
                <w:sz w:val="26"/>
                <w:szCs w:val="26"/>
              </w:rPr>
              <w:t>- Việc áp dụng mẫu phiếu kiểm soát cho hóa chất nhập khẩu tạo thêm gánh nặng thủ tục, vì trước đó đã qua quản lý cấp phép của Cục Hóa chất/Sở Công thương.</w:t>
            </w:r>
          </w:p>
          <w:p w14:paraId="0706E66B" w14:textId="77777777" w:rsidR="0047725E" w:rsidRPr="00F93025" w:rsidRDefault="0047725E" w:rsidP="00F93025">
            <w:pPr>
              <w:pStyle w:val="NormalWeb"/>
              <w:spacing w:before="120" w:beforeAutospacing="0" w:after="120" w:afterAutospacing="0" w:line="312" w:lineRule="auto"/>
              <w:rPr>
                <w:rStyle w:val="citation-779"/>
                <w:sz w:val="26"/>
                <w:szCs w:val="26"/>
              </w:rPr>
            </w:pPr>
          </w:p>
        </w:tc>
        <w:tc>
          <w:tcPr>
            <w:tcW w:w="3238" w:type="dxa"/>
          </w:tcPr>
          <w:p w14:paraId="2EC23AEA" w14:textId="77777777" w:rsidR="00B335FD" w:rsidRPr="00F93025" w:rsidRDefault="0047725E" w:rsidP="00F93025">
            <w:pPr>
              <w:pStyle w:val="NormalWeb"/>
              <w:spacing w:before="120" w:beforeAutospacing="0" w:after="120" w:afterAutospacing="0" w:line="312" w:lineRule="auto"/>
              <w:rPr>
                <w:sz w:val="26"/>
                <w:szCs w:val="26"/>
              </w:rPr>
            </w:pPr>
            <w:r w:rsidRPr="00F93025">
              <w:rPr>
                <w:rStyle w:val="citation-771"/>
                <w:sz w:val="26"/>
                <w:szCs w:val="26"/>
              </w:rPr>
              <w:lastRenderedPageBreak/>
              <w:t xml:space="preserve">Thiết lập cơ sở dữ liệu có tính liên kết giao dịch và chỉ yêu cầu một bên (bán hoặc mua) thực hiện kê khai phiếu kiểm soát. </w:t>
            </w:r>
            <w:r w:rsidRPr="00F93025">
              <w:rPr>
                <w:sz w:val="26"/>
                <w:szCs w:val="26"/>
              </w:rPr>
              <w:t xml:space="preserve">Việc kê khai mục đích sử dụng nên do bên mua (bên sử dụng) kê khai. </w:t>
            </w:r>
          </w:p>
          <w:p w14:paraId="6C5AE4A5" w14:textId="77777777" w:rsidR="0047725E" w:rsidRPr="00F93025" w:rsidRDefault="0047725E" w:rsidP="00F93025">
            <w:pPr>
              <w:pStyle w:val="NormalWeb"/>
              <w:spacing w:before="120" w:beforeAutospacing="0" w:after="120" w:afterAutospacing="0" w:line="312" w:lineRule="auto"/>
              <w:rPr>
                <w:sz w:val="26"/>
                <w:szCs w:val="26"/>
              </w:rPr>
            </w:pPr>
            <w:r w:rsidRPr="00F93025">
              <w:rPr>
                <w:rStyle w:val="citation-770"/>
                <w:sz w:val="26"/>
                <w:szCs w:val="26"/>
              </w:rPr>
              <w:lastRenderedPageBreak/>
              <w:t>Đồng thời, gỡ bỏ yêu cầu cung cấp thông tin người đại diện pháp luật trên phiếu.</w:t>
            </w:r>
          </w:p>
        </w:tc>
      </w:tr>
      <w:tr w:rsidR="003B7EC4" w:rsidRPr="00F93025" w14:paraId="6B476E07" w14:textId="77777777" w:rsidTr="009B35BD">
        <w:tc>
          <w:tcPr>
            <w:tcW w:w="715" w:type="dxa"/>
          </w:tcPr>
          <w:p w14:paraId="5600ADA4" w14:textId="77777777" w:rsidR="003B7EC4" w:rsidRPr="00F93025" w:rsidRDefault="00F93025" w:rsidP="00F93025">
            <w:pPr>
              <w:spacing w:before="120" w:after="120" w:line="312" w:lineRule="auto"/>
              <w:rPr>
                <w:rFonts w:ascii="Times New Roman" w:hAnsi="Times New Roman" w:cs="Times New Roman"/>
                <w:sz w:val="26"/>
                <w:szCs w:val="26"/>
              </w:rPr>
            </w:pPr>
            <w:r>
              <w:rPr>
                <w:rFonts w:ascii="Times New Roman" w:hAnsi="Times New Roman" w:cs="Times New Roman"/>
                <w:sz w:val="26"/>
                <w:szCs w:val="26"/>
              </w:rPr>
              <w:lastRenderedPageBreak/>
              <w:t>7</w:t>
            </w:r>
          </w:p>
        </w:tc>
        <w:tc>
          <w:tcPr>
            <w:tcW w:w="4050" w:type="dxa"/>
          </w:tcPr>
          <w:p w14:paraId="7312624A" w14:textId="77777777" w:rsidR="003B7EC4" w:rsidRPr="00F93025" w:rsidRDefault="003B7EC4" w:rsidP="00F93025">
            <w:pPr>
              <w:spacing w:before="120" w:after="120" w:line="312" w:lineRule="auto"/>
              <w:rPr>
                <w:rFonts w:ascii="Times New Roman" w:hAnsi="Times New Roman" w:cs="Times New Roman"/>
                <w:b/>
                <w:sz w:val="26"/>
                <w:szCs w:val="26"/>
              </w:rPr>
            </w:pPr>
            <w:r w:rsidRPr="00F93025">
              <w:rPr>
                <w:rFonts w:ascii="Times New Roman" w:hAnsi="Times New Roman" w:cs="Times New Roman"/>
                <w:b/>
                <w:sz w:val="26"/>
                <w:szCs w:val="26"/>
              </w:rPr>
              <w:t>Đăng ký hóa chất mới và Danh mục Hóa chất Quốc gia (NCI)</w:t>
            </w:r>
          </w:p>
          <w:p w14:paraId="23519870" w14:textId="77777777" w:rsidR="00DB0891" w:rsidRPr="00F93025" w:rsidRDefault="00DB0891" w:rsidP="00F93025">
            <w:pPr>
              <w:spacing w:before="120" w:after="120" w:line="312" w:lineRule="auto"/>
              <w:rPr>
                <w:rStyle w:val="citation-765"/>
                <w:rFonts w:ascii="Times New Roman" w:hAnsi="Times New Roman" w:cs="Times New Roman"/>
                <w:sz w:val="26"/>
                <w:szCs w:val="26"/>
              </w:rPr>
            </w:pPr>
            <w:r w:rsidRPr="00F93025">
              <w:rPr>
                <w:rStyle w:val="citation-765"/>
                <w:rFonts w:ascii="Times New Roman" w:hAnsi="Times New Roman" w:cs="Times New Roman"/>
                <w:sz w:val="26"/>
                <w:szCs w:val="26"/>
              </w:rPr>
              <w:t xml:space="preserve">Điều 20 Luật Hóa chất quy định: Hóa chất mới là chất </w:t>
            </w:r>
            <w:r w:rsidRPr="00F93025">
              <w:rPr>
                <w:rStyle w:val="citation-765"/>
                <w:rFonts w:ascii="Times New Roman" w:hAnsi="Times New Roman" w:cs="Times New Roman"/>
                <w:b/>
                <w:sz w:val="26"/>
                <w:szCs w:val="26"/>
              </w:rPr>
              <w:t>chưa có</w:t>
            </w:r>
            <w:r w:rsidRPr="00F93025">
              <w:rPr>
                <w:rStyle w:val="citation-765"/>
                <w:rFonts w:ascii="Times New Roman" w:hAnsi="Times New Roman" w:cs="Times New Roman"/>
                <w:sz w:val="26"/>
                <w:szCs w:val="26"/>
              </w:rPr>
              <w:t xml:space="preserve"> trong Danh mục hóa chất quốc gia </w:t>
            </w:r>
            <w:r w:rsidRPr="00F93025">
              <w:rPr>
                <w:rStyle w:val="citation-765"/>
                <w:rFonts w:ascii="Times New Roman" w:hAnsi="Times New Roman" w:cs="Times New Roman"/>
                <w:b/>
                <w:sz w:val="26"/>
                <w:szCs w:val="26"/>
              </w:rPr>
              <w:t>và</w:t>
            </w:r>
            <w:r w:rsidRPr="00F93025">
              <w:rPr>
                <w:rStyle w:val="citation-765"/>
                <w:rFonts w:ascii="Times New Roman" w:hAnsi="Times New Roman" w:cs="Times New Roman"/>
                <w:sz w:val="26"/>
                <w:szCs w:val="26"/>
              </w:rPr>
              <w:t xml:space="preserve"> danh mục hóa chất nước ngoài được </w:t>
            </w:r>
            <w:r w:rsidRPr="00F93025">
              <w:rPr>
                <w:rStyle w:val="citation-765"/>
                <w:rFonts w:ascii="Times New Roman" w:hAnsi="Times New Roman" w:cs="Times New Roman"/>
                <w:sz w:val="26"/>
                <w:szCs w:val="26"/>
              </w:rPr>
              <w:lastRenderedPageBreak/>
              <w:t>cơ quan nhà nước có thẩm quyền của Việt Nam thừa nhận. Hóa chất mới chỉ được đưa vào sử dụng, lưu thông trên thị trường sau khi được đăng ký với cơ quan nhà nước có thẩm quyền</w:t>
            </w:r>
          </w:p>
          <w:p w14:paraId="0C51B55E" w14:textId="77777777" w:rsidR="003B7EC4" w:rsidRPr="00F93025" w:rsidRDefault="003B7EC4" w:rsidP="00F93025">
            <w:pPr>
              <w:spacing w:before="120" w:after="120" w:line="312" w:lineRule="auto"/>
              <w:rPr>
                <w:rStyle w:val="citation-765"/>
                <w:rFonts w:ascii="Times New Roman" w:hAnsi="Times New Roman" w:cs="Times New Roman"/>
                <w:sz w:val="26"/>
                <w:szCs w:val="26"/>
              </w:rPr>
            </w:pPr>
            <w:r w:rsidRPr="00F93025">
              <w:rPr>
                <w:rStyle w:val="citation-765"/>
                <w:rFonts w:ascii="Times New Roman" w:hAnsi="Times New Roman" w:cs="Times New Roman"/>
                <w:sz w:val="26"/>
                <w:szCs w:val="26"/>
              </w:rPr>
              <w:t>Điều 23 Nghị đị</w:t>
            </w:r>
            <w:r w:rsidR="00F93025" w:rsidRPr="00F93025">
              <w:rPr>
                <w:rStyle w:val="citation-765"/>
                <w:rFonts w:ascii="Times New Roman" w:hAnsi="Times New Roman" w:cs="Times New Roman"/>
                <w:sz w:val="26"/>
                <w:szCs w:val="26"/>
              </w:rPr>
              <w:t>nh 26/2026/NĐ-CP quy định:</w:t>
            </w:r>
          </w:p>
          <w:p w14:paraId="35A77EDD" w14:textId="77777777" w:rsidR="00F93025" w:rsidRPr="00F93025" w:rsidRDefault="00F93025" w:rsidP="00F93025">
            <w:pPr>
              <w:spacing w:before="120" w:after="120" w:line="312" w:lineRule="auto"/>
              <w:rPr>
                <w:rStyle w:val="citation-765"/>
                <w:rFonts w:ascii="Times New Roman" w:hAnsi="Times New Roman" w:cs="Times New Roman"/>
                <w:sz w:val="26"/>
                <w:szCs w:val="26"/>
              </w:rPr>
            </w:pPr>
            <w:r w:rsidRPr="00F93025">
              <w:rPr>
                <w:rStyle w:val="citation-765"/>
                <w:rFonts w:ascii="Times New Roman" w:hAnsi="Times New Roman" w:cs="Times New Roman"/>
                <w:sz w:val="26"/>
                <w:szCs w:val="26"/>
              </w:rPr>
              <w:t>Khoản 1 quy định về hồ sơ đăng ký hóa chất mới</w:t>
            </w:r>
          </w:p>
          <w:p w14:paraId="75BAA219" w14:textId="77777777" w:rsidR="00F93025" w:rsidRPr="00F93025" w:rsidRDefault="00F93025" w:rsidP="00F93025">
            <w:pPr>
              <w:spacing w:before="120" w:after="120" w:line="312" w:lineRule="auto"/>
              <w:rPr>
                <w:rStyle w:val="citation-765"/>
                <w:rFonts w:ascii="Times New Roman" w:hAnsi="Times New Roman" w:cs="Times New Roman"/>
                <w:sz w:val="26"/>
                <w:szCs w:val="26"/>
              </w:rPr>
            </w:pPr>
            <w:r w:rsidRPr="00F93025">
              <w:rPr>
                <w:rStyle w:val="citation-765"/>
                <w:rFonts w:ascii="Times New Roman" w:hAnsi="Times New Roman" w:cs="Times New Roman"/>
                <w:sz w:val="26"/>
                <w:szCs w:val="26"/>
              </w:rPr>
              <w:t xml:space="preserve">Khoản 2 quy định trường hợp đăng ký hóa chất mới thuộc các Danh mục đã được Việt Nam công nhận tại, trong đó yêu cầu phải có “Báo cáo tóm tắt đánh giá hóa chất kèm theo mã số CAS </w:t>
            </w:r>
            <w:r w:rsidRPr="00F93025">
              <w:rPr>
                <w:rStyle w:val="citation-765"/>
                <w:rFonts w:ascii="Times New Roman" w:hAnsi="Times New Roman" w:cs="Times New Roman"/>
                <w:b/>
                <w:sz w:val="26"/>
                <w:szCs w:val="26"/>
              </w:rPr>
              <w:t>hoặc</w:t>
            </w:r>
            <w:r w:rsidRPr="00F93025">
              <w:rPr>
                <w:rStyle w:val="citation-765"/>
                <w:rFonts w:ascii="Times New Roman" w:hAnsi="Times New Roman" w:cs="Times New Roman"/>
                <w:sz w:val="26"/>
                <w:szCs w:val="26"/>
              </w:rPr>
              <w:t xml:space="preserve"> số UN của hóa chất mới ở hai danh mục hóa chất nước ngoài”</w:t>
            </w:r>
          </w:p>
          <w:p w14:paraId="13E993AB" w14:textId="77777777" w:rsidR="00F93025" w:rsidRPr="00F93025" w:rsidRDefault="00F93025" w:rsidP="00F93025">
            <w:pPr>
              <w:spacing w:before="120" w:after="120" w:line="312" w:lineRule="auto"/>
              <w:rPr>
                <w:rFonts w:ascii="Times New Roman" w:hAnsi="Times New Roman" w:cs="Times New Roman"/>
                <w:sz w:val="26"/>
                <w:szCs w:val="26"/>
              </w:rPr>
            </w:pPr>
            <w:r w:rsidRPr="00F93025">
              <w:rPr>
                <w:rStyle w:val="citation-765"/>
                <w:rFonts w:ascii="Times New Roman" w:hAnsi="Times New Roman" w:cs="Times New Roman"/>
                <w:sz w:val="26"/>
                <w:szCs w:val="26"/>
              </w:rPr>
              <w:t xml:space="preserve">Khoản 3 Điều 25 Nghị định 26/2026/NĐ-CP quy định “căn cứ kết quả đánh giá hóa chất mới và báo cáo quá trình hoạt động hóa chất mới, Bộ Công Thương đề xuất </w:t>
            </w:r>
            <w:r w:rsidRPr="00F93025">
              <w:rPr>
                <w:rStyle w:val="citation-765"/>
                <w:rFonts w:ascii="Times New Roman" w:hAnsi="Times New Roman" w:cs="Times New Roman"/>
                <w:sz w:val="26"/>
                <w:szCs w:val="26"/>
              </w:rPr>
              <w:lastRenderedPageBreak/>
              <w:t xml:space="preserve">Chính phủ xem xét, quyết định bổ sung hóa chất mới vào các Danh mục hóa chất có điều kiện, Danh mục hóa chất cần kiểm soát đặc biệt, Danh mục hóa chất cấm để quản lý” </w:t>
            </w:r>
          </w:p>
        </w:tc>
        <w:tc>
          <w:tcPr>
            <w:tcW w:w="4947" w:type="dxa"/>
          </w:tcPr>
          <w:p w14:paraId="02D2C0E5" w14:textId="77777777" w:rsidR="00F93025" w:rsidRPr="00F93025" w:rsidRDefault="00F93025" w:rsidP="00F93025">
            <w:pPr>
              <w:pStyle w:val="NormalWeb"/>
              <w:spacing w:before="120" w:beforeAutospacing="0" w:after="120" w:afterAutospacing="0" w:line="312" w:lineRule="auto"/>
              <w:rPr>
                <w:rStyle w:val="citation-764"/>
                <w:b/>
                <w:sz w:val="26"/>
                <w:szCs w:val="26"/>
              </w:rPr>
            </w:pPr>
            <w:r w:rsidRPr="00F93025">
              <w:rPr>
                <w:rStyle w:val="citation-764"/>
                <w:b/>
                <w:sz w:val="26"/>
                <w:szCs w:val="26"/>
              </w:rPr>
              <w:lastRenderedPageBreak/>
              <w:t>- Tính thống nhất</w:t>
            </w:r>
          </w:p>
          <w:p w14:paraId="6A3EC663"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t xml:space="preserve">Theo quy định tại Luật Hóa chất, hóa chất mới là hóa chất </w:t>
            </w:r>
            <w:r w:rsidRPr="00F93025">
              <w:rPr>
                <w:rStyle w:val="citation-764"/>
                <w:b/>
                <w:sz w:val="26"/>
                <w:szCs w:val="26"/>
              </w:rPr>
              <w:t>chưa có</w:t>
            </w:r>
            <w:r w:rsidRPr="00F93025">
              <w:rPr>
                <w:rStyle w:val="citation-764"/>
                <w:sz w:val="26"/>
                <w:szCs w:val="26"/>
              </w:rPr>
              <w:t xml:space="preserve"> trong cả hai danh mục (Danh mục hóa chất quốc gia và Danh mục hóa chất nước ngoài được thừa nhận). Hóa chất này phải thực hiện thủ tục đăng ký. </w:t>
            </w:r>
            <w:r w:rsidRPr="00F93025">
              <w:rPr>
                <w:rStyle w:val="citation-764"/>
                <w:sz w:val="26"/>
                <w:szCs w:val="26"/>
              </w:rPr>
              <w:t>Như vậy, quy định này đang được hiểu, nếu hóa chất có trong một trong hai Danh mục (Danh mục hóa chất quốc gia và Danh mục hóa chất nước ngoài được thừa nhận) thì không được xem là hóa chất mới và không phải thực hiện thủ tục đăng ký hóa chất mới.</w:t>
            </w:r>
          </w:p>
          <w:p w14:paraId="054DC2D3"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t>Tuy nhiên, Điều 23 Nghị định 26 lại quy định về hai trường hợp đăng ký hóa chất mới, cụ thể:</w:t>
            </w:r>
          </w:p>
          <w:p w14:paraId="1337D0A0"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t>- Khoản 1 quy định thủ tục đăng ký hóa chất mới cho trường hợp hóa chất chưa có trong 2 Danh mục</w:t>
            </w:r>
          </w:p>
          <w:p w14:paraId="5F4B57E6"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t>- Khoản 2 quy định thủ tục đăng ký hóa chất cho trường hợp hóa chất thuộc Danh mục được Việt Nam thừa nhận.</w:t>
            </w:r>
          </w:p>
          <w:p w14:paraId="68780139"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t xml:space="preserve">Như vậy, quy định tại Nghị định 26 đang xem hóa chất thuộc Danh mục được Việt Nam thừa nhận là hóa chất mới. Điều này là chưa phù hợp với quy định tại Điều 20 Luật Hóa chất. </w:t>
            </w:r>
          </w:p>
          <w:p w14:paraId="5ED3CC69" w14:textId="77777777" w:rsidR="00F93025" w:rsidRPr="00F93025" w:rsidRDefault="00F93025" w:rsidP="00F93025">
            <w:pPr>
              <w:pStyle w:val="NormalWeb"/>
              <w:spacing w:before="120" w:beforeAutospacing="0" w:after="120" w:afterAutospacing="0" w:line="312" w:lineRule="auto"/>
              <w:rPr>
                <w:rStyle w:val="citation-764"/>
                <w:b/>
                <w:sz w:val="26"/>
                <w:szCs w:val="26"/>
              </w:rPr>
            </w:pPr>
            <w:r w:rsidRPr="00F93025">
              <w:rPr>
                <w:rStyle w:val="citation-764"/>
                <w:b/>
                <w:sz w:val="26"/>
                <w:szCs w:val="26"/>
              </w:rPr>
              <w:t>- Tính hợp lý</w:t>
            </w:r>
          </w:p>
          <w:p w14:paraId="7E55B6C7"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lastRenderedPageBreak/>
              <w:t>Trong hồ sơ đăng ký hóa chất mới trong trường hợp thuộc Danh mục do Việt Nam thừa nhận có yêu cầu tài liệu là “Báo cáo tóm tắt đánh giá hóa chất kèm theo mã số</w:t>
            </w:r>
            <w:r w:rsidRPr="00F93025">
              <w:rPr>
                <w:rStyle w:val="citation-765"/>
                <w:sz w:val="26"/>
                <w:szCs w:val="26"/>
              </w:rPr>
              <w:t xml:space="preserve"> CAS </w:t>
            </w:r>
            <w:r w:rsidRPr="00F93025">
              <w:rPr>
                <w:rStyle w:val="citation-765"/>
                <w:b/>
                <w:sz w:val="26"/>
                <w:szCs w:val="26"/>
              </w:rPr>
              <w:t>hoặc</w:t>
            </w:r>
            <w:r w:rsidRPr="00F93025">
              <w:rPr>
                <w:rStyle w:val="citation-765"/>
                <w:sz w:val="26"/>
                <w:szCs w:val="26"/>
              </w:rPr>
              <w:t xml:space="preserve"> số UN của hóa chất mới ở </w:t>
            </w:r>
            <w:r w:rsidRPr="00F93025">
              <w:rPr>
                <w:rStyle w:val="citation-765"/>
                <w:b/>
                <w:sz w:val="26"/>
                <w:szCs w:val="26"/>
              </w:rPr>
              <w:t>hai</w:t>
            </w:r>
            <w:r w:rsidRPr="00F93025">
              <w:rPr>
                <w:rStyle w:val="citation-765"/>
                <w:sz w:val="26"/>
                <w:szCs w:val="26"/>
              </w:rPr>
              <w:t xml:space="preserve"> danh mục hóa chất nước ngoài</w:t>
            </w:r>
            <w:r w:rsidRPr="00F93025">
              <w:rPr>
                <w:rStyle w:val="citation-764"/>
                <w:sz w:val="26"/>
                <w:szCs w:val="26"/>
              </w:rPr>
              <w:t>”. Việc yêu cầu phải có trong hai Danh mục dường như là yêu cầu vượt quá quy định của Luật Hóa chất (khi Luật chỉ yêu cầu chỉ có trong Danh mục mà không yêu cầu số lượng phải 2 Danh mục) mặt khác, việc yêu cầu phải có trong hai Danh mục sẽ thu hẹp số lượng hóa chất mới được đăng ký.</w:t>
            </w:r>
          </w:p>
          <w:p w14:paraId="3951D9F1" w14:textId="77777777" w:rsidR="00F93025" w:rsidRPr="00F93025" w:rsidRDefault="00F93025" w:rsidP="00F93025">
            <w:pPr>
              <w:pStyle w:val="NormalWeb"/>
              <w:spacing w:before="120" w:beforeAutospacing="0" w:after="120" w:afterAutospacing="0" w:line="312" w:lineRule="auto"/>
              <w:rPr>
                <w:rStyle w:val="citation-764"/>
                <w:b/>
                <w:sz w:val="26"/>
                <w:szCs w:val="26"/>
              </w:rPr>
            </w:pPr>
            <w:r w:rsidRPr="00F93025">
              <w:rPr>
                <w:rStyle w:val="citation-764"/>
                <w:b/>
                <w:sz w:val="26"/>
                <w:szCs w:val="26"/>
              </w:rPr>
              <w:t>- Chưa thống nhất về thông tin trong tài liệu hồ sơ giữa quy định tại Nghị định 26 và Thông tư 01/2026/TT-BCT</w:t>
            </w:r>
          </w:p>
          <w:p w14:paraId="1422D0E3" w14:textId="77777777" w:rsidR="00F93025" w:rsidRPr="00F93025" w:rsidRDefault="00F93025" w:rsidP="00F93025">
            <w:pPr>
              <w:pStyle w:val="NormalWeb"/>
              <w:spacing w:before="120" w:beforeAutospacing="0" w:after="120" w:afterAutospacing="0" w:line="312" w:lineRule="auto"/>
              <w:rPr>
                <w:rStyle w:val="citation-764"/>
                <w:sz w:val="26"/>
                <w:szCs w:val="26"/>
              </w:rPr>
            </w:pPr>
            <w:r w:rsidRPr="00F93025">
              <w:rPr>
                <w:rStyle w:val="citation-764"/>
                <w:sz w:val="26"/>
                <w:szCs w:val="26"/>
              </w:rPr>
              <w:t>Theo quy định tại Nghị định 26 thì trong Báo cáo tóm tắt chỉ cần kèm 1 trong 2 mã số CAS hoặc UN trong khi biểu mẫu 12b Phụ lục XII lại yêu cầu cả 2 mã số CAS và UN.</w:t>
            </w:r>
          </w:p>
          <w:p w14:paraId="16B4623E" w14:textId="77777777" w:rsidR="00F93025" w:rsidRPr="00F93025" w:rsidRDefault="003B7EC4" w:rsidP="00F93025">
            <w:pPr>
              <w:pStyle w:val="NormalWeb"/>
              <w:spacing w:before="120" w:beforeAutospacing="0" w:after="120" w:afterAutospacing="0" w:line="312" w:lineRule="auto"/>
              <w:rPr>
                <w:rStyle w:val="citation-762"/>
                <w:b/>
                <w:sz w:val="26"/>
                <w:szCs w:val="26"/>
              </w:rPr>
            </w:pPr>
            <w:r w:rsidRPr="00F93025">
              <w:rPr>
                <w:rStyle w:val="citation-762"/>
                <w:b/>
                <w:sz w:val="26"/>
                <w:szCs w:val="26"/>
              </w:rPr>
              <w:t>-</w:t>
            </w:r>
            <w:r w:rsidR="00F93025" w:rsidRPr="00F93025">
              <w:rPr>
                <w:rStyle w:val="citation-762"/>
                <w:b/>
                <w:sz w:val="26"/>
                <w:szCs w:val="26"/>
              </w:rPr>
              <w:t xml:space="preserve"> Phân loại hóa chất mới chưa hợp lý</w:t>
            </w:r>
            <w:r w:rsidRPr="00F93025">
              <w:rPr>
                <w:rStyle w:val="citation-762"/>
                <w:b/>
                <w:sz w:val="26"/>
                <w:szCs w:val="26"/>
              </w:rPr>
              <w:t xml:space="preserve"> </w:t>
            </w:r>
          </w:p>
          <w:p w14:paraId="2129ACD5" w14:textId="77777777" w:rsidR="003B7EC4" w:rsidRDefault="00F93025" w:rsidP="00F93025">
            <w:pPr>
              <w:pStyle w:val="NormalWeb"/>
              <w:spacing w:before="120" w:beforeAutospacing="0" w:after="120" w:afterAutospacing="0" w:line="312" w:lineRule="auto"/>
              <w:rPr>
                <w:rStyle w:val="citation-762"/>
                <w:sz w:val="26"/>
                <w:szCs w:val="26"/>
              </w:rPr>
            </w:pPr>
            <w:r w:rsidRPr="00F93025">
              <w:rPr>
                <w:rStyle w:val="citation-762"/>
                <w:sz w:val="26"/>
                <w:szCs w:val="26"/>
              </w:rPr>
              <w:t>Khoản 3 Điều 25 Nghị định 26</w:t>
            </w:r>
            <w:r w:rsidR="003B7EC4" w:rsidRPr="00F93025">
              <w:rPr>
                <w:rStyle w:val="citation-762"/>
                <w:sz w:val="26"/>
                <w:szCs w:val="26"/>
              </w:rPr>
              <w:t xml:space="preserve"> bắt buộc phân loại mọi hóa chất mới vào 3 danh mục </w:t>
            </w:r>
            <w:r w:rsidR="003B7EC4" w:rsidRPr="00F93025">
              <w:rPr>
                <w:rStyle w:val="citation-762"/>
                <w:sz w:val="26"/>
                <w:szCs w:val="26"/>
              </w:rPr>
              <w:lastRenderedPageBreak/>
              <w:t>(có điều kiện, kiểm soát đặc biệt, cấm), không chừa khoảng trống phân loại cho những hóa chất có mức rủi ro/nguy hại rất thấp.</w:t>
            </w:r>
            <w:r w:rsidRPr="00F93025">
              <w:rPr>
                <w:rStyle w:val="citation-762"/>
                <w:sz w:val="26"/>
                <w:szCs w:val="26"/>
              </w:rPr>
              <w:t xml:space="preserve"> Điều này khiến cho cơ chế quản lý đối với các hóa chất có mức độ rủi ro/nguy hại thấp là quá mức cần thiết.</w:t>
            </w:r>
          </w:p>
          <w:p w14:paraId="56D825B8" w14:textId="77777777" w:rsidR="005B5DAB" w:rsidRPr="005B5DAB" w:rsidRDefault="005B5DAB" w:rsidP="00F93025">
            <w:pPr>
              <w:pStyle w:val="NormalWeb"/>
              <w:spacing w:before="120" w:beforeAutospacing="0" w:after="120" w:afterAutospacing="0" w:line="312" w:lineRule="auto"/>
              <w:rPr>
                <w:rStyle w:val="citation-762"/>
                <w:b/>
                <w:sz w:val="26"/>
                <w:szCs w:val="26"/>
              </w:rPr>
            </w:pPr>
            <w:r w:rsidRPr="005B5DAB">
              <w:rPr>
                <w:rStyle w:val="citation-762"/>
                <w:b/>
                <w:sz w:val="26"/>
                <w:szCs w:val="26"/>
              </w:rPr>
              <w:t>- Về Danh mục hóa chất quốc gia</w:t>
            </w:r>
          </w:p>
          <w:p w14:paraId="3D2BE27B" w14:textId="77777777" w:rsidR="005B5DAB" w:rsidRPr="00F93025" w:rsidRDefault="005B5DAB" w:rsidP="00F93025">
            <w:pPr>
              <w:pStyle w:val="NormalWeb"/>
              <w:spacing w:before="120" w:beforeAutospacing="0" w:after="120" w:afterAutospacing="0" w:line="312" w:lineRule="auto"/>
              <w:rPr>
                <w:rStyle w:val="citation-768"/>
                <w:sz w:val="26"/>
                <w:szCs w:val="26"/>
              </w:rPr>
            </w:pPr>
            <w:r>
              <w:rPr>
                <w:rStyle w:val="citation-762"/>
                <w:sz w:val="26"/>
                <w:szCs w:val="26"/>
              </w:rPr>
              <w:t>Theo quy định tại Nghị định 26, Danh mục Hóa chất quốc gia sẽ được xây dựng và ban hành trước năm 2028. Các doanh nghiệp cho rằng, năm 2028 là quá muộn, cần phải ban hành sớm hơn vì Danh mục này đã nhiều năm chưa được mở lại và cập nhật.</w:t>
            </w:r>
          </w:p>
        </w:tc>
        <w:tc>
          <w:tcPr>
            <w:tcW w:w="3238" w:type="dxa"/>
          </w:tcPr>
          <w:p w14:paraId="579C4BF8" w14:textId="77777777" w:rsidR="00F93025" w:rsidRPr="00F93025" w:rsidRDefault="00F93025" w:rsidP="00F93025">
            <w:pPr>
              <w:pStyle w:val="NormalWeb"/>
              <w:spacing w:before="120" w:beforeAutospacing="0" w:after="120" w:afterAutospacing="0" w:line="312" w:lineRule="auto"/>
              <w:rPr>
                <w:rStyle w:val="citation-761"/>
                <w:sz w:val="26"/>
                <w:szCs w:val="26"/>
              </w:rPr>
            </w:pPr>
            <w:r w:rsidRPr="00F93025">
              <w:rPr>
                <w:rStyle w:val="citation-761"/>
                <w:sz w:val="26"/>
                <w:szCs w:val="26"/>
              </w:rPr>
              <w:lastRenderedPageBreak/>
              <w:t>- Điều chỉnh lại quy định tại Nghị định 26 phù hợp với quy định tại Luật Hóa chất về xác định hóa chất mới và thủ tục đăng ký hóa chất mới</w:t>
            </w:r>
          </w:p>
          <w:p w14:paraId="221B4748" w14:textId="77777777" w:rsidR="00F93025" w:rsidRDefault="00F93025" w:rsidP="00F93025">
            <w:pPr>
              <w:pStyle w:val="NormalWeb"/>
              <w:spacing w:before="120" w:beforeAutospacing="0" w:after="120" w:afterAutospacing="0" w:line="312" w:lineRule="auto"/>
              <w:rPr>
                <w:rStyle w:val="citation-761"/>
                <w:sz w:val="26"/>
                <w:szCs w:val="26"/>
              </w:rPr>
            </w:pPr>
            <w:r w:rsidRPr="00F93025">
              <w:rPr>
                <w:rStyle w:val="citation-761"/>
                <w:sz w:val="26"/>
                <w:szCs w:val="26"/>
              </w:rPr>
              <w:t>- Điều chỉnh quy định tại khoản 3 Điều 25 Nghị định 26 theo hướng bổ sung quy định quản lý đối với hóa chất mới có mức độ rủi ro/mức độ nguy hại thấp.</w:t>
            </w:r>
          </w:p>
          <w:p w14:paraId="0B8A5500" w14:textId="77777777" w:rsidR="005B5DAB" w:rsidRPr="00F93025" w:rsidRDefault="005B5DAB" w:rsidP="00F93025">
            <w:pPr>
              <w:pStyle w:val="NormalWeb"/>
              <w:spacing w:before="120" w:beforeAutospacing="0" w:after="120" w:afterAutospacing="0" w:line="312" w:lineRule="auto"/>
              <w:rPr>
                <w:rStyle w:val="citation-761"/>
                <w:sz w:val="26"/>
                <w:szCs w:val="26"/>
              </w:rPr>
            </w:pPr>
            <w:r>
              <w:rPr>
                <w:rStyle w:val="citation-761"/>
                <w:sz w:val="26"/>
                <w:szCs w:val="26"/>
              </w:rPr>
              <w:t>- Ban hành Danh mục hóa chất quốc gia trước năm 2027</w:t>
            </w:r>
          </w:p>
          <w:p w14:paraId="54EB8B2F" w14:textId="77777777" w:rsidR="003B7EC4" w:rsidRPr="00F93025" w:rsidRDefault="003B7EC4" w:rsidP="00F93025">
            <w:pPr>
              <w:pStyle w:val="NormalWeb"/>
              <w:spacing w:before="120" w:beforeAutospacing="0" w:after="120" w:afterAutospacing="0" w:line="312" w:lineRule="auto"/>
              <w:rPr>
                <w:sz w:val="26"/>
                <w:szCs w:val="26"/>
              </w:rPr>
            </w:pPr>
            <w:r w:rsidRPr="00F93025">
              <w:rPr>
                <w:rStyle w:val="citation-761"/>
                <w:sz w:val="26"/>
                <w:szCs w:val="26"/>
              </w:rPr>
              <w:t xml:space="preserve"> </w:t>
            </w:r>
          </w:p>
        </w:tc>
      </w:tr>
      <w:tr w:rsidR="00AB037A" w:rsidRPr="009E411E" w14:paraId="227DB13C" w14:textId="77777777" w:rsidTr="009B35BD">
        <w:tc>
          <w:tcPr>
            <w:tcW w:w="715" w:type="dxa"/>
          </w:tcPr>
          <w:p w14:paraId="2E54E839" w14:textId="77777777" w:rsidR="00AB037A" w:rsidRPr="009E411E" w:rsidRDefault="00AB037A" w:rsidP="009E411E">
            <w:pPr>
              <w:spacing w:before="120" w:after="120" w:line="312" w:lineRule="auto"/>
              <w:rPr>
                <w:rFonts w:ascii="Times New Roman" w:hAnsi="Times New Roman" w:cs="Times New Roman"/>
                <w:sz w:val="26"/>
                <w:szCs w:val="26"/>
              </w:rPr>
            </w:pPr>
            <w:r w:rsidRPr="009E411E">
              <w:rPr>
                <w:rFonts w:ascii="Times New Roman" w:hAnsi="Times New Roman" w:cs="Times New Roman"/>
                <w:sz w:val="26"/>
                <w:szCs w:val="26"/>
              </w:rPr>
              <w:lastRenderedPageBreak/>
              <w:t>8</w:t>
            </w:r>
          </w:p>
        </w:tc>
        <w:tc>
          <w:tcPr>
            <w:tcW w:w="4050" w:type="dxa"/>
          </w:tcPr>
          <w:p w14:paraId="0A5D98EB" w14:textId="77777777" w:rsidR="00AB037A" w:rsidRPr="009E411E" w:rsidRDefault="00AB037A" w:rsidP="009E411E">
            <w:pPr>
              <w:spacing w:before="120" w:after="120" w:line="312" w:lineRule="auto"/>
              <w:rPr>
                <w:rFonts w:ascii="Times New Roman" w:hAnsi="Times New Roman" w:cs="Times New Roman"/>
                <w:b/>
                <w:sz w:val="26"/>
                <w:szCs w:val="26"/>
              </w:rPr>
            </w:pPr>
            <w:r w:rsidRPr="009E411E">
              <w:rPr>
                <w:rFonts w:ascii="Times New Roman" w:hAnsi="Times New Roman" w:cs="Times New Roman"/>
                <w:b/>
                <w:sz w:val="26"/>
                <w:szCs w:val="26"/>
              </w:rPr>
              <w:t>Hóa học xanh</w:t>
            </w:r>
          </w:p>
          <w:p w14:paraId="43C02A6A" w14:textId="77777777" w:rsidR="00AB037A" w:rsidRPr="009E411E" w:rsidRDefault="009E411E" w:rsidP="009E411E">
            <w:pPr>
              <w:spacing w:before="120" w:after="120" w:line="312" w:lineRule="auto"/>
              <w:rPr>
                <w:rFonts w:ascii="Times New Roman" w:hAnsi="Times New Roman" w:cs="Times New Roman"/>
                <w:sz w:val="26"/>
                <w:szCs w:val="26"/>
              </w:rPr>
            </w:pPr>
            <w:r w:rsidRPr="009E411E">
              <w:rPr>
                <w:rFonts w:ascii="Times New Roman" w:hAnsi="Times New Roman" w:cs="Times New Roman"/>
                <w:sz w:val="26"/>
                <w:szCs w:val="26"/>
              </w:rPr>
              <w:t>Nghị định 25/2026/NĐ-CP về phát triển công nghiệp và an toàn, an ninh hóa chất</w:t>
            </w:r>
          </w:p>
          <w:p w14:paraId="3E280371" w14:textId="77777777" w:rsidR="009E411E" w:rsidRPr="009E411E" w:rsidRDefault="009E411E" w:rsidP="009E411E">
            <w:pPr>
              <w:spacing w:before="120" w:after="120" w:line="312" w:lineRule="auto"/>
              <w:rPr>
                <w:rFonts w:ascii="Times New Roman" w:hAnsi="Times New Roman" w:cs="Times New Roman"/>
                <w:sz w:val="26"/>
                <w:szCs w:val="26"/>
              </w:rPr>
            </w:pPr>
            <w:r w:rsidRPr="009E411E">
              <w:rPr>
                <w:rFonts w:ascii="Times New Roman" w:hAnsi="Times New Roman" w:cs="Times New Roman"/>
                <w:b/>
                <w:sz w:val="26"/>
                <w:szCs w:val="26"/>
              </w:rPr>
              <w:t>Điều 3</w:t>
            </w:r>
            <w:r w:rsidRPr="009E411E">
              <w:rPr>
                <w:rFonts w:ascii="Times New Roman" w:hAnsi="Times New Roman" w:cs="Times New Roman"/>
                <w:sz w:val="26"/>
                <w:szCs w:val="26"/>
              </w:rPr>
              <w:t xml:space="preserve"> quy định “</w:t>
            </w:r>
            <w:r w:rsidRPr="009E411E">
              <w:rPr>
                <w:rFonts w:ascii="Times New Roman" w:hAnsi="Times New Roman" w:cs="Times New Roman"/>
                <w:color w:val="222222"/>
                <w:sz w:val="26"/>
                <w:szCs w:val="26"/>
              </w:rPr>
              <w:t xml:space="preserve"> Nguyên tắc hóa học xanh là bộ nguyên tắc được áp dụng trong thiết kế, lựa chọn công nghệ, thiết bị, quy trình sản xuất, sử dụng và thải bỏ hóa chất nhằm giảm </w:t>
            </w:r>
            <w:r w:rsidRPr="009E411E">
              <w:rPr>
                <w:rFonts w:ascii="Times New Roman" w:hAnsi="Times New Roman" w:cs="Times New Roman"/>
                <w:color w:val="222222"/>
                <w:sz w:val="26"/>
                <w:szCs w:val="26"/>
              </w:rPr>
              <w:lastRenderedPageBreak/>
              <w:t>thiểu hoặc loại bỏ việc sử dụng và tạo ra hóa chất nguy hiểm</w:t>
            </w:r>
            <w:r w:rsidRPr="009E411E">
              <w:rPr>
                <w:rFonts w:ascii="Times New Roman" w:hAnsi="Times New Roman" w:cs="Times New Roman"/>
                <w:sz w:val="26"/>
                <w:szCs w:val="26"/>
              </w:rPr>
              <w:t>”</w:t>
            </w:r>
          </w:p>
          <w:p w14:paraId="2018E536" w14:textId="77777777" w:rsidR="009E411E" w:rsidRPr="009E411E" w:rsidRDefault="009E411E" w:rsidP="009E411E">
            <w:pPr>
              <w:spacing w:before="120" w:after="120" w:line="312" w:lineRule="auto"/>
              <w:rPr>
                <w:rFonts w:ascii="Times New Roman" w:hAnsi="Times New Roman" w:cs="Times New Roman"/>
                <w:sz w:val="26"/>
                <w:szCs w:val="26"/>
              </w:rPr>
            </w:pPr>
            <w:r w:rsidRPr="009E411E">
              <w:rPr>
                <w:rFonts w:ascii="Times New Roman" w:hAnsi="Times New Roman" w:cs="Times New Roman"/>
                <w:b/>
                <w:sz w:val="26"/>
                <w:szCs w:val="26"/>
              </w:rPr>
              <w:t>Điều 11</w:t>
            </w:r>
            <w:r w:rsidRPr="009E411E">
              <w:rPr>
                <w:rFonts w:ascii="Times New Roman" w:hAnsi="Times New Roman" w:cs="Times New Roman"/>
                <w:sz w:val="26"/>
                <w:szCs w:val="26"/>
              </w:rPr>
              <w:t xml:space="preserve"> quy định về nguyên tắc hóa học xanh trong thiết kế và lựa chọn công nghệ, thiết bị</w:t>
            </w:r>
          </w:p>
          <w:p w14:paraId="761E1651"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1. Trong quá trình thiết kế và lựa chọn công nghệ, thiết bị, chủ đầu tư, tư vấn thiết kế dự án hóa chất phải áp dụng những nguyên tắc hóa học xanh sau:</w:t>
            </w:r>
          </w:p>
          <w:p w14:paraId="7B4B0920"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a) Sử dụng quy trình sản xuất giảm hoặc không tạo ra chất thải nguy hại;</w:t>
            </w:r>
          </w:p>
          <w:p w14:paraId="08A9F974"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b) Tăng hiệu quả sử dụng năng lượng;</w:t>
            </w:r>
          </w:p>
          <w:p w14:paraId="7BD38F1C"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c) Phân tích theo thời gian thực để giám sát và kiểm soát việc phát thải;</w:t>
            </w:r>
          </w:p>
          <w:p w14:paraId="7E26194F"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d) Áp dụng các biện pháp giảm thiểu khả năng xảy ra sự cố.</w:t>
            </w:r>
          </w:p>
          <w:p w14:paraId="16A5DA85"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 xml:space="preserve">2. Trong quá trình thiết kế và lựa chọn công nghệ, thiết bị, chủ đầu tư, tư vấn thiết kế dự án hóa chất được </w:t>
            </w:r>
            <w:r w:rsidRPr="009E411E">
              <w:rPr>
                <w:rFonts w:ascii="Times New Roman" w:eastAsia="Times New Roman" w:hAnsi="Times New Roman" w:cs="Times New Roman"/>
                <w:color w:val="222222"/>
                <w:sz w:val="26"/>
                <w:szCs w:val="26"/>
              </w:rPr>
              <w:lastRenderedPageBreak/>
              <w:t>khuyến khích áp dụng những nguyên tắc hóa học xanh sau:</w:t>
            </w:r>
          </w:p>
          <w:p w14:paraId="73BCECAA"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a) Nghiên cứu và phát triển các hóa chất và sản phẩm an toàn, có tính năng và hiệu quả tương đương nhưng ít nguy hại hơn;</w:t>
            </w:r>
          </w:p>
          <w:p w14:paraId="31D0397C"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b) Nghiên cứu và phát triển các hóa chất và sản phẩm có thể phân hủy sau khi hết chức năng;</w:t>
            </w:r>
          </w:p>
          <w:p w14:paraId="1C3A0A1D"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c) Sử dụng các quá trình tổng hợp hóa học ít nguy hại, hạn chế hoặc loại bỏ việc sử dụng và tạo ra hóa chất có nguy hại tới sức khỏe con người và môi trường sinh học;</w:t>
            </w:r>
          </w:p>
          <w:p w14:paraId="79A2B99F"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d) Sử dụng các quá trình tổng hợp và phản ứng hóa học không tạo ra nhiều chất trung gian;</w:t>
            </w:r>
          </w:p>
          <w:p w14:paraId="72B806B7"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đ) Sử dụng công nghệ hoặc phản ứng hóa học tối ưu nguyên liệu đầu vào (tiết kiệm nguyên tử);</w:t>
            </w:r>
          </w:p>
          <w:p w14:paraId="18E6815C"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e) Sử dụng chất xúc tác để tăng hiệu suất phản ứng;</w:t>
            </w:r>
          </w:p>
          <w:p w14:paraId="5DFD6908"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lastRenderedPageBreak/>
              <w:t>g) Sử dụng nguyên liệu sinh học hoặc nguyên liệu tái tạo;</w:t>
            </w:r>
          </w:p>
          <w:p w14:paraId="5DB3441A"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h) Hạn chế hoặc loại bỏ việc sử dụng dung môi, hóa chất phụ trợ có tính chất nguy hại và sử dụng các giải pháp thay thế an toàn hơn.</w:t>
            </w:r>
          </w:p>
          <w:p w14:paraId="41487E60" w14:textId="77777777" w:rsidR="009E411E" w:rsidRPr="009E411E" w:rsidRDefault="009E411E" w:rsidP="009E411E">
            <w:pPr>
              <w:pStyle w:val="NormalWeb"/>
              <w:spacing w:before="120" w:beforeAutospacing="0" w:after="120" w:afterAutospacing="0" w:line="312" w:lineRule="auto"/>
              <w:rPr>
                <w:color w:val="222222"/>
                <w:sz w:val="26"/>
                <w:szCs w:val="26"/>
              </w:rPr>
            </w:pPr>
            <w:r w:rsidRPr="009E411E">
              <w:rPr>
                <w:b/>
                <w:sz w:val="26"/>
                <w:szCs w:val="26"/>
              </w:rPr>
              <w:t>Điều 13</w:t>
            </w:r>
            <w:r w:rsidRPr="009E411E">
              <w:rPr>
                <w:sz w:val="26"/>
                <w:szCs w:val="26"/>
              </w:rPr>
              <w:t xml:space="preserve"> quy định về nội dung thẩm định Báo cáo nghiên cứu</w:t>
            </w:r>
            <w:r w:rsidRPr="009E411E">
              <w:rPr>
                <w:color w:val="222222"/>
                <w:sz w:val="26"/>
                <w:szCs w:val="26"/>
              </w:rPr>
              <w:t xml:space="preserve"> khả thi đầu tư xây dựng, Báo cáo kinh tế - kỹ thuật đầu tư xây dựng của dự án hóa chất được thực hiện theo quy định của pháp luật về xây dựng và bổ sung nội dung như sau:</w:t>
            </w:r>
          </w:p>
          <w:p w14:paraId="1524F60E"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t>a) Đánh giá sự phù hợp của nội dung Báo cáo nghiên cứu khả thi đầu tư xây dựng, Báo cáo kinh tế - kỹ thuật đầu tư xây dựng với các tiêu chuẩn, quy chuẩn kỹ thuật và quy định về an toàn hóa chất trong nội dung thẩm định việc tuân thủ quy chuẩn kỹ thuật và áp dụng tiêu chuẩn theo quy định của pháp luật;</w:t>
            </w:r>
          </w:p>
          <w:p w14:paraId="46002E02" w14:textId="77777777" w:rsidR="009E411E" w:rsidRPr="009E411E" w:rsidRDefault="009E411E" w:rsidP="009E411E">
            <w:pPr>
              <w:spacing w:before="120" w:after="120" w:line="312" w:lineRule="auto"/>
              <w:rPr>
                <w:rFonts w:ascii="Times New Roman" w:eastAsia="Times New Roman" w:hAnsi="Times New Roman" w:cs="Times New Roman"/>
                <w:color w:val="222222"/>
                <w:sz w:val="26"/>
                <w:szCs w:val="26"/>
              </w:rPr>
            </w:pPr>
            <w:r w:rsidRPr="009E411E">
              <w:rPr>
                <w:rFonts w:ascii="Times New Roman" w:eastAsia="Times New Roman" w:hAnsi="Times New Roman" w:cs="Times New Roman"/>
                <w:color w:val="222222"/>
                <w:sz w:val="26"/>
                <w:szCs w:val="26"/>
              </w:rPr>
              <w:lastRenderedPageBreak/>
              <w:t>b) Đánh giá việc áp dụng nguyên tắc hóa học xanh trong thiết kế và lựa chọn công nghệ, thiết bị áp dụng cho dự án.</w:t>
            </w:r>
          </w:p>
          <w:p w14:paraId="0FF1E20A" w14:textId="77777777" w:rsidR="009E411E" w:rsidRPr="009E411E" w:rsidRDefault="009E411E" w:rsidP="009E411E">
            <w:pPr>
              <w:spacing w:before="120" w:after="120" w:line="312" w:lineRule="auto"/>
              <w:rPr>
                <w:rFonts w:ascii="Times New Roman" w:hAnsi="Times New Roman" w:cs="Times New Roman"/>
                <w:sz w:val="26"/>
                <w:szCs w:val="26"/>
              </w:rPr>
            </w:pPr>
          </w:p>
        </w:tc>
        <w:tc>
          <w:tcPr>
            <w:tcW w:w="4947" w:type="dxa"/>
          </w:tcPr>
          <w:p w14:paraId="4D794EE8" w14:textId="77777777" w:rsidR="00AB037A" w:rsidRPr="009E411E" w:rsidRDefault="009E411E" w:rsidP="009E411E">
            <w:pPr>
              <w:pStyle w:val="NormalWeb"/>
              <w:spacing w:before="120" w:beforeAutospacing="0" w:after="120" w:afterAutospacing="0" w:line="312" w:lineRule="auto"/>
              <w:rPr>
                <w:rStyle w:val="citation-764"/>
                <w:sz w:val="26"/>
                <w:szCs w:val="26"/>
              </w:rPr>
            </w:pPr>
            <w:r w:rsidRPr="009E411E">
              <w:rPr>
                <w:rStyle w:val="citation-764"/>
                <w:sz w:val="26"/>
                <w:szCs w:val="26"/>
              </w:rPr>
              <w:lastRenderedPageBreak/>
              <w:t>Các quy định này quy định còn chung chung, chưa đủ rõ ràng, gây khó cho doanh nghiệp trong quá trình áp dụng.</w:t>
            </w:r>
          </w:p>
        </w:tc>
        <w:tc>
          <w:tcPr>
            <w:tcW w:w="3238" w:type="dxa"/>
          </w:tcPr>
          <w:p w14:paraId="41D4F9BD" w14:textId="77777777" w:rsidR="00AB037A" w:rsidRPr="009E411E" w:rsidRDefault="009E411E" w:rsidP="009E411E">
            <w:pPr>
              <w:pStyle w:val="NormalWeb"/>
              <w:spacing w:before="120" w:beforeAutospacing="0" w:after="120" w:afterAutospacing="0" w:line="312" w:lineRule="auto"/>
              <w:rPr>
                <w:rStyle w:val="citation-761"/>
                <w:sz w:val="26"/>
                <w:szCs w:val="26"/>
              </w:rPr>
            </w:pPr>
            <w:r w:rsidRPr="009E411E">
              <w:rPr>
                <w:rStyle w:val="citation-761"/>
                <w:sz w:val="26"/>
                <w:szCs w:val="26"/>
              </w:rPr>
              <w:t>Cần quy định rõ ràng, chi tiết hơn về hóa học xanh</w:t>
            </w:r>
          </w:p>
        </w:tc>
      </w:tr>
    </w:tbl>
    <w:p w14:paraId="4B052203" w14:textId="77777777" w:rsidR="000A77AA" w:rsidRPr="00F93025" w:rsidRDefault="000A77AA" w:rsidP="00F93025">
      <w:pPr>
        <w:spacing w:before="120" w:after="120" w:line="312" w:lineRule="auto"/>
        <w:rPr>
          <w:rFonts w:ascii="Times New Roman" w:hAnsi="Times New Roman" w:cs="Times New Roman"/>
          <w:sz w:val="26"/>
          <w:szCs w:val="26"/>
        </w:rPr>
      </w:pPr>
    </w:p>
    <w:sectPr w:rsidR="000A77AA" w:rsidRPr="00F93025" w:rsidSect="0037265A">
      <w:footerReference w:type="default" r:id="rId7"/>
      <w:pgSz w:w="16838" w:h="11906" w:orient="landscape" w:code="9"/>
      <w:pgMar w:top="1021" w:right="1077" w:bottom="1021"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C222" w14:textId="77777777" w:rsidR="000960B6" w:rsidRDefault="000960B6" w:rsidP="003B7EC4">
      <w:pPr>
        <w:spacing w:after="0" w:line="240" w:lineRule="auto"/>
      </w:pPr>
      <w:r>
        <w:separator/>
      </w:r>
    </w:p>
  </w:endnote>
  <w:endnote w:type="continuationSeparator" w:id="0">
    <w:p w14:paraId="43ACB33D" w14:textId="77777777" w:rsidR="000960B6" w:rsidRDefault="000960B6" w:rsidP="003B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84537"/>
      <w:docPartObj>
        <w:docPartGallery w:val="Page Numbers (Bottom of Page)"/>
        <w:docPartUnique/>
      </w:docPartObj>
    </w:sdtPr>
    <w:sdtEndPr>
      <w:rPr>
        <w:noProof/>
      </w:rPr>
    </w:sdtEndPr>
    <w:sdtContent>
      <w:p w14:paraId="6BA9EFD5" w14:textId="77777777" w:rsidR="00B335FD" w:rsidRDefault="00B335FD">
        <w:pPr>
          <w:pStyle w:val="Footer"/>
          <w:jc w:val="center"/>
        </w:pPr>
        <w:r>
          <w:fldChar w:fldCharType="begin"/>
        </w:r>
        <w:r>
          <w:instrText xml:space="preserve"> PAGE   \* MERGEFORMAT </w:instrText>
        </w:r>
        <w:r>
          <w:fldChar w:fldCharType="separate"/>
        </w:r>
        <w:r w:rsidR="005B5DAB">
          <w:rPr>
            <w:noProof/>
          </w:rPr>
          <w:t>11</w:t>
        </w:r>
        <w:r>
          <w:rPr>
            <w:noProof/>
          </w:rPr>
          <w:fldChar w:fldCharType="end"/>
        </w:r>
      </w:p>
    </w:sdtContent>
  </w:sdt>
  <w:p w14:paraId="7162AE18" w14:textId="77777777" w:rsidR="00B335FD" w:rsidRDefault="00B3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7212" w14:textId="77777777" w:rsidR="000960B6" w:rsidRDefault="000960B6" w:rsidP="003B7EC4">
      <w:pPr>
        <w:spacing w:after="0" w:line="240" w:lineRule="auto"/>
      </w:pPr>
      <w:r>
        <w:separator/>
      </w:r>
    </w:p>
  </w:footnote>
  <w:footnote w:type="continuationSeparator" w:id="0">
    <w:p w14:paraId="078D94E9" w14:textId="77777777" w:rsidR="000960B6" w:rsidRDefault="000960B6" w:rsidP="003B7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6CD2"/>
    <w:multiLevelType w:val="multilevel"/>
    <w:tmpl w:val="2040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F6810"/>
    <w:multiLevelType w:val="multilevel"/>
    <w:tmpl w:val="E76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F6C89"/>
    <w:multiLevelType w:val="multilevel"/>
    <w:tmpl w:val="3802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317B4"/>
    <w:multiLevelType w:val="multilevel"/>
    <w:tmpl w:val="1DFC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04634"/>
    <w:multiLevelType w:val="multilevel"/>
    <w:tmpl w:val="F7C4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21377"/>
    <w:multiLevelType w:val="multilevel"/>
    <w:tmpl w:val="EE4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B6BD9"/>
    <w:multiLevelType w:val="multilevel"/>
    <w:tmpl w:val="3F8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6E309F"/>
    <w:multiLevelType w:val="multilevel"/>
    <w:tmpl w:val="F6F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62506"/>
    <w:multiLevelType w:val="multilevel"/>
    <w:tmpl w:val="451E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661181">
    <w:abstractNumId w:val="6"/>
  </w:num>
  <w:num w:numId="2" w16cid:durableId="554513657">
    <w:abstractNumId w:val="5"/>
  </w:num>
  <w:num w:numId="3" w16cid:durableId="1946115615">
    <w:abstractNumId w:val="3"/>
  </w:num>
  <w:num w:numId="4" w16cid:durableId="1574118316">
    <w:abstractNumId w:val="7"/>
  </w:num>
  <w:num w:numId="5" w16cid:durableId="1944805239">
    <w:abstractNumId w:val="0"/>
  </w:num>
  <w:num w:numId="6" w16cid:durableId="2032099421">
    <w:abstractNumId w:val="1"/>
  </w:num>
  <w:num w:numId="7" w16cid:durableId="2006980884">
    <w:abstractNumId w:val="2"/>
  </w:num>
  <w:num w:numId="8" w16cid:durableId="2011564695">
    <w:abstractNumId w:val="4"/>
  </w:num>
  <w:num w:numId="9" w16cid:durableId="1054935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BD"/>
    <w:rsid w:val="00025A35"/>
    <w:rsid w:val="00053217"/>
    <w:rsid w:val="000960B6"/>
    <w:rsid w:val="000A77AA"/>
    <w:rsid w:val="000B1B99"/>
    <w:rsid w:val="00163BAC"/>
    <w:rsid w:val="001C6D2F"/>
    <w:rsid w:val="0037265A"/>
    <w:rsid w:val="003B7EC4"/>
    <w:rsid w:val="003E2D92"/>
    <w:rsid w:val="0047725E"/>
    <w:rsid w:val="005B5DAB"/>
    <w:rsid w:val="0065317D"/>
    <w:rsid w:val="00745047"/>
    <w:rsid w:val="00753073"/>
    <w:rsid w:val="0075711E"/>
    <w:rsid w:val="00815572"/>
    <w:rsid w:val="0083258F"/>
    <w:rsid w:val="009A214A"/>
    <w:rsid w:val="009B35BD"/>
    <w:rsid w:val="009E411E"/>
    <w:rsid w:val="00A064DC"/>
    <w:rsid w:val="00AB037A"/>
    <w:rsid w:val="00B24747"/>
    <w:rsid w:val="00B335FD"/>
    <w:rsid w:val="00DB0891"/>
    <w:rsid w:val="00DD3944"/>
    <w:rsid w:val="00F41F98"/>
    <w:rsid w:val="00F6752F"/>
    <w:rsid w:val="00F9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5E21"/>
  <w15:chartTrackingRefBased/>
  <w15:docId w15:val="{9273CF6E-31F8-44ED-B924-62A6D79A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9B35BD"/>
  </w:style>
  <w:style w:type="paragraph" w:styleId="NormalWeb">
    <w:name w:val="Normal (Web)"/>
    <w:basedOn w:val="Normal"/>
    <w:uiPriority w:val="99"/>
    <w:unhideWhenUsed/>
    <w:rsid w:val="004772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801">
    <w:name w:val="citation-801"/>
    <w:basedOn w:val="DefaultParagraphFont"/>
    <w:rsid w:val="0047725E"/>
  </w:style>
  <w:style w:type="character" w:customStyle="1" w:styleId="citation-800">
    <w:name w:val="citation-800"/>
    <w:basedOn w:val="DefaultParagraphFont"/>
    <w:rsid w:val="0047725E"/>
  </w:style>
  <w:style w:type="character" w:customStyle="1" w:styleId="citation-799">
    <w:name w:val="citation-799"/>
    <w:basedOn w:val="DefaultParagraphFont"/>
    <w:rsid w:val="0047725E"/>
  </w:style>
  <w:style w:type="character" w:customStyle="1" w:styleId="citation-798">
    <w:name w:val="citation-798"/>
    <w:basedOn w:val="DefaultParagraphFont"/>
    <w:rsid w:val="0047725E"/>
  </w:style>
  <w:style w:type="character" w:customStyle="1" w:styleId="citation-797">
    <w:name w:val="citation-797"/>
    <w:basedOn w:val="DefaultParagraphFont"/>
    <w:rsid w:val="0047725E"/>
  </w:style>
  <w:style w:type="character" w:customStyle="1" w:styleId="citation-796">
    <w:name w:val="citation-796"/>
    <w:basedOn w:val="DefaultParagraphFont"/>
    <w:rsid w:val="0047725E"/>
  </w:style>
  <w:style w:type="character" w:customStyle="1" w:styleId="citation-795">
    <w:name w:val="citation-795"/>
    <w:basedOn w:val="DefaultParagraphFont"/>
    <w:rsid w:val="0047725E"/>
  </w:style>
  <w:style w:type="character" w:customStyle="1" w:styleId="citation-793">
    <w:name w:val="citation-793"/>
    <w:basedOn w:val="DefaultParagraphFont"/>
    <w:rsid w:val="0047725E"/>
  </w:style>
  <w:style w:type="character" w:customStyle="1" w:styleId="citation-792">
    <w:name w:val="citation-792"/>
    <w:basedOn w:val="DefaultParagraphFont"/>
    <w:rsid w:val="0047725E"/>
  </w:style>
  <w:style w:type="character" w:customStyle="1" w:styleId="citation-791">
    <w:name w:val="citation-791"/>
    <w:basedOn w:val="DefaultParagraphFont"/>
    <w:rsid w:val="0047725E"/>
  </w:style>
  <w:style w:type="character" w:customStyle="1" w:styleId="citation-790">
    <w:name w:val="citation-790"/>
    <w:basedOn w:val="DefaultParagraphFont"/>
    <w:rsid w:val="0047725E"/>
  </w:style>
  <w:style w:type="character" w:customStyle="1" w:styleId="citation-789">
    <w:name w:val="citation-789"/>
    <w:basedOn w:val="DefaultParagraphFont"/>
    <w:rsid w:val="0047725E"/>
  </w:style>
  <w:style w:type="character" w:customStyle="1" w:styleId="citation-787">
    <w:name w:val="citation-787"/>
    <w:basedOn w:val="DefaultParagraphFont"/>
    <w:rsid w:val="0047725E"/>
  </w:style>
  <w:style w:type="character" w:customStyle="1" w:styleId="citation-786">
    <w:name w:val="citation-786"/>
    <w:basedOn w:val="DefaultParagraphFont"/>
    <w:rsid w:val="0047725E"/>
  </w:style>
  <w:style w:type="character" w:customStyle="1" w:styleId="citation-785">
    <w:name w:val="citation-785"/>
    <w:basedOn w:val="DefaultParagraphFont"/>
    <w:rsid w:val="0047725E"/>
  </w:style>
  <w:style w:type="character" w:customStyle="1" w:styleId="citation-783">
    <w:name w:val="citation-783"/>
    <w:basedOn w:val="DefaultParagraphFont"/>
    <w:rsid w:val="0047725E"/>
  </w:style>
  <w:style w:type="character" w:customStyle="1" w:styleId="citation-782">
    <w:name w:val="citation-782"/>
    <w:basedOn w:val="DefaultParagraphFont"/>
    <w:rsid w:val="0047725E"/>
  </w:style>
  <w:style w:type="character" w:customStyle="1" w:styleId="citation-779">
    <w:name w:val="citation-779"/>
    <w:basedOn w:val="DefaultParagraphFont"/>
    <w:rsid w:val="0047725E"/>
  </w:style>
  <w:style w:type="character" w:customStyle="1" w:styleId="citation-778">
    <w:name w:val="citation-778"/>
    <w:basedOn w:val="DefaultParagraphFont"/>
    <w:rsid w:val="0047725E"/>
  </w:style>
  <w:style w:type="character" w:customStyle="1" w:styleId="citation-777">
    <w:name w:val="citation-777"/>
    <w:basedOn w:val="DefaultParagraphFont"/>
    <w:rsid w:val="0047725E"/>
  </w:style>
  <w:style w:type="character" w:customStyle="1" w:styleId="citation-775">
    <w:name w:val="citation-775"/>
    <w:basedOn w:val="DefaultParagraphFont"/>
    <w:rsid w:val="0047725E"/>
  </w:style>
  <w:style w:type="character" w:customStyle="1" w:styleId="citation-774">
    <w:name w:val="citation-774"/>
    <w:basedOn w:val="DefaultParagraphFont"/>
    <w:rsid w:val="0047725E"/>
  </w:style>
  <w:style w:type="character" w:customStyle="1" w:styleId="citation-773">
    <w:name w:val="citation-773"/>
    <w:basedOn w:val="DefaultParagraphFont"/>
    <w:rsid w:val="0047725E"/>
  </w:style>
  <w:style w:type="character" w:customStyle="1" w:styleId="citation-772">
    <w:name w:val="citation-772"/>
    <w:basedOn w:val="DefaultParagraphFont"/>
    <w:rsid w:val="0047725E"/>
  </w:style>
  <w:style w:type="character" w:customStyle="1" w:styleId="citation-771">
    <w:name w:val="citation-771"/>
    <w:basedOn w:val="DefaultParagraphFont"/>
    <w:rsid w:val="0047725E"/>
  </w:style>
  <w:style w:type="character" w:customStyle="1" w:styleId="citation-770">
    <w:name w:val="citation-770"/>
    <w:basedOn w:val="DefaultParagraphFont"/>
    <w:rsid w:val="0047725E"/>
  </w:style>
  <w:style w:type="character" w:customStyle="1" w:styleId="citation-769">
    <w:name w:val="citation-769"/>
    <w:basedOn w:val="DefaultParagraphFont"/>
    <w:rsid w:val="0047725E"/>
  </w:style>
  <w:style w:type="character" w:customStyle="1" w:styleId="citation-768">
    <w:name w:val="citation-768"/>
    <w:basedOn w:val="DefaultParagraphFont"/>
    <w:rsid w:val="0047725E"/>
  </w:style>
  <w:style w:type="character" w:customStyle="1" w:styleId="citation-767">
    <w:name w:val="citation-767"/>
    <w:basedOn w:val="DefaultParagraphFont"/>
    <w:rsid w:val="0047725E"/>
  </w:style>
  <w:style w:type="character" w:customStyle="1" w:styleId="citation-765">
    <w:name w:val="citation-765"/>
    <w:basedOn w:val="DefaultParagraphFont"/>
    <w:rsid w:val="003B7EC4"/>
  </w:style>
  <w:style w:type="character" w:customStyle="1" w:styleId="citation-764">
    <w:name w:val="citation-764"/>
    <w:basedOn w:val="DefaultParagraphFont"/>
    <w:rsid w:val="003B7EC4"/>
  </w:style>
  <w:style w:type="character" w:customStyle="1" w:styleId="citation-763">
    <w:name w:val="citation-763"/>
    <w:basedOn w:val="DefaultParagraphFont"/>
    <w:rsid w:val="003B7EC4"/>
  </w:style>
  <w:style w:type="character" w:customStyle="1" w:styleId="citation-762">
    <w:name w:val="citation-762"/>
    <w:basedOn w:val="DefaultParagraphFont"/>
    <w:rsid w:val="003B7EC4"/>
  </w:style>
  <w:style w:type="character" w:customStyle="1" w:styleId="citation-761">
    <w:name w:val="citation-761"/>
    <w:basedOn w:val="DefaultParagraphFont"/>
    <w:rsid w:val="003B7EC4"/>
  </w:style>
  <w:style w:type="character" w:customStyle="1" w:styleId="citation-760">
    <w:name w:val="citation-760"/>
    <w:basedOn w:val="DefaultParagraphFont"/>
    <w:rsid w:val="003B7EC4"/>
  </w:style>
  <w:style w:type="character" w:customStyle="1" w:styleId="citation-759">
    <w:name w:val="citation-759"/>
    <w:basedOn w:val="DefaultParagraphFont"/>
    <w:rsid w:val="003B7EC4"/>
  </w:style>
  <w:style w:type="paragraph" w:styleId="Header">
    <w:name w:val="header"/>
    <w:basedOn w:val="Normal"/>
    <w:link w:val="HeaderChar"/>
    <w:uiPriority w:val="99"/>
    <w:unhideWhenUsed/>
    <w:rsid w:val="003B7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EC4"/>
  </w:style>
  <w:style w:type="paragraph" w:styleId="Footer">
    <w:name w:val="footer"/>
    <w:basedOn w:val="Normal"/>
    <w:link w:val="FooterChar"/>
    <w:uiPriority w:val="99"/>
    <w:unhideWhenUsed/>
    <w:rsid w:val="003B7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789">
      <w:bodyDiv w:val="1"/>
      <w:marLeft w:val="0"/>
      <w:marRight w:val="0"/>
      <w:marTop w:val="0"/>
      <w:marBottom w:val="0"/>
      <w:divBdr>
        <w:top w:val="none" w:sz="0" w:space="0" w:color="auto"/>
        <w:left w:val="none" w:sz="0" w:space="0" w:color="auto"/>
        <w:bottom w:val="none" w:sz="0" w:space="0" w:color="auto"/>
        <w:right w:val="none" w:sz="0" w:space="0" w:color="auto"/>
      </w:divBdr>
    </w:div>
    <w:div w:id="208536944">
      <w:bodyDiv w:val="1"/>
      <w:marLeft w:val="0"/>
      <w:marRight w:val="0"/>
      <w:marTop w:val="0"/>
      <w:marBottom w:val="0"/>
      <w:divBdr>
        <w:top w:val="none" w:sz="0" w:space="0" w:color="auto"/>
        <w:left w:val="none" w:sz="0" w:space="0" w:color="auto"/>
        <w:bottom w:val="none" w:sz="0" w:space="0" w:color="auto"/>
        <w:right w:val="none" w:sz="0" w:space="0" w:color="auto"/>
      </w:divBdr>
    </w:div>
    <w:div w:id="264460155">
      <w:bodyDiv w:val="1"/>
      <w:marLeft w:val="0"/>
      <w:marRight w:val="0"/>
      <w:marTop w:val="0"/>
      <w:marBottom w:val="0"/>
      <w:divBdr>
        <w:top w:val="none" w:sz="0" w:space="0" w:color="auto"/>
        <w:left w:val="none" w:sz="0" w:space="0" w:color="auto"/>
        <w:bottom w:val="none" w:sz="0" w:space="0" w:color="auto"/>
        <w:right w:val="none" w:sz="0" w:space="0" w:color="auto"/>
      </w:divBdr>
    </w:div>
    <w:div w:id="355083083">
      <w:bodyDiv w:val="1"/>
      <w:marLeft w:val="0"/>
      <w:marRight w:val="0"/>
      <w:marTop w:val="0"/>
      <w:marBottom w:val="0"/>
      <w:divBdr>
        <w:top w:val="none" w:sz="0" w:space="0" w:color="auto"/>
        <w:left w:val="none" w:sz="0" w:space="0" w:color="auto"/>
        <w:bottom w:val="none" w:sz="0" w:space="0" w:color="auto"/>
        <w:right w:val="none" w:sz="0" w:space="0" w:color="auto"/>
      </w:divBdr>
    </w:div>
    <w:div w:id="543759469">
      <w:bodyDiv w:val="1"/>
      <w:marLeft w:val="0"/>
      <w:marRight w:val="0"/>
      <w:marTop w:val="0"/>
      <w:marBottom w:val="0"/>
      <w:divBdr>
        <w:top w:val="none" w:sz="0" w:space="0" w:color="auto"/>
        <w:left w:val="none" w:sz="0" w:space="0" w:color="auto"/>
        <w:bottom w:val="none" w:sz="0" w:space="0" w:color="auto"/>
        <w:right w:val="none" w:sz="0" w:space="0" w:color="auto"/>
      </w:divBdr>
      <w:divsChild>
        <w:div w:id="885264627">
          <w:marLeft w:val="0"/>
          <w:marRight w:val="0"/>
          <w:marTop w:val="120"/>
          <w:marBottom w:val="120"/>
          <w:divBdr>
            <w:top w:val="none" w:sz="0" w:space="0" w:color="auto"/>
            <w:left w:val="none" w:sz="0" w:space="0" w:color="auto"/>
            <w:bottom w:val="none" w:sz="0" w:space="0" w:color="auto"/>
            <w:right w:val="none" w:sz="0" w:space="0" w:color="auto"/>
          </w:divBdr>
          <w:divsChild>
            <w:div w:id="566887602">
              <w:marLeft w:val="0"/>
              <w:marRight w:val="0"/>
              <w:marTop w:val="0"/>
              <w:marBottom w:val="0"/>
              <w:divBdr>
                <w:top w:val="none" w:sz="0" w:space="0" w:color="auto"/>
                <w:left w:val="none" w:sz="0" w:space="0" w:color="auto"/>
                <w:bottom w:val="none" w:sz="0" w:space="0" w:color="auto"/>
                <w:right w:val="none" w:sz="0" w:space="0" w:color="auto"/>
              </w:divBdr>
            </w:div>
          </w:divsChild>
        </w:div>
        <w:div w:id="1715540653">
          <w:marLeft w:val="0"/>
          <w:marRight w:val="0"/>
          <w:marTop w:val="120"/>
          <w:marBottom w:val="120"/>
          <w:divBdr>
            <w:top w:val="none" w:sz="0" w:space="0" w:color="auto"/>
            <w:left w:val="none" w:sz="0" w:space="0" w:color="auto"/>
            <w:bottom w:val="none" w:sz="0" w:space="0" w:color="auto"/>
            <w:right w:val="none" w:sz="0" w:space="0" w:color="auto"/>
          </w:divBdr>
          <w:divsChild>
            <w:div w:id="1031105780">
              <w:marLeft w:val="0"/>
              <w:marRight w:val="0"/>
              <w:marTop w:val="0"/>
              <w:marBottom w:val="0"/>
              <w:divBdr>
                <w:top w:val="none" w:sz="0" w:space="0" w:color="auto"/>
                <w:left w:val="none" w:sz="0" w:space="0" w:color="auto"/>
                <w:bottom w:val="none" w:sz="0" w:space="0" w:color="auto"/>
                <w:right w:val="none" w:sz="0" w:space="0" w:color="auto"/>
              </w:divBdr>
            </w:div>
          </w:divsChild>
        </w:div>
        <w:div w:id="28995678">
          <w:marLeft w:val="0"/>
          <w:marRight w:val="0"/>
          <w:marTop w:val="120"/>
          <w:marBottom w:val="120"/>
          <w:divBdr>
            <w:top w:val="none" w:sz="0" w:space="0" w:color="auto"/>
            <w:left w:val="none" w:sz="0" w:space="0" w:color="auto"/>
            <w:bottom w:val="none" w:sz="0" w:space="0" w:color="auto"/>
            <w:right w:val="none" w:sz="0" w:space="0" w:color="auto"/>
          </w:divBdr>
          <w:divsChild>
            <w:div w:id="171146055">
              <w:marLeft w:val="0"/>
              <w:marRight w:val="0"/>
              <w:marTop w:val="0"/>
              <w:marBottom w:val="0"/>
              <w:divBdr>
                <w:top w:val="none" w:sz="0" w:space="0" w:color="auto"/>
                <w:left w:val="none" w:sz="0" w:space="0" w:color="auto"/>
                <w:bottom w:val="none" w:sz="0" w:space="0" w:color="auto"/>
                <w:right w:val="none" w:sz="0" w:space="0" w:color="auto"/>
              </w:divBdr>
            </w:div>
          </w:divsChild>
        </w:div>
        <w:div w:id="2020541863">
          <w:marLeft w:val="0"/>
          <w:marRight w:val="0"/>
          <w:marTop w:val="120"/>
          <w:marBottom w:val="120"/>
          <w:divBdr>
            <w:top w:val="none" w:sz="0" w:space="0" w:color="auto"/>
            <w:left w:val="none" w:sz="0" w:space="0" w:color="auto"/>
            <w:bottom w:val="none" w:sz="0" w:space="0" w:color="auto"/>
            <w:right w:val="none" w:sz="0" w:space="0" w:color="auto"/>
          </w:divBdr>
          <w:divsChild>
            <w:div w:id="1668245367">
              <w:marLeft w:val="0"/>
              <w:marRight w:val="0"/>
              <w:marTop w:val="0"/>
              <w:marBottom w:val="0"/>
              <w:divBdr>
                <w:top w:val="none" w:sz="0" w:space="0" w:color="auto"/>
                <w:left w:val="none" w:sz="0" w:space="0" w:color="auto"/>
                <w:bottom w:val="none" w:sz="0" w:space="0" w:color="auto"/>
                <w:right w:val="none" w:sz="0" w:space="0" w:color="auto"/>
              </w:divBdr>
            </w:div>
          </w:divsChild>
        </w:div>
        <w:div w:id="1095788544">
          <w:marLeft w:val="0"/>
          <w:marRight w:val="0"/>
          <w:marTop w:val="120"/>
          <w:marBottom w:val="120"/>
          <w:divBdr>
            <w:top w:val="none" w:sz="0" w:space="0" w:color="auto"/>
            <w:left w:val="none" w:sz="0" w:space="0" w:color="auto"/>
            <w:bottom w:val="none" w:sz="0" w:space="0" w:color="auto"/>
            <w:right w:val="none" w:sz="0" w:space="0" w:color="auto"/>
          </w:divBdr>
          <w:divsChild>
            <w:div w:id="1418019559">
              <w:marLeft w:val="0"/>
              <w:marRight w:val="0"/>
              <w:marTop w:val="0"/>
              <w:marBottom w:val="0"/>
              <w:divBdr>
                <w:top w:val="none" w:sz="0" w:space="0" w:color="auto"/>
                <w:left w:val="none" w:sz="0" w:space="0" w:color="auto"/>
                <w:bottom w:val="none" w:sz="0" w:space="0" w:color="auto"/>
                <w:right w:val="none" w:sz="0" w:space="0" w:color="auto"/>
              </w:divBdr>
            </w:div>
          </w:divsChild>
        </w:div>
        <w:div w:id="1304508871">
          <w:marLeft w:val="0"/>
          <w:marRight w:val="0"/>
          <w:marTop w:val="120"/>
          <w:marBottom w:val="120"/>
          <w:divBdr>
            <w:top w:val="none" w:sz="0" w:space="0" w:color="auto"/>
            <w:left w:val="none" w:sz="0" w:space="0" w:color="auto"/>
            <w:bottom w:val="none" w:sz="0" w:space="0" w:color="auto"/>
            <w:right w:val="none" w:sz="0" w:space="0" w:color="auto"/>
          </w:divBdr>
          <w:divsChild>
            <w:div w:id="2124153651">
              <w:marLeft w:val="0"/>
              <w:marRight w:val="0"/>
              <w:marTop w:val="0"/>
              <w:marBottom w:val="0"/>
              <w:divBdr>
                <w:top w:val="none" w:sz="0" w:space="0" w:color="auto"/>
                <w:left w:val="none" w:sz="0" w:space="0" w:color="auto"/>
                <w:bottom w:val="none" w:sz="0" w:space="0" w:color="auto"/>
                <w:right w:val="none" w:sz="0" w:space="0" w:color="auto"/>
              </w:divBdr>
            </w:div>
          </w:divsChild>
        </w:div>
        <w:div w:id="1338338520">
          <w:marLeft w:val="0"/>
          <w:marRight w:val="0"/>
          <w:marTop w:val="120"/>
          <w:marBottom w:val="120"/>
          <w:divBdr>
            <w:top w:val="none" w:sz="0" w:space="0" w:color="auto"/>
            <w:left w:val="none" w:sz="0" w:space="0" w:color="auto"/>
            <w:bottom w:val="none" w:sz="0" w:space="0" w:color="auto"/>
            <w:right w:val="none" w:sz="0" w:space="0" w:color="auto"/>
          </w:divBdr>
          <w:divsChild>
            <w:div w:id="282854876">
              <w:marLeft w:val="0"/>
              <w:marRight w:val="0"/>
              <w:marTop w:val="0"/>
              <w:marBottom w:val="0"/>
              <w:divBdr>
                <w:top w:val="none" w:sz="0" w:space="0" w:color="auto"/>
                <w:left w:val="none" w:sz="0" w:space="0" w:color="auto"/>
                <w:bottom w:val="none" w:sz="0" w:space="0" w:color="auto"/>
                <w:right w:val="none" w:sz="0" w:space="0" w:color="auto"/>
              </w:divBdr>
            </w:div>
          </w:divsChild>
        </w:div>
        <w:div w:id="1793356335">
          <w:marLeft w:val="0"/>
          <w:marRight w:val="0"/>
          <w:marTop w:val="120"/>
          <w:marBottom w:val="120"/>
          <w:divBdr>
            <w:top w:val="none" w:sz="0" w:space="0" w:color="auto"/>
            <w:left w:val="none" w:sz="0" w:space="0" w:color="auto"/>
            <w:bottom w:val="none" w:sz="0" w:space="0" w:color="auto"/>
            <w:right w:val="none" w:sz="0" w:space="0" w:color="auto"/>
          </w:divBdr>
          <w:divsChild>
            <w:div w:id="866140517">
              <w:marLeft w:val="0"/>
              <w:marRight w:val="0"/>
              <w:marTop w:val="0"/>
              <w:marBottom w:val="0"/>
              <w:divBdr>
                <w:top w:val="none" w:sz="0" w:space="0" w:color="auto"/>
                <w:left w:val="none" w:sz="0" w:space="0" w:color="auto"/>
                <w:bottom w:val="none" w:sz="0" w:space="0" w:color="auto"/>
                <w:right w:val="none" w:sz="0" w:space="0" w:color="auto"/>
              </w:divBdr>
            </w:div>
          </w:divsChild>
        </w:div>
        <w:div w:id="1729380650">
          <w:marLeft w:val="0"/>
          <w:marRight w:val="0"/>
          <w:marTop w:val="120"/>
          <w:marBottom w:val="120"/>
          <w:divBdr>
            <w:top w:val="none" w:sz="0" w:space="0" w:color="auto"/>
            <w:left w:val="none" w:sz="0" w:space="0" w:color="auto"/>
            <w:bottom w:val="none" w:sz="0" w:space="0" w:color="auto"/>
            <w:right w:val="none" w:sz="0" w:space="0" w:color="auto"/>
          </w:divBdr>
          <w:divsChild>
            <w:div w:id="637295882">
              <w:marLeft w:val="0"/>
              <w:marRight w:val="0"/>
              <w:marTop w:val="0"/>
              <w:marBottom w:val="0"/>
              <w:divBdr>
                <w:top w:val="none" w:sz="0" w:space="0" w:color="auto"/>
                <w:left w:val="none" w:sz="0" w:space="0" w:color="auto"/>
                <w:bottom w:val="none" w:sz="0" w:space="0" w:color="auto"/>
                <w:right w:val="none" w:sz="0" w:space="0" w:color="auto"/>
              </w:divBdr>
            </w:div>
          </w:divsChild>
        </w:div>
        <w:div w:id="451898419">
          <w:marLeft w:val="0"/>
          <w:marRight w:val="0"/>
          <w:marTop w:val="120"/>
          <w:marBottom w:val="120"/>
          <w:divBdr>
            <w:top w:val="none" w:sz="0" w:space="0" w:color="auto"/>
            <w:left w:val="none" w:sz="0" w:space="0" w:color="auto"/>
            <w:bottom w:val="none" w:sz="0" w:space="0" w:color="auto"/>
            <w:right w:val="none" w:sz="0" w:space="0" w:color="auto"/>
          </w:divBdr>
          <w:divsChild>
            <w:div w:id="2141997482">
              <w:marLeft w:val="0"/>
              <w:marRight w:val="0"/>
              <w:marTop w:val="0"/>
              <w:marBottom w:val="0"/>
              <w:divBdr>
                <w:top w:val="none" w:sz="0" w:space="0" w:color="auto"/>
                <w:left w:val="none" w:sz="0" w:space="0" w:color="auto"/>
                <w:bottom w:val="none" w:sz="0" w:space="0" w:color="auto"/>
                <w:right w:val="none" w:sz="0" w:space="0" w:color="auto"/>
              </w:divBdr>
            </w:div>
          </w:divsChild>
        </w:div>
        <w:div w:id="1836653507">
          <w:marLeft w:val="0"/>
          <w:marRight w:val="0"/>
          <w:marTop w:val="120"/>
          <w:marBottom w:val="120"/>
          <w:divBdr>
            <w:top w:val="none" w:sz="0" w:space="0" w:color="auto"/>
            <w:left w:val="none" w:sz="0" w:space="0" w:color="auto"/>
            <w:bottom w:val="none" w:sz="0" w:space="0" w:color="auto"/>
            <w:right w:val="none" w:sz="0" w:space="0" w:color="auto"/>
          </w:divBdr>
          <w:divsChild>
            <w:div w:id="10642245">
              <w:marLeft w:val="0"/>
              <w:marRight w:val="0"/>
              <w:marTop w:val="0"/>
              <w:marBottom w:val="0"/>
              <w:divBdr>
                <w:top w:val="none" w:sz="0" w:space="0" w:color="auto"/>
                <w:left w:val="none" w:sz="0" w:space="0" w:color="auto"/>
                <w:bottom w:val="none" w:sz="0" w:space="0" w:color="auto"/>
                <w:right w:val="none" w:sz="0" w:space="0" w:color="auto"/>
              </w:divBdr>
            </w:div>
          </w:divsChild>
        </w:div>
        <w:div w:id="2003468134">
          <w:marLeft w:val="0"/>
          <w:marRight w:val="0"/>
          <w:marTop w:val="120"/>
          <w:marBottom w:val="120"/>
          <w:divBdr>
            <w:top w:val="none" w:sz="0" w:space="0" w:color="auto"/>
            <w:left w:val="none" w:sz="0" w:space="0" w:color="auto"/>
            <w:bottom w:val="none" w:sz="0" w:space="0" w:color="auto"/>
            <w:right w:val="none" w:sz="0" w:space="0" w:color="auto"/>
          </w:divBdr>
          <w:divsChild>
            <w:div w:id="688062754">
              <w:marLeft w:val="0"/>
              <w:marRight w:val="0"/>
              <w:marTop w:val="0"/>
              <w:marBottom w:val="0"/>
              <w:divBdr>
                <w:top w:val="none" w:sz="0" w:space="0" w:color="auto"/>
                <w:left w:val="none" w:sz="0" w:space="0" w:color="auto"/>
                <w:bottom w:val="none" w:sz="0" w:space="0" w:color="auto"/>
                <w:right w:val="none" w:sz="0" w:space="0" w:color="auto"/>
              </w:divBdr>
            </w:div>
          </w:divsChild>
        </w:div>
        <w:div w:id="1453742473">
          <w:marLeft w:val="0"/>
          <w:marRight w:val="0"/>
          <w:marTop w:val="120"/>
          <w:marBottom w:val="120"/>
          <w:divBdr>
            <w:top w:val="none" w:sz="0" w:space="0" w:color="auto"/>
            <w:left w:val="none" w:sz="0" w:space="0" w:color="auto"/>
            <w:bottom w:val="none" w:sz="0" w:space="0" w:color="auto"/>
            <w:right w:val="none" w:sz="0" w:space="0" w:color="auto"/>
          </w:divBdr>
          <w:divsChild>
            <w:div w:id="355886546">
              <w:marLeft w:val="0"/>
              <w:marRight w:val="0"/>
              <w:marTop w:val="0"/>
              <w:marBottom w:val="0"/>
              <w:divBdr>
                <w:top w:val="none" w:sz="0" w:space="0" w:color="auto"/>
                <w:left w:val="none" w:sz="0" w:space="0" w:color="auto"/>
                <w:bottom w:val="none" w:sz="0" w:space="0" w:color="auto"/>
                <w:right w:val="none" w:sz="0" w:space="0" w:color="auto"/>
              </w:divBdr>
            </w:div>
          </w:divsChild>
        </w:div>
        <w:div w:id="981540523">
          <w:marLeft w:val="0"/>
          <w:marRight w:val="0"/>
          <w:marTop w:val="120"/>
          <w:marBottom w:val="120"/>
          <w:divBdr>
            <w:top w:val="none" w:sz="0" w:space="0" w:color="auto"/>
            <w:left w:val="none" w:sz="0" w:space="0" w:color="auto"/>
            <w:bottom w:val="none" w:sz="0" w:space="0" w:color="auto"/>
            <w:right w:val="none" w:sz="0" w:space="0" w:color="auto"/>
          </w:divBdr>
          <w:divsChild>
            <w:div w:id="18814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6731">
      <w:bodyDiv w:val="1"/>
      <w:marLeft w:val="0"/>
      <w:marRight w:val="0"/>
      <w:marTop w:val="0"/>
      <w:marBottom w:val="0"/>
      <w:divBdr>
        <w:top w:val="none" w:sz="0" w:space="0" w:color="auto"/>
        <w:left w:val="none" w:sz="0" w:space="0" w:color="auto"/>
        <w:bottom w:val="none" w:sz="0" w:space="0" w:color="auto"/>
        <w:right w:val="none" w:sz="0" w:space="0" w:color="auto"/>
      </w:divBdr>
    </w:div>
    <w:div w:id="1264342304">
      <w:bodyDiv w:val="1"/>
      <w:marLeft w:val="0"/>
      <w:marRight w:val="0"/>
      <w:marTop w:val="0"/>
      <w:marBottom w:val="0"/>
      <w:divBdr>
        <w:top w:val="none" w:sz="0" w:space="0" w:color="auto"/>
        <w:left w:val="none" w:sz="0" w:space="0" w:color="auto"/>
        <w:bottom w:val="none" w:sz="0" w:space="0" w:color="auto"/>
        <w:right w:val="none" w:sz="0" w:space="0" w:color="auto"/>
      </w:divBdr>
    </w:div>
    <w:div w:id="1664163758">
      <w:bodyDiv w:val="1"/>
      <w:marLeft w:val="0"/>
      <w:marRight w:val="0"/>
      <w:marTop w:val="0"/>
      <w:marBottom w:val="0"/>
      <w:divBdr>
        <w:top w:val="none" w:sz="0" w:space="0" w:color="auto"/>
        <w:left w:val="none" w:sz="0" w:space="0" w:color="auto"/>
        <w:bottom w:val="none" w:sz="0" w:space="0" w:color="auto"/>
        <w:right w:val="none" w:sz="0" w:space="0" w:color="auto"/>
      </w:divBdr>
    </w:div>
    <w:div w:id="1730031830">
      <w:bodyDiv w:val="1"/>
      <w:marLeft w:val="0"/>
      <w:marRight w:val="0"/>
      <w:marTop w:val="0"/>
      <w:marBottom w:val="0"/>
      <w:divBdr>
        <w:top w:val="none" w:sz="0" w:space="0" w:color="auto"/>
        <w:left w:val="none" w:sz="0" w:space="0" w:color="auto"/>
        <w:bottom w:val="none" w:sz="0" w:space="0" w:color="auto"/>
        <w:right w:val="none" w:sz="0" w:space="0" w:color="auto"/>
      </w:divBdr>
    </w:div>
    <w:div w:id="1731810066">
      <w:bodyDiv w:val="1"/>
      <w:marLeft w:val="0"/>
      <w:marRight w:val="0"/>
      <w:marTop w:val="0"/>
      <w:marBottom w:val="0"/>
      <w:divBdr>
        <w:top w:val="none" w:sz="0" w:space="0" w:color="auto"/>
        <w:left w:val="none" w:sz="0" w:space="0" w:color="auto"/>
        <w:bottom w:val="none" w:sz="0" w:space="0" w:color="auto"/>
        <w:right w:val="none" w:sz="0" w:space="0" w:color="auto"/>
      </w:divBdr>
      <w:divsChild>
        <w:div w:id="281543378">
          <w:marLeft w:val="0"/>
          <w:marRight w:val="0"/>
          <w:marTop w:val="120"/>
          <w:marBottom w:val="120"/>
          <w:divBdr>
            <w:top w:val="none" w:sz="0" w:space="0" w:color="auto"/>
            <w:left w:val="none" w:sz="0" w:space="0" w:color="auto"/>
            <w:bottom w:val="none" w:sz="0" w:space="0" w:color="auto"/>
            <w:right w:val="none" w:sz="0" w:space="0" w:color="auto"/>
          </w:divBdr>
          <w:divsChild>
            <w:div w:id="1842547002">
              <w:marLeft w:val="0"/>
              <w:marRight w:val="0"/>
              <w:marTop w:val="0"/>
              <w:marBottom w:val="0"/>
              <w:divBdr>
                <w:top w:val="none" w:sz="0" w:space="0" w:color="auto"/>
                <w:left w:val="none" w:sz="0" w:space="0" w:color="auto"/>
                <w:bottom w:val="none" w:sz="0" w:space="0" w:color="auto"/>
                <w:right w:val="none" w:sz="0" w:space="0" w:color="auto"/>
              </w:divBdr>
            </w:div>
          </w:divsChild>
        </w:div>
        <w:div w:id="352220949">
          <w:marLeft w:val="0"/>
          <w:marRight w:val="0"/>
          <w:marTop w:val="120"/>
          <w:marBottom w:val="120"/>
          <w:divBdr>
            <w:top w:val="none" w:sz="0" w:space="0" w:color="auto"/>
            <w:left w:val="none" w:sz="0" w:space="0" w:color="auto"/>
            <w:bottom w:val="none" w:sz="0" w:space="0" w:color="auto"/>
            <w:right w:val="none" w:sz="0" w:space="0" w:color="auto"/>
          </w:divBdr>
          <w:divsChild>
            <w:div w:id="1216820188">
              <w:marLeft w:val="0"/>
              <w:marRight w:val="0"/>
              <w:marTop w:val="0"/>
              <w:marBottom w:val="0"/>
              <w:divBdr>
                <w:top w:val="none" w:sz="0" w:space="0" w:color="auto"/>
                <w:left w:val="none" w:sz="0" w:space="0" w:color="auto"/>
                <w:bottom w:val="none" w:sz="0" w:space="0" w:color="auto"/>
                <w:right w:val="none" w:sz="0" w:space="0" w:color="auto"/>
              </w:divBdr>
            </w:div>
          </w:divsChild>
        </w:div>
        <w:div w:id="533494899">
          <w:marLeft w:val="0"/>
          <w:marRight w:val="0"/>
          <w:marTop w:val="120"/>
          <w:marBottom w:val="120"/>
          <w:divBdr>
            <w:top w:val="none" w:sz="0" w:space="0" w:color="auto"/>
            <w:left w:val="none" w:sz="0" w:space="0" w:color="auto"/>
            <w:bottom w:val="none" w:sz="0" w:space="0" w:color="auto"/>
            <w:right w:val="none" w:sz="0" w:space="0" w:color="auto"/>
          </w:divBdr>
          <w:divsChild>
            <w:div w:id="2704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 Linh</cp:lastModifiedBy>
  <cp:revision>2</cp:revision>
  <cp:lastPrinted>2026-04-03T07:29:00Z</cp:lastPrinted>
  <dcterms:created xsi:type="dcterms:W3CDTF">2026-04-03T07:29:00Z</dcterms:created>
  <dcterms:modified xsi:type="dcterms:W3CDTF">2026-04-03T07:29:00Z</dcterms:modified>
</cp:coreProperties>
</file>