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783" w:rsidRPr="00C01A2D" w:rsidRDefault="00F06783" w:rsidP="005728E0">
      <w:pPr>
        <w:pStyle w:val="NormalWeb"/>
        <w:spacing w:before="0" w:beforeAutospacing="0" w:after="0" w:afterAutospacing="0" w:line="264" w:lineRule="auto"/>
        <w:rPr>
          <w:rStyle w:val="Strong"/>
          <w:rFonts w:ascii="Times New Roman" w:hAnsi="Times New Roman" w:cs="Times New Roman"/>
          <w:color w:val="000000"/>
          <w:sz w:val="2"/>
          <w:szCs w:val="2"/>
        </w:rPr>
      </w:pPr>
    </w:p>
    <w:p w:rsidR="00A1774F" w:rsidRPr="00A1774F" w:rsidRDefault="00A1774F" w:rsidP="00A1774F">
      <w:pPr>
        <w:pStyle w:val="NormalWeb"/>
        <w:spacing w:before="0" w:beforeAutospacing="0" w:after="0" w:afterAutospacing="0" w:line="264" w:lineRule="auto"/>
        <w:jc w:val="center"/>
        <w:rPr>
          <w:rFonts w:ascii="Times New Roman" w:hAnsi="Times New Roman" w:cs="Times New Roman"/>
          <w:color w:val="000000"/>
          <w:sz w:val="26"/>
          <w:szCs w:val="26"/>
          <w:lang w:val="da-DK"/>
        </w:rPr>
      </w:pPr>
      <w:r w:rsidRPr="00A1774F">
        <w:rPr>
          <w:rStyle w:val="Strong"/>
          <w:rFonts w:ascii="Times New Roman" w:hAnsi="Times New Roman" w:cs="Times New Roman"/>
          <w:color w:val="000000"/>
          <w:sz w:val="26"/>
          <w:szCs w:val="26"/>
        </w:rPr>
        <w:t xml:space="preserve">Phụ lục </w:t>
      </w:r>
      <w:r w:rsidR="00DE4876">
        <w:rPr>
          <w:rStyle w:val="Strong"/>
          <w:rFonts w:ascii="Times New Roman" w:hAnsi="Times New Roman" w:cs="Times New Roman"/>
          <w:color w:val="000000"/>
          <w:sz w:val="26"/>
          <w:szCs w:val="26"/>
        </w:rPr>
        <w:t>I</w:t>
      </w:r>
      <w:r w:rsidRPr="00A1774F">
        <w:rPr>
          <w:rStyle w:val="Strong"/>
          <w:rFonts w:ascii="Times New Roman" w:hAnsi="Times New Roman" w:cs="Times New Roman"/>
          <w:color w:val="000000"/>
          <w:sz w:val="26"/>
          <w:szCs w:val="26"/>
        </w:rPr>
        <w:t>I.</w:t>
      </w:r>
      <w:r w:rsidR="004D5DF6">
        <w:rPr>
          <w:rStyle w:val="Strong"/>
          <w:rFonts w:ascii="Times New Roman" w:hAnsi="Times New Roman" w:cs="Times New Roman"/>
          <w:color w:val="000000"/>
          <w:sz w:val="26"/>
          <w:szCs w:val="26"/>
        </w:rPr>
        <w:t>5</w:t>
      </w:r>
    </w:p>
    <w:p w:rsidR="004D5DF6" w:rsidRPr="0087597A" w:rsidRDefault="00A1774F" w:rsidP="0087597A">
      <w:pPr>
        <w:spacing w:line="264" w:lineRule="auto"/>
        <w:jc w:val="center"/>
        <w:rPr>
          <w:b/>
          <w:bCs/>
        </w:rPr>
      </w:pPr>
      <w:r w:rsidRPr="00A1774F">
        <w:rPr>
          <w:rStyle w:val="Strong"/>
          <w:color w:val="000000"/>
          <w:sz w:val="26"/>
          <w:szCs w:val="26"/>
          <w:lang w:val="da-DK"/>
        </w:rPr>
        <w:t>NỘI DUNG PHẢN ÁNH, KIẾN NGHỊ TẠI BÁO CÁO SỐ 76-BC/ĐU</w:t>
      </w:r>
      <w:r w:rsidR="0087597A">
        <w:rPr>
          <w:rStyle w:val="Strong"/>
          <w:color w:val="000000"/>
          <w:sz w:val="26"/>
          <w:szCs w:val="26"/>
          <w:lang w:val="da-DK"/>
        </w:rPr>
        <w:t xml:space="preserve"> (ĐƯỢC HOÀN THIỆN TẠI BÁO CÁO SỐ 594/BC-BTP NGÀY 15/10/2025)</w:t>
      </w:r>
      <w:r w:rsidRPr="00A1774F">
        <w:rPr>
          <w:rStyle w:val="Strong"/>
          <w:color w:val="000000"/>
          <w:sz w:val="26"/>
          <w:szCs w:val="26"/>
          <w:lang w:val="da-DK"/>
        </w:rPr>
        <w:t xml:space="preserve"> BỘ </w:t>
      </w:r>
      <w:r w:rsidR="00537858">
        <w:rPr>
          <w:rStyle w:val="Strong"/>
          <w:color w:val="000000"/>
          <w:sz w:val="26"/>
          <w:szCs w:val="26"/>
          <w:lang w:val="da-DK"/>
        </w:rPr>
        <w:t>TƯ PHÁP</w:t>
      </w:r>
      <w:r w:rsidR="0087597A">
        <w:rPr>
          <w:rStyle w:val="Strong"/>
        </w:rPr>
        <w:t xml:space="preserve"> </w:t>
      </w:r>
      <w:r w:rsidRPr="00A1774F">
        <w:rPr>
          <w:b/>
          <w:bCs/>
          <w:color w:val="000000"/>
          <w:spacing w:val="-4"/>
          <w:sz w:val="26"/>
          <w:szCs w:val="26"/>
          <w:lang w:val="de-DE"/>
        </w:rPr>
        <w:t xml:space="preserve">CHUYỂN SANG </w:t>
      </w:r>
      <w:r w:rsidR="00537858">
        <w:rPr>
          <w:b/>
          <w:bCs/>
          <w:color w:val="000000"/>
          <w:spacing w:val="-4"/>
          <w:sz w:val="26"/>
          <w:szCs w:val="26"/>
          <w:lang w:val="de-DE"/>
        </w:rPr>
        <w:t xml:space="preserve">BỘ CÔNG AN </w:t>
      </w:r>
      <w:r w:rsidRPr="00A1774F">
        <w:rPr>
          <w:b/>
          <w:bCs/>
          <w:color w:val="000000"/>
          <w:spacing w:val="-4"/>
          <w:sz w:val="26"/>
          <w:szCs w:val="26"/>
          <w:lang w:val="de-DE"/>
        </w:rPr>
        <w:t>ĐỂ XỬ LÝ</w:t>
      </w:r>
    </w:p>
    <w:p w:rsidR="004D5DF6" w:rsidRDefault="004D5DF6" w:rsidP="004D5DF6">
      <w:pPr>
        <w:pStyle w:val="NormalWeb"/>
        <w:spacing w:before="0" w:beforeAutospacing="0"/>
        <w:rPr>
          <w:rFonts w:ascii="Times New Roman" w:hAnsi="Times New Roman" w:cs="Times New Roman"/>
          <w:color w:val="000000"/>
          <w:sz w:val="26"/>
          <w:szCs w:val="26"/>
        </w:rPr>
      </w:pPr>
      <w:r w:rsidRPr="00A1774F">
        <w:rPr>
          <w:rFonts w:ascii="Times New Roman" w:hAnsi="Times New Roman" w:cs="Times New Roman"/>
          <w:noProof/>
          <w:color w:val="000000"/>
          <w:sz w:val="26"/>
          <w:szCs w:val="26"/>
        </w:rPr>
        <mc:AlternateContent>
          <mc:Choice Requires="wps">
            <w:drawing>
              <wp:anchor distT="4294967293" distB="4294967293" distL="114300" distR="114300" simplePos="0" relativeHeight="251657728" behindDoc="0" locked="0" layoutInCell="1" allowOverlap="1" wp14:anchorId="4D036E20" wp14:editId="17A4A8CE">
                <wp:simplePos x="0" y="0"/>
                <wp:positionH relativeFrom="margin">
                  <wp:posOffset>3943985</wp:posOffset>
                </wp:positionH>
                <wp:positionV relativeFrom="paragraph">
                  <wp:posOffset>16510</wp:posOffset>
                </wp:positionV>
                <wp:extent cx="1440180" cy="0"/>
                <wp:effectExtent l="0" t="0" r="762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17071" id="Straight Connector 1" o:spid="_x0000_s1026" style="position:absolute;z-index:25165772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10.55pt,1.3pt" to="423.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" strokeweight="1pt">
                <w10:wrap anchorx="margin"/>
              </v:line>
            </w:pict>
          </mc:Fallback>
        </mc:AlternateContent>
      </w:r>
    </w:p>
    <w:tbl>
      <w:tblPr>
        <w:tblStyle w:val="TableGrid"/>
        <w:tblpPr w:leftFromText="180" w:rightFromText="180" w:vertAnchor="text" w:tblpX="-289" w:tblpY="1"/>
        <w:tblOverlap w:val="never"/>
        <w:tblW w:w="15452" w:type="dxa"/>
        <w:tblLayout w:type="fixed"/>
        <w:tblLook w:val="04A0" w:firstRow="1" w:lastRow="0" w:firstColumn="1" w:lastColumn="0" w:noHBand="0" w:noVBand="1"/>
      </w:tblPr>
      <w:tblGrid>
        <w:gridCol w:w="746"/>
        <w:gridCol w:w="2657"/>
        <w:gridCol w:w="3657"/>
        <w:gridCol w:w="2126"/>
        <w:gridCol w:w="1559"/>
        <w:gridCol w:w="2693"/>
        <w:gridCol w:w="2014"/>
      </w:tblGrid>
      <w:tr w:rsidR="004D5DF6" w:rsidRPr="0087597A" w:rsidTr="0087597A">
        <w:trPr>
          <w:tblHeader/>
        </w:trPr>
        <w:tc>
          <w:tcPr>
            <w:tcW w:w="746" w:type="dxa"/>
            <w:shd w:val="clear" w:color="auto" w:fill="FBE4D5" w:themeFill="accent2" w:themeFillTint="33"/>
          </w:tcPr>
          <w:p w:rsidR="004D5DF6" w:rsidRPr="0087597A" w:rsidRDefault="004D5DF6" w:rsidP="0087597A">
            <w:pPr>
              <w:jc w:val="center"/>
              <w:rPr>
                <w:b/>
                <w:sz w:val="25"/>
                <w:szCs w:val="25"/>
              </w:rPr>
            </w:pPr>
            <w:r w:rsidRPr="0087597A">
              <w:rPr>
                <w:b/>
                <w:sz w:val="25"/>
                <w:szCs w:val="25"/>
              </w:rPr>
              <w:t>STT</w:t>
            </w:r>
          </w:p>
        </w:tc>
        <w:tc>
          <w:tcPr>
            <w:tcW w:w="2657" w:type="dxa"/>
            <w:shd w:val="clear" w:color="auto" w:fill="FBE4D5" w:themeFill="accent2" w:themeFillTint="33"/>
          </w:tcPr>
          <w:p w:rsidR="004D5DF6" w:rsidRPr="0087597A" w:rsidRDefault="004D5DF6" w:rsidP="0087597A">
            <w:pPr>
              <w:jc w:val="center"/>
              <w:rPr>
                <w:b/>
                <w:sz w:val="25"/>
                <w:szCs w:val="25"/>
              </w:rPr>
            </w:pPr>
            <w:r w:rsidRPr="0087597A">
              <w:rPr>
                <w:b/>
                <w:bCs/>
                <w:color w:val="000000"/>
                <w:sz w:val="25"/>
                <w:szCs w:val="25"/>
              </w:rPr>
              <w:t>Điều, khoản, điểm, tên văn bản đề xuất xử lý</w:t>
            </w:r>
          </w:p>
        </w:tc>
        <w:tc>
          <w:tcPr>
            <w:tcW w:w="3657" w:type="dxa"/>
            <w:shd w:val="clear" w:color="auto" w:fill="FBE4D5" w:themeFill="accent2" w:themeFillTint="33"/>
          </w:tcPr>
          <w:p w:rsidR="004D5DF6" w:rsidRPr="0087597A" w:rsidRDefault="0087597A" w:rsidP="0087597A">
            <w:pPr>
              <w:pStyle w:val="NormalWeb"/>
              <w:spacing w:before="0" w:beforeAutospacing="0" w:after="0" w:afterAutospacing="0"/>
              <w:jc w:val="center"/>
              <w:rPr>
                <w:rFonts w:ascii="Times New Roman" w:hAnsi="Times New Roman" w:cs="Times New Roman"/>
                <w:b/>
                <w:sz w:val="25"/>
                <w:szCs w:val="25"/>
              </w:rPr>
            </w:pPr>
            <w:r w:rsidRPr="0087597A">
              <w:rPr>
                <w:rStyle w:val="Strong"/>
                <w:rFonts w:ascii="Times New Roman" w:hAnsi="Times New Roman" w:cs="Times New Roman"/>
                <w:color w:val="000000"/>
              </w:rPr>
              <w:t xml:space="preserve">Phản ánh, kiến nghị </w:t>
            </w:r>
          </w:p>
        </w:tc>
        <w:tc>
          <w:tcPr>
            <w:tcW w:w="2126" w:type="dxa"/>
            <w:shd w:val="clear" w:color="auto" w:fill="FBE4D5" w:themeFill="accent2" w:themeFillTint="33"/>
          </w:tcPr>
          <w:p w:rsidR="004D5DF6" w:rsidRPr="0087597A" w:rsidRDefault="004D5DF6" w:rsidP="0087597A">
            <w:pPr>
              <w:jc w:val="center"/>
              <w:rPr>
                <w:b/>
                <w:bCs/>
                <w:color w:val="000000"/>
                <w:sz w:val="25"/>
                <w:szCs w:val="25"/>
              </w:rPr>
            </w:pPr>
            <w:r w:rsidRPr="0087597A">
              <w:rPr>
                <w:b/>
                <w:bCs/>
                <w:color w:val="000000"/>
                <w:sz w:val="25"/>
                <w:szCs w:val="25"/>
              </w:rPr>
              <w:t>Phương án</w:t>
            </w:r>
          </w:p>
          <w:p w:rsidR="004D5DF6" w:rsidRPr="0087597A" w:rsidRDefault="004D5DF6" w:rsidP="0087597A">
            <w:pPr>
              <w:jc w:val="center"/>
              <w:rPr>
                <w:b/>
                <w:bCs/>
                <w:color w:val="000000"/>
                <w:sz w:val="25"/>
                <w:szCs w:val="25"/>
              </w:rPr>
            </w:pPr>
            <w:r w:rsidRPr="0087597A">
              <w:rPr>
                <w:b/>
                <w:bCs/>
                <w:color w:val="000000"/>
                <w:sz w:val="25"/>
                <w:szCs w:val="25"/>
              </w:rPr>
              <w:t xml:space="preserve"> xử lý được </w:t>
            </w:r>
          </w:p>
          <w:p w:rsidR="004D5DF6" w:rsidRPr="0087597A" w:rsidRDefault="004D5DF6" w:rsidP="0087597A">
            <w:pPr>
              <w:jc w:val="center"/>
              <w:rPr>
                <w:b/>
                <w:sz w:val="25"/>
                <w:szCs w:val="25"/>
              </w:rPr>
            </w:pPr>
            <w:r w:rsidRPr="0087597A">
              <w:rPr>
                <w:b/>
                <w:bCs/>
                <w:color w:val="000000"/>
                <w:sz w:val="25"/>
                <w:szCs w:val="25"/>
              </w:rPr>
              <w:t>đề xuất</w:t>
            </w:r>
          </w:p>
        </w:tc>
        <w:tc>
          <w:tcPr>
            <w:tcW w:w="1559" w:type="dxa"/>
            <w:shd w:val="clear" w:color="auto" w:fill="FBE4D5" w:themeFill="accent2" w:themeFillTint="33"/>
          </w:tcPr>
          <w:p w:rsidR="004D5DF6" w:rsidRPr="0087597A" w:rsidRDefault="004D5DF6" w:rsidP="0087597A">
            <w:pPr>
              <w:jc w:val="center"/>
              <w:rPr>
                <w:b/>
                <w:bCs/>
                <w:color w:val="000000"/>
                <w:sz w:val="25"/>
                <w:szCs w:val="25"/>
              </w:rPr>
            </w:pPr>
            <w:r w:rsidRPr="0087597A">
              <w:rPr>
                <w:b/>
                <w:bCs/>
                <w:color w:val="000000"/>
                <w:sz w:val="25"/>
                <w:szCs w:val="25"/>
              </w:rPr>
              <w:t xml:space="preserve">Cơ quan, </w:t>
            </w:r>
          </w:p>
          <w:p w:rsidR="004D5DF6" w:rsidRPr="0087597A" w:rsidRDefault="004D5DF6" w:rsidP="0087597A">
            <w:pPr>
              <w:jc w:val="center"/>
              <w:rPr>
                <w:b/>
                <w:bCs/>
                <w:color w:val="000000"/>
                <w:sz w:val="25"/>
                <w:szCs w:val="25"/>
              </w:rPr>
            </w:pPr>
            <w:r w:rsidRPr="0087597A">
              <w:rPr>
                <w:b/>
                <w:bCs/>
                <w:color w:val="000000"/>
                <w:sz w:val="25"/>
                <w:szCs w:val="25"/>
              </w:rPr>
              <w:t xml:space="preserve">tổ chức </w:t>
            </w:r>
          </w:p>
          <w:p w:rsidR="004D5DF6" w:rsidRPr="0087597A" w:rsidRDefault="004D5DF6" w:rsidP="0087597A">
            <w:pPr>
              <w:jc w:val="center"/>
              <w:rPr>
                <w:b/>
                <w:sz w:val="25"/>
                <w:szCs w:val="25"/>
              </w:rPr>
            </w:pPr>
            <w:r w:rsidRPr="0087597A">
              <w:rPr>
                <w:b/>
                <w:bCs/>
                <w:color w:val="000000"/>
                <w:sz w:val="25"/>
                <w:szCs w:val="25"/>
              </w:rPr>
              <w:t>rà soát, phản ánh</w:t>
            </w:r>
          </w:p>
        </w:tc>
        <w:tc>
          <w:tcPr>
            <w:tcW w:w="2693" w:type="dxa"/>
            <w:shd w:val="clear" w:color="auto" w:fill="FBE4D5" w:themeFill="accent2" w:themeFillTint="33"/>
          </w:tcPr>
          <w:p w:rsidR="004D5DF6" w:rsidRPr="0087597A" w:rsidRDefault="004D5DF6" w:rsidP="0087597A">
            <w:pPr>
              <w:jc w:val="center"/>
              <w:rPr>
                <w:b/>
                <w:bCs/>
                <w:color w:val="000000"/>
                <w:sz w:val="25"/>
                <w:szCs w:val="25"/>
              </w:rPr>
            </w:pPr>
            <w:r w:rsidRPr="0087597A">
              <w:rPr>
                <w:b/>
                <w:bCs/>
                <w:color w:val="000000"/>
                <w:sz w:val="25"/>
                <w:szCs w:val="25"/>
              </w:rPr>
              <w:t>Ý kiến của Bộ Tư pháp</w:t>
            </w:r>
          </w:p>
          <w:p w:rsidR="004D5DF6" w:rsidRPr="0087597A" w:rsidRDefault="004D5DF6" w:rsidP="0087597A">
            <w:pPr>
              <w:jc w:val="center"/>
              <w:rPr>
                <w:b/>
                <w:bCs/>
                <w:color w:val="000000"/>
                <w:sz w:val="25"/>
                <w:szCs w:val="25"/>
              </w:rPr>
            </w:pPr>
            <w:r w:rsidRPr="0087597A">
              <w:rPr>
                <w:b/>
                <w:bCs/>
                <w:color w:val="000000"/>
                <w:sz w:val="25"/>
                <w:szCs w:val="25"/>
              </w:rPr>
              <w:t xml:space="preserve"> về nội dung kiến nghị, </w:t>
            </w:r>
          </w:p>
          <w:p w:rsidR="004D5DF6" w:rsidRPr="0087597A" w:rsidRDefault="004D5DF6" w:rsidP="0087597A">
            <w:pPr>
              <w:jc w:val="center"/>
              <w:rPr>
                <w:b/>
                <w:sz w:val="25"/>
                <w:szCs w:val="25"/>
              </w:rPr>
            </w:pPr>
            <w:r w:rsidRPr="0087597A">
              <w:rPr>
                <w:b/>
                <w:bCs/>
                <w:color w:val="000000"/>
                <w:sz w:val="25"/>
                <w:szCs w:val="25"/>
              </w:rPr>
              <w:t>phản ánh của các cơ quan, tổ chức khác</w:t>
            </w:r>
          </w:p>
        </w:tc>
        <w:tc>
          <w:tcPr>
            <w:tcW w:w="2014" w:type="dxa"/>
            <w:shd w:val="clear" w:color="auto" w:fill="FBE4D5" w:themeFill="accent2" w:themeFillTint="33"/>
          </w:tcPr>
          <w:p w:rsidR="004D5DF6" w:rsidRPr="0087597A" w:rsidRDefault="0087597A" w:rsidP="0087597A">
            <w:pPr>
              <w:jc w:val="center"/>
              <w:rPr>
                <w:b/>
                <w:bCs/>
                <w:color w:val="000000"/>
                <w:sz w:val="25"/>
                <w:szCs w:val="25"/>
              </w:rPr>
            </w:pPr>
            <w:r w:rsidRPr="0087597A">
              <w:rPr>
                <w:b/>
                <w:bCs/>
                <w:color w:val="000000"/>
                <w:sz w:val="25"/>
                <w:szCs w:val="25"/>
              </w:rPr>
              <w:t xml:space="preserve">Đề xuất chuyển </w:t>
            </w:r>
          </w:p>
        </w:tc>
      </w:tr>
      <w:tr w:rsidR="0087597A" w:rsidRPr="00483CB1" w:rsidTr="0011416A">
        <w:tc>
          <w:tcPr>
            <w:tcW w:w="15452" w:type="dxa"/>
            <w:gridSpan w:val="7"/>
          </w:tcPr>
          <w:p w:rsidR="0087597A" w:rsidRPr="0087597A" w:rsidRDefault="0087597A" w:rsidP="0087597A">
            <w:pPr>
              <w:pStyle w:val="NormalWeb"/>
              <w:spacing w:before="0" w:beforeAutospacing="0" w:after="0" w:afterAutospacing="0"/>
              <w:jc w:val="both"/>
              <w:rPr>
                <w:rFonts w:ascii="Times New Roman" w:hAnsi="Times New Roman" w:cs="Times New Roman"/>
                <w:b/>
                <w:bCs/>
                <w:sz w:val="26"/>
                <w:szCs w:val="26"/>
              </w:rPr>
            </w:pPr>
            <w:r w:rsidRPr="0087597A">
              <w:rPr>
                <w:rStyle w:val="Strong"/>
                <w:rFonts w:ascii="Times New Roman" w:hAnsi="Times New Roman" w:cs="Times New Roman"/>
                <w:color w:val="000000"/>
                <w:sz w:val="26"/>
                <w:szCs w:val="26"/>
              </w:rPr>
              <w:t>Quy định của VBQPPL không rõ ràng, có nhiều cách hiểu khác nhau, không hợp lý, không khả thi, gây khó khăn trong áp dụng, thực hiện pháp luật</w:t>
            </w:r>
          </w:p>
        </w:tc>
      </w:tr>
      <w:tr w:rsidR="004D5DF6" w:rsidRPr="00483CB1" w:rsidTr="0087597A">
        <w:tc>
          <w:tcPr>
            <w:tcW w:w="746" w:type="dxa"/>
          </w:tcPr>
          <w:p w:rsidR="004D5DF6" w:rsidRPr="00483CB1" w:rsidRDefault="004D5DF6" w:rsidP="0087597A">
            <w:pPr>
              <w:pStyle w:val="ListParagraph"/>
              <w:numPr>
                <w:ilvl w:val="0"/>
                <w:numId w:val="48"/>
              </w:numPr>
              <w:spacing w:after="0" w:line="240" w:lineRule="auto"/>
              <w:jc w:val="center"/>
              <w:rPr>
                <w:rFonts w:ascii="Times New Roman" w:hAnsi="Times New Roman"/>
                <w:sz w:val="25"/>
                <w:szCs w:val="25"/>
              </w:rPr>
            </w:pPr>
          </w:p>
        </w:tc>
        <w:tc>
          <w:tcPr>
            <w:tcW w:w="2657" w:type="dxa"/>
          </w:tcPr>
          <w:p w:rsidR="004D5DF6" w:rsidRPr="00483CB1" w:rsidRDefault="004D5DF6" w:rsidP="0087597A">
            <w:pPr>
              <w:jc w:val="both"/>
              <w:rPr>
                <w:color w:val="000000"/>
                <w:sz w:val="25"/>
                <w:szCs w:val="25"/>
              </w:rPr>
            </w:pPr>
            <w:r w:rsidRPr="00483CB1">
              <w:rPr>
                <w:color w:val="000000"/>
                <w:sz w:val="25"/>
                <w:szCs w:val="25"/>
              </w:rPr>
              <w:t>Điều 76 và Điều 77 Luật Xử lý vi phạm hành chính năm 2012 (sửa đổi, bổ sung năm 2020, 2025)</w:t>
            </w:r>
          </w:p>
        </w:tc>
        <w:tc>
          <w:tcPr>
            <w:tcW w:w="3657" w:type="dxa"/>
          </w:tcPr>
          <w:p w:rsidR="004D5DF6" w:rsidRPr="00483CB1" w:rsidRDefault="004D5DF6" w:rsidP="0087597A">
            <w:pPr>
              <w:jc w:val="both"/>
              <w:rPr>
                <w:color w:val="000000"/>
                <w:sz w:val="25"/>
                <w:szCs w:val="25"/>
              </w:rPr>
            </w:pPr>
            <w:r w:rsidRPr="00483CB1">
              <w:rPr>
                <w:color w:val="000000"/>
                <w:sz w:val="25"/>
                <w:szCs w:val="25"/>
              </w:rPr>
              <w:t>Cá nhân vi phạm được miễn toàn bộ tiền phạt trong quyết định xử phạt nếu bị phạt tiền từ 2 triệu đồng trở lên, đang gặp khó khăn đặc biệt hoặc đột xuất về kinh tế do thiên tai, thảm họa, hỏa hoạn</w:t>
            </w:r>
            <w:bookmarkStart w:id="0" w:name="_GoBack"/>
            <w:bookmarkEnd w:id="0"/>
            <w:r w:rsidRPr="00483CB1">
              <w:rPr>
                <w:color w:val="000000"/>
                <w:sz w:val="25"/>
                <w:szCs w:val="25"/>
              </w:rPr>
              <w:t>, dịch bệnh, mắc bệnh hiểm nghèo, tai nạn và có xác nhận của UBND cấp xã nơi người đó cư trú hoặc cơ quan, tổ chức nơi người đó học tập, làm việc... Thực tế, có những trường hợp hoàn cảnh khó khăn về kinh tế, không có khả năng nộp phạt, tuy nhiên, không đáp ứng điều kiện theo quy định của Luật nên không thuộc trường hợp được miễn toàn bộ tiền phạt hoặc trường hợp người nước ngoài nhập cảnh trái phép thường không có khả năng thi hành quyết định phạt tiền dẫn đến khó khăn trong việc thi hành quyết định xử phạt.</w:t>
            </w:r>
          </w:p>
        </w:tc>
        <w:tc>
          <w:tcPr>
            <w:tcW w:w="2126" w:type="dxa"/>
          </w:tcPr>
          <w:p w:rsidR="004D5DF6" w:rsidRPr="00483CB1" w:rsidRDefault="004D5DF6" w:rsidP="0087597A">
            <w:pPr>
              <w:jc w:val="both"/>
              <w:rPr>
                <w:color w:val="000000"/>
                <w:sz w:val="25"/>
                <w:szCs w:val="25"/>
              </w:rPr>
            </w:pPr>
            <w:r w:rsidRPr="00483CB1">
              <w:rPr>
                <w:color w:val="000000"/>
                <w:sz w:val="25"/>
                <w:szCs w:val="25"/>
              </w:rPr>
              <w:t>C. Sửa đổi, bổ sung, thay thế, ban hành mới VBQPPL (theo trình tự, thủ tục rút gọn ban hành VBQPPL của Luật Ban hành VBQPPL)</w:t>
            </w:r>
          </w:p>
        </w:tc>
        <w:tc>
          <w:tcPr>
            <w:tcW w:w="1559" w:type="dxa"/>
          </w:tcPr>
          <w:p w:rsidR="004D5DF6" w:rsidRPr="00483CB1" w:rsidRDefault="004D5DF6" w:rsidP="0087597A">
            <w:pPr>
              <w:jc w:val="both"/>
              <w:rPr>
                <w:color w:val="000000"/>
                <w:sz w:val="25"/>
                <w:szCs w:val="25"/>
              </w:rPr>
            </w:pPr>
            <w:r w:rsidRPr="00483CB1">
              <w:rPr>
                <w:color w:val="000000"/>
                <w:sz w:val="25"/>
                <w:szCs w:val="25"/>
              </w:rPr>
              <w:t>Sở Tư pháp tỉnh Lạng Sơn</w:t>
            </w:r>
          </w:p>
        </w:tc>
        <w:tc>
          <w:tcPr>
            <w:tcW w:w="2693" w:type="dxa"/>
          </w:tcPr>
          <w:p w:rsidR="004D5DF6" w:rsidRPr="006E5427" w:rsidRDefault="004D5DF6" w:rsidP="0087597A">
            <w:pPr>
              <w:jc w:val="both"/>
              <w:rPr>
                <w:color w:val="000000"/>
                <w:sz w:val="25"/>
                <w:szCs w:val="25"/>
              </w:rPr>
            </w:pPr>
            <w:r w:rsidRPr="006E5427">
              <w:rPr>
                <w:color w:val="000000"/>
                <w:sz w:val="25"/>
                <w:szCs w:val="25"/>
              </w:rPr>
              <w:t>Nhất trí kiến nghị nhưng đề nghị sửa đổi, bổ sung theo trình tự, thủ tục thông thường. Lý do: Luật Luật Xử lý vi phạm hành chính sẽ được sửa đổi toàn diện, trình Quốc hội trong năm 2026. Đây là văn bản pháp lý quan trọng có ảnh hưởng sâu rộng và tác động trực tiếp đến quyền, nghĩa vụ của người dân, doanh nghiệp; các quy định có tính chất là chế tài, hạn chế một số quyền của người dân. Do vậy, cần đánh giá kỹ lưỡng, toàn diện đối với các nội dung được sửa đổi để bảo đảm quyền và lợi ích hợp pháp của người dân.</w:t>
            </w:r>
          </w:p>
        </w:tc>
        <w:tc>
          <w:tcPr>
            <w:tcW w:w="2014" w:type="dxa"/>
          </w:tcPr>
          <w:p w:rsidR="004D5DF6" w:rsidRDefault="004D5DF6" w:rsidP="0087597A">
            <w:pPr>
              <w:jc w:val="both"/>
              <w:rPr>
                <w:color w:val="000000"/>
                <w:sz w:val="25"/>
                <w:szCs w:val="25"/>
              </w:rPr>
            </w:pPr>
            <w:r w:rsidRPr="006E5427">
              <w:rPr>
                <w:color w:val="000000"/>
                <w:sz w:val="25"/>
                <w:szCs w:val="25"/>
              </w:rPr>
              <w:t>Hiện nay, Bộ Công an đang tiến hành tổng kết thi hành Luật Xử lý vi phạm hành chính để sửa đổi toàn diện, trình Quốc hội xem xét thông qua trong năm 2026.</w:t>
            </w:r>
          </w:p>
          <w:p w:rsidR="0087597A" w:rsidRDefault="0087597A" w:rsidP="0087597A">
            <w:pPr>
              <w:jc w:val="both"/>
              <w:rPr>
                <w:color w:val="000000"/>
                <w:sz w:val="25"/>
                <w:szCs w:val="25"/>
              </w:rPr>
            </w:pPr>
            <w:r>
              <w:rPr>
                <w:color w:val="000000"/>
                <w:sz w:val="25"/>
                <w:szCs w:val="25"/>
              </w:rPr>
              <w:t>Do đó, đề xuất chuyển phản ánh, kiến nghị đến Bộ Công an.</w:t>
            </w:r>
          </w:p>
          <w:p w:rsidR="0087597A" w:rsidRPr="00537379" w:rsidRDefault="0087597A" w:rsidP="0087597A">
            <w:pPr>
              <w:tabs>
                <w:tab w:val="left" w:pos="6513"/>
              </w:tabs>
              <w:jc w:val="center"/>
              <w:rPr>
                <w:b/>
                <w:sz w:val="26"/>
                <w:szCs w:val="26"/>
              </w:rPr>
            </w:pPr>
            <w:r>
              <w:rPr>
                <w:color w:val="000000"/>
                <w:sz w:val="25"/>
                <w:szCs w:val="25"/>
              </w:rPr>
              <w:t>(</w:t>
            </w:r>
            <w:r w:rsidRPr="00537379">
              <w:rPr>
                <w:b/>
                <w:sz w:val="26"/>
                <w:szCs w:val="26"/>
              </w:rPr>
              <w:t xml:space="preserve">Phụ lục </w:t>
            </w:r>
            <w:r>
              <w:rPr>
                <w:b/>
                <w:sz w:val="26"/>
                <w:szCs w:val="26"/>
              </w:rPr>
              <w:t>I.14.2.B kèm theo Báo cáo số 594/BC-BTP)</w:t>
            </w:r>
          </w:p>
          <w:p w:rsidR="0087597A" w:rsidRPr="006E5427" w:rsidRDefault="0087597A" w:rsidP="0087597A">
            <w:pPr>
              <w:jc w:val="both"/>
              <w:rPr>
                <w:color w:val="000000"/>
                <w:sz w:val="25"/>
                <w:szCs w:val="25"/>
              </w:rPr>
            </w:pPr>
          </w:p>
        </w:tc>
      </w:tr>
      <w:tr w:rsidR="004D5DF6" w:rsidRPr="00483CB1" w:rsidTr="0087597A">
        <w:tc>
          <w:tcPr>
            <w:tcW w:w="746" w:type="dxa"/>
          </w:tcPr>
          <w:p w:rsidR="004D5DF6" w:rsidRPr="00483CB1" w:rsidRDefault="004D5DF6" w:rsidP="0087597A">
            <w:pPr>
              <w:pStyle w:val="ListParagraph"/>
              <w:numPr>
                <w:ilvl w:val="0"/>
                <w:numId w:val="48"/>
              </w:numPr>
              <w:spacing w:after="0" w:line="240" w:lineRule="auto"/>
              <w:jc w:val="center"/>
              <w:rPr>
                <w:rFonts w:ascii="Times New Roman" w:hAnsi="Times New Roman"/>
                <w:sz w:val="25"/>
                <w:szCs w:val="25"/>
              </w:rPr>
            </w:pPr>
          </w:p>
        </w:tc>
        <w:tc>
          <w:tcPr>
            <w:tcW w:w="2657" w:type="dxa"/>
          </w:tcPr>
          <w:p w:rsidR="004D5DF6" w:rsidRPr="00483CB1" w:rsidRDefault="004D5DF6" w:rsidP="0087597A">
            <w:pPr>
              <w:jc w:val="both"/>
              <w:rPr>
                <w:color w:val="000000"/>
                <w:sz w:val="25"/>
                <w:szCs w:val="25"/>
              </w:rPr>
            </w:pPr>
            <w:r w:rsidRPr="00483CB1">
              <w:rPr>
                <w:color w:val="000000"/>
                <w:sz w:val="25"/>
                <w:szCs w:val="25"/>
              </w:rPr>
              <w:t>Khoản 1 Điều 81 Luật Xử lý vi phạm hành chính năm 2012 (sửa đổi, bổ sung năm 2020, 2025)</w:t>
            </w:r>
          </w:p>
        </w:tc>
        <w:tc>
          <w:tcPr>
            <w:tcW w:w="3657" w:type="dxa"/>
          </w:tcPr>
          <w:p w:rsidR="004D5DF6" w:rsidRPr="00483CB1" w:rsidRDefault="004D5DF6" w:rsidP="0087597A">
            <w:pPr>
              <w:jc w:val="both"/>
              <w:rPr>
                <w:color w:val="000000"/>
                <w:sz w:val="25"/>
                <w:szCs w:val="25"/>
              </w:rPr>
            </w:pPr>
            <w:r w:rsidRPr="00483CB1">
              <w:rPr>
                <w:color w:val="000000"/>
                <w:sz w:val="25"/>
                <w:szCs w:val="25"/>
              </w:rPr>
              <w:t>Quy định: “Khi tịch thu tang vật, phương tiện vi phạm hành chính theo quy định tại Điều 26 của Luật này, người có thẩm quyền xử phạt phải lập biên bản”. Thực tế áp dụng đối với các vụ việc thuộc thẩm quyền xử phạt của cấp trên (Chủ tịch UBND tỉnh) thì quy định như trên thực hiện gặp nhiều khó khăn.</w:t>
            </w:r>
          </w:p>
        </w:tc>
        <w:tc>
          <w:tcPr>
            <w:tcW w:w="2126" w:type="dxa"/>
          </w:tcPr>
          <w:p w:rsidR="004D5DF6" w:rsidRPr="00483CB1" w:rsidRDefault="004D5DF6" w:rsidP="0087597A">
            <w:pPr>
              <w:jc w:val="both"/>
              <w:rPr>
                <w:color w:val="000000"/>
                <w:sz w:val="25"/>
                <w:szCs w:val="25"/>
              </w:rPr>
            </w:pPr>
            <w:r w:rsidRPr="00483CB1">
              <w:rPr>
                <w:color w:val="000000"/>
                <w:sz w:val="25"/>
                <w:szCs w:val="25"/>
              </w:rPr>
              <w:t>C. Sửa đổi, bổ sung, thay thế, ban hành mới VBQPPL (theo trình tự, thủ tục rút gọn ban hành VBQPPL của Luật Ban hành VBQPPL)</w:t>
            </w:r>
          </w:p>
        </w:tc>
        <w:tc>
          <w:tcPr>
            <w:tcW w:w="1559" w:type="dxa"/>
          </w:tcPr>
          <w:p w:rsidR="004D5DF6" w:rsidRPr="00483CB1" w:rsidRDefault="004D5DF6" w:rsidP="0087597A">
            <w:pPr>
              <w:jc w:val="both"/>
              <w:rPr>
                <w:color w:val="000000"/>
                <w:sz w:val="25"/>
                <w:szCs w:val="25"/>
              </w:rPr>
            </w:pPr>
            <w:r w:rsidRPr="00483CB1">
              <w:rPr>
                <w:color w:val="000000"/>
                <w:sz w:val="25"/>
                <w:szCs w:val="25"/>
              </w:rPr>
              <w:t>Sở Tư pháp tỉnh Lạng Sơn</w:t>
            </w:r>
          </w:p>
        </w:tc>
        <w:tc>
          <w:tcPr>
            <w:tcW w:w="2693" w:type="dxa"/>
          </w:tcPr>
          <w:p w:rsidR="004D5DF6" w:rsidRPr="00483CB1" w:rsidRDefault="004D5DF6" w:rsidP="0087597A">
            <w:pPr>
              <w:jc w:val="both"/>
              <w:rPr>
                <w:color w:val="000000"/>
                <w:sz w:val="25"/>
                <w:szCs w:val="25"/>
              </w:rPr>
            </w:pPr>
            <w:r w:rsidRPr="00AE1AAE">
              <w:rPr>
                <w:color w:val="000000"/>
                <w:sz w:val="24"/>
              </w:rPr>
              <w:t>Nhất trí kiến nghị nhưng đề nghị sửa đổi, bổ sung theo trình tự, thủ tục thông thường. Lý do: Luật Luật Xử lý vi phạm hành chính sẽ được sửa đổi toàn diện, trình Quốc hội trong năm 2026. Đây là văn bản pháp lý quan trọng có ảnh hưởng sâu rộng và tác động trực tiếp đến quyền, nghĩa vụ của người dân, doanh nghiệp; các quy định có tính chất là chế tài, hạn chế một số quyền của người dân. Do vậy, cần đánh giá kỹ lưỡng, toàn diện đối với các nội dung được sửa đổi để bảo đảm quyền và lợi ích hợp pháp của người dân.</w:t>
            </w:r>
          </w:p>
        </w:tc>
        <w:tc>
          <w:tcPr>
            <w:tcW w:w="2014" w:type="dxa"/>
          </w:tcPr>
          <w:p w:rsidR="004D5DF6" w:rsidRDefault="004D5DF6" w:rsidP="0087597A">
            <w:pPr>
              <w:jc w:val="both"/>
              <w:rPr>
                <w:color w:val="000000"/>
                <w:sz w:val="25"/>
                <w:szCs w:val="25"/>
              </w:rPr>
            </w:pPr>
            <w:r w:rsidRPr="006E5427">
              <w:rPr>
                <w:color w:val="000000"/>
                <w:sz w:val="25"/>
                <w:szCs w:val="25"/>
              </w:rPr>
              <w:t>Hiện nay, Bộ Công an đang tiến hành tổng kết thi hành Luật Xử lý vi phạm hành chính để sửa đổi toàn diện, trình Quốc hội xem xét thông qua trong năm 2026.</w:t>
            </w:r>
          </w:p>
          <w:p w:rsidR="0087597A" w:rsidRDefault="0087597A" w:rsidP="0087597A">
            <w:pPr>
              <w:jc w:val="both"/>
              <w:rPr>
                <w:color w:val="000000"/>
                <w:sz w:val="25"/>
                <w:szCs w:val="25"/>
              </w:rPr>
            </w:pPr>
            <w:r>
              <w:rPr>
                <w:color w:val="000000"/>
                <w:sz w:val="25"/>
                <w:szCs w:val="25"/>
              </w:rPr>
              <w:t>Do đó, đề xuất chuyển phản ánh, kiến nghị đến Bộ Công an.</w:t>
            </w:r>
          </w:p>
          <w:p w:rsidR="0087597A" w:rsidRPr="00537379" w:rsidRDefault="0087597A" w:rsidP="0087597A">
            <w:pPr>
              <w:tabs>
                <w:tab w:val="left" w:pos="6513"/>
              </w:tabs>
              <w:jc w:val="center"/>
              <w:rPr>
                <w:b/>
                <w:sz w:val="26"/>
                <w:szCs w:val="26"/>
              </w:rPr>
            </w:pPr>
            <w:r>
              <w:rPr>
                <w:color w:val="000000"/>
                <w:sz w:val="25"/>
                <w:szCs w:val="25"/>
              </w:rPr>
              <w:t>(</w:t>
            </w:r>
            <w:r w:rsidRPr="00537379">
              <w:rPr>
                <w:b/>
                <w:sz w:val="26"/>
                <w:szCs w:val="26"/>
              </w:rPr>
              <w:t xml:space="preserve">Phụ lục </w:t>
            </w:r>
            <w:r>
              <w:rPr>
                <w:b/>
                <w:sz w:val="26"/>
                <w:szCs w:val="26"/>
              </w:rPr>
              <w:t>I.14.2.B kèm theo Báo cáo số 594/BC-BTP)</w:t>
            </w:r>
          </w:p>
          <w:p w:rsidR="0087597A" w:rsidRPr="006E5427" w:rsidRDefault="0087597A" w:rsidP="0087597A">
            <w:pPr>
              <w:jc w:val="both"/>
              <w:rPr>
                <w:color w:val="000000"/>
                <w:sz w:val="25"/>
                <w:szCs w:val="25"/>
              </w:rPr>
            </w:pPr>
          </w:p>
        </w:tc>
      </w:tr>
      <w:tr w:rsidR="004D5DF6" w:rsidRPr="00483CB1" w:rsidTr="0087597A">
        <w:tc>
          <w:tcPr>
            <w:tcW w:w="746" w:type="dxa"/>
          </w:tcPr>
          <w:p w:rsidR="004D5DF6" w:rsidRPr="00483CB1" w:rsidRDefault="004D5DF6" w:rsidP="0087597A">
            <w:pPr>
              <w:pStyle w:val="ListParagraph"/>
              <w:numPr>
                <w:ilvl w:val="0"/>
                <w:numId w:val="48"/>
              </w:numPr>
              <w:spacing w:after="0" w:line="240" w:lineRule="auto"/>
              <w:jc w:val="center"/>
              <w:rPr>
                <w:rFonts w:ascii="Times New Roman" w:hAnsi="Times New Roman"/>
                <w:sz w:val="25"/>
                <w:szCs w:val="25"/>
              </w:rPr>
            </w:pPr>
          </w:p>
        </w:tc>
        <w:tc>
          <w:tcPr>
            <w:tcW w:w="2657" w:type="dxa"/>
          </w:tcPr>
          <w:p w:rsidR="004D5DF6" w:rsidRPr="00483CB1" w:rsidRDefault="004D5DF6" w:rsidP="0087597A">
            <w:pPr>
              <w:jc w:val="both"/>
              <w:rPr>
                <w:color w:val="000000"/>
                <w:sz w:val="25"/>
                <w:szCs w:val="25"/>
              </w:rPr>
            </w:pPr>
            <w:r w:rsidRPr="00483CB1">
              <w:rPr>
                <w:color w:val="000000"/>
                <w:sz w:val="25"/>
                <w:szCs w:val="25"/>
              </w:rPr>
              <w:t>Điều 139 Luật Xử lý vi phạm hành chính năm 2012 (sửa đổi, bổ sung năm 2020, 2025)</w:t>
            </w:r>
          </w:p>
        </w:tc>
        <w:tc>
          <w:tcPr>
            <w:tcW w:w="3657" w:type="dxa"/>
          </w:tcPr>
          <w:p w:rsidR="004D5DF6" w:rsidRPr="00483CB1" w:rsidRDefault="004D5DF6" w:rsidP="0087597A">
            <w:pPr>
              <w:jc w:val="both"/>
              <w:rPr>
                <w:color w:val="000000"/>
                <w:sz w:val="25"/>
                <w:szCs w:val="25"/>
              </w:rPr>
            </w:pPr>
            <w:r w:rsidRPr="00483CB1">
              <w:rPr>
                <w:color w:val="000000"/>
                <w:sz w:val="25"/>
                <w:szCs w:val="25"/>
              </w:rPr>
              <w:t xml:space="preserve">Điều 139 Luật Xử lý vi phạm hành chính năm 2012 (sửa đổi, bổ sung năm 2020, 2025) quy định việc áp dụng biện pháp nhắc nhở là biện pháp thay thế xử lý vi phạm hành chính đối với người chưa thành niên vi phạm hành chính mà theo quy định của pháp luật phải bị xử phạt vi phạm hành chính khi có đủ hai điều kiện: “Vi phạm hành chính theo quy định bị phạt cảnh </w:t>
            </w:r>
            <w:r w:rsidRPr="00483CB1">
              <w:rPr>
                <w:color w:val="000000"/>
                <w:sz w:val="25"/>
                <w:szCs w:val="25"/>
              </w:rPr>
              <w:lastRenderedPageBreak/>
              <w:t>cáo” và “người chưa thành niên đã tự nguyện khai báo, thành thật hối lỗi về hành vi vi phạm của mình”. Nghĩa là điều kiện bắt buộc là hành vi vi phạm hành chính theo quy định phải bị phạt cảnh cáo.</w:t>
            </w:r>
          </w:p>
          <w:p w:rsidR="004D5DF6" w:rsidRPr="00483CB1" w:rsidRDefault="004D5DF6" w:rsidP="0087597A">
            <w:pPr>
              <w:jc w:val="both"/>
              <w:rPr>
                <w:color w:val="000000"/>
                <w:sz w:val="25"/>
                <w:szCs w:val="25"/>
              </w:rPr>
            </w:pPr>
            <w:r w:rsidRPr="00483CB1">
              <w:rPr>
                <w:color w:val="000000"/>
                <w:sz w:val="25"/>
                <w:szCs w:val="25"/>
              </w:rPr>
              <w:t xml:space="preserve">Mặt khác, người từ đủ 14 tuổi đến dưới 16 tuổi vi phạm những hành vi này thì theo quy định tại khoản 3 Điều 134 Luật XLVPHC sẽ không bị áp dụng hình thức phạt tiền. Tuy nhiên, một số hành vi trong nghị định quy định xử phạt vi phạm hành chính trong các lĩnh vực cụ thể không quy định hình thức xử phạt cảnh cáo, chỉ quy định phạt tiền, ví dụ như hành vi lợi dụng mạng xã hội để cung cấp, chia sẻ thông tin giả mạo, thông tin sai sự thật, xuyên tạc, vu khống, xúc phạm uy tín của cơ quan, tổ chức, danh dự, nhân phẩm của cá nhân hoặc cung cấp, chia sẻ thông tin bịa đặt, gây hoang mang trong Nhân dân theo quy định tại khoản 1 Điều 101 Nghị định số 15/2020/NĐ-CP, ngày 03/02/2020 của Chính phủ quy định xử phạt vi phạm hành chính trong lĩnh vực bưu chính, viễn thông, tần số vô tuyến điện, công nghệ thông tin và giao dịch điện tử (sửa đổi, bổ sung bởi Nghị định số 14/2022/NĐ-CP, </w:t>
            </w:r>
            <w:r w:rsidRPr="00483CB1">
              <w:rPr>
                <w:color w:val="000000"/>
                <w:sz w:val="25"/>
                <w:szCs w:val="25"/>
              </w:rPr>
              <w:lastRenderedPageBreak/>
              <w:t>ngày 27/01/2022 của Chính phủ) hay như hành vi cố ý qua lại biên giới quốc gia mà không làm thủ tục xuất cảnh, nhập cảnh thì theo điểm a, khoản 3, Điều 18 Nghị định 144/2021/NĐ-CP. Quy định như vậy gây khó khăn trong việc áp dụng biện pháp thay thế XLVPHC là nhắc nhở nói chung và xử lý người từ đủ 14 tuổi đến dưới 16 tuổi vi phạm hành chính nói riêng.</w:t>
            </w:r>
          </w:p>
        </w:tc>
        <w:tc>
          <w:tcPr>
            <w:tcW w:w="2126" w:type="dxa"/>
          </w:tcPr>
          <w:p w:rsidR="004D5DF6" w:rsidRPr="00483CB1" w:rsidRDefault="004D5DF6" w:rsidP="0087597A">
            <w:pPr>
              <w:jc w:val="both"/>
              <w:rPr>
                <w:color w:val="000000"/>
                <w:sz w:val="25"/>
                <w:szCs w:val="25"/>
              </w:rPr>
            </w:pPr>
            <w:r w:rsidRPr="00483CB1">
              <w:rPr>
                <w:color w:val="000000"/>
                <w:sz w:val="25"/>
                <w:szCs w:val="25"/>
              </w:rPr>
              <w:lastRenderedPageBreak/>
              <w:t>B. Hướng dẫn áp dụng VBQPPL theo quy định tại Điều 61 Luật Ban hành VBQPPL năm 2025</w:t>
            </w:r>
          </w:p>
        </w:tc>
        <w:tc>
          <w:tcPr>
            <w:tcW w:w="1559" w:type="dxa"/>
          </w:tcPr>
          <w:p w:rsidR="004D5DF6" w:rsidRPr="00483CB1" w:rsidRDefault="004D5DF6" w:rsidP="0087597A">
            <w:pPr>
              <w:jc w:val="both"/>
              <w:rPr>
                <w:color w:val="000000"/>
                <w:sz w:val="25"/>
                <w:szCs w:val="25"/>
              </w:rPr>
            </w:pPr>
            <w:r w:rsidRPr="00483CB1">
              <w:rPr>
                <w:color w:val="000000"/>
                <w:sz w:val="25"/>
                <w:szCs w:val="25"/>
              </w:rPr>
              <w:t>Sở Tư pháp tỉnh Lạng Sơn</w:t>
            </w:r>
          </w:p>
        </w:tc>
        <w:tc>
          <w:tcPr>
            <w:tcW w:w="2693" w:type="dxa"/>
          </w:tcPr>
          <w:p w:rsidR="004D5DF6" w:rsidRPr="00483CB1" w:rsidRDefault="004D5DF6" w:rsidP="0087597A">
            <w:pPr>
              <w:jc w:val="both"/>
              <w:rPr>
                <w:color w:val="000000"/>
                <w:sz w:val="25"/>
                <w:szCs w:val="25"/>
              </w:rPr>
            </w:pPr>
            <w:r w:rsidRPr="00004C8C">
              <w:rPr>
                <w:color w:val="000000"/>
                <w:sz w:val="24"/>
              </w:rPr>
              <w:t xml:space="preserve">Nhất trí kiến nghị nhưng đề nghị sửa đổi, bổ sung theo trình tự, thủ tục thông thường. Lý do: Luật Luật Xử lý vi phạm hành chính sẽ được sửa đổi toàn diện, trình Quốc hội trong năm 2026. Đây là văn bản pháp lý quan trọng có ảnh hưởng sâu rộng và tác động trực tiếp đến quyền, nghĩa vụ của </w:t>
            </w:r>
            <w:r w:rsidRPr="00004C8C">
              <w:rPr>
                <w:color w:val="000000"/>
                <w:sz w:val="24"/>
              </w:rPr>
              <w:lastRenderedPageBreak/>
              <w:t>người dân, doanh nghiệp; các quy định có tính chất là chế tài, hạn chế một số quyền của người dân. Do vậy, cần đánh giá kỹ lưỡng, toàn diện đối với các nội dung được sửa đổi để bảo đảm quyền và lợi ích hợp pháp của người dân.</w:t>
            </w:r>
          </w:p>
        </w:tc>
        <w:tc>
          <w:tcPr>
            <w:tcW w:w="2014" w:type="dxa"/>
          </w:tcPr>
          <w:p w:rsidR="004D5DF6" w:rsidRDefault="004D5DF6" w:rsidP="0087597A">
            <w:pPr>
              <w:jc w:val="both"/>
              <w:rPr>
                <w:color w:val="000000"/>
                <w:sz w:val="24"/>
              </w:rPr>
            </w:pPr>
            <w:r w:rsidRPr="007D16DB">
              <w:rPr>
                <w:color w:val="000000"/>
                <w:sz w:val="25"/>
                <w:szCs w:val="25"/>
              </w:rPr>
              <w:lastRenderedPageBreak/>
              <w:t xml:space="preserve">Hiện nay, Bộ Công an đang tiến hành tổng kết thi hành </w:t>
            </w:r>
            <w:r w:rsidRPr="007D16DB">
              <w:rPr>
                <w:color w:val="000000"/>
                <w:sz w:val="24"/>
              </w:rPr>
              <w:t>Luật Xử lý vi phạm hành chính để sửa đổi toàn diện, trình Quốc hội xem xét thông qua trong năm 2026.</w:t>
            </w:r>
          </w:p>
          <w:p w:rsidR="0087597A" w:rsidRDefault="0087597A" w:rsidP="0087597A">
            <w:pPr>
              <w:jc w:val="both"/>
              <w:rPr>
                <w:color w:val="000000"/>
                <w:sz w:val="25"/>
                <w:szCs w:val="25"/>
              </w:rPr>
            </w:pPr>
            <w:r>
              <w:rPr>
                <w:color w:val="000000"/>
                <w:sz w:val="25"/>
                <w:szCs w:val="25"/>
              </w:rPr>
              <w:t xml:space="preserve">Do đó, đề xuất chuyển phản ánh, </w:t>
            </w:r>
            <w:r>
              <w:rPr>
                <w:color w:val="000000"/>
                <w:sz w:val="25"/>
                <w:szCs w:val="25"/>
              </w:rPr>
              <w:lastRenderedPageBreak/>
              <w:t>kiến nghị đến Bộ Công an.</w:t>
            </w:r>
          </w:p>
          <w:p w:rsidR="0087597A" w:rsidRPr="00537379" w:rsidRDefault="0087597A" w:rsidP="0087597A">
            <w:pPr>
              <w:tabs>
                <w:tab w:val="left" w:pos="6513"/>
              </w:tabs>
              <w:jc w:val="center"/>
              <w:rPr>
                <w:b/>
                <w:sz w:val="26"/>
                <w:szCs w:val="26"/>
              </w:rPr>
            </w:pPr>
            <w:r>
              <w:rPr>
                <w:color w:val="000000"/>
                <w:sz w:val="25"/>
                <w:szCs w:val="25"/>
              </w:rPr>
              <w:t>(</w:t>
            </w:r>
            <w:r w:rsidRPr="00537379">
              <w:rPr>
                <w:b/>
                <w:sz w:val="26"/>
                <w:szCs w:val="26"/>
              </w:rPr>
              <w:t xml:space="preserve">Phụ lục </w:t>
            </w:r>
            <w:r>
              <w:rPr>
                <w:b/>
                <w:sz w:val="26"/>
                <w:szCs w:val="26"/>
              </w:rPr>
              <w:t>I.14.2.B kèm theo Báo cáo số 594/BC-BTP)</w:t>
            </w:r>
          </w:p>
          <w:p w:rsidR="0087597A" w:rsidRPr="007D16DB" w:rsidRDefault="0087597A" w:rsidP="0087597A">
            <w:pPr>
              <w:jc w:val="both"/>
              <w:rPr>
                <w:color w:val="000000"/>
                <w:sz w:val="25"/>
                <w:szCs w:val="25"/>
              </w:rPr>
            </w:pPr>
          </w:p>
        </w:tc>
      </w:tr>
      <w:tr w:rsidR="0087597A" w:rsidRPr="00483CB1" w:rsidTr="00B213E0">
        <w:tc>
          <w:tcPr>
            <w:tcW w:w="15452" w:type="dxa"/>
            <w:gridSpan w:val="7"/>
          </w:tcPr>
          <w:p w:rsidR="00601A1C" w:rsidRPr="00601A1C" w:rsidRDefault="00601A1C" w:rsidP="00601A1C">
            <w:pPr>
              <w:pStyle w:val="NormalWeb"/>
              <w:spacing w:before="0" w:beforeAutospacing="0" w:after="0" w:afterAutospacing="0"/>
              <w:jc w:val="both"/>
              <w:rPr>
                <w:rStyle w:val="Strong"/>
                <w:rFonts w:ascii="Times New Roman" w:hAnsi="Times New Roman" w:cs="Times New Roman"/>
                <w:sz w:val="26"/>
                <w:szCs w:val="26"/>
              </w:rPr>
            </w:pPr>
            <w:r w:rsidRPr="00601A1C">
              <w:rPr>
                <w:rFonts w:ascii="Times New Roman" w:hAnsi="Times New Roman" w:cs="Times New Roman"/>
                <w:b/>
                <w:bCs/>
                <w:sz w:val="26"/>
                <w:szCs w:val="26"/>
              </w:rPr>
              <w:lastRenderedPageBreak/>
              <w:t>Quy</w:t>
            </w:r>
            <w:r>
              <w:rPr>
                <w:rFonts w:ascii="Times New Roman" w:hAnsi="Times New Roman" w:cs="Times New Roman"/>
                <w:b/>
                <w:bCs/>
                <w:sz w:val="26"/>
                <w:szCs w:val="26"/>
              </w:rPr>
              <w:t xml:space="preserve"> </w:t>
            </w:r>
            <w:r w:rsidRPr="00601A1C">
              <w:rPr>
                <w:rFonts w:ascii="Times New Roman" w:hAnsi="Times New Roman" w:cs="Times New Roman"/>
                <w:b/>
                <w:bCs/>
                <w:sz w:val="26"/>
                <w:szCs w:val="26"/>
              </w:rPr>
              <w:t>định được phản ánh tạo gánh nặng chi phí tuân thủ; chưa có quy định hoặc có quy định của VBQPPL nhưng hạn chế việc đổi mới sáng tạo, phát triển động lực tăng trưởng mới, khơi thông nguồn lực, thúc đẩy tăng trưởng kinh tế và hội nhập quốc tế</w:t>
            </w:r>
          </w:p>
          <w:p w:rsidR="0087597A" w:rsidRPr="00601A1C" w:rsidRDefault="0087597A" w:rsidP="00601A1C">
            <w:pPr>
              <w:jc w:val="both"/>
              <w:rPr>
                <w:color w:val="000000"/>
                <w:sz w:val="25"/>
                <w:szCs w:val="25"/>
              </w:rPr>
            </w:pPr>
          </w:p>
        </w:tc>
      </w:tr>
      <w:tr w:rsidR="00601A1C" w:rsidRPr="00483CB1" w:rsidTr="0087597A">
        <w:tc>
          <w:tcPr>
            <w:tcW w:w="746" w:type="dxa"/>
          </w:tcPr>
          <w:p w:rsidR="00601A1C" w:rsidRPr="00483CB1" w:rsidRDefault="00601A1C" w:rsidP="00601A1C">
            <w:pPr>
              <w:pStyle w:val="ListParagraph"/>
              <w:numPr>
                <w:ilvl w:val="0"/>
                <w:numId w:val="48"/>
              </w:numPr>
              <w:spacing w:after="0" w:line="240" w:lineRule="auto"/>
              <w:jc w:val="center"/>
              <w:rPr>
                <w:rFonts w:ascii="Times New Roman" w:hAnsi="Times New Roman"/>
                <w:sz w:val="25"/>
                <w:szCs w:val="25"/>
              </w:rPr>
            </w:pPr>
          </w:p>
        </w:tc>
        <w:tc>
          <w:tcPr>
            <w:tcW w:w="2657" w:type="dxa"/>
          </w:tcPr>
          <w:p w:rsidR="00601A1C" w:rsidRPr="002C357E" w:rsidRDefault="00601A1C" w:rsidP="00601A1C">
            <w:pPr>
              <w:jc w:val="both"/>
              <w:rPr>
                <w:sz w:val="24"/>
              </w:rPr>
            </w:pPr>
            <w:r w:rsidRPr="002C357E">
              <w:rPr>
                <w:sz w:val="24"/>
              </w:rPr>
              <w:t>Điều 71 Luật Xử lý vi phạm hành chính năm 2012 (sửa đổi, bổ sung năm 2020, năm 2025)</w:t>
            </w:r>
          </w:p>
        </w:tc>
        <w:tc>
          <w:tcPr>
            <w:tcW w:w="3657" w:type="dxa"/>
          </w:tcPr>
          <w:p w:rsidR="00601A1C" w:rsidRPr="002C357E" w:rsidRDefault="00601A1C" w:rsidP="00601A1C">
            <w:pPr>
              <w:jc w:val="both"/>
              <w:rPr>
                <w:sz w:val="24"/>
              </w:rPr>
            </w:pPr>
            <w:r w:rsidRPr="002C357E">
              <w:rPr>
                <w:sz w:val="24"/>
              </w:rPr>
              <w:t>Luật quy định trường hợp chuyển quyết định xử phạt đến cơ quan cùng cấp nơi cá nhân cư trú, tổ chức đóng trụ sở để tổ chức thi hành, nếu nơi cá nhân cư trú, tổ chức đóng trụ sở không có cơ quan cùng cấp thì quyết định xử phạt được chuyển đến Ủy ban nhân dân cấp xã để tổ chức thi hành là chưa hợp lý. Do hiện nay các bộ, ban, ngành đã và đang xây dựng, kết nối, chia sẻ cơ sở dữ liệu về xử lý vi phạm hành chính đến cấp xã nên người dân có thể đến bất kỳ cơ quan, đơn vị cấp xã, không phụ thuộc vào đơn vị hành chính (nơi cư trú, đóng trụ sở) để giải quyết vụ việc.</w:t>
            </w:r>
          </w:p>
        </w:tc>
        <w:tc>
          <w:tcPr>
            <w:tcW w:w="2126" w:type="dxa"/>
          </w:tcPr>
          <w:p w:rsidR="00601A1C" w:rsidRPr="002C357E" w:rsidRDefault="00601A1C" w:rsidP="00601A1C">
            <w:pPr>
              <w:jc w:val="both"/>
              <w:rPr>
                <w:sz w:val="24"/>
              </w:rPr>
            </w:pPr>
            <w:r w:rsidRPr="002C357E">
              <w:rPr>
                <w:sz w:val="24"/>
              </w:rPr>
              <w:t>C. Sửa đổi, bổ sung, thay thế, ban hành mới VBQPPL (theo trình tự, thủ tục rút gọn ban hành VBQPPL của Luật Ban hành VBQPPL).</w:t>
            </w:r>
          </w:p>
        </w:tc>
        <w:tc>
          <w:tcPr>
            <w:tcW w:w="1559" w:type="dxa"/>
          </w:tcPr>
          <w:p w:rsidR="00601A1C" w:rsidRPr="002C357E" w:rsidRDefault="00601A1C" w:rsidP="00601A1C">
            <w:pPr>
              <w:jc w:val="both"/>
              <w:rPr>
                <w:sz w:val="24"/>
              </w:rPr>
            </w:pPr>
            <w:r w:rsidRPr="002C357E">
              <w:rPr>
                <w:sz w:val="24"/>
              </w:rPr>
              <w:t>Bộ Công an</w:t>
            </w:r>
          </w:p>
        </w:tc>
        <w:tc>
          <w:tcPr>
            <w:tcW w:w="2693" w:type="dxa"/>
          </w:tcPr>
          <w:p w:rsidR="00601A1C" w:rsidRPr="002C357E" w:rsidRDefault="00601A1C" w:rsidP="00601A1C">
            <w:pPr>
              <w:jc w:val="both"/>
              <w:rPr>
                <w:sz w:val="24"/>
              </w:rPr>
            </w:pPr>
            <w:r w:rsidRPr="002C357E">
              <w:rPr>
                <w:sz w:val="24"/>
              </w:rPr>
              <w:t xml:space="preserve">Nhất trí với nội dung kiến, nhưng đề nghị sửa đổi, bổ sung theo thủ tục thông thường. Trường hợp nếu các bộ, ban, ngành đã bảo đảm việc xây dựng, kết nối, chia sẻ cơ sở dữ liệu về xử lý vi phạm hành chính đến cấp xã để người dân có thể đến bất kỳ cơ quan, đơn vị cấp xã, không phụ thuộc vào đơn vị hành chính (nơi cư trú, đóng trụ sở) để giải quyết vụ việc thì nhất trí nghiên cứu xử lý vấn đề này phù hợp với thực tiễn, tạo thuận lợi </w:t>
            </w:r>
            <w:r w:rsidRPr="002C357E">
              <w:rPr>
                <w:sz w:val="24"/>
              </w:rPr>
              <w:lastRenderedPageBreak/>
              <w:t>cho người dân. Dự kiến Luật này sẽ được trình Quốc hội thông qua trong năm 2026.</w:t>
            </w:r>
          </w:p>
        </w:tc>
        <w:tc>
          <w:tcPr>
            <w:tcW w:w="2014" w:type="dxa"/>
          </w:tcPr>
          <w:p w:rsidR="00601A1C" w:rsidRDefault="00601A1C" w:rsidP="00601A1C">
            <w:pPr>
              <w:tabs>
                <w:tab w:val="left" w:pos="6513"/>
              </w:tabs>
              <w:jc w:val="both"/>
              <w:rPr>
                <w:color w:val="000000"/>
                <w:sz w:val="25"/>
                <w:szCs w:val="25"/>
              </w:rPr>
            </w:pPr>
            <w:r w:rsidRPr="002C357E">
              <w:rPr>
                <w:color w:val="000000"/>
                <w:sz w:val="24"/>
              </w:rPr>
              <w:lastRenderedPageBreak/>
              <w:t>Hiện nay, Bộ Công an đang tiến hành tổng kết thi hành Luật Xử lý vi phạm hành chính để sửa đổi toàn diện, trình Quốc hội xem xét thông qua trong năm 2026.</w:t>
            </w:r>
            <w:r>
              <w:rPr>
                <w:color w:val="000000"/>
                <w:sz w:val="25"/>
                <w:szCs w:val="25"/>
              </w:rPr>
              <w:t xml:space="preserve"> </w:t>
            </w:r>
          </w:p>
          <w:p w:rsidR="00601A1C" w:rsidRDefault="00601A1C" w:rsidP="00601A1C">
            <w:pPr>
              <w:jc w:val="both"/>
              <w:rPr>
                <w:color w:val="000000"/>
                <w:sz w:val="25"/>
                <w:szCs w:val="25"/>
              </w:rPr>
            </w:pPr>
            <w:r>
              <w:rPr>
                <w:color w:val="000000"/>
                <w:sz w:val="25"/>
                <w:szCs w:val="25"/>
              </w:rPr>
              <w:t>Do đó, đề xuất chuyển phản ánh, kiến nghị đến Bộ Công an.</w:t>
            </w:r>
          </w:p>
          <w:p w:rsidR="00601A1C" w:rsidRPr="00537379" w:rsidRDefault="00601A1C" w:rsidP="00601A1C">
            <w:pPr>
              <w:tabs>
                <w:tab w:val="left" w:pos="6513"/>
              </w:tabs>
              <w:jc w:val="center"/>
              <w:rPr>
                <w:b/>
                <w:sz w:val="26"/>
                <w:szCs w:val="26"/>
              </w:rPr>
            </w:pPr>
            <w:r>
              <w:rPr>
                <w:color w:val="000000"/>
                <w:sz w:val="25"/>
                <w:szCs w:val="25"/>
              </w:rPr>
              <w:t xml:space="preserve"> (</w:t>
            </w:r>
            <w:r w:rsidRPr="00537379">
              <w:rPr>
                <w:b/>
                <w:sz w:val="26"/>
                <w:szCs w:val="26"/>
              </w:rPr>
              <w:t xml:space="preserve">Phụ lục </w:t>
            </w:r>
            <w:r>
              <w:rPr>
                <w:b/>
                <w:sz w:val="26"/>
                <w:szCs w:val="26"/>
              </w:rPr>
              <w:t>I.14.2.B kèm theo Báo cáo số 594/BC-BTP)</w:t>
            </w:r>
          </w:p>
          <w:p w:rsidR="00601A1C" w:rsidRPr="002C357E" w:rsidRDefault="00601A1C" w:rsidP="00601A1C">
            <w:pPr>
              <w:jc w:val="both"/>
              <w:rPr>
                <w:sz w:val="24"/>
              </w:rPr>
            </w:pPr>
          </w:p>
        </w:tc>
      </w:tr>
      <w:tr w:rsidR="00601A1C" w:rsidRPr="00483CB1" w:rsidTr="0087597A">
        <w:tc>
          <w:tcPr>
            <w:tcW w:w="746" w:type="dxa"/>
          </w:tcPr>
          <w:p w:rsidR="00601A1C" w:rsidRPr="00483CB1" w:rsidRDefault="00601A1C" w:rsidP="00601A1C">
            <w:pPr>
              <w:pStyle w:val="ListParagraph"/>
              <w:numPr>
                <w:ilvl w:val="0"/>
                <w:numId w:val="48"/>
              </w:numPr>
              <w:spacing w:after="0" w:line="240" w:lineRule="auto"/>
              <w:jc w:val="center"/>
              <w:rPr>
                <w:rFonts w:ascii="Times New Roman" w:hAnsi="Times New Roman"/>
                <w:sz w:val="25"/>
                <w:szCs w:val="25"/>
              </w:rPr>
            </w:pPr>
          </w:p>
        </w:tc>
        <w:tc>
          <w:tcPr>
            <w:tcW w:w="2657" w:type="dxa"/>
          </w:tcPr>
          <w:p w:rsidR="00601A1C" w:rsidRPr="002C357E" w:rsidRDefault="00601A1C" w:rsidP="00601A1C">
            <w:pPr>
              <w:jc w:val="both"/>
              <w:rPr>
                <w:color w:val="000000"/>
                <w:sz w:val="24"/>
              </w:rPr>
            </w:pPr>
            <w:r w:rsidRPr="002C357E">
              <w:rPr>
                <w:color w:val="000000"/>
                <w:sz w:val="24"/>
              </w:rPr>
              <w:t>Điều 86 Luật Xử lý vi phạm hành chính năm 2012 (sửa đổi, bổ sung năm 2020, năm 2025)</w:t>
            </w:r>
            <w:r w:rsidRPr="002C357E">
              <w:rPr>
                <w:color w:val="000000"/>
                <w:sz w:val="24"/>
              </w:rPr>
              <w:br/>
            </w:r>
          </w:p>
        </w:tc>
        <w:tc>
          <w:tcPr>
            <w:tcW w:w="3657" w:type="dxa"/>
          </w:tcPr>
          <w:p w:rsidR="00601A1C" w:rsidRPr="002C357E" w:rsidRDefault="00601A1C" w:rsidP="00601A1C">
            <w:pPr>
              <w:jc w:val="both"/>
              <w:rPr>
                <w:color w:val="000000"/>
                <w:sz w:val="24"/>
              </w:rPr>
            </w:pPr>
            <w:r w:rsidRPr="002C357E">
              <w:rPr>
                <w:color w:val="000000"/>
                <w:sz w:val="24"/>
              </w:rPr>
              <w:t>Một số biện pháp  cưỡng chế chưa được quy định trong Luật, như: Lao động công ích; tạm ngừng  xuất cảnh; niêm phong trụ sở, địa điểm, cơ sở sản xuất, kinh doanh, dịch vụ;  không được sử dụng một số dịch vụ do ngành Công an cung cấp;… dẫn đến lực  lượng chức năng gặp nhiều khó khăn trong tổ chức thực hiện khi người vi phạm  là lao động tự do không có lương, không có tài khoản ngân hàng hoặc không có  tài sản để kê biên.</w:t>
            </w:r>
          </w:p>
          <w:p w:rsidR="00601A1C" w:rsidRPr="002C357E" w:rsidRDefault="00601A1C" w:rsidP="00601A1C">
            <w:pPr>
              <w:jc w:val="both"/>
              <w:rPr>
                <w:color w:val="000000"/>
                <w:sz w:val="24"/>
              </w:rPr>
            </w:pPr>
            <w:r w:rsidRPr="002C357E">
              <w:rPr>
                <w:color w:val="000000"/>
                <w:sz w:val="24"/>
              </w:rPr>
              <w:br/>
            </w:r>
          </w:p>
        </w:tc>
        <w:tc>
          <w:tcPr>
            <w:tcW w:w="2126" w:type="dxa"/>
          </w:tcPr>
          <w:p w:rsidR="00601A1C" w:rsidRPr="002C357E" w:rsidRDefault="00601A1C" w:rsidP="00601A1C">
            <w:pPr>
              <w:jc w:val="both"/>
              <w:rPr>
                <w:color w:val="000000"/>
                <w:sz w:val="24"/>
              </w:rPr>
            </w:pPr>
            <w:r w:rsidRPr="002C357E">
              <w:rPr>
                <w:color w:val="000000"/>
                <w:sz w:val="24"/>
              </w:rPr>
              <w:t>C. Sửa đổi, bổ sung, thay thế, ban hành mới VBQPPL (theo trình tự, thủ tục rút gọn ban hành VBQPPL của Luật Ban hành VBQPPL)</w:t>
            </w:r>
          </w:p>
        </w:tc>
        <w:tc>
          <w:tcPr>
            <w:tcW w:w="1559" w:type="dxa"/>
          </w:tcPr>
          <w:p w:rsidR="00601A1C" w:rsidRPr="002C357E" w:rsidRDefault="00601A1C" w:rsidP="00601A1C">
            <w:pPr>
              <w:jc w:val="both"/>
              <w:rPr>
                <w:color w:val="000000"/>
                <w:sz w:val="24"/>
              </w:rPr>
            </w:pPr>
            <w:r w:rsidRPr="002C357E">
              <w:rPr>
                <w:color w:val="000000"/>
                <w:sz w:val="24"/>
              </w:rPr>
              <w:t>Bộ Công an</w:t>
            </w:r>
          </w:p>
        </w:tc>
        <w:tc>
          <w:tcPr>
            <w:tcW w:w="2693" w:type="dxa"/>
          </w:tcPr>
          <w:p w:rsidR="00601A1C" w:rsidRPr="002C357E" w:rsidRDefault="00601A1C" w:rsidP="00601A1C">
            <w:pPr>
              <w:jc w:val="both"/>
              <w:rPr>
                <w:color w:val="000000"/>
                <w:sz w:val="24"/>
              </w:rPr>
            </w:pPr>
            <w:r w:rsidRPr="002C357E">
              <w:rPr>
                <w:color w:val="000000"/>
                <w:sz w:val="24"/>
              </w:rPr>
              <w:t xml:space="preserve">Nhất trí kiến nghị này nhưng cần nghiên cứu kỹ lưỡng và đánh giá tác động về vấn đề này, cần đảm bảo thận trọng trong đề xuất quy định. Bước đầu nhận thấy, một số biện pháp được đề xuất như lao động công ích đã được đề cập rất nhiều nhưng vấn đề này liên quan đến lao động cưỡng bức theo Điều ước quốc tế mà Việt Nam là thành viên, việc áp dụng biện pháp này phải do Toà án thực hiện mà không do cơ quan hành chính áp dụng. Đề nghị sửa đổi, bổ sung theo trình tự, thủ tục thông thường. Lý do: Luật Xử lý vi phạm hành chính sẽ được sửa đổi toàn diện, trình Quốc hội trong năm 2026. Đây là văn bản pháp lý quan trọng có ảnh hưởng sâu rộng và tác động trực tiếp đến quyền, nghĩa vụ của người dân, doanh nghiệp; </w:t>
            </w:r>
            <w:r w:rsidRPr="002C357E">
              <w:rPr>
                <w:color w:val="000000"/>
                <w:sz w:val="24"/>
              </w:rPr>
              <w:lastRenderedPageBreak/>
              <w:t>các quy định có tính chất là chế tại hạn chế một số quyền của người dân. Do vậy, cần đánh giá kỹ lưỡng, toàn diện đối với các nội dung được sửa đổi để bảo đảm quyền và lợi ích hợp pháp của người dân.</w:t>
            </w:r>
          </w:p>
        </w:tc>
        <w:tc>
          <w:tcPr>
            <w:tcW w:w="2014" w:type="dxa"/>
          </w:tcPr>
          <w:p w:rsidR="00601A1C" w:rsidRDefault="00601A1C" w:rsidP="00601A1C">
            <w:pPr>
              <w:tabs>
                <w:tab w:val="left" w:pos="6513"/>
              </w:tabs>
              <w:jc w:val="both"/>
              <w:rPr>
                <w:color w:val="000000"/>
                <w:sz w:val="25"/>
                <w:szCs w:val="25"/>
              </w:rPr>
            </w:pPr>
            <w:r w:rsidRPr="002C357E">
              <w:rPr>
                <w:color w:val="000000"/>
                <w:sz w:val="24"/>
              </w:rPr>
              <w:lastRenderedPageBreak/>
              <w:t>Hiện nay, Bộ Công an đang tiến hành tổng kết thi hành Luật Xử lý vi phạm hành chính để sửa đổi toàn diện, trình Quốc hội xem xét thông qua trong năm 2026.</w:t>
            </w:r>
            <w:r>
              <w:rPr>
                <w:color w:val="000000"/>
                <w:sz w:val="25"/>
                <w:szCs w:val="25"/>
              </w:rPr>
              <w:t xml:space="preserve"> </w:t>
            </w:r>
          </w:p>
          <w:p w:rsidR="00601A1C" w:rsidRDefault="00601A1C" w:rsidP="00601A1C">
            <w:pPr>
              <w:jc w:val="both"/>
              <w:rPr>
                <w:color w:val="000000"/>
                <w:sz w:val="25"/>
                <w:szCs w:val="25"/>
              </w:rPr>
            </w:pPr>
            <w:r>
              <w:rPr>
                <w:color w:val="000000"/>
                <w:sz w:val="25"/>
                <w:szCs w:val="25"/>
              </w:rPr>
              <w:t>Do đó, đề xuất chuyển phản ánh, kiến nghị đến Bộ Công an.</w:t>
            </w:r>
          </w:p>
          <w:p w:rsidR="00601A1C" w:rsidRDefault="00601A1C" w:rsidP="00601A1C">
            <w:pPr>
              <w:tabs>
                <w:tab w:val="left" w:pos="6513"/>
              </w:tabs>
              <w:jc w:val="both"/>
              <w:rPr>
                <w:color w:val="000000"/>
                <w:sz w:val="25"/>
                <w:szCs w:val="25"/>
              </w:rPr>
            </w:pPr>
          </w:p>
          <w:p w:rsidR="00601A1C" w:rsidRPr="00537379" w:rsidRDefault="00601A1C" w:rsidP="00601A1C">
            <w:pPr>
              <w:tabs>
                <w:tab w:val="left" w:pos="6513"/>
              </w:tabs>
              <w:jc w:val="center"/>
              <w:rPr>
                <w:b/>
                <w:sz w:val="26"/>
                <w:szCs w:val="26"/>
              </w:rPr>
            </w:pPr>
            <w:r>
              <w:rPr>
                <w:color w:val="000000"/>
                <w:sz w:val="25"/>
                <w:szCs w:val="25"/>
              </w:rPr>
              <w:t>(</w:t>
            </w:r>
            <w:r w:rsidRPr="00537379">
              <w:rPr>
                <w:b/>
                <w:sz w:val="26"/>
                <w:szCs w:val="26"/>
              </w:rPr>
              <w:t xml:space="preserve">Phụ lục </w:t>
            </w:r>
            <w:r>
              <w:rPr>
                <w:b/>
                <w:sz w:val="26"/>
                <w:szCs w:val="26"/>
              </w:rPr>
              <w:t>I.14.2.B kèm theo Báo cáo số 594/BC-BTP)</w:t>
            </w:r>
          </w:p>
          <w:p w:rsidR="00601A1C" w:rsidRPr="002C357E" w:rsidRDefault="00601A1C" w:rsidP="00601A1C">
            <w:pPr>
              <w:jc w:val="both"/>
              <w:rPr>
                <w:color w:val="000000"/>
                <w:sz w:val="24"/>
              </w:rPr>
            </w:pPr>
          </w:p>
        </w:tc>
      </w:tr>
    </w:tbl>
    <w:p w:rsidR="0087597A" w:rsidRDefault="0087597A" w:rsidP="004D5DF6">
      <w:pPr>
        <w:pStyle w:val="NormalWeb"/>
        <w:spacing w:before="0" w:beforeAutospacing="0"/>
        <w:rPr>
          <w:rFonts w:ascii="Times New Roman" w:hAnsi="Times New Roman" w:cs="Times New Roman"/>
          <w:color w:val="000000"/>
          <w:sz w:val="26"/>
          <w:szCs w:val="26"/>
        </w:rPr>
      </w:pPr>
    </w:p>
    <w:p w:rsidR="0087597A" w:rsidRDefault="0087597A" w:rsidP="004D5DF6">
      <w:pPr>
        <w:pStyle w:val="NormalWeb"/>
        <w:spacing w:before="0" w:beforeAutospacing="0"/>
        <w:rPr>
          <w:rFonts w:ascii="Times New Roman" w:hAnsi="Times New Roman" w:cs="Times New Roman"/>
          <w:color w:val="000000"/>
          <w:sz w:val="26"/>
          <w:szCs w:val="26"/>
        </w:rPr>
      </w:pPr>
    </w:p>
    <w:p w:rsidR="004D5DF6" w:rsidRDefault="0087597A" w:rsidP="004D5DF6">
      <w:pPr>
        <w:pStyle w:val="NormalWeb"/>
        <w:spacing w:before="0" w:beforeAutospacing="0"/>
        <w:rPr>
          <w:rFonts w:ascii="Times New Roman" w:hAnsi="Times New Roman" w:cs="Times New Roman"/>
          <w:color w:val="000000"/>
          <w:sz w:val="26"/>
          <w:szCs w:val="26"/>
        </w:rPr>
      </w:pPr>
      <w:r>
        <w:rPr>
          <w:rFonts w:ascii="Times New Roman" w:hAnsi="Times New Roman" w:cs="Times New Roman"/>
          <w:color w:val="000000"/>
          <w:sz w:val="26"/>
          <w:szCs w:val="26"/>
        </w:rPr>
        <w:br w:type="textWrapping" w:clear="all"/>
      </w:r>
    </w:p>
    <w:p w:rsidR="004D5DF6" w:rsidRDefault="004D5DF6" w:rsidP="004D5DF6">
      <w:pPr>
        <w:pStyle w:val="NormalWeb"/>
        <w:spacing w:before="0" w:beforeAutospacing="0"/>
        <w:rPr>
          <w:rFonts w:ascii="Times New Roman" w:hAnsi="Times New Roman" w:cs="Times New Roman"/>
          <w:color w:val="000000"/>
          <w:sz w:val="26"/>
          <w:szCs w:val="26"/>
        </w:rPr>
      </w:pPr>
    </w:p>
    <w:p w:rsidR="007C3DA9" w:rsidRPr="00A1774F" w:rsidRDefault="007C3DA9" w:rsidP="004D5DF6">
      <w:pPr>
        <w:pStyle w:val="NormalWeb"/>
        <w:spacing w:before="0" w:beforeAutospacing="0"/>
        <w:rPr>
          <w:rFonts w:ascii="Times New Roman" w:hAnsi="Times New Roman" w:cs="Times New Roman"/>
          <w:color w:val="000000"/>
          <w:sz w:val="26"/>
          <w:szCs w:val="26"/>
        </w:rPr>
      </w:pPr>
    </w:p>
    <w:sectPr w:rsidR="007C3DA9" w:rsidRPr="00A1774F" w:rsidSect="00A272F3">
      <w:headerReference w:type="default" r:id="rId11"/>
      <w:footerReference w:type="even" r:id="rId12"/>
      <w:footerReference w:type="default" r:id="rId13"/>
      <w:pgSz w:w="16840" w:h="11907" w:orient="landscape" w:code="9"/>
      <w:pgMar w:top="709" w:right="1134" w:bottom="709"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02C" w:rsidRDefault="00F6202C">
      <w:r>
        <w:separator/>
      </w:r>
    </w:p>
  </w:endnote>
  <w:endnote w:type="continuationSeparator" w:id="0">
    <w:p w:rsidR="00F6202C" w:rsidRDefault="00F6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526" w:rsidRDefault="002A5526" w:rsidP="00A41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4E0">
      <w:rPr>
        <w:rStyle w:val="PageNumber"/>
        <w:noProof/>
      </w:rPr>
      <w:t>2</w:t>
    </w:r>
    <w:r>
      <w:rPr>
        <w:rStyle w:val="PageNumber"/>
      </w:rPr>
      <w:fldChar w:fldCharType="end"/>
    </w:r>
  </w:p>
  <w:p w:rsidR="002A5526" w:rsidRDefault="002A5526" w:rsidP="00A4117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526" w:rsidRDefault="002A5526" w:rsidP="00A4117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02C" w:rsidRDefault="00F6202C">
      <w:r>
        <w:separator/>
      </w:r>
    </w:p>
  </w:footnote>
  <w:footnote w:type="continuationSeparator" w:id="0">
    <w:p w:rsidR="00F6202C" w:rsidRDefault="00F620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D98" w:rsidRDefault="000A6D98">
    <w:pPr>
      <w:pStyle w:val="Header"/>
      <w:jc w:val="center"/>
    </w:pPr>
    <w:r>
      <w:fldChar w:fldCharType="begin"/>
    </w:r>
    <w:r>
      <w:instrText xml:space="preserve"> PAGE   \* MERGEFORMAT </w:instrText>
    </w:r>
    <w:r>
      <w:fldChar w:fldCharType="separate"/>
    </w:r>
    <w:r w:rsidR="001074BE">
      <w:rPr>
        <w:noProof/>
      </w:rPr>
      <w:t>6</w:t>
    </w:r>
    <w:r>
      <w:rPr>
        <w:noProof/>
      </w:rPr>
      <w:fldChar w:fldCharType="end"/>
    </w:r>
  </w:p>
  <w:p w:rsidR="009724E0" w:rsidRDefault="009724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F9F"/>
    <w:multiLevelType w:val="multilevel"/>
    <w:tmpl w:val="D7E2B896"/>
    <w:lvl w:ilvl="0">
      <w:start w:val="1"/>
      <w:numFmt w:val="decimal"/>
      <w:lvlText w:val="%1."/>
      <w:lvlJc w:val="left"/>
      <w:pPr>
        <w:ind w:left="502"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E5375C"/>
    <w:multiLevelType w:val="hybridMultilevel"/>
    <w:tmpl w:val="1846951A"/>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144EE8"/>
    <w:multiLevelType w:val="hybridMultilevel"/>
    <w:tmpl w:val="9BAEEC5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6394B"/>
    <w:multiLevelType w:val="multilevel"/>
    <w:tmpl w:val="657013D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E2035D"/>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7A11DB"/>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8B3B48"/>
    <w:multiLevelType w:val="multilevel"/>
    <w:tmpl w:val="D6EE0A6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411669"/>
    <w:multiLevelType w:val="hybridMultilevel"/>
    <w:tmpl w:val="E4947F8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D02421"/>
    <w:multiLevelType w:val="multilevel"/>
    <w:tmpl w:val="9B7A1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CA6D62"/>
    <w:multiLevelType w:val="hybridMultilevel"/>
    <w:tmpl w:val="12DA7722"/>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8121B8"/>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BDB5A18"/>
    <w:multiLevelType w:val="hybridMultilevel"/>
    <w:tmpl w:val="223A971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F65E35"/>
    <w:multiLevelType w:val="hybridMultilevel"/>
    <w:tmpl w:val="CFE8798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CA7592"/>
    <w:multiLevelType w:val="multilevel"/>
    <w:tmpl w:val="6660FADA"/>
    <w:lvl w:ilvl="0">
      <w:start w:val="1"/>
      <w:numFmt w:val="decimal"/>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4" w15:restartNumberingAfterBreak="0">
    <w:nsid w:val="20384CE5"/>
    <w:multiLevelType w:val="hybridMultilevel"/>
    <w:tmpl w:val="6B562C2C"/>
    <w:lvl w:ilvl="0" w:tplc="4E5A38EC">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DF242F"/>
    <w:multiLevelType w:val="hybridMultilevel"/>
    <w:tmpl w:val="ABD20D8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8E6367"/>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5FF5226"/>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BE76DD4"/>
    <w:multiLevelType w:val="hybridMultilevel"/>
    <w:tmpl w:val="7894425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6C13E8"/>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79872A0"/>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8EA3A90"/>
    <w:multiLevelType w:val="hybridMultilevel"/>
    <w:tmpl w:val="D6EE0A6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2033F4"/>
    <w:multiLevelType w:val="hybridMultilevel"/>
    <w:tmpl w:val="CFC40E0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EE46AE"/>
    <w:multiLevelType w:val="hybridMultilevel"/>
    <w:tmpl w:val="657013D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3D2440"/>
    <w:multiLevelType w:val="hybridMultilevel"/>
    <w:tmpl w:val="C2BACA6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DA25A8"/>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6F0B2F"/>
    <w:multiLevelType w:val="hybridMultilevel"/>
    <w:tmpl w:val="905EDDF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D24AC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977ACD"/>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B39122A"/>
    <w:multiLevelType w:val="hybridMultilevel"/>
    <w:tmpl w:val="1D0CD12E"/>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B752B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ED15A7"/>
    <w:multiLevelType w:val="hybridMultilevel"/>
    <w:tmpl w:val="AAB8DA8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5E0145"/>
    <w:multiLevelType w:val="hybridMultilevel"/>
    <w:tmpl w:val="C74E7C62"/>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023917"/>
    <w:multiLevelType w:val="hybridMultilevel"/>
    <w:tmpl w:val="AC804A3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986BF6"/>
    <w:multiLevelType w:val="hybridMultilevel"/>
    <w:tmpl w:val="FEA81D18"/>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F96D6B"/>
    <w:multiLevelType w:val="hybridMultilevel"/>
    <w:tmpl w:val="CC8A56E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4C511F"/>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3D2947"/>
    <w:multiLevelType w:val="hybridMultilevel"/>
    <w:tmpl w:val="9DBCACE8"/>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BE0B2A"/>
    <w:multiLevelType w:val="multilevel"/>
    <w:tmpl w:val="F0E07D7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D022432"/>
    <w:multiLevelType w:val="hybridMultilevel"/>
    <w:tmpl w:val="97B0E4E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1214FD"/>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FA3EAE"/>
    <w:multiLevelType w:val="hybridMultilevel"/>
    <w:tmpl w:val="D1E85E7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807F0B"/>
    <w:multiLevelType w:val="hybridMultilevel"/>
    <w:tmpl w:val="48AC7DD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A4D3010"/>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AD354FC"/>
    <w:multiLevelType w:val="hybridMultilevel"/>
    <w:tmpl w:val="122EB4D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1B38AA"/>
    <w:multiLevelType w:val="hybridMultilevel"/>
    <w:tmpl w:val="1EC4B97A"/>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E56F3F"/>
    <w:multiLevelType w:val="multilevel"/>
    <w:tmpl w:val="D6EE0A6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FFE15E5"/>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1"/>
  </w:num>
  <w:num w:numId="3">
    <w:abstractNumId w:val="15"/>
  </w:num>
  <w:num w:numId="4">
    <w:abstractNumId w:val="26"/>
  </w:num>
  <w:num w:numId="5">
    <w:abstractNumId w:val="2"/>
  </w:num>
  <w:num w:numId="6">
    <w:abstractNumId w:val="24"/>
  </w:num>
  <w:num w:numId="7">
    <w:abstractNumId w:val="12"/>
  </w:num>
  <w:num w:numId="8">
    <w:abstractNumId w:val="33"/>
  </w:num>
  <w:num w:numId="9">
    <w:abstractNumId w:val="11"/>
  </w:num>
  <w:num w:numId="10">
    <w:abstractNumId w:val="45"/>
  </w:num>
  <w:num w:numId="11">
    <w:abstractNumId w:val="34"/>
  </w:num>
  <w:num w:numId="12">
    <w:abstractNumId w:val="7"/>
  </w:num>
  <w:num w:numId="13">
    <w:abstractNumId w:val="21"/>
  </w:num>
  <w:num w:numId="14">
    <w:abstractNumId w:val="44"/>
  </w:num>
  <w:num w:numId="15">
    <w:abstractNumId w:val="41"/>
  </w:num>
  <w:num w:numId="16">
    <w:abstractNumId w:val="39"/>
  </w:num>
  <w:num w:numId="17">
    <w:abstractNumId w:val="9"/>
  </w:num>
  <w:num w:numId="18">
    <w:abstractNumId w:val="18"/>
  </w:num>
  <w:num w:numId="19">
    <w:abstractNumId w:val="22"/>
  </w:num>
  <w:num w:numId="20">
    <w:abstractNumId w:val="35"/>
  </w:num>
  <w:num w:numId="21">
    <w:abstractNumId w:val="42"/>
  </w:num>
  <w:num w:numId="22">
    <w:abstractNumId w:val="29"/>
  </w:num>
  <w:num w:numId="23">
    <w:abstractNumId w:val="32"/>
  </w:num>
  <w:num w:numId="24">
    <w:abstractNumId w:val="31"/>
  </w:num>
  <w:num w:numId="25">
    <w:abstractNumId w:val="23"/>
  </w:num>
  <w:num w:numId="26">
    <w:abstractNumId w:val="46"/>
  </w:num>
  <w:num w:numId="27">
    <w:abstractNumId w:val="6"/>
  </w:num>
  <w:num w:numId="28">
    <w:abstractNumId w:val="37"/>
  </w:num>
  <w:num w:numId="29">
    <w:abstractNumId w:val="3"/>
  </w:num>
  <w:num w:numId="30">
    <w:abstractNumId w:val="14"/>
  </w:num>
  <w:num w:numId="31">
    <w:abstractNumId w:val="4"/>
  </w:num>
  <w:num w:numId="32">
    <w:abstractNumId w:val="5"/>
  </w:num>
  <w:num w:numId="33">
    <w:abstractNumId w:val="47"/>
  </w:num>
  <w:num w:numId="34">
    <w:abstractNumId w:val="36"/>
  </w:num>
  <w:num w:numId="35">
    <w:abstractNumId w:val="25"/>
  </w:num>
  <w:num w:numId="36">
    <w:abstractNumId w:val="30"/>
  </w:num>
  <w:num w:numId="37">
    <w:abstractNumId w:val="40"/>
  </w:num>
  <w:num w:numId="38">
    <w:abstractNumId w:val="43"/>
  </w:num>
  <w:num w:numId="39">
    <w:abstractNumId w:val="28"/>
  </w:num>
  <w:num w:numId="40">
    <w:abstractNumId w:val="19"/>
  </w:num>
  <w:num w:numId="41">
    <w:abstractNumId w:val="10"/>
  </w:num>
  <w:num w:numId="42">
    <w:abstractNumId w:val="16"/>
  </w:num>
  <w:num w:numId="43">
    <w:abstractNumId w:val="17"/>
  </w:num>
  <w:num w:numId="44">
    <w:abstractNumId w:val="38"/>
  </w:num>
  <w:num w:numId="45">
    <w:abstractNumId w:val="13"/>
  </w:num>
  <w:num w:numId="46">
    <w:abstractNumId w:val="8"/>
  </w:num>
  <w:num w:numId="47">
    <w:abstractNumId w:val="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FF"/>
    <w:rsid w:val="00030CBD"/>
    <w:rsid w:val="00032670"/>
    <w:rsid w:val="00043E20"/>
    <w:rsid w:val="0005162D"/>
    <w:rsid w:val="00064477"/>
    <w:rsid w:val="0006737E"/>
    <w:rsid w:val="00075A46"/>
    <w:rsid w:val="00077BBD"/>
    <w:rsid w:val="00080C73"/>
    <w:rsid w:val="00082ACD"/>
    <w:rsid w:val="00090B40"/>
    <w:rsid w:val="000A6D98"/>
    <w:rsid w:val="000B62E7"/>
    <w:rsid w:val="000B7682"/>
    <w:rsid w:val="000C1D7E"/>
    <w:rsid w:val="000C3AF7"/>
    <w:rsid w:val="000D0B88"/>
    <w:rsid w:val="000D22E8"/>
    <w:rsid w:val="000D4C62"/>
    <w:rsid w:val="000D5CF3"/>
    <w:rsid w:val="000E0D76"/>
    <w:rsid w:val="000E10D4"/>
    <w:rsid w:val="000E5398"/>
    <w:rsid w:val="000F5B00"/>
    <w:rsid w:val="001023B4"/>
    <w:rsid w:val="001074BE"/>
    <w:rsid w:val="001108E3"/>
    <w:rsid w:val="00114B96"/>
    <w:rsid w:val="00120ACC"/>
    <w:rsid w:val="001214BD"/>
    <w:rsid w:val="00145298"/>
    <w:rsid w:val="0016718F"/>
    <w:rsid w:val="0017631B"/>
    <w:rsid w:val="001847B2"/>
    <w:rsid w:val="00195487"/>
    <w:rsid w:val="001A0B13"/>
    <w:rsid w:val="001D04A9"/>
    <w:rsid w:val="001E49CB"/>
    <w:rsid w:val="001E7C61"/>
    <w:rsid w:val="00202B9B"/>
    <w:rsid w:val="0022263A"/>
    <w:rsid w:val="00222999"/>
    <w:rsid w:val="00234876"/>
    <w:rsid w:val="00241B33"/>
    <w:rsid w:val="00243B40"/>
    <w:rsid w:val="00284507"/>
    <w:rsid w:val="00284977"/>
    <w:rsid w:val="0028539C"/>
    <w:rsid w:val="002875DF"/>
    <w:rsid w:val="00290A0C"/>
    <w:rsid w:val="00290EEF"/>
    <w:rsid w:val="0029723C"/>
    <w:rsid w:val="002A0247"/>
    <w:rsid w:val="002A5526"/>
    <w:rsid w:val="002B2E23"/>
    <w:rsid w:val="002B31C0"/>
    <w:rsid w:val="002B51C4"/>
    <w:rsid w:val="002C2B91"/>
    <w:rsid w:val="002F03DE"/>
    <w:rsid w:val="00310967"/>
    <w:rsid w:val="00311765"/>
    <w:rsid w:val="003163FF"/>
    <w:rsid w:val="00323279"/>
    <w:rsid w:val="00334B98"/>
    <w:rsid w:val="00340EAF"/>
    <w:rsid w:val="00341EAD"/>
    <w:rsid w:val="0034467E"/>
    <w:rsid w:val="00345CD9"/>
    <w:rsid w:val="00350F98"/>
    <w:rsid w:val="00351162"/>
    <w:rsid w:val="0036350C"/>
    <w:rsid w:val="003826A9"/>
    <w:rsid w:val="00383157"/>
    <w:rsid w:val="00396563"/>
    <w:rsid w:val="003A1D44"/>
    <w:rsid w:val="003A556C"/>
    <w:rsid w:val="003B372C"/>
    <w:rsid w:val="003B682C"/>
    <w:rsid w:val="003D56F1"/>
    <w:rsid w:val="003E2FBC"/>
    <w:rsid w:val="003F5F13"/>
    <w:rsid w:val="0040121A"/>
    <w:rsid w:val="00402BBC"/>
    <w:rsid w:val="00410DFF"/>
    <w:rsid w:val="004142EE"/>
    <w:rsid w:val="0043115A"/>
    <w:rsid w:val="00435C7E"/>
    <w:rsid w:val="0046349B"/>
    <w:rsid w:val="00464269"/>
    <w:rsid w:val="00475B46"/>
    <w:rsid w:val="0048732B"/>
    <w:rsid w:val="0049017A"/>
    <w:rsid w:val="004A181E"/>
    <w:rsid w:val="004B00D7"/>
    <w:rsid w:val="004B459E"/>
    <w:rsid w:val="004D5DF6"/>
    <w:rsid w:val="004E15E0"/>
    <w:rsid w:val="004E2423"/>
    <w:rsid w:val="004E6AEB"/>
    <w:rsid w:val="004F198A"/>
    <w:rsid w:val="004F59D0"/>
    <w:rsid w:val="0051413A"/>
    <w:rsid w:val="005178A3"/>
    <w:rsid w:val="00521C7B"/>
    <w:rsid w:val="0052462A"/>
    <w:rsid w:val="00526756"/>
    <w:rsid w:val="005276FE"/>
    <w:rsid w:val="005277A9"/>
    <w:rsid w:val="00536020"/>
    <w:rsid w:val="00537858"/>
    <w:rsid w:val="00556455"/>
    <w:rsid w:val="00563E5A"/>
    <w:rsid w:val="005654CC"/>
    <w:rsid w:val="005728E0"/>
    <w:rsid w:val="00574042"/>
    <w:rsid w:val="0058148A"/>
    <w:rsid w:val="005A1D59"/>
    <w:rsid w:val="005A3F38"/>
    <w:rsid w:val="005B635E"/>
    <w:rsid w:val="005C12D2"/>
    <w:rsid w:val="005C3232"/>
    <w:rsid w:val="005C4315"/>
    <w:rsid w:val="00601A1C"/>
    <w:rsid w:val="00602DEA"/>
    <w:rsid w:val="0060767E"/>
    <w:rsid w:val="0061356D"/>
    <w:rsid w:val="0061783E"/>
    <w:rsid w:val="00624D03"/>
    <w:rsid w:val="00630014"/>
    <w:rsid w:val="006304A9"/>
    <w:rsid w:val="00635858"/>
    <w:rsid w:val="00635A3B"/>
    <w:rsid w:val="006414A3"/>
    <w:rsid w:val="0064471B"/>
    <w:rsid w:val="00660E8D"/>
    <w:rsid w:val="006664E8"/>
    <w:rsid w:val="00677662"/>
    <w:rsid w:val="006865C4"/>
    <w:rsid w:val="00697BAD"/>
    <w:rsid w:val="006A1388"/>
    <w:rsid w:val="006A7A69"/>
    <w:rsid w:val="006B73D3"/>
    <w:rsid w:val="006D0D9D"/>
    <w:rsid w:val="006E1B2A"/>
    <w:rsid w:val="006F5014"/>
    <w:rsid w:val="006F504A"/>
    <w:rsid w:val="00700295"/>
    <w:rsid w:val="00717B2A"/>
    <w:rsid w:val="00722BC9"/>
    <w:rsid w:val="00723893"/>
    <w:rsid w:val="007245F9"/>
    <w:rsid w:val="00726279"/>
    <w:rsid w:val="00726717"/>
    <w:rsid w:val="007267E3"/>
    <w:rsid w:val="007275FD"/>
    <w:rsid w:val="00727D62"/>
    <w:rsid w:val="00731F31"/>
    <w:rsid w:val="00732BCD"/>
    <w:rsid w:val="00751A36"/>
    <w:rsid w:val="0075292C"/>
    <w:rsid w:val="007575D8"/>
    <w:rsid w:val="007646E8"/>
    <w:rsid w:val="00776B6C"/>
    <w:rsid w:val="00794F8C"/>
    <w:rsid w:val="00796487"/>
    <w:rsid w:val="00796EC8"/>
    <w:rsid w:val="007978FA"/>
    <w:rsid w:val="007A1657"/>
    <w:rsid w:val="007A21EC"/>
    <w:rsid w:val="007C06E2"/>
    <w:rsid w:val="007C3DA9"/>
    <w:rsid w:val="007C476B"/>
    <w:rsid w:val="007C578E"/>
    <w:rsid w:val="007C6540"/>
    <w:rsid w:val="007D5728"/>
    <w:rsid w:val="007E28E4"/>
    <w:rsid w:val="007F61E9"/>
    <w:rsid w:val="007F7F9E"/>
    <w:rsid w:val="008065C4"/>
    <w:rsid w:val="00807696"/>
    <w:rsid w:val="008141DF"/>
    <w:rsid w:val="00831492"/>
    <w:rsid w:val="008322C5"/>
    <w:rsid w:val="0083501F"/>
    <w:rsid w:val="00837C8F"/>
    <w:rsid w:val="00845CC9"/>
    <w:rsid w:val="0085550D"/>
    <w:rsid w:val="00857ADA"/>
    <w:rsid w:val="00857D94"/>
    <w:rsid w:val="00870B1A"/>
    <w:rsid w:val="0087597A"/>
    <w:rsid w:val="00876E6F"/>
    <w:rsid w:val="008837CF"/>
    <w:rsid w:val="00885B3B"/>
    <w:rsid w:val="00887322"/>
    <w:rsid w:val="008940CD"/>
    <w:rsid w:val="008A066A"/>
    <w:rsid w:val="008A08C0"/>
    <w:rsid w:val="008A54CC"/>
    <w:rsid w:val="008A7AE0"/>
    <w:rsid w:val="008D02D6"/>
    <w:rsid w:val="008D2A73"/>
    <w:rsid w:val="008E097C"/>
    <w:rsid w:val="008F5984"/>
    <w:rsid w:val="0091385E"/>
    <w:rsid w:val="00917142"/>
    <w:rsid w:val="00931955"/>
    <w:rsid w:val="009502F5"/>
    <w:rsid w:val="00952102"/>
    <w:rsid w:val="00953B96"/>
    <w:rsid w:val="009565F5"/>
    <w:rsid w:val="00963240"/>
    <w:rsid w:val="0097008E"/>
    <w:rsid w:val="00971124"/>
    <w:rsid w:val="009724E0"/>
    <w:rsid w:val="0098727C"/>
    <w:rsid w:val="009919DF"/>
    <w:rsid w:val="0099243E"/>
    <w:rsid w:val="009961FC"/>
    <w:rsid w:val="009A075C"/>
    <w:rsid w:val="009C5457"/>
    <w:rsid w:val="009C5C89"/>
    <w:rsid w:val="009F33C8"/>
    <w:rsid w:val="00A1774F"/>
    <w:rsid w:val="00A209AE"/>
    <w:rsid w:val="00A2572A"/>
    <w:rsid w:val="00A272F3"/>
    <w:rsid w:val="00A40898"/>
    <w:rsid w:val="00A4117A"/>
    <w:rsid w:val="00A52B8C"/>
    <w:rsid w:val="00A573FF"/>
    <w:rsid w:val="00A62554"/>
    <w:rsid w:val="00A6405E"/>
    <w:rsid w:val="00A653FA"/>
    <w:rsid w:val="00A67C89"/>
    <w:rsid w:val="00A838E3"/>
    <w:rsid w:val="00A83AE5"/>
    <w:rsid w:val="00AA4D2E"/>
    <w:rsid w:val="00AB2D76"/>
    <w:rsid w:val="00AB3A64"/>
    <w:rsid w:val="00AC305F"/>
    <w:rsid w:val="00AC7036"/>
    <w:rsid w:val="00AD5653"/>
    <w:rsid w:val="00AD65F4"/>
    <w:rsid w:val="00AE4A09"/>
    <w:rsid w:val="00AE5301"/>
    <w:rsid w:val="00AF4860"/>
    <w:rsid w:val="00B00B7D"/>
    <w:rsid w:val="00B07EA3"/>
    <w:rsid w:val="00B07F36"/>
    <w:rsid w:val="00B13E2A"/>
    <w:rsid w:val="00B279E8"/>
    <w:rsid w:val="00B30DA1"/>
    <w:rsid w:val="00B334F2"/>
    <w:rsid w:val="00B46E13"/>
    <w:rsid w:val="00B50D36"/>
    <w:rsid w:val="00B52ACC"/>
    <w:rsid w:val="00B6566A"/>
    <w:rsid w:val="00B65EB4"/>
    <w:rsid w:val="00B70D08"/>
    <w:rsid w:val="00B7191B"/>
    <w:rsid w:val="00B73792"/>
    <w:rsid w:val="00BA0C57"/>
    <w:rsid w:val="00BA25BB"/>
    <w:rsid w:val="00BA3CE3"/>
    <w:rsid w:val="00BB4C81"/>
    <w:rsid w:val="00BB62E1"/>
    <w:rsid w:val="00BC76AF"/>
    <w:rsid w:val="00BD249A"/>
    <w:rsid w:val="00BD478F"/>
    <w:rsid w:val="00BD4D7C"/>
    <w:rsid w:val="00BD55C3"/>
    <w:rsid w:val="00BD68F4"/>
    <w:rsid w:val="00BE0136"/>
    <w:rsid w:val="00BF5346"/>
    <w:rsid w:val="00C01A2D"/>
    <w:rsid w:val="00C204A7"/>
    <w:rsid w:val="00C348AF"/>
    <w:rsid w:val="00C41B03"/>
    <w:rsid w:val="00C45BA7"/>
    <w:rsid w:val="00C5352D"/>
    <w:rsid w:val="00C61D01"/>
    <w:rsid w:val="00C71AC9"/>
    <w:rsid w:val="00C80089"/>
    <w:rsid w:val="00C81FE2"/>
    <w:rsid w:val="00CB76C2"/>
    <w:rsid w:val="00CC410B"/>
    <w:rsid w:val="00CD63AA"/>
    <w:rsid w:val="00CF168A"/>
    <w:rsid w:val="00CF3242"/>
    <w:rsid w:val="00D012D9"/>
    <w:rsid w:val="00D020B8"/>
    <w:rsid w:val="00D11657"/>
    <w:rsid w:val="00D3459B"/>
    <w:rsid w:val="00D37621"/>
    <w:rsid w:val="00D5243F"/>
    <w:rsid w:val="00D70CD4"/>
    <w:rsid w:val="00D71111"/>
    <w:rsid w:val="00D73181"/>
    <w:rsid w:val="00D866B3"/>
    <w:rsid w:val="00D91610"/>
    <w:rsid w:val="00D91EF4"/>
    <w:rsid w:val="00D94BDB"/>
    <w:rsid w:val="00D97F67"/>
    <w:rsid w:val="00DC3DBA"/>
    <w:rsid w:val="00DD7020"/>
    <w:rsid w:val="00DE4876"/>
    <w:rsid w:val="00DE5969"/>
    <w:rsid w:val="00DE611C"/>
    <w:rsid w:val="00DE63F5"/>
    <w:rsid w:val="00E27AF8"/>
    <w:rsid w:val="00E318EC"/>
    <w:rsid w:val="00E3770A"/>
    <w:rsid w:val="00E51D2B"/>
    <w:rsid w:val="00E530DB"/>
    <w:rsid w:val="00E603AE"/>
    <w:rsid w:val="00E6257C"/>
    <w:rsid w:val="00E6730C"/>
    <w:rsid w:val="00E74583"/>
    <w:rsid w:val="00E77D3C"/>
    <w:rsid w:val="00E91AC2"/>
    <w:rsid w:val="00ED2656"/>
    <w:rsid w:val="00EE0C94"/>
    <w:rsid w:val="00EE5376"/>
    <w:rsid w:val="00EE5E41"/>
    <w:rsid w:val="00F041E6"/>
    <w:rsid w:val="00F06783"/>
    <w:rsid w:val="00F1216D"/>
    <w:rsid w:val="00F36D13"/>
    <w:rsid w:val="00F42CE5"/>
    <w:rsid w:val="00F501F9"/>
    <w:rsid w:val="00F54DD8"/>
    <w:rsid w:val="00F56D49"/>
    <w:rsid w:val="00F6202C"/>
    <w:rsid w:val="00F7188F"/>
    <w:rsid w:val="00F7240A"/>
    <w:rsid w:val="00F72BD6"/>
    <w:rsid w:val="00FA23CA"/>
    <w:rsid w:val="00FA751C"/>
    <w:rsid w:val="00FC2224"/>
    <w:rsid w:val="00FD3993"/>
    <w:rsid w:val="00FD5D37"/>
    <w:rsid w:val="00FD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AF6AE"/>
  <w15:chartTrackingRefBased/>
  <w15:docId w15:val="{713EBFA7-179D-40BC-BF86-CB379803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A1C"/>
    <w:rPr>
      <w:sz w:val="28"/>
      <w:szCs w:val="24"/>
    </w:rPr>
  </w:style>
  <w:style w:type="paragraph" w:styleId="Heading1">
    <w:name w:val="heading 1"/>
    <w:basedOn w:val="Normal"/>
    <w:next w:val="Normal"/>
    <w:link w:val="Heading1Char"/>
    <w:qFormat/>
    <w:rsid w:val="000E10D4"/>
    <w:pPr>
      <w:keepNext/>
      <w:spacing w:before="240" w:after="60"/>
      <w:outlineLvl w:val="0"/>
    </w:pPr>
    <w:rPr>
      <w:rFonts w:ascii="Calibri Light" w:hAnsi="Calibri Light"/>
      <w:b/>
      <w:bCs/>
      <w:kern w:val="32"/>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6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163FF"/>
    <w:pPr>
      <w:tabs>
        <w:tab w:val="center" w:pos="4320"/>
        <w:tab w:val="right" w:pos="8640"/>
      </w:tabs>
    </w:pPr>
    <w:rPr>
      <w:sz w:val="24"/>
    </w:rPr>
  </w:style>
  <w:style w:type="character" w:styleId="PageNumber">
    <w:name w:val="page number"/>
    <w:basedOn w:val="DefaultParagraphFont"/>
    <w:rsid w:val="003163FF"/>
  </w:style>
  <w:style w:type="paragraph" w:styleId="ListParagraph">
    <w:name w:val="List Paragraph"/>
    <w:basedOn w:val="Normal"/>
    <w:uiPriority w:val="34"/>
    <w:qFormat/>
    <w:rsid w:val="003163FF"/>
    <w:pPr>
      <w:spacing w:after="200" w:line="276" w:lineRule="auto"/>
      <w:ind w:left="720"/>
      <w:contextualSpacing/>
    </w:pPr>
    <w:rPr>
      <w:rFonts w:ascii="Calibri" w:hAnsi="Calibri"/>
      <w:sz w:val="22"/>
      <w:szCs w:val="22"/>
    </w:rPr>
  </w:style>
  <w:style w:type="paragraph" w:customStyle="1" w:styleId="CharCharCharCharCharCharChar">
    <w:name w:val="Char Char Char Char Char Char Char"/>
    <w:autoRedefine/>
    <w:rsid w:val="003163FF"/>
    <w:pPr>
      <w:tabs>
        <w:tab w:val="left" w:pos="1152"/>
      </w:tabs>
      <w:spacing w:before="120" w:after="120" w:line="312" w:lineRule="auto"/>
    </w:pPr>
    <w:rPr>
      <w:rFonts w:ascii="Arial" w:hAnsi="Arial" w:cs="Arial"/>
      <w:sz w:val="26"/>
      <w:szCs w:val="26"/>
    </w:rPr>
  </w:style>
  <w:style w:type="character" w:customStyle="1" w:styleId="vldocidentity">
    <w:name w:val="vl_doc_identity"/>
    <w:basedOn w:val="DefaultParagraphFont"/>
    <w:rsid w:val="003163FF"/>
  </w:style>
  <w:style w:type="character" w:customStyle="1" w:styleId="st">
    <w:name w:val="st"/>
    <w:basedOn w:val="DefaultParagraphFont"/>
    <w:rsid w:val="003163FF"/>
  </w:style>
  <w:style w:type="paragraph" w:customStyle="1" w:styleId="1CharCharCharChar">
    <w:name w:val="1 Char Char Char Char"/>
    <w:basedOn w:val="DocumentMap"/>
    <w:autoRedefine/>
    <w:rsid w:val="003163FF"/>
    <w:pPr>
      <w:widowControl w:val="0"/>
      <w:jc w:val="both"/>
    </w:pPr>
    <w:rPr>
      <w:rFonts w:eastAsia="SimSun" w:cs="Times New Roman"/>
      <w:kern w:val="2"/>
      <w:sz w:val="24"/>
      <w:szCs w:val="24"/>
      <w:lang w:eastAsia="zh-CN"/>
    </w:rPr>
  </w:style>
  <w:style w:type="paragraph" w:styleId="DocumentMap">
    <w:name w:val="Document Map"/>
    <w:basedOn w:val="Normal"/>
    <w:semiHidden/>
    <w:rsid w:val="003163FF"/>
    <w:pPr>
      <w:shd w:val="clear" w:color="auto" w:fill="000080"/>
    </w:pPr>
    <w:rPr>
      <w:rFonts w:ascii="Tahoma" w:hAnsi="Tahoma" w:cs="Tahoma"/>
      <w:sz w:val="20"/>
      <w:szCs w:val="20"/>
    </w:rPr>
  </w:style>
  <w:style w:type="paragraph" w:styleId="FootnoteText">
    <w:name w:val="footnote text"/>
    <w:aliases w:val=" Char9,Char9, Char4,Char4,Geneva 9,Font: Geneva 9,Boston 10,f Char,Footnote Text Char Char Char Char Char,Footnote Text Char Char Char Char Char Char Ch,Footnote Text Char1 Char1,Footnote Text Char Char Char1,Footnote Text Char1 Char Cha"/>
    <w:basedOn w:val="Normal"/>
    <w:link w:val="FootnoteTextChar"/>
    <w:uiPriority w:val="99"/>
    <w:qFormat/>
    <w:rsid w:val="003163FF"/>
    <w:rPr>
      <w:sz w:val="20"/>
      <w:szCs w:val="20"/>
    </w:rPr>
  </w:style>
  <w:style w:type="character" w:styleId="FootnoteReference">
    <w:name w:val="footnote reference"/>
    <w:aliases w:val="Footnote,Footnote text,Footnote dich,ftref,BVI fnr,footnote ref,SUPERS,Footnote Reference Number,Знак сноски 1,(NECG) Footnote Reference,16 Point,Superscript 6 Point,Footnote + Arial,10 pt,Black,Ref,de nota al pie,R,fr,f,Re"/>
    <w:link w:val="RefChar"/>
    <w:uiPriority w:val="99"/>
    <w:qFormat/>
    <w:rsid w:val="003163FF"/>
    <w:rPr>
      <w:vertAlign w:val="superscript"/>
    </w:rPr>
  </w:style>
  <w:style w:type="paragraph" w:customStyle="1" w:styleId="Char">
    <w:name w:val="Char"/>
    <w:basedOn w:val="DocumentMap"/>
    <w:autoRedefine/>
    <w:rsid w:val="003163FF"/>
    <w:pPr>
      <w:widowControl w:val="0"/>
      <w:jc w:val="both"/>
    </w:pPr>
    <w:rPr>
      <w:rFonts w:eastAsia="SimSun" w:cs="Times New Roman"/>
      <w:kern w:val="2"/>
      <w:sz w:val="24"/>
      <w:szCs w:val="24"/>
      <w:lang w:eastAsia="zh-CN"/>
    </w:rPr>
  </w:style>
  <w:style w:type="character" w:styleId="Strong">
    <w:name w:val="Strong"/>
    <w:uiPriority w:val="22"/>
    <w:qFormat/>
    <w:rsid w:val="003163FF"/>
    <w:rPr>
      <w:b/>
      <w:bCs/>
    </w:rPr>
  </w:style>
  <w:style w:type="character" w:customStyle="1" w:styleId="apple-style-span">
    <w:name w:val="apple-style-span"/>
    <w:basedOn w:val="DefaultParagraphFont"/>
    <w:rsid w:val="003163FF"/>
  </w:style>
  <w:style w:type="character" w:styleId="Hyperlink">
    <w:name w:val="Hyperlink"/>
    <w:uiPriority w:val="99"/>
    <w:rsid w:val="003163FF"/>
    <w:rPr>
      <w:color w:val="0000FF"/>
      <w:u w:val="single"/>
    </w:rPr>
  </w:style>
  <w:style w:type="paragraph" w:styleId="NormalWeb">
    <w:name w:val="Normal (Web)"/>
    <w:basedOn w:val="Normal"/>
    <w:uiPriority w:val="99"/>
    <w:rsid w:val="003163FF"/>
    <w:pPr>
      <w:spacing w:before="100" w:beforeAutospacing="1" w:after="100" w:afterAutospacing="1"/>
    </w:pPr>
    <w:rPr>
      <w:rFonts w:ascii="Verdana" w:hAnsi="Verdana" w:cs="Verdana"/>
      <w:sz w:val="24"/>
    </w:rPr>
  </w:style>
  <w:style w:type="character" w:customStyle="1" w:styleId="FootnoteTextChar">
    <w:name w:val="Footnote Text Char"/>
    <w:aliases w:val=" Char9 Char,Char9 Char, Char4 Char,Char4 Char,Geneva 9 Char,Font: Geneva 9 Char,Boston 10 Char,f Char Char,Footnote Text Char Char Char Char Char Char,Footnote Text Char Char Char Char Char Char Ch Char,Footnote Text Char1 Char1 Char"/>
    <w:link w:val="FootnoteText"/>
    <w:uiPriority w:val="99"/>
    <w:qFormat/>
    <w:rsid w:val="007978FA"/>
  </w:style>
  <w:style w:type="character" w:styleId="FollowedHyperlink">
    <w:name w:val="FollowedHyperlink"/>
    <w:rsid w:val="00032670"/>
    <w:rPr>
      <w:color w:val="800080"/>
      <w:u w:val="single"/>
    </w:rPr>
  </w:style>
  <w:style w:type="character" w:styleId="CommentReference">
    <w:name w:val="annotation reference"/>
    <w:rsid w:val="008D2A73"/>
    <w:rPr>
      <w:sz w:val="16"/>
      <w:szCs w:val="16"/>
    </w:rPr>
  </w:style>
  <w:style w:type="paragraph" w:styleId="CommentText">
    <w:name w:val="annotation text"/>
    <w:basedOn w:val="Normal"/>
    <w:link w:val="CommentTextChar"/>
    <w:rsid w:val="008D2A73"/>
    <w:rPr>
      <w:sz w:val="20"/>
      <w:szCs w:val="20"/>
    </w:rPr>
  </w:style>
  <w:style w:type="character" w:customStyle="1" w:styleId="CommentTextChar">
    <w:name w:val="Comment Text Char"/>
    <w:basedOn w:val="DefaultParagraphFont"/>
    <w:link w:val="CommentText"/>
    <w:rsid w:val="008D2A73"/>
  </w:style>
  <w:style w:type="paragraph" w:styleId="CommentSubject">
    <w:name w:val="annotation subject"/>
    <w:basedOn w:val="CommentText"/>
    <w:next w:val="CommentText"/>
    <w:link w:val="CommentSubjectChar"/>
    <w:rsid w:val="008D2A73"/>
    <w:rPr>
      <w:b/>
      <w:bCs/>
    </w:rPr>
  </w:style>
  <w:style w:type="character" w:customStyle="1" w:styleId="CommentSubjectChar">
    <w:name w:val="Comment Subject Char"/>
    <w:link w:val="CommentSubject"/>
    <w:rsid w:val="008D2A73"/>
    <w:rPr>
      <w:b/>
      <w:bCs/>
    </w:rPr>
  </w:style>
  <w:style w:type="paragraph" w:styleId="BalloonText">
    <w:name w:val="Balloon Text"/>
    <w:basedOn w:val="Normal"/>
    <w:link w:val="BalloonTextChar"/>
    <w:rsid w:val="008D2A73"/>
    <w:rPr>
      <w:rFonts w:ascii="Tahoma" w:hAnsi="Tahoma" w:cs="Tahoma"/>
      <w:sz w:val="16"/>
      <w:szCs w:val="16"/>
    </w:rPr>
  </w:style>
  <w:style w:type="character" w:customStyle="1" w:styleId="BalloonTextChar">
    <w:name w:val="Balloon Text Char"/>
    <w:link w:val="BalloonText"/>
    <w:rsid w:val="008D2A73"/>
    <w:rPr>
      <w:rFonts w:ascii="Tahoma" w:hAnsi="Tahoma" w:cs="Tahoma"/>
      <w:sz w:val="16"/>
      <w:szCs w:val="16"/>
    </w:rPr>
  </w:style>
  <w:style w:type="paragraph" w:styleId="Header">
    <w:name w:val="header"/>
    <w:basedOn w:val="Normal"/>
    <w:link w:val="HeaderChar"/>
    <w:uiPriority w:val="99"/>
    <w:rsid w:val="009724E0"/>
    <w:pPr>
      <w:tabs>
        <w:tab w:val="center" w:pos="4513"/>
        <w:tab w:val="right" w:pos="9026"/>
      </w:tabs>
    </w:pPr>
  </w:style>
  <w:style w:type="character" w:customStyle="1" w:styleId="HeaderChar">
    <w:name w:val="Header Char"/>
    <w:link w:val="Header"/>
    <w:uiPriority w:val="99"/>
    <w:rsid w:val="009724E0"/>
    <w:rPr>
      <w:sz w:val="28"/>
      <w:szCs w:val="24"/>
      <w:lang w:val="en-US" w:eastAsia="en-US"/>
    </w:rPr>
  </w:style>
  <w:style w:type="character" w:customStyle="1" w:styleId="Heading1Char">
    <w:name w:val="Heading 1 Char"/>
    <w:link w:val="Heading1"/>
    <w:rsid w:val="000E10D4"/>
    <w:rPr>
      <w:rFonts w:ascii="Calibri Light" w:hAnsi="Calibri Light"/>
      <w:b/>
      <w:bCs/>
      <w:kern w:val="32"/>
      <w:sz w:val="32"/>
      <w:szCs w:val="32"/>
      <w:lang w:val="vi-VN"/>
    </w:rPr>
  </w:style>
  <w:style w:type="character" w:styleId="Emphasis">
    <w:name w:val="Emphasis"/>
    <w:uiPriority w:val="20"/>
    <w:qFormat/>
    <w:rsid w:val="000D0B88"/>
    <w:rPr>
      <w:i/>
      <w:iCs/>
    </w:rPr>
  </w:style>
  <w:style w:type="character" w:customStyle="1" w:styleId="FooterChar">
    <w:name w:val="Footer Char"/>
    <w:link w:val="Footer"/>
    <w:rsid w:val="000D0B88"/>
    <w:rPr>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4D5DF6"/>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165607">
      <w:bodyDiv w:val="1"/>
      <w:marLeft w:val="0"/>
      <w:marRight w:val="0"/>
      <w:marTop w:val="0"/>
      <w:marBottom w:val="0"/>
      <w:divBdr>
        <w:top w:val="none" w:sz="0" w:space="0" w:color="auto"/>
        <w:left w:val="none" w:sz="0" w:space="0" w:color="auto"/>
        <w:bottom w:val="none" w:sz="0" w:space="0" w:color="auto"/>
        <w:right w:val="none" w:sz="0" w:space="0" w:color="auto"/>
      </w:divBdr>
    </w:div>
    <w:div w:id="642975552">
      <w:bodyDiv w:val="1"/>
      <w:marLeft w:val="0"/>
      <w:marRight w:val="0"/>
      <w:marTop w:val="0"/>
      <w:marBottom w:val="0"/>
      <w:divBdr>
        <w:top w:val="none" w:sz="0" w:space="0" w:color="auto"/>
        <w:left w:val="none" w:sz="0" w:space="0" w:color="auto"/>
        <w:bottom w:val="none" w:sz="0" w:space="0" w:color="auto"/>
        <w:right w:val="none" w:sz="0" w:space="0" w:color="auto"/>
      </w:divBdr>
    </w:div>
    <w:div w:id="891504262">
      <w:bodyDiv w:val="1"/>
      <w:marLeft w:val="0"/>
      <w:marRight w:val="0"/>
      <w:marTop w:val="0"/>
      <w:marBottom w:val="0"/>
      <w:divBdr>
        <w:top w:val="none" w:sz="0" w:space="0" w:color="auto"/>
        <w:left w:val="none" w:sz="0" w:space="0" w:color="auto"/>
        <w:bottom w:val="none" w:sz="0" w:space="0" w:color="auto"/>
        <w:right w:val="none" w:sz="0" w:space="0" w:color="auto"/>
      </w:divBdr>
    </w:div>
    <w:div w:id="1410078628">
      <w:bodyDiv w:val="1"/>
      <w:marLeft w:val="0"/>
      <w:marRight w:val="0"/>
      <w:marTop w:val="0"/>
      <w:marBottom w:val="0"/>
      <w:divBdr>
        <w:top w:val="none" w:sz="0" w:space="0" w:color="auto"/>
        <w:left w:val="none" w:sz="0" w:space="0" w:color="auto"/>
        <w:bottom w:val="none" w:sz="0" w:space="0" w:color="auto"/>
        <w:right w:val="none" w:sz="0" w:space="0" w:color="auto"/>
      </w:divBdr>
    </w:div>
    <w:div w:id="1771774666">
      <w:bodyDiv w:val="1"/>
      <w:marLeft w:val="0"/>
      <w:marRight w:val="0"/>
      <w:marTop w:val="0"/>
      <w:marBottom w:val="0"/>
      <w:divBdr>
        <w:top w:val="none" w:sz="0" w:space="0" w:color="auto"/>
        <w:left w:val="none" w:sz="0" w:space="0" w:color="auto"/>
        <w:bottom w:val="none" w:sz="0" w:space="0" w:color="auto"/>
        <w:right w:val="none" w:sz="0" w:space="0" w:color="auto"/>
      </w:divBdr>
    </w:div>
    <w:div w:id="201799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ACB75-DD82-4B3E-86A4-55800265DD67}">
  <ds:schemaRefs>
    <ds:schemaRef ds:uri="http://schemas.microsoft.com/sharepoint/v3/contenttype/forms"/>
  </ds:schemaRefs>
</ds:datastoreItem>
</file>

<file path=customXml/itemProps2.xml><?xml version="1.0" encoding="utf-8"?>
<ds:datastoreItem xmlns:ds="http://schemas.openxmlformats.org/officeDocument/2006/customXml" ds:itemID="{2A520E77-77B5-4FB6-A51E-120962F3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8269E6-A633-469D-8521-88871BD5F7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CABB3F-7350-489F-9B7D-0093A6BD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DỰ KIẾN PHÂN CÔNG RÀ SOÁT VĂN BẢN QUY PHẠM PHÁP LUẬT</vt:lpstr>
    </vt:vector>
  </TitlesOfParts>
  <Company>Truong</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KIẾN PHÂN CÔNG RÀ SOÁT VĂN BẢN QUY PHẠM PHÁP LUẬT</dc:title>
  <dc:subject/>
  <dc:creator>PC Thien IT</dc:creator>
  <cp:keywords/>
  <cp:lastModifiedBy>TamPT</cp:lastModifiedBy>
  <cp:revision>8</cp:revision>
  <cp:lastPrinted>2025-12-11T05:42:00Z</cp:lastPrinted>
  <dcterms:created xsi:type="dcterms:W3CDTF">2025-12-11T04:41:00Z</dcterms:created>
  <dcterms:modified xsi:type="dcterms:W3CDTF">2025-12-11T05:50:00Z</dcterms:modified>
</cp:coreProperties>
</file>