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7A86" w14:textId="0D657F53" w:rsidR="00B05FA5" w:rsidRPr="004260E0" w:rsidRDefault="00B05FA5" w:rsidP="00607444">
      <w:pPr>
        <w:spacing w:after="0"/>
        <w:jc w:val="center"/>
        <w:rPr>
          <w:rFonts w:ascii="Times New Roman" w:hAnsi="Times New Roman" w:cs="Times New Roman"/>
          <w:b/>
          <w:sz w:val="26"/>
          <w:szCs w:val="26"/>
          <w:lang w:val="en-US"/>
        </w:rPr>
      </w:pPr>
      <w:r w:rsidRPr="007504A3">
        <w:rPr>
          <w:rFonts w:ascii="Times New Roman" w:hAnsi="Times New Roman" w:cs="Times New Roman"/>
          <w:b/>
          <w:sz w:val="26"/>
          <w:szCs w:val="26"/>
        </w:rPr>
        <w:t xml:space="preserve">Phụ lục </w:t>
      </w:r>
      <w:r w:rsidR="0081641F">
        <w:rPr>
          <w:rFonts w:ascii="Times New Roman" w:hAnsi="Times New Roman" w:cs="Times New Roman"/>
          <w:b/>
          <w:sz w:val="26"/>
          <w:szCs w:val="26"/>
        </w:rPr>
        <w:t>I</w:t>
      </w:r>
      <w:r w:rsidRPr="007504A3">
        <w:rPr>
          <w:rFonts w:ascii="Times New Roman" w:hAnsi="Times New Roman" w:cs="Times New Roman"/>
          <w:b/>
          <w:sz w:val="26"/>
          <w:szCs w:val="26"/>
        </w:rPr>
        <w:t>.</w:t>
      </w:r>
      <w:r w:rsidR="00515C77" w:rsidRPr="00675539">
        <w:rPr>
          <w:rFonts w:ascii="Times New Roman" w:hAnsi="Times New Roman" w:cs="Times New Roman"/>
          <w:b/>
          <w:sz w:val="26"/>
          <w:szCs w:val="26"/>
        </w:rPr>
        <w:t>9</w:t>
      </w:r>
      <w:r w:rsidRPr="007504A3">
        <w:rPr>
          <w:rFonts w:ascii="Times New Roman" w:hAnsi="Times New Roman" w:cs="Times New Roman"/>
          <w:b/>
          <w:sz w:val="26"/>
          <w:szCs w:val="26"/>
        </w:rPr>
        <w:t>.2.A</w:t>
      </w:r>
    </w:p>
    <w:p w14:paraId="56BDCCEB" w14:textId="051C3BF3" w:rsidR="00A51B79" w:rsidRPr="00675539" w:rsidRDefault="00166ABB" w:rsidP="00A51B79">
      <w:pPr>
        <w:pStyle w:val="NormalWeb"/>
        <w:spacing w:before="0" w:beforeAutospacing="0" w:after="0" w:afterAutospacing="0"/>
        <w:jc w:val="center"/>
        <w:rPr>
          <w:rStyle w:val="Strong"/>
          <w:color w:val="000000"/>
          <w:sz w:val="26"/>
          <w:szCs w:val="26"/>
          <w:lang w:val="vi-VN"/>
        </w:rPr>
      </w:pPr>
      <w:r>
        <w:rPr>
          <w:rStyle w:val="Strong"/>
          <w:color w:val="000000"/>
          <w:sz w:val="26"/>
          <w:szCs w:val="26"/>
          <w14:ligatures w14:val="none"/>
        </w:rPr>
        <w:t xml:space="preserve">TÌNH HÌNH XỬ LÝ ĐỐI VỚI </w:t>
      </w:r>
      <w:r w:rsidR="00A51B79" w:rsidRPr="00675539">
        <w:rPr>
          <w:rStyle w:val="Strong"/>
          <w:color w:val="000000"/>
          <w:sz w:val="26"/>
          <w:szCs w:val="26"/>
          <w:lang w:val="vi-VN"/>
        </w:rPr>
        <w:t>KHÓ KHĂN, VƯỚNG MẮC DO QUY ĐỊNH PHÁP LUẬT</w:t>
      </w:r>
    </w:p>
    <w:p w14:paraId="4A6B2D36" w14:textId="3011B743" w:rsidR="00A51B79" w:rsidRDefault="00A51B79" w:rsidP="00A51B79">
      <w:pPr>
        <w:pStyle w:val="NormalWeb"/>
        <w:spacing w:before="0" w:beforeAutospacing="0" w:after="0" w:afterAutospacing="0"/>
        <w:jc w:val="center"/>
        <w:rPr>
          <w:rStyle w:val="Strong"/>
          <w:color w:val="000000"/>
          <w:sz w:val="26"/>
          <w:szCs w:val="26"/>
          <w:lang w:val="vi-VN"/>
        </w:rPr>
      </w:pPr>
      <w:r w:rsidRPr="00675539">
        <w:rPr>
          <w:rStyle w:val="Strong"/>
          <w:color w:val="000000"/>
          <w:sz w:val="26"/>
          <w:szCs w:val="26"/>
          <w:lang w:val="vi-VN"/>
        </w:rPr>
        <w:t>THUỘC PHẠM VI PHỤ TRÁCH CỦA BỘ Y TẾ</w:t>
      </w:r>
    </w:p>
    <w:p w14:paraId="39D21729" w14:textId="77777777" w:rsidR="00B05FA5" w:rsidRPr="00675539" w:rsidRDefault="00B05FA5" w:rsidP="00607444">
      <w:pPr>
        <w:pStyle w:val="NormalWeb"/>
        <w:spacing w:before="0" w:beforeAutospacing="0" w:after="0" w:afterAutospacing="0"/>
        <w:jc w:val="center"/>
        <w:rPr>
          <w:rStyle w:val="Strong"/>
          <w:color w:val="000000"/>
          <w:sz w:val="26"/>
          <w:szCs w:val="26"/>
          <w:lang w:val="vi-VN"/>
        </w:rPr>
      </w:pPr>
      <w:r w:rsidRPr="00675539">
        <w:rPr>
          <w:rStyle w:val="Strong"/>
          <w:color w:val="000000"/>
          <w:sz w:val="26"/>
          <w:szCs w:val="26"/>
          <w:lang w:val="vi-VN"/>
        </w:rPr>
        <w:t xml:space="preserve">Tiêu chí: Quy định của VBQPPL không rõ ràng, có nhiều cách hiểu khác nhau, không hợp lý, không khả thi, </w:t>
      </w:r>
    </w:p>
    <w:p w14:paraId="4BCF4760" w14:textId="77777777" w:rsidR="00B05FA5" w:rsidRPr="00675539" w:rsidRDefault="00B05FA5" w:rsidP="00607444">
      <w:pPr>
        <w:pStyle w:val="NormalWeb"/>
        <w:spacing w:before="0" w:beforeAutospacing="0" w:after="0" w:afterAutospacing="0"/>
        <w:jc w:val="center"/>
        <w:rPr>
          <w:rStyle w:val="Strong"/>
          <w:color w:val="000000"/>
          <w:sz w:val="26"/>
          <w:szCs w:val="26"/>
          <w:lang w:val="vi-VN"/>
        </w:rPr>
      </w:pPr>
      <w:r w:rsidRPr="00675539">
        <w:rPr>
          <w:rStyle w:val="Strong"/>
          <w:color w:val="000000"/>
          <w:sz w:val="26"/>
          <w:szCs w:val="26"/>
          <w:lang w:val="vi-VN"/>
        </w:rPr>
        <w:t>gây khó khăn trong áp dụng, thực hiện pháp luật</w:t>
      </w:r>
    </w:p>
    <w:p w14:paraId="56E6BAA7" w14:textId="77777777" w:rsidR="00675539" w:rsidRDefault="00B05FA5" w:rsidP="00607444">
      <w:pPr>
        <w:pStyle w:val="NormalWeb"/>
        <w:spacing w:before="0" w:beforeAutospacing="0" w:after="0" w:afterAutospacing="0"/>
        <w:jc w:val="center"/>
        <w:rPr>
          <w:b/>
          <w:sz w:val="26"/>
          <w:szCs w:val="26"/>
          <w:lang w:val="vi-VN"/>
        </w:rPr>
      </w:pPr>
      <w:r w:rsidRPr="00675539">
        <w:rPr>
          <w:rStyle w:val="Strong"/>
          <w:color w:val="000000"/>
          <w:sz w:val="26"/>
          <w:szCs w:val="26"/>
          <w:lang w:val="vi-VN"/>
        </w:rPr>
        <w:t xml:space="preserve">Nhóm A. </w:t>
      </w:r>
      <w:r w:rsidRPr="00675539">
        <w:rPr>
          <w:b/>
          <w:sz w:val="26"/>
          <w:szCs w:val="26"/>
          <w:lang w:val="vi-VN"/>
        </w:rPr>
        <w:t xml:space="preserve">Nhóm các nội dung cho ý kiến nhất trí và đề xuất xử lý theo phương án, quy trình </w:t>
      </w:r>
    </w:p>
    <w:p w14:paraId="69F212A7" w14:textId="5E5AA7DD" w:rsidR="00B05FA5" w:rsidRDefault="00B05FA5" w:rsidP="00607444">
      <w:pPr>
        <w:pStyle w:val="NormalWeb"/>
        <w:spacing w:before="0" w:beforeAutospacing="0" w:after="0" w:afterAutospacing="0"/>
        <w:jc w:val="center"/>
        <w:rPr>
          <w:b/>
          <w:sz w:val="26"/>
          <w:szCs w:val="26"/>
          <w:lang w:val="vi-VN"/>
        </w:rPr>
      </w:pPr>
      <w:r w:rsidRPr="00675539">
        <w:rPr>
          <w:b/>
          <w:sz w:val="26"/>
          <w:szCs w:val="26"/>
          <w:lang w:val="vi-VN"/>
        </w:rPr>
        <w:t>nêu tại khoản 1 Điều 4 Nghị quyết số 206/2025/QH15 (thực hiện trong năm 2025)</w:t>
      </w:r>
    </w:p>
    <w:tbl>
      <w:tblPr>
        <w:tblW w:w="1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115"/>
        <w:gridCol w:w="4440"/>
        <w:gridCol w:w="1851"/>
        <w:gridCol w:w="1302"/>
        <w:gridCol w:w="2233"/>
        <w:gridCol w:w="2897"/>
      </w:tblGrid>
      <w:tr w:rsidR="00DC21FE" w:rsidRPr="00DC21FE" w14:paraId="5B6DA6D2" w14:textId="77777777" w:rsidTr="0021459A">
        <w:trPr>
          <w:cantSplit/>
          <w:trHeight w:val="1120"/>
          <w:tblHeader/>
        </w:trPr>
        <w:tc>
          <w:tcPr>
            <w:tcW w:w="670" w:type="dxa"/>
            <w:shd w:val="clear" w:color="auto" w:fill="FAE2D5" w:themeFill="accent2" w:themeFillTint="33"/>
            <w:vAlign w:val="center"/>
            <w:hideMark/>
          </w:tcPr>
          <w:p w14:paraId="3CE05911" w14:textId="19BEE60B" w:rsidR="00BC2125" w:rsidRPr="0023761B" w:rsidRDefault="00F6260D" w:rsidP="00BC2125">
            <w:pPr>
              <w:spacing w:after="0" w:line="240" w:lineRule="auto"/>
              <w:jc w:val="center"/>
              <w:rPr>
                <w:rFonts w:ascii="Times New Roman" w:eastAsia="Times New Roman" w:hAnsi="Times New Roman" w:cs="Times New Roman"/>
                <w:b/>
                <w:bCs/>
                <w:noProof w:val="0"/>
                <w:color w:val="000000" w:themeColor="text1"/>
                <w:kern w:val="0"/>
                <w:lang w:val="en-US"/>
                <w14:ligatures w14:val="none"/>
              </w:rPr>
            </w:pPr>
            <w:r>
              <w:rPr>
                <w:rFonts w:ascii="Times New Roman" w:eastAsia="Times New Roman" w:hAnsi="Times New Roman" w:cs="Times New Roman"/>
                <w:b/>
                <w:bCs/>
                <w:sz w:val="26"/>
                <w:szCs w:val="26"/>
                <w:lang w:val="en-US"/>
              </w:rPr>
              <w:t xml:space="preserve">                        </w:t>
            </w:r>
            <w:r w:rsidR="00BC2125" w:rsidRPr="0023761B">
              <w:rPr>
                <w:rFonts w:ascii="Times New Roman" w:eastAsia="Times New Roman" w:hAnsi="Times New Roman" w:cs="Times New Roman"/>
                <w:b/>
                <w:bCs/>
                <w:noProof w:val="0"/>
                <w:color w:val="000000" w:themeColor="text1"/>
                <w:kern w:val="0"/>
                <w:lang w:val="en-US"/>
                <w14:ligatures w14:val="none"/>
              </w:rPr>
              <w:t>STT</w:t>
            </w:r>
          </w:p>
        </w:tc>
        <w:tc>
          <w:tcPr>
            <w:tcW w:w="2115" w:type="dxa"/>
            <w:shd w:val="clear" w:color="auto" w:fill="FAE2D5" w:themeFill="accent2" w:themeFillTint="33"/>
            <w:vAlign w:val="center"/>
            <w:hideMark/>
          </w:tcPr>
          <w:p w14:paraId="05C5C835" w14:textId="77777777" w:rsidR="00BC2125" w:rsidRPr="0023761B" w:rsidRDefault="00BC2125" w:rsidP="00BC2125">
            <w:pPr>
              <w:spacing w:after="0" w:line="240" w:lineRule="auto"/>
              <w:jc w:val="center"/>
              <w:rPr>
                <w:rFonts w:ascii="Times New Roman" w:eastAsia="Times New Roman" w:hAnsi="Times New Roman" w:cs="Times New Roman"/>
                <w:b/>
                <w:bCs/>
                <w:noProof w:val="0"/>
                <w:color w:val="000000" w:themeColor="text1"/>
                <w:kern w:val="0"/>
                <w:lang w:val="en-US"/>
                <w14:ligatures w14:val="none"/>
              </w:rPr>
            </w:pPr>
            <w:r w:rsidRPr="0023761B">
              <w:rPr>
                <w:rFonts w:ascii="Times New Roman" w:eastAsia="Times New Roman" w:hAnsi="Times New Roman" w:cs="Times New Roman"/>
                <w:b/>
                <w:bCs/>
                <w:noProof w:val="0"/>
                <w:color w:val="000000" w:themeColor="text1"/>
                <w:kern w:val="0"/>
                <w:lang w:val="en-US"/>
                <w14:ligatures w14:val="none"/>
              </w:rPr>
              <w:t>Điều, khoản, điểm, tên văn bản đề xuất xử lý</w:t>
            </w:r>
          </w:p>
        </w:tc>
        <w:tc>
          <w:tcPr>
            <w:tcW w:w="4440" w:type="dxa"/>
            <w:shd w:val="clear" w:color="auto" w:fill="FAE2D5" w:themeFill="accent2" w:themeFillTint="33"/>
            <w:vAlign w:val="center"/>
            <w:hideMark/>
          </w:tcPr>
          <w:p w14:paraId="6EF670F5" w14:textId="77777777" w:rsidR="00675539" w:rsidRDefault="00BC2125" w:rsidP="00BC2125">
            <w:pPr>
              <w:spacing w:after="0" w:line="240" w:lineRule="auto"/>
              <w:jc w:val="center"/>
              <w:rPr>
                <w:rFonts w:ascii="Times New Roman" w:eastAsia="Times New Roman" w:hAnsi="Times New Roman" w:cs="Times New Roman"/>
                <w:b/>
                <w:bCs/>
                <w:noProof w:val="0"/>
                <w:color w:val="000000" w:themeColor="text1"/>
                <w:kern w:val="0"/>
                <w:lang w:val="en-US"/>
                <w14:ligatures w14:val="none"/>
              </w:rPr>
            </w:pPr>
            <w:r w:rsidRPr="0023761B">
              <w:rPr>
                <w:rFonts w:ascii="Times New Roman" w:eastAsia="Times New Roman" w:hAnsi="Times New Roman" w:cs="Times New Roman"/>
                <w:b/>
                <w:bCs/>
                <w:noProof w:val="0"/>
                <w:color w:val="000000" w:themeColor="text1"/>
                <w:kern w:val="0"/>
                <w:lang w:val="en-US"/>
                <w14:ligatures w14:val="none"/>
              </w:rPr>
              <w:t xml:space="preserve">Nội dung quy định được phản ánh </w:t>
            </w:r>
          </w:p>
          <w:p w14:paraId="0F9E435E" w14:textId="28841A6C" w:rsidR="00BC2125" w:rsidRPr="0023761B" w:rsidRDefault="00BC2125" w:rsidP="00BC2125">
            <w:pPr>
              <w:spacing w:after="0" w:line="240" w:lineRule="auto"/>
              <w:jc w:val="center"/>
              <w:rPr>
                <w:rFonts w:ascii="Times New Roman" w:eastAsia="Times New Roman" w:hAnsi="Times New Roman" w:cs="Times New Roman"/>
                <w:b/>
                <w:bCs/>
                <w:noProof w:val="0"/>
                <w:color w:val="000000" w:themeColor="text1"/>
                <w:kern w:val="0"/>
                <w:lang w:val="en-US"/>
                <w14:ligatures w14:val="none"/>
              </w:rPr>
            </w:pPr>
            <w:r w:rsidRPr="0023761B">
              <w:rPr>
                <w:rFonts w:ascii="Times New Roman" w:eastAsia="Times New Roman" w:hAnsi="Times New Roman" w:cs="Times New Roman"/>
                <w:b/>
                <w:bCs/>
                <w:noProof w:val="0"/>
                <w:color w:val="000000" w:themeColor="text1"/>
                <w:kern w:val="0"/>
                <w:lang w:val="en-US"/>
                <w14:ligatures w14:val="none"/>
              </w:rPr>
              <w:t>không rõ ràng, có nhiều cách hiểu khác nhau, không hợp lý, không khả thi, gây khó khăn trong áp dụng, thực hiện pháp luật</w:t>
            </w:r>
          </w:p>
        </w:tc>
        <w:tc>
          <w:tcPr>
            <w:tcW w:w="1851" w:type="dxa"/>
            <w:shd w:val="clear" w:color="auto" w:fill="FAE2D5" w:themeFill="accent2" w:themeFillTint="33"/>
            <w:vAlign w:val="center"/>
            <w:hideMark/>
          </w:tcPr>
          <w:p w14:paraId="458B23C5" w14:textId="77777777" w:rsidR="00BC2125" w:rsidRPr="0023761B" w:rsidRDefault="00BC2125" w:rsidP="00BC2125">
            <w:pPr>
              <w:spacing w:after="0" w:line="240" w:lineRule="auto"/>
              <w:jc w:val="center"/>
              <w:rPr>
                <w:rFonts w:ascii="Times New Roman" w:eastAsia="Times New Roman" w:hAnsi="Times New Roman" w:cs="Times New Roman"/>
                <w:b/>
                <w:bCs/>
                <w:noProof w:val="0"/>
                <w:color w:val="000000" w:themeColor="text1"/>
                <w:kern w:val="0"/>
                <w:lang w:val="en-US"/>
                <w14:ligatures w14:val="none"/>
              </w:rPr>
            </w:pPr>
            <w:r w:rsidRPr="0023761B">
              <w:rPr>
                <w:rFonts w:ascii="Times New Roman" w:eastAsia="Times New Roman" w:hAnsi="Times New Roman" w:cs="Times New Roman"/>
                <w:b/>
                <w:bCs/>
                <w:noProof w:val="0"/>
                <w:color w:val="000000" w:themeColor="text1"/>
                <w:kern w:val="0"/>
                <w:lang w:val="en-US"/>
                <w14:ligatures w14:val="none"/>
              </w:rPr>
              <w:t>Phương án xử lý được đề xuất</w:t>
            </w:r>
          </w:p>
        </w:tc>
        <w:tc>
          <w:tcPr>
            <w:tcW w:w="1302" w:type="dxa"/>
            <w:shd w:val="clear" w:color="auto" w:fill="FAE2D5" w:themeFill="accent2" w:themeFillTint="33"/>
            <w:vAlign w:val="center"/>
            <w:hideMark/>
          </w:tcPr>
          <w:p w14:paraId="72D38E54" w14:textId="77777777" w:rsidR="00675539" w:rsidRDefault="00BC2125" w:rsidP="00BC2125">
            <w:pPr>
              <w:spacing w:after="0" w:line="240" w:lineRule="auto"/>
              <w:jc w:val="center"/>
              <w:rPr>
                <w:rFonts w:ascii="Times New Roman" w:eastAsia="Times New Roman" w:hAnsi="Times New Roman" w:cs="Times New Roman"/>
                <w:b/>
                <w:bCs/>
                <w:noProof w:val="0"/>
                <w:color w:val="000000" w:themeColor="text1"/>
                <w:kern w:val="0"/>
                <w:lang w:val="en-US"/>
                <w14:ligatures w14:val="none"/>
              </w:rPr>
            </w:pPr>
            <w:r w:rsidRPr="0023761B">
              <w:rPr>
                <w:rFonts w:ascii="Times New Roman" w:eastAsia="Times New Roman" w:hAnsi="Times New Roman" w:cs="Times New Roman"/>
                <w:b/>
                <w:bCs/>
                <w:noProof w:val="0"/>
                <w:color w:val="000000" w:themeColor="text1"/>
                <w:kern w:val="0"/>
                <w:lang w:val="en-US"/>
                <w14:ligatures w14:val="none"/>
              </w:rPr>
              <w:t>Cơ quan, tổ chức</w:t>
            </w:r>
          </w:p>
          <w:p w14:paraId="05E8265E" w14:textId="1CE0B02E" w:rsidR="00BC2125" w:rsidRPr="0023761B" w:rsidRDefault="00BC2125" w:rsidP="00BC2125">
            <w:pPr>
              <w:spacing w:after="0" w:line="240" w:lineRule="auto"/>
              <w:jc w:val="center"/>
              <w:rPr>
                <w:rFonts w:ascii="Times New Roman" w:eastAsia="Times New Roman" w:hAnsi="Times New Roman" w:cs="Times New Roman"/>
                <w:b/>
                <w:bCs/>
                <w:noProof w:val="0"/>
                <w:color w:val="000000" w:themeColor="text1"/>
                <w:kern w:val="0"/>
                <w:lang w:val="en-US"/>
                <w14:ligatures w14:val="none"/>
              </w:rPr>
            </w:pPr>
            <w:r w:rsidRPr="0023761B">
              <w:rPr>
                <w:rFonts w:ascii="Times New Roman" w:eastAsia="Times New Roman" w:hAnsi="Times New Roman" w:cs="Times New Roman"/>
                <w:b/>
                <w:bCs/>
                <w:noProof w:val="0"/>
                <w:color w:val="000000" w:themeColor="text1"/>
                <w:kern w:val="0"/>
                <w:lang w:val="en-US"/>
                <w14:ligatures w14:val="none"/>
              </w:rPr>
              <w:t xml:space="preserve"> rà soát, phản ánh</w:t>
            </w:r>
          </w:p>
        </w:tc>
        <w:tc>
          <w:tcPr>
            <w:tcW w:w="2233" w:type="dxa"/>
            <w:shd w:val="clear" w:color="auto" w:fill="FAE2D5" w:themeFill="accent2" w:themeFillTint="33"/>
            <w:vAlign w:val="center"/>
            <w:hideMark/>
          </w:tcPr>
          <w:p w14:paraId="100D6E35" w14:textId="77777777" w:rsidR="008C3B90" w:rsidRDefault="00BC2125" w:rsidP="00BC2125">
            <w:pPr>
              <w:spacing w:after="0" w:line="240" w:lineRule="auto"/>
              <w:jc w:val="center"/>
              <w:rPr>
                <w:rFonts w:ascii="Times New Roman" w:eastAsia="Times New Roman" w:hAnsi="Times New Roman" w:cs="Times New Roman"/>
                <w:b/>
                <w:bCs/>
                <w:noProof w:val="0"/>
                <w:color w:val="000000" w:themeColor="text1"/>
                <w:kern w:val="0"/>
                <w:lang w:val="en-US"/>
                <w14:ligatures w14:val="none"/>
              </w:rPr>
            </w:pPr>
            <w:r w:rsidRPr="0023761B">
              <w:rPr>
                <w:rFonts w:ascii="Times New Roman" w:eastAsia="Times New Roman" w:hAnsi="Times New Roman" w:cs="Times New Roman"/>
                <w:b/>
                <w:bCs/>
                <w:noProof w:val="0"/>
                <w:color w:val="000000" w:themeColor="text1"/>
                <w:kern w:val="0"/>
                <w:lang w:val="en-US"/>
                <w14:ligatures w14:val="none"/>
              </w:rPr>
              <w:t>Ý kiến của Bộ</w:t>
            </w:r>
            <w:r w:rsidR="008C3B90">
              <w:rPr>
                <w:rFonts w:ascii="Times New Roman" w:eastAsia="Times New Roman" w:hAnsi="Times New Roman" w:cs="Times New Roman"/>
                <w:b/>
                <w:bCs/>
                <w:noProof w:val="0"/>
                <w:color w:val="000000" w:themeColor="text1"/>
                <w:kern w:val="0"/>
                <w:lang w:val="en-US"/>
                <w14:ligatures w14:val="none"/>
              </w:rPr>
              <w:t xml:space="preserve"> </w:t>
            </w:r>
            <w:r w:rsidR="008C3B90" w:rsidRPr="008C3B90">
              <w:rPr>
                <w:rFonts w:ascii="Times New Roman" w:eastAsia="Times New Roman" w:hAnsi="Times New Roman" w:cs="Times New Roman"/>
                <w:b/>
                <w:bCs/>
                <w:noProof w:val="0"/>
                <w:color w:val="000000" w:themeColor="text1"/>
                <w:kern w:val="0"/>
                <w:lang w:val="en-US"/>
                <w14:ligatures w14:val="none"/>
              </w:rPr>
              <w:t>Y tế</w:t>
            </w:r>
          </w:p>
          <w:p w14:paraId="3614A9E8" w14:textId="6E49B0C2" w:rsidR="00BC2125" w:rsidRPr="0023761B" w:rsidRDefault="00BC2125" w:rsidP="00BC2125">
            <w:pPr>
              <w:spacing w:after="0" w:line="240" w:lineRule="auto"/>
              <w:jc w:val="center"/>
              <w:rPr>
                <w:rFonts w:ascii="Times New Roman" w:eastAsia="Times New Roman" w:hAnsi="Times New Roman" w:cs="Times New Roman"/>
                <w:b/>
                <w:bCs/>
                <w:noProof w:val="0"/>
                <w:color w:val="000000" w:themeColor="text1"/>
                <w:kern w:val="0"/>
                <w:lang w:val="en-US"/>
                <w14:ligatures w14:val="none"/>
              </w:rPr>
            </w:pPr>
            <w:r w:rsidRPr="0023761B">
              <w:rPr>
                <w:rFonts w:ascii="Times New Roman" w:eastAsia="Times New Roman" w:hAnsi="Times New Roman" w:cs="Times New Roman"/>
                <w:b/>
                <w:bCs/>
                <w:noProof w:val="0"/>
                <w:color w:val="000000" w:themeColor="text1"/>
                <w:kern w:val="0"/>
                <w:lang w:val="en-US"/>
                <w14:ligatures w14:val="none"/>
              </w:rPr>
              <w:t>về nội dung rà soát, phản ánh</w:t>
            </w:r>
          </w:p>
        </w:tc>
        <w:tc>
          <w:tcPr>
            <w:tcW w:w="2897" w:type="dxa"/>
            <w:shd w:val="clear" w:color="auto" w:fill="FAE2D5" w:themeFill="accent2" w:themeFillTint="33"/>
            <w:vAlign w:val="center"/>
            <w:hideMark/>
          </w:tcPr>
          <w:p w14:paraId="51C7073E" w14:textId="0D8F9300" w:rsidR="00BC2125" w:rsidRPr="003E1E67" w:rsidRDefault="00166ABB" w:rsidP="00BC2125">
            <w:pPr>
              <w:spacing w:after="0" w:line="240" w:lineRule="auto"/>
              <w:jc w:val="center"/>
              <w:rPr>
                <w:rFonts w:ascii="Times New Roman" w:eastAsia="Times New Roman" w:hAnsi="Times New Roman" w:cs="Times New Roman"/>
                <w:b/>
                <w:bCs/>
                <w:noProof w:val="0"/>
                <w:color w:val="FF0000"/>
                <w:kern w:val="0"/>
                <w:lang w:val="en-US"/>
                <w14:ligatures w14:val="none"/>
              </w:rPr>
            </w:pPr>
            <w:r w:rsidRPr="00FD2AAD">
              <w:rPr>
                <w:rFonts w:ascii="Times New Roman" w:hAnsi="Times New Roman"/>
                <w:b/>
                <w:bCs/>
                <w:kern w:val="0"/>
                <w:sz w:val="25"/>
                <w:szCs w:val="25"/>
                <w14:ligatures w14:val="none"/>
              </w:rPr>
              <w:t xml:space="preserve">Tình hình xử lý </w:t>
            </w:r>
          </w:p>
        </w:tc>
      </w:tr>
      <w:tr w:rsidR="004A446B" w:rsidRPr="00DC21FE" w14:paraId="5AF330F5" w14:textId="77777777" w:rsidTr="0021459A">
        <w:trPr>
          <w:trHeight w:val="559"/>
        </w:trPr>
        <w:tc>
          <w:tcPr>
            <w:tcW w:w="670" w:type="dxa"/>
            <w:vAlign w:val="center"/>
            <w:hideMark/>
          </w:tcPr>
          <w:p w14:paraId="18A5A334" w14:textId="77777777" w:rsidR="004A446B" w:rsidRPr="0023761B" w:rsidRDefault="004A446B" w:rsidP="00850BBE">
            <w:pPr>
              <w:spacing w:after="0" w:line="240" w:lineRule="auto"/>
              <w:jc w:val="both"/>
              <w:rPr>
                <w:rFonts w:ascii="Times New Roman" w:eastAsia="Times New Roman" w:hAnsi="Times New Roman" w:cs="Times New Roman"/>
                <w:b/>
                <w:bCs/>
                <w:noProof w:val="0"/>
                <w:color w:val="000000" w:themeColor="text1"/>
                <w:kern w:val="0"/>
                <w:lang w:val="en-US"/>
                <w14:ligatures w14:val="none"/>
              </w:rPr>
            </w:pPr>
            <w:r w:rsidRPr="0023761B">
              <w:rPr>
                <w:rFonts w:ascii="Times New Roman" w:eastAsia="Times New Roman" w:hAnsi="Times New Roman" w:cs="Times New Roman"/>
                <w:b/>
                <w:bCs/>
                <w:noProof w:val="0"/>
                <w:color w:val="000000" w:themeColor="text1"/>
                <w:kern w:val="0"/>
                <w:lang w:val="en-US"/>
                <w14:ligatures w14:val="none"/>
              </w:rPr>
              <w:t>1</w:t>
            </w:r>
          </w:p>
        </w:tc>
        <w:tc>
          <w:tcPr>
            <w:tcW w:w="2115" w:type="dxa"/>
            <w:hideMark/>
          </w:tcPr>
          <w:p w14:paraId="4FD6091C" w14:textId="61285894" w:rsidR="004A446B" w:rsidRPr="0023761B" w:rsidRDefault="004A446B" w:rsidP="0021459A">
            <w:pPr>
              <w:spacing w:after="0" w:line="240" w:lineRule="auto"/>
              <w:jc w:val="both"/>
              <w:rPr>
                <w:rFonts w:ascii="Times New Roman" w:eastAsia="Times New Roman" w:hAnsi="Times New Roman" w:cs="Times New Roman"/>
                <w:noProof w:val="0"/>
                <w:color w:val="000000" w:themeColor="text1"/>
                <w:kern w:val="0"/>
                <w:lang w:val="en-US"/>
                <w14:ligatures w14:val="none"/>
              </w:rPr>
            </w:pPr>
            <w:r w:rsidRPr="0023761B">
              <w:rPr>
                <w:rFonts w:ascii="Times New Roman" w:eastAsia="Times New Roman" w:hAnsi="Times New Roman" w:cs="Times New Roman"/>
                <w:noProof w:val="0"/>
                <w:color w:val="000000" w:themeColor="text1"/>
                <w:kern w:val="0"/>
                <w:lang w:val="en-US"/>
                <w14:ligatures w14:val="none"/>
              </w:rPr>
              <w:t>Khoản 3 Điều 12 Luật An toàn thực phẩm</w:t>
            </w:r>
          </w:p>
          <w:p w14:paraId="2572BE5C" w14:textId="77777777" w:rsidR="004A446B" w:rsidRPr="0023761B" w:rsidRDefault="004A446B" w:rsidP="0021459A">
            <w:pPr>
              <w:jc w:val="both"/>
              <w:rPr>
                <w:rFonts w:ascii="Times New Roman" w:eastAsia="Times New Roman" w:hAnsi="Times New Roman" w:cs="Times New Roman"/>
                <w:lang w:val="en-US"/>
              </w:rPr>
            </w:pPr>
          </w:p>
        </w:tc>
        <w:tc>
          <w:tcPr>
            <w:tcW w:w="4440" w:type="dxa"/>
            <w:hideMark/>
          </w:tcPr>
          <w:p w14:paraId="3DFD994D" w14:textId="3F904BAD" w:rsidR="004A446B" w:rsidRPr="00515C77" w:rsidRDefault="004A446B" w:rsidP="007A2FF3">
            <w:pPr>
              <w:spacing w:after="0" w:line="240" w:lineRule="auto"/>
              <w:jc w:val="both"/>
              <w:rPr>
                <w:rFonts w:ascii="Times New Roman" w:eastAsia="Times New Roman" w:hAnsi="Times New Roman" w:cs="Times New Roman"/>
                <w:lang w:val="en-US"/>
              </w:rPr>
            </w:pPr>
            <w:r w:rsidRPr="0023761B">
              <w:rPr>
                <w:rFonts w:ascii="Times New Roman" w:eastAsia="Times New Roman" w:hAnsi="Times New Roman" w:cs="Times New Roman"/>
                <w:noProof w:val="0"/>
                <w:color w:val="000000" w:themeColor="text1"/>
                <w:kern w:val="0"/>
                <w:lang w:val="en-US"/>
                <w14:ligatures w14:val="none"/>
              </w:rPr>
              <w:t>Tại khoản 3 Điều 12 Luật An toàn thực phẩm quy định: “ Thực phẩm đã qua chế biến bao gói sẵn phải đăng ký bản công bố hợp quy với cơ quan nhà nước có thẩm quyền trước khi lưu thông trên thị trường. Chính phủ quy định cụ thể việc đăng ký bản công bố hợp quy và thời hạn của bản đăng ký công bố hợp quy đối với thực phẩm đã qua chế biến bao gói sẵn.” Tuy nhiên tại Nghị định số 15/2018/NĐ-CP không sử dụng cụm từ” công bố hợp quy” mà sử dụng cụm từ “ Tự công bố sản phẩm” và “ đăng ký bản công bố sản phẩm” và chưa quy định về thời hạn của bản đăng ký.</w:t>
            </w:r>
          </w:p>
        </w:tc>
        <w:tc>
          <w:tcPr>
            <w:tcW w:w="1851" w:type="dxa"/>
            <w:hideMark/>
          </w:tcPr>
          <w:p w14:paraId="44EEFC8F" w14:textId="77777777" w:rsidR="004A446B" w:rsidRPr="0023761B" w:rsidRDefault="004A446B" w:rsidP="0021459A">
            <w:pPr>
              <w:spacing w:after="0" w:line="240" w:lineRule="auto"/>
              <w:jc w:val="both"/>
              <w:rPr>
                <w:rFonts w:ascii="Times New Roman" w:eastAsia="Times New Roman" w:hAnsi="Times New Roman" w:cs="Times New Roman"/>
                <w:noProof w:val="0"/>
                <w:color w:val="000000" w:themeColor="text1"/>
                <w:kern w:val="0"/>
                <w:lang w:val="en-US"/>
                <w14:ligatures w14:val="none"/>
              </w:rPr>
            </w:pPr>
            <w:r w:rsidRPr="0023761B">
              <w:rPr>
                <w:rFonts w:ascii="Times New Roman" w:eastAsia="Times New Roman" w:hAnsi="Times New Roman" w:cs="Times New Roman"/>
                <w:noProof w:val="0"/>
                <w:color w:val="000000" w:themeColor="text1"/>
                <w:kern w:val="0"/>
                <w:lang w:val="en-US"/>
                <w14:ligatures w14:val="none"/>
              </w:rPr>
              <w:t>C. Sửa đổi, bổ sung, thay thế, ban hành mới VBQPPL (theo trình tự, thủ tục rút gọn ban hành VBQPPL của Luật Ban hành VBQPPL)</w:t>
            </w:r>
          </w:p>
        </w:tc>
        <w:tc>
          <w:tcPr>
            <w:tcW w:w="1302" w:type="dxa"/>
            <w:hideMark/>
          </w:tcPr>
          <w:p w14:paraId="1F5BCEC5" w14:textId="77777777" w:rsidR="004A446B" w:rsidRPr="0023761B" w:rsidRDefault="004A446B" w:rsidP="0021459A">
            <w:pPr>
              <w:spacing w:after="0" w:line="240" w:lineRule="auto"/>
              <w:jc w:val="both"/>
              <w:rPr>
                <w:rFonts w:ascii="Times New Roman" w:eastAsia="Times New Roman" w:hAnsi="Times New Roman" w:cs="Times New Roman"/>
                <w:noProof w:val="0"/>
                <w:color w:val="000000" w:themeColor="text1"/>
                <w:kern w:val="0"/>
                <w:lang w:val="en-US"/>
                <w14:ligatures w14:val="none"/>
              </w:rPr>
            </w:pPr>
            <w:r w:rsidRPr="0023761B">
              <w:rPr>
                <w:rFonts w:ascii="Times New Roman" w:eastAsia="Times New Roman" w:hAnsi="Times New Roman" w:cs="Times New Roman"/>
                <w:noProof w:val="0"/>
                <w:color w:val="000000" w:themeColor="text1"/>
                <w:kern w:val="0"/>
                <w:lang w:val="en-US"/>
                <w14:ligatures w14:val="none"/>
              </w:rPr>
              <w:t>Sở Tư pháp tỉnh Phú Thọ</w:t>
            </w:r>
          </w:p>
        </w:tc>
        <w:tc>
          <w:tcPr>
            <w:tcW w:w="2233" w:type="dxa"/>
            <w:hideMark/>
          </w:tcPr>
          <w:p w14:paraId="201826B9" w14:textId="1E753AA5" w:rsidR="004A446B" w:rsidRPr="0023761B" w:rsidRDefault="004A446B" w:rsidP="0021459A">
            <w:pPr>
              <w:spacing w:after="0" w:line="240" w:lineRule="auto"/>
              <w:jc w:val="both"/>
              <w:rPr>
                <w:rFonts w:ascii="Times New Roman" w:eastAsia="Times New Roman" w:hAnsi="Times New Roman" w:cs="Times New Roman"/>
                <w:noProof w:val="0"/>
                <w:color w:val="000000" w:themeColor="text1"/>
                <w:kern w:val="0"/>
                <w:lang w:val="en-US"/>
                <w14:ligatures w14:val="none"/>
              </w:rPr>
            </w:pPr>
            <w:r w:rsidRPr="0023761B">
              <w:rPr>
                <w:rFonts w:ascii="Times New Roman" w:eastAsia="Times New Roman" w:hAnsi="Times New Roman" w:cs="Times New Roman"/>
                <w:noProof w:val="0"/>
                <w:color w:val="000000" w:themeColor="text1"/>
                <w:kern w:val="0"/>
                <w:lang w:val="en-US"/>
                <w14:ligatures w14:val="none"/>
              </w:rPr>
              <w:t>Nhất trí tiếp thu, Bộ Y tế sẽ xử lý nội dung không phù hợp giữa Luật và Nghị định bằng Nghị quyết của Chính phủ theo cơ chế Nghị quyết 206/2025/QH15</w:t>
            </w:r>
          </w:p>
        </w:tc>
        <w:tc>
          <w:tcPr>
            <w:tcW w:w="2897" w:type="dxa"/>
            <w:vMerge w:val="restart"/>
          </w:tcPr>
          <w:p w14:paraId="32511177" w14:textId="77777777" w:rsidR="00633BC3" w:rsidRPr="006613FA" w:rsidRDefault="00633BC3" w:rsidP="00633BC3">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0287E461" w14:textId="77777777" w:rsidR="00633BC3" w:rsidRDefault="00633BC3" w:rsidP="0021459A">
            <w:pPr>
              <w:spacing w:after="0" w:line="240" w:lineRule="auto"/>
              <w:jc w:val="both"/>
              <w:rPr>
                <w:rFonts w:ascii="Times New Roman" w:eastAsia="Times New Roman" w:hAnsi="Times New Roman" w:cs="Times New Roman"/>
                <w:bCs/>
                <w:noProof w:val="0"/>
                <w:kern w:val="0"/>
                <w14:ligatures w14:val="none"/>
              </w:rPr>
            </w:pPr>
          </w:p>
          <w:p w14:paraId="353B2727" w14:textId="46C15933" w:rsidR="004A446B" w:rsidRPr="004A446B" w:rsidRDefault="004A446B" w:rsidP="0021459A">
            <w:pPr>
              <w:spacing w:after="0" w:line="240" w:lineRule="auto"/>
              <w:jc w:val="both"/>
              <w:rPr>
                <w:rFonts w:ascii="Times New Roman" w:eastAsia="Times New Roman" w:hAnsi="Times New Roman" w:cs="Times New Roman"/>
                <w:bCs/>
                <w:noProof w:val="0"/>
                <w:kern w:val="0"/>
                <w14:ligatures w14:val="none"/>
              </w:rPr>
            </w:pPr>
            <w:r w:rsidRPr="004A446B">
              <w:rPr>
                <w:rFonts w:ascii="Times New Roman" w:eastAsia="Times New Roman" w:hAnsi="Times New Roman" w:cs="Times New Roman"/>
                <w:bCs/>
                <w:noProof w:val="0"/>
                <w:kern w:val="0"/>
                <w14:ligatures w14:val="none"/>
              </w:rPr>
              <w:t>- Ngày 05/9/2025, Bộ Y tế đã có tờ trình 1229/TT-BYT trình Chính phủ Dự thảo Nghị quyết quy định về công bố, đăng ký sản phẩm thực phẩm.</w:t>
            </w:r>
          </w:p>
          <w:p w14:paraId="3959C76E" w14:textId="77777777" w:rsidR="004A446B" w:rsidRPr="004A446B" w:rsidRDefault="004A446B" w:rsidP="0021459A">
            <w:pPr>
              <w:spacing w:after="0" w:line="240" w:lineRule="auto"/>
              <w:jc w:val="both"/>
              <w:rPr>
                <w:rFonts w:ascii="Times New Roman" w:eastAsia="Times New Roman" w:hAnsi="Times New Roman" w:cs="Times New Roman"/>
                <w:bCs/>
                <w:noProof w:val="0"/>
                <w:kern w:val="0"/>
                <w14:ligatures w14:val="none"/>
              </w:rPr>
            </w:pPr>
            <w:r w:rsidRPr="004A446B">
              <w:rPr>
                <w:rFonts w:ascii="Times New Roman" w:eastAsia="Times New Roman" w:hAnsi="Times New Roman" w:cs="Times New Roman"/>
                <w:bCs/>
                <w:noProof w:val="0"/>
                <w:kern w:val="0"/>
                <w14:ligatures w14:val="none"/>
              </w:rPr>
              <w:t>- Ngày 11/9/2025, Bộ Y tế có Tờ trình Số: 1260 /TTr-BYT;  Công văn số 6113/BYT-ATTP gửi Văn phòng Chính phủ về việc hoàn thiện hồ sơ dự thảo Nghị định thay thế Nghị định số 15/2018/NĐ-CP và dự thảo Nghị quyết quy định về công bố, đăng ký sản phẩm thực phẩm theo Phiếu báo số 3034/PB-VCCP</w:t>
            </w:r>
          </w:p>
          <w:p w14:paraId="44448CA5" w14:textId="77777777" w:rsidR="004A446B" w:rsidRPr="004A446B" w:rsidRDefault="004A446B" w:rsidP="0021459A">
            <w:pPr>
              <w:spacing w:after="0" w:line="240" w:lineRule="auto"/>
              <w:jc w:val="both"/>
              <w:rPr>
                <w:rFonts w:ascii="Times New Roman" w:eastAsia="Times New Roman" w:hAnsi="Times New Roman" w:cs="Times New Roman"/>
                <w:bCs/>
                <w:noProof w:val="0"/>
                <w:kern w:val="0"/>
                <w14:ligatures w14:val="none"/>
              </w:rPr>
            </w:pPr>
            <w:r w:rsidRPr="004A446B">
              <w:rPr>
                <w:rFonts w:ascii="Times New Roman" w:eastAsia="Times New Roman" w:hAnsi="Times New Roman" w:cs="Times New Roman"/>
                <w:bCs/>
                <w:noProof w:val="0"/>
                <w:kern w:val="0"/>
                <w14:ligatures w14:val="none"/>
              </w:rPr>
              <w:t xml:space="preserve">- Ngày 25/9/2025, Bộ Y tế có Công văn số 6532/BYT-ATTP gửi Văn phòng Chính phủ về việc hồ sơ dự thảo Nghị định thay thế </w:t>
            </w:r>
            <w:r w:rsidRPr="004A446B">
              <w:rPr>
                <w:rFonts w:ascii="Times New Roman" w:eastAsia="Times New Roman" w:hAnsi="Times New Roman" w:cs="Times New Roman"/>
                <w:bCs/>
                <w:noProof w:val="0"/>
                <w:kern w:val="0"/>
                <w14:ligatures w14:val="none"/>
              </w:rPr>
              <w:lastRenderedPageBreak/>
              <w:t>Nghị định số 15/2018/NĐ-CP và dự thảo Nghị quyết quy dịnh về công bố, đăng ký sản phẩm thực phẩm, gửi kèm theo Tờ trình số 1339/TTr-BYT gửi Chính phủ dự thảo Nghị quyết của Chính phủ quy định về công bố, đăng ký sản phẩm thực phẩm thay thế cho Tờ trình số 1229/TTr-BYT ngày 05/9/2025 của Bộ Y tế.</w:t>
            </w:r>
          </w:p>
          <w:p w14:paraId="599241CD" w14:textId="14D46CF0" w:rsidR="004A446B" w:rsidRPr="004A446B" w:rsidRDefault="004A446B" w:rsidP="0021459A">
            <w:pPr>
              <w:spacing w:after="0" w:line="240" w:lineRule="auto"/>
              <w:jc w:val="both"/>
              <w:rPr>
                <w:rFonts w:ascii="Times New Roman" w:eastAsia="Times New Roman" w:hAnsi="Times New Roman" w:cs="Times New Roman"/>
                <w:bCs/>
                <w:noProof w:val="0"/>
                <w:kern w:val="0"/>
                <w:lang w:val="en-US"/>
                <w14:ligatures w14:val="none"/>
              </w:rPr>
            </w:pPr>
            <w:r w:rsidRPr="004A446B">
              <w:rPr>
                <w:rFonts w:ascii="Times New Roman" w:eastAsia="Times New Roman" w:hAnsi="Times New Roman" w:cs="Times New Roman"/>
                <w:bCs/>
                <w:noProof w:val="0"/>
                <w:kern w:val="0"/>
                <w14:ligatures w14:val="none"/>
              </w:rPr>
              <w:t>- Ngày 26/9/2025, Bộ Y tế (Cục an toàn thực phẩm) đã dự thảo Phiếu lấy ý kiến Thành viên Chính phủ đối với Dự thảo Nghị quyết gửi Văn phòng Chính phủ (theo công văn số 1907/ATTP-SP ngày 26/9/2025 của Cục ATTP).</w:t>
            </w:r>
          </w:p>
        </w:tc>
      </w:tr>
      <w:tr w:rsidR="004A446B" w:rsidRPr="00DC21FE" w14:paraId="0BB2C54B" w14:textId="77777777" w:rsidTr="0021459A">
        <w:trPr>
          <w:trHeight w:val="1126"/>
        </w:trPr>
        <w:tc>
          <w:tcPr>
            <w:tcW w:w="670" w:type="dxa"/>
            <w:vAlign w:val="center"/>
            <w:hideMark/>
          </w:tcPr>
          <w:p w14:paraId="3EAA1EE4" w14:textId="77777777" w:rsidR="004A446B" w:rsidRPr="0023761B" w:rsidRDefault="004A446B" w:rsidP="00850BBE">
            <w:pPr>
              <w:spacing w:after="0" w:line="240" w:lineRule="auto"/>
              <w:jc w:val="both"/>
              <w:rPr>
                <w:rFonts w:ascii="Times New Roman" w:eastAsia="Times New Roman" w:hAnsi="Times New Roman" w:cs="Times New Roman"/>
                <w:b/>
                <w:bCs/>
                <w:noProof w:val="0"/>
                <w:color w:val="000000" w:themeColor="text1"/>
                <w:kern w:val="0"/>
                <w:lang w:val="en-US"/>
                <w14:ligatures w14:val="none"/>
              </w:rPr>
            </w:pPr>
            <w:r w:rsidRPr="0023761B">
              <w:rPr>
                <w:rFonts w:ascii="Times New Roman" w:eastAsia="Times New Roman" w:hAnsi="Times New Roman" w:cs="Times New Roman"/>
                <w:b/>
                <w:bCs/>
                <w:noProof w:val="0"/>
                <w:color w:val="000000" w:themeColor="text1"/>
                <w:kern w:val="0"/>
                <w:lang w:val="en-US"/>
                <w14:ligatures w14:val="none"/>
              </w:rPr>
              <w:t>2</w:t>
            </w:r>
          </w:p>
        </w:tc>
        <w:tc>
          <w:tcPr>
            <w:tcW w:w="2115" w:type="dxa"/>
            <w:hideMark/>
          </w:tcPr>
          <w:p w14:paraId="1F6FDC49" w14:textId="77777777" w:rsidR="004A446B" w:rsidRPr="0023761B" w:rsidRDefault="004A446B" w:rsidP="0021459A">
            <w:pPr>
              <w:spacing w:after="0" w:line="240" w:lineRule="auto"/>
              <w:jc w:val="both"/>
              <w:rPr>
                <w:rFonts w:ascii="Times New Roman" w:eastAsia="Times New Roman" w:hAnsi="Times New Roman" w:cs="Times New Roman"/>
                <w:noProof w:val="0"/>
                <w:color w:val="000000" w:themeColor="text1"/>
                <w:kern w:val="0"/>
                <w:lang w:val="en-US"/>
                <w14:ligatures w14:val="none"/>
              </w:rPr>
            </w:pPr>
            <w:r w:rsidRPr="0023761B">
              <w:rPr>
                <w:rFonts w:ascii="Times New Roman" w:eastAsia="Times New Roman" w:hAnsi="Times New Roman" w:cs="Times New Roman"/>
                <w:noProof w:val="0"/>
                <w:color w:val="000000" w:themeColor="text1"/>
                <w:kern w:val="0"/>
                <w:lang w:val="en-US"/>
                <w14:ligatures w14:val="none"/>
              </w:rPr>
              <w:t>Khoản 3 Điều 12 Luật An toàn thực phẩm; khoản 1 Điều 4 Nghị định số 15/2018/NĐ-CP ngày 02/02/2018 của Chính phủ quy định chi tiết một số điều của Luật An toàn thực phẩm</w:t>
            </w:r>
          </w:p>
        </w:tc>
        <w:tc>
          <w:tcPr>
            <w:tcW w:w="4440" w:type="dxa"/>
            <w:hideMark/>
          </w:tcPr>
          <w:p w14:paraId="21628CA0" w14:textId="77777777" w:rsidR="004A446B" w:rsidRPr="0023761B" w:rsidRDefault="004A446B" w:rsidP="0021459A">
            <w:pPr>
              <w:spacing w:after="0" w:line="240" w:lineRule="auto"/>
              <w:jc w:val="both"/>
              <w:rPr>
                <w:rFonts w:ascii="Times New Roman" w:eastAsia="Times New Roman" w:hAnsi="Times New Roman" w:cs="Times New Roman"/>
                <w:noProof w:val="0"/>
                <w:color w:val="000000" w:themeColor="text1"/>
                <w:kern w:val="0"/>
                <w:lang w:val="en-US"/>
                <w14:ligatures w14:val="none"/>
              </w:rPr>
            </w:pPr>
            <w:r w:rsidRPr="0023761B">
              <w:rPr>
                <w:rFonts w:ascii="Times New Roman" w:eastAsia="Times New Roman" w:hAnsi="Times New Roman" w:cs="Times New Roman"/>
                <w:noProof w:val="0"/>
                <w:color w:val="000000" w:themeColor="text1"/>
                <w:kern w:val="0"/>
                <w:lang w:val="en-US"/>
                <w14:ligatures w14:val="none"/>
              </w:rPr>
              <w:t xml:space="preserve">Theo khoản 3 Điều 12 Luật An toàn thực phẩm quy định: Thực phẩm đã qua chế biến bao gói sẵn phải đăng ký bản công bố hợp quy với cơ quan nhà nước có thẩm quyền trước khi lưu thông trên thị trường. Chính phủ quy định cụ thể việc đăng ký bản công bố hợp quy và thời hạn của bản đăng ký công bố hợp quy đối với thực phẩm đã qua chế biến bao gói sẵn. Tuy nhiên, tại khoản 1 Điều 4 Nghị định số 15/2018/NĐ-CP quy định công bố sản phẩm thực phẩm còn bất cập. Cụ thể, chỉ nhóm thực phẩm chức năng, </w:t>
            </w:r>
            <w:r w:rsidRPr="0023761B">
              <w:rPr>
                <w:rFonts w:ascii="Times New Roman" w:eastAsia="Times New Roman" w:hAnsi="Times New Roman" w:cs="Times New Roman"/>
                <w:noProof w:val="0"/>
                <w:color w:val="000000" w:themeColor="text1"/>
                <w:kern w:val="0"/>
                <w:lang w:val="en-US"/>
                <w14:ligatures w14:val="none"/>
              </w:rPr>
              <w:lastRenderedPageBreak/>
              <w:t>cho trẻ dưới 36 tháng tuổi phải đăng ký và được xác nhận của cơ quan quản lý nhà nước mới được sản xuất, kinh doanh; Còn lại các sản phẩm, thực phẩm khác thì tự công bố và sản xuất đưa sản phẩm ra thị trường, không phải đăng ký, xác nhận của cơ quan quản lý nhà nước. Không quy định thời hạn của bản đăng ký công bố hợp quy, cơ quan giám sát, tiếp nhận công bố, hướng dẫn ghi các chỉ tiêu chất lượng dẫn đến việc doanh nghiệp tự công bố và đưa sản phẩm ra lưu thông trên thị trường rất khó kiểm soát được về chất lượng.</w:t>
            </w:r>
          </w:p>
        </w:tc>
        <w:tc>
          <w:tcPr>
            <w:tcW w:w="1851" w:type="dxa"/>
            <w:hideMark/>
          </w:tcPr>
          <w:p w14:paraId="5CB9A120" w14:textId="77777777" w:rsidR="004A446B" w:rsidRPr="0023761B" w:rsidRDefault="004A446B" w:rsidP="0021459A">
            <w:pPr>
              <w:spacing w:after="0" w:line="240" w:lineRule="auto"/>
              <w:jc w:val="both"/>
              <w:rPr>
                <w:rFonts w:ascii="Times New Roman" w:eastAsia="Times New Roman" w:hAnsi="Times New Roman" w:cs="Times New Roman"/>
                <w:noProof w:val="0"/>
                <w:color w:val="000000" w:themeColor="text1"/>
                <w:kern w:val="0"/>
                <w:lang w:val="en-US"/>
                <w14:ligatures w14:val="none"/>
              </w:rPr>
            </w:pPr>
            <w:r w:rsidRPr="0023761B">
              <w:rPr>
                <w:rFonts w:ascii="Times New Roman" w:eastAsia="Times New Roman" w:hAnsi="Times New Roman" w:cs="Times New Roman"/>
                <w:noProof w:val="0"/>
                <w:color w:val="000000" w:themeColor="text1"/>
                <w:kern w:val="0"/>
                <w:lang w:val="en-US"/>
                <w14:ligatures w14:val="none"/>
              </w:rPr>
              <w:lastRenderedPageBreak/>
              <w:t>C. Sửa đổi, bổ sung, thay thế, ban hành mới VBQPPL (theo trình tự, thủ tục rút gọn ban hành VBQPPL của Luật Ban hành VBQPPL)</w:t>
            </w:r>
          </w:p>
        </w:tc>
        <w:tc>
          <w:tcPr>
            <w:tcW w:w="1302" w:type="dxa"/>
            <w:hideMark/>
          </w:tcPr>
          <w:p w14:paraId="58674202" w14:textId="77777777" w:rsidR="004A446B" w:rsidRPr="0023761B" w:rsidRDefault="004A446B" w:rsidP="0021459A">
            <w:pPr>
              <w:spacing w:after="0" w:line="240" w:lineRule="auto"/>
              <w:jc w:val="both"/>
              <w:rPr>
                <w:rFonts w:ascii="Times New Roman" w:eastAsia="Times New Roman" w:hAnsi="Times New Roman" w:cs="Times New Roman"/>
                <w:noProof w:val="0"/>
                <w:color w:val="000000" w:themeColor="text1"/>
                <w:kern w:val="0"/>
                <w:lang w:val="en-US"/>
                <w14:ligatures w14:val="none"/>
              </w:rPr>
            </w:pPr>
            <w:r w:rsidRPr="0023761B">
              <w:rPr>
                <w:rFonts w:ascii="Times New Roman" w:eastAsia="Times New Roman" w:hAnsi="Times New Roman" w:cs="Times New Roman"/>
                <w:noProof w:val="0"/>
                <w:color w:val="000000" w:themeColor="text1"/>
                <w:kern w:val="0"/>
                <w:lang w:val="en-US"/>
                <w14:ligatures w14:val="none"/>
              </w:rPr>
              <w:t>Sở Tư pháp tỉnh Phú Thọ</w:t>
            </w:r>
          </w:p>
        </w:tc>
        <w:tc>
          <w:tcPr>
            <w:tcW w:w="2233" w:type="dxa"/>
            <w:hideMark/>
          </w:tcPr>
          <w:p w14:paraId="0C5C2A76" w14:textId="46329B1B" w:rsidR="004A446B" w:rsidRPr="0023761B" w:rsidRDefault="004A446B" w:rsidP="0021459A">
            <w:pPr>
              <w:spacing w:after="0" w:line="240" w:lineRule="auto"/>
              <w:jc w:val="both"/>
              <w:rPr>
                <w:rFonts w:ascii="Times New Roman" w:eastAsia="Times New Roman" w:hAnsi="Times New Roman" w:cs="Times New Roman"/>
                <w:noProof w:val="0"/>
                <w:color w:val="000000" w:themeColor="text1"/>
                <w:kern w:val="0"/>
                <w:lang w:val="en-US"/>
                <w14:ligatures w14:val="none"/>
              </w:rPr>
            </w:pPr>
            <w:r w:rsidRPr="0023761B">
              <w:rPr>
                <w:rFonts w:ascii="Times New Roman" w:eastAsia="Times New Roman" w:hAnsi="Times New Roman" w:cs="Times New Roman"/>
                <w:noProof w:val="0"/>
                <w:color w:val="000000" w:themeColor="text1"/>
                <w:kern w:val="0"/>
                <w:lang w:val="en-US"/>
                <w14:ligatures w14:val="none"/>
              </w:rPr>
              <w:t>Nhất trí tiếp thu, Bộ Y tế sẽ xử lý nội dung không phù hợp giữa Luật và Nghị định bằng Nghị quyết của Chính phủ theo cơ chế Nghị quyết 206/2025/QH15</w:t>
            </w:r>
          </w:p>
        </w:tc>
        <w:tc>
          <w:tcPr>
            <w:tcW w:w="2897" w:type="dxa"/>
            <w:vMerge/>
            <w:vAlign w:val="center"/>
          </w:tcPr>
          <w:p w14:paraId="46D59B47" w14:textId="0BD7BA24" w:rsidR="004A446B" w:rsidRPr="003E1E67" w:rsidRDefault="004A446B" w:rsidP="00850BBE">
            <w:pPr>
              <w:spacing w:after="0" w:line="240" w:lineRule="auto"/>
              <w:jc w:val="both"/>
              <w:rPr>
                <w:rFonts w:ascii="Times New Roman" w:eastAsia="Times New Roman" w:hAnsi="Times New Roman" w:cs="Times New Roman"/>
                <w:b/>
                <w:noProof w:val="0"/>
                <w:color w:val="FF0000"/>
                <w:kern w:val="0"/>
                <w:lang w:val="en-US"/>
                <w14:ligatures w14:val="none"/>
              </w:rPr>
            </w:pPr>
          </w:p>
        </w:tc>
      </w:tr>
    </w:tbl>
    <w:p w14:paraId="39E0A475" w14:textId="77777777" w:rsidR="00BC2125" w:rsidRDefault="00BC2125" w:rsidP="00850BBE">
      <w:pPr>
        <w:tabs>
          <w:tab w:val="left" w:pos="1265"/>
        </w:tabs>
        <w:jc w:val="both"/>
        <w:rPr>
          <w:rFonts w:ascii="Times New Roman" w:eastAsia="Times New Roman" w:hAnsi="Times New Roman" w:cs="Times New Roman"/>
          <w:lang w:val="en-US"/>
        </w:rPr>
      </w:pPr>
    </w:p>
    <w:p w14:paraId="3B38660C" w14:textId="77777777" w:rsidR="0014019D" w:rsidRPr="0014019D" w:rsidRDefault="0014019D" w:rsidP="0014019D">
      <w:pPr>
        <w:rPr>
          <w:rFonts w:ascii="Times New Roman" w:eastAsia="Times New Roman" w:hAnsi="Times New Roman" w:cs="Times New Roman"/>
          <w:lang w:val="en-US"/>
        </w:rPr>
      </w:pPr>
    </w:p>
    <w:p w14:paraId="4834861C" w14:textId="77777777" w:rsidR="0014019D" w:rsidRPr="0014019D" w:rsidRDefault="0014019D" w:rsidP="0014019D">
      <w:pPr>
        <w:rPr>
          <w:rFonts w:ascii="Times New Roman" w:eastAsia="Times New Roman" w:hAnsi="Times New Roman" w:cs="Times New Roman"/>
          <w:lang w:val="en-US"/>
        </w:rPr>
      </w:pPr>
    </w:p>
    <w:sectPr w:rsidR="0014019D" w:rsidRPr="0014019D" w:rsidSect="00515C77">
      <w:headerReference w:type="default" r:id="rId8"/>
      <w:footerReference w:type="default" r:id="rId9"/>
      <w:pgSz w:w="16840" w:h="11907" w:orient="landscape" w:code="9"/>
      <w:pgMar w:top="567" w:right="567" w:bottom="567" w:left="56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7331" w14:textId="77777777" w:rsidR="005D78A4" w:rsidRDefault="005D78A4" w:rsidP="00884704">
      <w:pPr>
        <w:spacing w:after="0" w:line="240" w:lineRule="auto"/>
      </w:pPr>
      <w:r>
        <w:separator/>
      </w:r>
    </w:p>
  </w:endnote>
  <w:endnote w:type="continuationSeparator" w:id="0">
    <w:p w14:paraId="4D708EC8" w14:textId="77777777" w:rsidR="005D78A4" w:rsidRDefault="005D78A4" w:rsidP="0088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91A6" w14:textId="088A16A7" w:rsidR="00884704" w:rsidRPr="00884704" w:rsidRDefault="00884704" w:rsidP="0088470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A0C8" w14:textId="77777777" w:rsidR="005D78A4" w:rsidRDefault="005D78A4" w:rsidP="00884704">
      <w:pPr>
        <w:spacing w:after="0" w:line="240" w:lineRule="auto"/>
      </w:pPr>
      <w:r>
        <w:separator/>
      </w:r>
    </w:p>
  </w:footnote>
  <w:footnote w:type="continuationSeparator" w:id="0">
    <w:p w14:paraId="366D8AFB" w14:textId="77777777" w:rsidR="005D78A4" w:rsidRDefault="005D78A4" w:rsidP="0088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71541831"/>
      <w:docPartObj>
        <w:docPartGallery w:val="Page Numbers (Top of Page)"/>
        <w:docPartUnique/>
      </w:docPartObj>
    </w:sdtPr>
    <w:sdtEndPr>
      <w:rPr>
        <w:rFonts w:ascii="Times New Roman" w:hAnsi="Times New Roman" w:cs="Times New Roman"/>
        <w:noProof/>
      </w:rPr>
    </w:sdtEndPr>
    <w:sdtContent>
      <w:p w14:paraId="2C018AD2" w14:textId="781E3CD8" w:rsidR="0014019D" w:rsidRPr="0014019D" w:rsidRDefault="0014019D">
        <w:pPr>
          <w:pStyle w:val="Header"/>
          <w:jc w:val="center"/>
          <w:rPr>
            <w:rFonts w:ascii="Times New Roman" w:hAnsi="Times New Roman" w:cs="Times New Roman"/>
          </w:rPr>
        </w:pPr>
        <w:r w:rsidRPr="0014019D">
          <w:rPr>
            <w:rFonts w:ascii="Times New Roman" w:hAnsi="Times New Roman" w:cs="Times New Roman"/>
            <w:noProof w:val="0"/>
          </w:rPr>
          <w:fldChar w:fldCharType="begin"/>
        </w:r>
        <w:r w:rsidRPr="0014019D">
          <w:rPr>
            <w:rFonts w:ascii="Times New Roman" w:hAnsi="Times New Roman" w:cs="Times New Roman"/>
          </w:rPr>
          <w:instrText xml:space="preserve"> PAGE   \* MERGEFORMAT </w:instrText>
        </w:r>
        <w:r w:rsidRPr="0014019D">
          <w:rPr>
            <w:rFonts w:ascii="Times New Roman" w:hAnsi="Times New Roman" w:cs="Times New Roman"/>
            <w:noProof w:val="0"/>
          </w:rPr>
          <w:fldChar w:fldCharType="separate"/>
        </w:r>
        <w:r w:rsidR="0092008F">
          <w:rPr>
            <w:rFonts w:ascii="Times New Roman" w:hAnsi="Times New Roman" w:cs="Times New Roman"/>
          </w:rPr>
          <w:t>2</w:t>
        </w:r>
        <w:r w:rsidRPr="0014019D">
          <w:rPr>
            <w:rFonts w:ascii="Times New Roman" w:hAnsi="Times New Roman" w:cs="Times New Roman"/>
          </w:rPr>
          <w:fldChar w:fldCharType="end"/>
        </w:r>
      </w:p>
    </w:sdtContent>
  </w:sdt>
  <w:p w14:paraId="20C793EF" w14:textId="77777777" w:rsidR="0014019D" w:rsidRDefault="00140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C55CE"/>
    <w:multiLevelType w:val="hybridMultilevel"/>
    <w:tmpl w:val="2F308E5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6296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9E"/>
    <w:rsid w:val="00021609"/>
    <w:rsid w:val="00064593"/>
    <w:rsid w:val="000D6B4A"/>
    <w:rsid w:val="000F5559"/>
    <w:rsid w:val="001013E5"/>
    <w:rsid w:val="001217E4"/>
    <w:rsid w:val="0013149F"/>
    <w:rsid w:val="0014019D"/>
    <w:rsid w:val="00166ABB"/>
    <w:rsid w:val="001A029E"/>
    <w:rsid w:val="0021459A"/>
    <w:rsid w:val="0023761B"/>
    <w:rsid w:val="00245D6E"/>
    <w:rsid w:val="0025501F"/>
    <w:rsid w:val="002A79E1"/>
    <w:rsid w:val="002E04B7"/>
    <w:rsid w:val="002E49FD"/>
    <w:rsid w:val="00342B9E"/>
    <w:rsid w:val="00350C22"/>
    <w:rsid w:val="00356660"/>
    <w:rsid w:val="003677DB"/>
    <w:rsid w:val="003E04CB"/>
    <w:rsid w:val="003E1E67"/>
    <w:rsid w:val="00413B01"/>
    <w:rsid w:val="004260E0"/>
    <w:rsid w:val="004A446B"/>
    <w:rsid w:val="00515C77"/>
    <w:rsid w:val="00533541"/>
    <w:rsid w:val="00564C21"/>
    <w:rsid w:val="005D78A4"/>
    <w:rsid w:val="00611EC6"/>
    <w:rsid w:val="006207FC"/>
    <w:rsid w:val="006307B4"/>
    <w:rsid w:val="00633BC3"/>
    <w:rsid w:val="00675539"/>
    <w:rsid w:val="006E5B62"/>
    <w:rsid w:val="00715BFE"/>
    <w:rsid w:val="00772561"/>
    <w:rsid w:val="00783BFE"/>
    <w:rsid w:val="0078512D"/>
    <w:rsid w:val="007A2FF3"/>
    <w:rsid w:val="007A66E0"/>
    <w:rsid w:val="007C6D6A"/>
    <w:rsid w:val="0081641F"/>
    <w:rsid w:val="00850BBE"/>
    <w:rsid w:val="00884704"/>
    <w:rsid w:val="00887D44"/>
    <w:rsid w:val="00893B71"/>
    <w:rsid w:val="00897BC1"/>
    <w:rsid w:val="008A2F9B"/>
    <w:rsid w:val="008A4854"/>
    <w:rsid w:val="008C24E6"/>
    <w:rsid w:val="008C3B90"/>
    <w:rsid w:val="008E6E80"/>
    <w:rsid w:val="009002FF"/>
    <w:rsid w:val="0092008F"/>
    <w:rsid w:val="00972F1D"/>
    <w:rsid w:val="00975717"/>
    <w:rsid w:val="00A51B79"/>
    <w:rsid w:val="00A70395"/>
    <w:rsid w:val="00A76818"/>
    <w:rsid w:val="00AA5F02"/>
    <w:rsid w:val="00AD76E2"/>
    <w:rsid w:val="00B05FA5"/>
    <w:rsid w:val="00B17EE9"/>
    <w:rsid w:val="00B22BB6"/>
    <w:rsid w:val="00B30F86"/>
    <w:rsid w:val="00BB08A0"/>
    <w:rsid w:val="00BC2125"/>
    <w:rsid w:val="00C04E98"/>
    <w:rsid w:val="00CA430A"/>
    <w:rsid w:val="00CB1AB4"/>
    <w:rsid w:val="00CE4C50"/>
    <w:rsid w:val="00D86D7F"/>
    <w:rsid w:val="00D921E4"/>
    <w:rsid w:val="00DC21FE"/>
    <w:rsid w:val="00E305D5"/>
    <w:rsid w:val="00E51A58"/>
    <w:rsid w:val="00E71938"/>
    <w:rsid w:val="00E7404D"/>
    <w:rsid w:val="00F4699B"/>
    <w:rsid w:val="00F6260D"/>
    <w:rsid w:val="00F74277"/>
    <w:rsid w:val="00F95423"/>
    <w:rsid w:val="00FD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4DE9F"/>
  <w15:chartTrackingRefBased/>
  <w15:docId w15:val="{E551E1EB-7DE0-450A-B2CE-20EFEBEA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34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B9E"/>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342B9E"/>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342B9E"/>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342B9E"/>
    <w:rPr>
      <w:rFonts w:eastAsiaTheme="majorEastAsia"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342B9E"/>
    <w:rPr>
      <w:rFonts w:eastAsiaTheme="majorEastAsia"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342B9E"/>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342B9E"/>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342B9E"/>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342B9E"/>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34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B9E"/>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34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B9E"/>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342B9E"/>
    <w:pPr>
      <w:spacing w:before="160"/>
      <w:jc w:val="center"/>
    </w:pPr>
    <w:rPr>
      <w:i/>
      <w:iCs/>
      <w:color w:val="404040" w:themeColor="text1" w:themeTint="BF"/>
    </w:rPr>
  </w:style>
  <w:style w:type="character" w:customStyle="1" w:styleId="QuoteChar">
    <w:name w:val="Quote Char"/>
    <w:basedOn w:val="DefaultParagraphFont"/>
    <w:link w:val="Quote"/>
    <w:uiPriority w:val="29"/>
    <w:rsid w:val="00342B9E"/>
    <w:rPr>
      <w:i/>
      <w:iCs/>
      <w:noProof/>
      <w:color w:val="404040" w:themeColor="text1" w:themeTint="BF"/>
      <w:lang w:val="vi-VN"/>
    </w:rPr>
  </w:style>
  <w:style w:type="paragraph" w:styleId="ListParagraph">
    <w:name w:val="List Paragraph"/>
    <w:basedOn w:val="Normal"/>
    <w:uiPriority w:val="34"/>
    <w:qFormat/>
    <w:rsid w:val="00342B9E"/>
    <w:pPr>
      <w:ind w:left="720"/>
      <w:contextualSpacing/>
    </w:pPr>
  </w:style>
  <w:style w:type="character" w:styleId="IntenseEmphasis">
    <w:name w:val="Intense Emphasis"/>
    <w:basedOn w:val="DefaultParagraphFont"/>
    <w:uiPriority w:val="21"/>
    <w:qFormat/>
    <w:rsid w:val="00342B9E"/>
    <w:rPr>
      <w:i/>
      <w:iCs/>
      <w:color w:val="0F4761" w:themeColor="accent1" w:themeShade="BF"/>
    </w:rPr>
  </w:style>
  <w:style w:type="paragraph" w:styleId="IntenseQuote">
    <w:name w:val="Intense Quote"/>
    <w:basedOn w:val="Normal"/>
    <w:next w:val="Normal"/>
    <w:link w:val="IntenseQuoteChar"/>
    <w:uiPriority w:val="30"/>
    <w:qFormat/>
    <w:rsid w:val="0034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B9E"/>
    <w:rPr>
      <w:i/>
      <w:iCs/>
      <w:noProof/>
      <w:color w:val="0F4761" w:themeColor="accent1" w:themeShade="BF"/>
      <w:lang w:val="vi-VN"/>
    </w:rPr>
  </w:style>
  <w:style w:type="character" w:styleId="IntenseReference">
    <w:name w:val="Intense Reference"/>
    <w:basedOn w:val="DefaultParagraphFont"/>
    <w:uiPriority w:val="32"/>
    <w:qFormat/>
    <w:rsid w:val="00342B9E"/>
    <w:rPr>
      <w:b/>
      <w:bCs/>
      <w:smallCaps/>
      <w:color w:val="0F4761" w:themeColor="accent1" w:themeShade="BF"/>
      <w:spacing w:val="5"/>
    </w:rPr>
  </w:style>
  <w:style w:type="paragraph" w:styleId="Header">
    <w:name w:val="header"/>
    <w:basedOn w:val="Normal"/>
    <w:link w:val="HeaderChar"/>
    <w:uiPriority w:val="99"/>
    <w:unhideWhenUsed/>
    <w:rsid w:val="00884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704"/>
    <w:rPr>
      <w:noProof/>
      <w:lang w:val="vi-VN"/>
    </w:rPr>
  </w:style>
  <w:style w:type="paragraph" w:styleId="Footer">
    <w:name w:val="footer"/>
    <w:basedOn w:val="Normal"/>
    <w:link w:val="FooterChar"/>
    <w:uiPriority w:val="99"/>
    <w:unhideWhenUsed/>
    <w:rsid w:val="00884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704"/>
    <w:rPr>
      <w:noProof/>
      <w:lang w:val="vi-VN"/>
    </w:rPr>
  </w:style>
  <w:style w:type="table" w:styleId="TableGrid">
    <w:name w:val="Table Grid"/>
    <w:basedOn w:val="TableNormal"/>
    <w:uiPriority w:val="39"/>
    <w:rsid w:val="00B05FA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FA5"/>
    <w:pPr>
      <w:spacing w:before="100" w:beforeAutospacing="1" w:after="100" w:afterAutospacing="1" w:line="240" w:lineRule="auto"/>
    </w:pPr>
    <w:rPr>
      <w:rFonts w:ascii="Times New Roman" w:eastAsiaTheme="minorEastAsia" w:hAnsi="Times New Roman" w:cs="Times New Roman"/>
      <w:noProof w:val="0"/>
      <w:kern w:val="0"/>
      <w:lang w:val="en-US"/>
    </w:rPr>
  </w:style>
  <w:style w:type="character" w:styleId="Strong">
    <w:name w:val="Strong"/>
    <w:basedOn w:val="DefaultParagraphFont"/>
    <w:uiPriority w:val="22"/>
    <w:qFormat/>
    <w:rsid w:val="00B05FA5"/>
    <w:rPr>
      <w:b/>
      <w:bCs/>
    </w:rPr>
  </w:style>
  <w:style w:type="paragraph" w:styleId="FootnoteText">
    <w:name w:val="footnote text"/>
    <w:basedOn w:val="Normal"/>
    <w:link w:val="FootnoteTextChar"/>
    <w:uiPriority w:val="99"/>
    <w:semiHidden/>
    <w:unhideWhenUsed/>
    <w:rsid w:val="00897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BC1"/>
    <w:rPr>
      <w:noProof/>
      <w:sz w:val="20"/>
      <w:szCs w:val="20"/>
      <w:lang w:val="vi-VN"/>
    </w:rPr>
  </w:style>
  <w:style w:type="character" w:styleId="FootnoteReference">
    <w:name w:val="footnote reference"/>
    <w:basedOn w:val="DefaultParagraphFont"/>
    <w:uiPriority w:val="99"/>
    <w:semiHidden/>
    <w:unhideWhenUsed/>
    <w:rsid w:val="00897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8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0D379-AD4C-4FC0-9EB7-9734DA0D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thaotp</dc:creator>
  <cp:keywords/>
  <dc:description/>
  <cp:lastModifiedBy>Hoc, Tran Dang (BDN)</cp:lastModifiedBy>
  <cp:revision>14</cp:revision>
  <dcterms:created xsi:type="dcterms:W3CDTF">2025-10-01T06:24:00Z</dcterms:created>
  <dcterms:modified xsi:type="dcterms:W3CDTF">2025-12-14T03:39:00Z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5f35fdc9-4390-41c0-907c-7f8a56d76ca4</vt:lpwstr>
  </property>
</Properties>
</file>