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3752D" w14:textId="77777777" w:rsidR="000D6C31" w:rsidRPr="00A35EC9" w:rsidRDefault="000D6C31" w:rsidP="003E40A6">
      <w:pPr>
        <w:pStyle w:val="NormalWeb"/>
        <w:spacing w:before="0" w:beforeAutospacing="0" w:after="0" w:afterAutospacing="0" w:line="264" w:lineRule="auto"/>
        <w:rPr>
          <w:rStyle w:val="Strong"/>
          <w:sz w:val="26"/>
          <w:szCs w:val="26"/>
        </w:rPr>
      </w:pPr>
    </w:p>
    <w:p w14:paraId="6862F7B1" w14:textId="66EAFDF7" w:rsidR="00954624" w:rsidRPr="00A35EC9" w:rsidRDefault="00954624" w:rsidP="00C969A4">
      <w:pPr>
        <w:pStyle w:val="NormalWeb"/>
        <w:spacing w:before="0" w:beforeAutospacing="0" w:after="0" w:afterAutospacing="0" w:line="264" w:lineRule="auto"/>
        <w:jc w:val="center"/>
        <w:rPr>
          <w:sz w:val="26"/>
          <w:szCs w:val="26"/>
        </w:rPr>
      </w:pPr>
      <w:r w:rsidRPr="00A35EC9">
        <w:rPr>
          <w:rStyle w:val="Strong"/>
          <w:sz w:val="26"/>
          <w:szCs w:val="26"/>
        </w:rPr>
        <w:t xml:space="preserve">Phụ lục </w:t>
      </w:r>
      <w:r w:rsidR="00421BCB">
        <w:rPr>
          <w:rStyle w:val="Strong"/>
          <w:sz w:val="26"/>
          <w:szCs w:val="26"/>
        </w:rPr>
        <w:t>I</w:t>
      </w:r>
      <w:r w:rsidRPr="00A35EC9">
        <w:rPr>
          <w:rStyle w:val="Strong"/>
          <w:sz w:val="26"/>
          <w:szCs w:val="26"/>
        </w:rPr>
        <w:t>.</w:t>
      </w:r>
      <w:r w:rsidR="004C0220" w:rsidRPr="00A35EC9">
        <w:rPr>
          <w:rStyle w:val="Strong"/>
          <w:sz w:val="26"/>
          <w:szCs w:val="26"/>
        </w:rPr>
        <w:t>3</w:t>
      </w:r>
      <w:r w:rsidRPr="00A35EC9">
        <w:rPr>
          <w:rStyle w:val="Strong"/>
          <w:sz w:val="26"/>
          <w:szCs w:val="26"/>
        </w:rPr>
        <w:t>.3.B</w:t>
      </w:r>
    </w:p>
    <w:p w14:paraId="37C531EC" w14:textId="77777777" w:rsidR="00954624" w:rsidRPr="00A35EC9" w:rsidRDefault="00A35EC9" w:rsidP="00C969A4">
      <w:pPr>
        <w:pStyle w:val="NormalWeb"/>
        <w:spacing w:before="0" w:beforeAutospacing="0" w:after="0" w:afterAutospacing="0" w:line="264" w:lineRule="auto"/>
        <w:jc w:val="center"/>
        <w:rPr>
          <w:rStyle w:val="Strong"/>
          <w:sz w:val="26"/>
          <w:szCs w:val="26"/>
        </w:rPr>
      </w:pPr>
      <w:r w:rsidRPr="00A35EC9">
        <w:rPr>
          <w:rStyle w:val="Strong"/>
          <w:sz w:val="26"/>
          <w:szCs w:val="26"/>
        </w:rPr>
        <w:t>TÌNH HÌNH XỬ LÝ ĐỐI VỚI KẾT QUẢ</w:t>
      </w:r>
      <w:r w:rsidR="00954624" w:rsidRPr="00A35EC9">
        <w:rPr>
          <w:rStyle w:val="Strong"/>
          <w:sz w:val="26"/>
          <w:szCs w:val="26"/>
        </w:rPr>
        <w:t xml:space="preserve"> RÀ SOÁT KHÓ KHĂN, VƯỚNG MẮC DO QUY ĐỊNH PHÁP LUẬT</w:t>
      </w:r>
    </w:p>
    <w:p w14:paraId="2318E9E7" w14:textId="77777777" w:rsidR="00954624" w:rsidRPr="00A35EC9" w:rsidRDefault="00954624" w:rsidP="00C969A4">
      <w:pPr>
        <w:pStyle w:val="NormalWeb"/>
        <w:spacing w:before="0" w:beforeAutospacing="0" w:after="0" w:afterAutospacing="0" w:line="264" w:lineRule="auto"/>
        <w:jc w:val="center"/>
        <w:rPr>
          <w:sz w:val="26"/>
          <w:szCs w:val="26"/>
        </w:rPr>
      </w:pPr>
      <w:r w:rsidRPr="00A35EC9">
        <w:rPr>
          <w:rStyle w:val="Strong"/>
          <w:sz w:val="26"/>
          <w:szCs w:val="26"/>
        </w:rPr>
        <w:t xml:space="preserve">THUỘC PHẠM VI PHỤ TRÁCH </w:t>
      </w:r>
      <w:r w:rsidRPr="00A35EC9">
        <w:rPr>
          <w:b/>
          <w:bCs/>
          <w:spacing w:val="-4"/>
          <w:sz w:val="26"/>
          <w:szCs w:val="26"/>
          <w:lang w:val="de-DE"/>
        </w:rPr>
        <w:t>CỦA BỘ TÀI CHÍNH</w:t>
      </w:r>
    </w:p>
    <w:p w14:paraId="0DD1FB1E" w14:textId="77777777" w:rsidR="00954624" w:rsidRPr="00A35EC9" w:rsidRDefault="00954624" w:rsidP="00C969A4">
      <w:pPr>
        <w:pStyle w:val="NormalWeb"/>
        <w:spacing w:before="0" w:beforeAutospacing="0" w:after="0" w:afterAutospacing="0" w:line="264" w:lineRule="auto"/>
        <w:jc w:val="center"/>
        <w:rPr>
          <w:rStyle w:val="Strong"/>
          <w:sz w:val="26"/>
          <w:szCs w:val="26"/>
        </w:rPr>
      </w:pPr>
      <w:r w:rsidRPr="00A35EC9">
        <w:rPr>
          <w:rStyle w:val="Strong"/>
          <w:sz w:val="26"/>
          <w:szCs w:val="26"/>
        </w:rPr>
        <w:t xml:space="preserve">Tiêu chí: Nội dung quy định được phản ánh tạo gánh nặng chi phí tuân thủ; chưa có quy định </w:t>
      </w:r>
    </w:p>
    <w:p w14:paraId="4B9B6A37" w14:textId="77777777" w:rsidR="00954624" w:rsidRPr="00A35EC9" w:rsidRDefault="00954624" w:rsidP="00C969A4">
      <w:pPr>
        <w:pStyle w:val="NormalWeb"/>
        <w:spacing w:before="0" w:beforeAutospacing="0" w:after="0" w:afterAutospacing="0" w:line="264" w:lineRule="auto"/>
        <w:jc w:val="center"/>
        <w:rPr>
          <w:rStyle w:val="Strong"/>
          <w:sz w:val="26"/>
          <w:szCs w:val="26"/>
        </w:rPr>
      </w:pPr>
      <w:r w:rsidRPr="00A35EC9">
        <w:rPr>
          <w:rStyle w:val="Strong"/>
          <w:sz w:val="26"/>
          <w:szCs w:val="26"/>
        </w:rPr>
        <w:t xml:space="preserve">hoặc có quy định của VBQPPL nhưng hạn chế việc đổi mới sáng tạo, phát triển động lực tăng trưởng mới, </w:t>
      </w:r>
    </w:p>
    <w:p w14:paraId="2446A24A" w14:textId="77777777" w:rsidR="00954624" w:rsidRPr="00A35EC9" w:rsidRDefault="00954624" w:rsidP="00C969A4">
      <w:pPr>
        <w:pStyle w:val="NormalWeb"/>
        <w:spacing w:before="0" w:beforeAutospacing="0" w:after="0" w:afterAutospacing="0" w:line="264" w:lineRule="auto"/>
        <w:jc w:val="center"/>
        <w:rPr>
          <w:rStyle w:val="Strong"/>
          <w:sz w:val="26"/>
          <w:szCs w:val="26"/>
        </w:rPr>
      </w:pPr>
      <w:r w:rsidRPr="00A35EC9">
        <w:rPr>
          <w:rStyle w:val="Strong"/>
          <w:sz w:val="26"/>
          <w:szCs w:val="26"/>
        </w:rPr>
        <w:t>khơi thông nguồn lực, thúc đẩy tăng trưởng kinh tế và hội nhập quốc tế</w:t>
      </w:r>
    </w:p>
    <w:p w14:paraId="44CCB059" w14:textId="77777777" w:rsidR="00166FFB" w:rsidRPr="00A35EC9" w:rsidRDefault="00954624" w:rsidP="00C969A4">
      <w:pPr>
        <w:pStyle w:val="NormalWeb"/>
        <w:spacing w:before="0" w:beforeAutospacing="0" w:after="0" w:afterAutospacing="0" w:line="264" w:lineRule="auto"/>
        <w:jc w:val="center"/>
        <w:rPr>
          <w:rStyle w:val="Strong"/>
          <w:sz w:val="26"/>
          <w:szCs w:val="26"/>
        </w:rPr>
      </w:pPr>
      <w:r w:rsidRPr="00A35EC9">
        <w:rPr>
          <w:rStyle w:val="Strong"/>
          <w:sz w:val="26"/>
          <w:szCs w:val="26"/>
        </w:rPr>
        <w:t xml:space="preserve">B. Nhóm các nội dung cho ý kiến nhất trí nhưng không áp dụng phương án, quy trình xử lý </w:t>
      </w:r>
    </w:p>
    <w:p w14:paraId="7B961A66" w14:textId="77777777" w:rsidR="00954624" w:rsidRDefault="00954624" w:rsidP="00C969A4">
      <w:pPr>
        <w:pStyle w:val="NormalWeb"/>
        <w:spacing w:before="0" w:beforeAutospacing="0" w:after="0" w:afterAutospacing="0" w:line="264" w:lineRule="auto"/>
        <w:jc w:val="center"/>
        <w:rPr>
          <w:rStyle w:val="Strong"/>
          <w:sz w:val="26"/>
          <w:szCs w:val="26"/>
        </w:rPr>
      </w:pPr>
      <w:r w:rsidRPr="00A35EC9">
        <w:rPr>
          <w:rStyle w:val="Strong"/>
          <w:sz w:val="26"/>
          <w:szCs w:val="26"/>
        </w:rPr>
        <w:t>nêu tại khoản 1 Điều 4 Nghị quyết số 206/2025/QH15 (xử lý theo quy trình thông thường)</w:t>
      </w:r>
    </w:p>
    <w:p w14:paraId="71D05B47" w14:textId="77777777" w:rsidR="00421BCB" w:rsidRPr="00421BCB" w:rsidRDefault="00421BCB" w:rsidP="00D30738">
      <w:pPr>
        <w:pStyle w:val="NormalWeb"/>
        <w:spacing w:before="0" w:beforeAutospacing="0" w:after="0" w:afterAutospacing="0" w:line="264" w:lineRule="auto"/>
        <w:jc w:val="center"/>
        <w:rPr>
          <w:rStyle w:val="Emphasis"/>
          <w:sz w:val="28"/>
          <w:szCs w:val="28"/>
        </w:rPr>
      </w:pPr>
    </w:p>
    <w:p w14:paraId="487FB39D" w14:textId="77777777" w:rsidR="00477078" w:rsidRPr="00A35EC9" w:rsidRDefault="00000000" w:rsidP="004C0220">
      <w:pPr>
        <w:spacing w:after="0"/>
        <w:jc w:val="both"/>
        <w:rPr>
          <w:rFonts w:ascii="Times New Roman" w:hAnsi="Times New Roman" w:cs="Times New Roman"/>
          <w:sz w:val="24"/>
          <w:szCs w:val="24"/>
        </w:rPr>
      </w:pPr>
      <w:r>
        <w:rPr>
          <w:rFonts w:ascii="Times New Roman" w:hAnsi="Times New Roman" w:cs="Times New Roman"/>
          <w:noProof/>
          <w:sz w:val="28"/>
          <w:szCs w:val="28"/>
        </w:rPr>
        <w:pict w14:anchorId="43F93001">
          <v:line id="Straight Connector 1" o:spid="_x0000_s1026" style="position:absolute;left:0;text-align:left;z-index:25166438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0" to="18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" strokeweight="1pt">
            <w10:wrap anchorx="margin"/>
          </v:line>
        </w:pict>
      </w:r>
    </w:p>
    <w:tbl>
      <w:tblPr>
        <w:tblpPr w:leftFromText="180" w:rightFromText="180" w:vertAnchor="text" w:tblpXSpec="center" w:tblpY="1"/>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1897"/>
        <w:gridCol w:w="3913"/>
        <w:gridCol w:w="1280"/>
        <w:gridCol w:w="1254"/>
        <w:gridCol w:w="2289"/>
        <w:gridCol w:w="2694"/>
      </w:tblGrid>
      <w:tr w:rsidR="005C5D35" w:rsidRPr="00A35EC9" w14:paraId="05CDFAE7" w14:textId="77777777" w:rsidTr="00ED03DD">
        <w:trPr>
          <w:tblHeader/>
        </w:trPr>
        <w:tc>
          <w:tcPr>
            <w:tcW w:w="702" w:type="dxa"/>
            <w:shd w:val="clear" w:color="auto" w:fill="FBE4D5" w:themeFill="accent2" w:themeFillTint="33"/>
            <w:vAlign w:val="center"/>
            <w:hideMark/>
          </w:tcPr>
          <w:p w14:paraId="661A71EA" w14:textId="77777777" w:rsidR="005C5D35" w:rsidRPr="00A35EC9" w:rsidRDefault="005C5D35" w:rsidP="00ED03DD">
            <w:pPr>
              <w:tabs>
                <w:tab w:val="left" w:pos="360"/>
              </w:tabs>
              <w:spacing w:after="0" w:line="240" w:lineRule="auto"/>
              <w:ind w:left="360"/>
              <w:jc w:val="center"/>
              <w:rPr>
                <w:rFonts w:ascii="Times New Roman" w:eastAsia="Times New Roman" w:hAnsi="Times New Roman" w:cs="Times New Roman"/>
                <w:b/>
                <w:bCs/>
                <w:sz w:val="24"/>
                <w:szCs w:val="24"/>
              </w:rPr>
            </w:pPr>
          </w:p>
          <w:p w14:paraId="1F90FCB8" w14:textId="77777777" w:rsidR="005C5D35" w:rsidRPr="00A35EC9" w:rsidRDefault="005C5D35" w:rsidP="00ED03DD">
            <w:pPr>
              <w:tabs>
                <w:tab w:val="left" w:pos="360"/>
              </w:tabs>
              <w:spacing w:after="0" w:line="240" w:lineRule="auto"/>
              <w:jc w:val="center"/>
              <w:rPr>
                <w:rFonts w:ascii="Times New Roman" w:eastAsia="Times New Roman" w:hAnsi="Times New Roman" w:cs="Times New Roman"/>
                <w:b/>
                <w:bCs/>
                <w:sz w:val="24"/>
                <w:szCs w:val="24"/>
              </w:rPr>
            </w:pPr>
            <w:r w:rsidRPr="00A35EC9">
              <w:rPr>
                <w:rFonts w:ascii="Times New Roman" w:eastAsia="Times New Roman" w:hAnsi="Times New Roman" w:cs="Times New Roman"/>
                <w:b/>
                <w:bCs/>
                <w:sz w:val="24"/>
                <w:szCs w:val="24"/>
              </w:rPr>
              <w:t>STT</w:t>
            </w:r>
          </w:p>
        </w:tc>
        <w:tc>
          <w:tcPr>
            <w:tcW w:w="1897" w:type="dxa"/>
            <w:shd w:val="clear" w:color="auto" w:fill="FBE4D5" w:themeFill="accent2" w:themeFillTint="33"/>
            <w:vAlign w:val="center"/>
            <w:hideMark/>
          </w:tcPr>
          <w:p w14:paraId="183BE91A" w14:textId="77777777" w:rsidR="005C5D35" w:rsidRPr="00A35EC9" w:rsidRDefault="005C5D35" w:rsidP="00ED03DD">
            <w:pPr>
              <w:tabs>
                <w:tab w:val="left" w:pos="360"/>
              </w:tabs>
              <w:spacing w:after="0" w:line="240" w:lineRule="auto"/>
              <w:jc w:val="center"/>
              <w:rPr>
                <w:rFonts w:ascii="Times New Roman" w:eastAsia="Times New Roman" w:hAnsi="Times New Roman" w:cs="Times New Roman"/>
                <w:b/>
                <w:bCs/>
                <w:sz w:val="24"/>
                <w:szCs w:val="24"/>
              </w:rPr>
            </w:pPr>
            <w:r w:rsidRPr="00A35EC9">
              <w:rPr>
                <w:rFonts w:ascii="Times New Roman" w:eastAsia="Times New Roman" w:hAnsi="Times New Roman" w:cs="Times New Roman"/>
                <w:b/>
                <w:bCs/>
                <w:sz w:val="24"/>
                <w:szCs w:val="24"/>
              </w:rPr>
              <w:t>Điều, khoản, điểm, tên văn bản đề xuất</w:t>
            </w:r>
          </w:p>
          <w:p w14:paraId="4D6A3E25" w14:textId="77777777" w:rsidR="005C5D35" w:rsidRPr="00A35EC9" w:rsidRDefault="005C5D35" w:rsidP="00ED03DD">
            <w:pPr>
              <w:tabs>
                <w:tab w:val="left" w:pos="360"/>
              </w:tabs>
              <w:spacing w:after="0" w:line="240" w:lineRule="auto"/>
              <w:jc w:val="center"/>
              <w:rPr>
                <w:rFonts w:ascii="Times New Roman" w:eastAsia="Times New Roman" w:hAnsi="Times New Roman" w:cs="Times New Roman"/>
                <w:b/>
                <w:bCs/>
                <w:sz w:val="24"/>
                <w:szCs w:val="24"/>
              </w:rPr>
            </w:pPr>
            <w:r w:rsidRPr="00A35EC9">
              <w:rPr>
                <w:rFonts w:ascii="Times New Roman" w:eastAsia="Times New Roman" w:hAnsi="Times New Roman" w:cs="Times New Roman"/>
                <w:b/>
                <w:bCs/>
                <w:sz w:val="24"/>
                <w:szCs w:val="24"/>
              </w:rPr>
              <w:t>xử lý</w:t>
            </w:r>
          </w:p>
        </w:tc>
        <w:tc>
          <w:tcPr>
            <w:tcW w:w="3913" w:type="dxa"/>
            <w:shd w:val="clear" w:color="auto" w:fill="FBE4D5" w:themeFill="accent2" w:themeFillTint="33"/>
            <w:vAlign w:val="center"/>
            <w:hideMark/>
          </w:tcPr>
          <w:p w14:paraId="7FDEF804" w14:textId="2BB8A905" w:rsidR="005C5D35" w:rsidRPr="00A35EC9" w:rsidRDefault="005C5D35" w:rsidP="00ED03DD">
            <w:pPr>
              <w:spacing w:after="0" w:line="240" w:lineRule="auto"/>
              <w:jc w:val="center"/>
              <w:rPr>
                <w:rFonts w:ascii="Times New Roman" w:eastAsia="Times New Roman" w:hAnsi="Times New Roman" w:cs="Times New Roman"/>
                <w:b/>
                <w:bCs/>
                <w:sz w:val="24"/>
                <w:szCs w:val="24"/>
              </w:rPr>
            </w:pPr>
            <w:r w:rsidRPr="00A35EC9">
              <w:rPr>
                <w:rFonts w:ascii="Times New Roman" w:eastAsia="Times New Roman" w:hAnsi="Times New Roman" w:cs="Times New Roman"/>
                <w:b/>
                <w:bCs/>
                <w:sz w:val="24"/>
                <w:szCs w:val="24"/>
              </w:rPr>
              <w:t>Nội dung quy định được phản ánh tạo gánh nặng chi phí tuân thủ; chưa có quy định hoặc có quy định của VBQPPL nhưng hạn chế</w:t>
            </w:r>
          </w:p>
          <w:p w14:paraId="27DDA4D8" w14:textId="77777777" w:rsidR="005C5D35" w:rsidRPr="00A35EC9" w:rsidRDefault="005C5D35" w:rsidP="00ED03DD">
            <w:pPr>
              <w:spacing w:after="0" w:line="240" w:lineRule="auto"/>
              <w:jc w:val="center"/>
              <w:rPr>
                <w:rFonts w:ascii="Times New Roman" w:eastAsia="Times New Roman" w:hAnsi="Times New Roman" w:cs="Times New Roman"/>
                <w:b/>
                <w:bCs/>
                <w:sz w:val="24"/>
                <w:szCs w:val="24"/>
              </w:rPr>
            </w:pPr>
            <w:r w:rsidRPr="00A35EC9">
              <w:rPr>
                <w:rFonts w:ascii="Times New Roman" w:eastAsia="Times New Roman" w:hAnsi="Times New Roman" w:cs="Times New Roman"/>
                <w:b/>
                <w:bCs/>
                <w:sz w:val="24"/>
                <w:szCs w:val="24"/>
              </w:rPr>
              <w:t>việc đổi mới sáng tạo, phát triển động lực tăng trưởng mới,</w:t>
            </w:r>
          </w:p>
          <w:p w14:paraId="7D09C1D0" w14:textId="77777777" w:rsidR="005C5D35" w:rsidRPr="00A35EC9" w:rsidRDefault="005C5D35" w:rsidP="00ED03DD">
            <w:pPr>
              <w:spacing w:after="0" w:line="240" w:lineRule="auto"/>
              <w:jc w:val="center"/>
              <w:rPr>
                <w:rFonts w:ascii="Times New Roman" w:eastAsia="Times New Roman" w:hAnsi="Times New Roman" w:cs="Times New Roman"/>
                <w:b/>
                <w:bCs/>
                <w:sz w:val="24"/>
                <w:szCs w:val="24"/>
              </w:rPr>
            </w:pPr>
            <w:r w:rsidRPr="00A35EC9">
              <w:rPr>
                <w:rFonts w:ascii="Times New Roman" w:eastAsia="Times New Roman" w:hAnsi="Times New Roman" w:cs="Times New Roman"/>
                <w:b/>
                <w:bCs/>
                <w:sz w:val="24"/>
                <w:szCs w:val="24"/>
              </w:rPr>
              <w:t>khơi thông nguồn lực, thúc đẩy tăng trưởng kinh tế</w:t>
            </w:r>
          </w:p>
          <w:p w14:paraId="7A5D5679" w14:textId="77777777" w:rsidR="005C5D35" w:rsidRPr="00A35EC9" w:rsidRDefault="005C5D35" w:rsidP="00ED03DD">
            <w:pPr>
              <w:spacing w:after="0" w:line="240" w:lineRule="auto"/>
              <w:jc w:val="center"/>
              <w:rPr>
                <w:rFonts w:ascii="Times New Roman" w:eastAsia="Times New Roman" w:hAnsi="Times New Roman" w:cs="Times New Roman"/>
                <w:b/>
                <w:bCs/>
                <w:sz w:val="24"/>
                <w:szCs w:val="24"/>
              </w:rPr>
            </w:pPr>
            <w:r w:rsidRPr="00A35EC9">
              <w:rPr>
                <w:rFonts w:ascii="Times New Roman" w:eastAsia="Times New Roman" w:hAnsi="Times New Roman" w:cs="Times New Roman"/>
                <w:b/>
                <w:bCs/>
                <w:sz w:val="24"/>
                <w:szCs w:val="24"/>
              </w:rPr>
              <w:t>và hội nhập quốc tế</w:t>
            </w:r>
          </w:p>
        </w:tc>
        <w:tc>
          <w:tcPr>
            <w:tcW w:w="1280" w:type="dxa"/>
            <w:shd w:val="clear" w:color="auto" w:fill="FBE4D5" w:themeFill="accent2" w:themeFillTint="33"/>
            <w:vAlign w:val="center"/>
            <w:hideMark/>
          </w:tcPr>
          <w:p w14:paraId="69CB615B" w14:textId="77777777" w:rsidR="005C5D35" w:rsidRPr="00A35EC9" w:rsidRDefault="005C5D35" w:rsidP="00ED03DD">
            <w:pPr>
              <w:spacing w:after="0" w:line="240" w:lineRule="auto"/>
              <w:jc w:val="center"/>
              <w:rPr>
                <w:rFonts w:ascii="Times New Roman" w:eastAsia="Times New Roman" w:hAnsi="Times New Roman" w:cs="Times New Roman"/>
                <w:b/>
                <w:bCs/>
                <w:sz w:val="24"/>
                <w:szCs w:val="24"/>
              </w:rPr>
            </w:pPr>
            <w:r w:rsidRPr="00A35EC9">
              <w:rPr>
                <w:rFonts w:ascii="Times New Roman" w:eastAsia="Times New Roman" w:hAnsi="Times New Roman" w:cs="Times New Roman"/>
                <w:b/>
                <w:bCs/>
                <w:sz w:val="24"/>
                <w:szCs w:val="24"/>
              </w:rPr>
              <w:t>Phương án xử lý được đề xuất</w:t>
            </w:r>
          </w:p>
        </w:tc>
        <w:tc>
          <w:tcPr>
            <w:tcW w:w="1254" w:type="dxa"/>
            <w:shd w:val="clear" w:color="auto" w:fill="FBE4D5" w:themeFill="accent2" w:themeFillTint="33"/>
            <w:vAlign w:val="center"/>
            <w:hideMark/>
          </w:tcPr>
          <w:p w14:paraId="3A62D493" w14:textId="77777777" w:rsidR="005C5D35" w:rsidRPr="00A35EC9" w:rsidRDefault="005C5D35" w:rsidP="00ED03DD">
            <w:pPr>
              <w:spacing w:after="0" w:line="240" w:lineRule="auto"/>
              <w:jc w:val="center"/>
              <w:rPr>
                <w:rFonts w:ascii="Times New Roman" w:eastAsia="Times New Roman" w:hAnsi="Times New Roman" w:cs="Times New Roman"/>
                <w:b/>
                <w:bCs/>
                <w:sz w:val="24"/>
                <w:szCs w:val="24"/>
              </w:rPr>
            </w:pPr>
            <w:r w:rsidRPr="00A35EC9">
              <w:rPr>
                <w:rFonts w:ascii="Times New Roman" w:eastAsia="Times New Roman" w:hAnsi="Times New Roman" w:cs="Times New Roman"/>
                <w:b/>
                <w:bCs/>
                <w:sz w:val="24"/>
                <w:szCs w:val="24"/>
              </w:rPr>
              <w:t>Cơ quan, tổ chức</w:t>
            </w:r>
          </w:p>
          <w:p w14:paraId="7C81D02F" w14:textId="77777777" w:rsidR="005C5D35" w:rsidRPr="00A35EC9" w:rsidRDefault="005C5D35" w:rsidP="00ED03DD">
            <w:pPr>
              <w:spacing w:after="0" w:line="240" w:lineRule="auto"/>
              <w:jc w:val="center"/>
              <w:rPr>
                <w:rFonts w:ascii="Times New Roman" w:eastAsia="Times New Roman" w:hAnsi="Times New Roman" w:cs="Times New Roman"/>
                <w:b/>
                <w:bCs/>
                <w:sz w:val="24"/>
                <w:szCs w:val="24"/>
              </w:rPr>
            </w:pPr>
            <w:r w:rsidRPr="00A35EC9">
              <w:rPr>
                <w:rFonts w:ascii="Times New Roman" w:eastAsia="Times New Roman" w:hAnsi="Times New Roman" w:cs="Times New Roman"/>
                <w:b/>
                <w:bCs/>
                <w:sz w:val="24"/>
                <w:szCs w:val="24"/>
              </w:rPr>
              <w:t>rà soát, phản ánh</w:t>
            </w:r>
          </w:p>
        </w:tc>
        <w:tc>
          <w:tcPr>
            <w:tcW w:w="2289" w:type="dxa"/>
            <w:shd w:val="clear" w:color="auto" w:fill="FBE4D5" w:themeFill="accent2" w:themeFillTint="33"/>
            <w:vAlign w:val="center"/>
            <w:hideMark/>
          </w:tcPr>
          <w:p w14:paraId="1B1C918A" w14:textId="77777777" w:rsidR="005C5D35" w:rsidRPr="00A35EC9" w:rsidRDefault="005C5D35" w:rsidP="00ED03DD">
            <w:pPr>
              <w:spacing w:after="0" w:line="240" w:lineRule="auto"/>
              <w:ind w:right="37"/>
              <w:jc w:val="center"/>
              <w:rPr>
                <w:rFonts w:ascii="Times New Roman" w:eastAsia="Times New Roman" w:hAnsi="Times New Roman" w:cs="Times New Roman"/>
                <w:b/>
                <w:bCs/>
                <w:sz w:val="24"/>
                <w:szCs w:val="24"/>
              </w:rPr>
            </w:pPr>
            <w:r w:rsidRPr="00A35EC9">
              <w:rPr>
                <w:rFonts w:ascii="Times New Roman" w:eastAsia="Times New Roman" w:hAnsi="Times New Roman" w:cs="Times New Roman"/>
                <w:b/>
                <w:bCs/>
                <w:sz w:val="24"/>
                <w:szCs w:val="24"/>
              </w:rPr>
              <w:t>Ý kiến của Bộ Tài chính về nội dung rà soát,</w:t>
            </w:r>
          </w:p>
          <w:p w14:paraId="3208155A" w14:textId="77777777" w:rsidR="005C5D35" w:rsidRPr="00A35EC9" w:rsidRDefault="005C5D35" w:rsidP="00ED03DD">
            <w:pPr>
              <w:spacing w:after="0" w:line="240" w:lineRule="auto"/>
              <w:jc w:val="center"/>
              <w:rPr>
                <w:rFonts w:ascii="Times New Roman" w:eastAsia="Times New Roman" w:hAnsi="Times New Roman" w:cs="Times New Roman"/>
                <w:b/>
                <w:bCs/>
                <w:sz w:val="24"/>
                <w:szCs w:val="24"/>
              </w:rPr>
            </w:pPr>
            <w:r w:rsidRPr="00A35EC9">
              <w:rPr>
                <w:rFonts w:ascii="Times New Roman" w:eastAsia="Times New Roman" w:hAnsi="Times New Roman" w:cs="Times New Roman"/>
                <w:b/>
                <w:bCs/>
                <w:sz w:val="24"/>
                <w:szCs w:val="24"/>
              </w:rPr>
              <w:t>phản ánh</w:t>
            </w:r>
          </w:p>
          <w:p w14:paraId="7B27FCB3" w14:textId="77777777" w:rsidR="005C5D35" w:rsidRPr="00A35EC9" w:rsidRDefault="005C5D35" w:rsidP="00ED03DD">
            <w:pPr>
              <w:spacing w:after="0" w:line="240" w:lineRule="auto"/>
              <w:jc w:val="center"/>
              <w:rPr>
                <w:rFonts w:ascii="Times New Roman" w:eastAsia="Times New Roman" w:hAnsi="Times New Roman" w:cs="Times New Roman"/>
                <w:b/>
                <w:bCs/>
                <w:sz w:val="24"/>
                <w:szCs w:val="24"/>
              </w:rPr>
            </w:pPr>
          </w:p>
        </w:tc>
        <w:tc>
          <w:tcPr>
            <w:tcW w:w="2694" w:type="dxa"/>
            <w:shd w:val="clear" w:color="auto" w:fill="FBE4D5" w:themeFill="accent2" w:themeFillTint="33"/>
            <w:vAlign w:val="center"/>
          </w:tcPr>
          <w:p w14:paraId="1F2796F9" w14:textId="0A18E692" w:rsidR="005C5D35" w:rsidRPr="00A35EC9" w:rsidRDefault="005C5D35" w:rsidP="00ED03DD">
            <w:pPr>
              <w:pBdr>
                <w:top w:val="nil"/>
                <w:left w:val="nil"/>
                <w:bottom w:val="nil"/>
                <w:right w:val="nil"/>
                <w:between w:val="nil"/>
              </w:pBdr>
              <w:jc w:val="center"/>
              <w:rPr>
                <w:rFonts w:ascii="Times New Roman" w:eastAsia="Times New Roman" w:hAnsi="Times New Roman" w:cs="Times New Roman"/>
                <w:b/>
                <w:bCs/>
                <w:sz w:val="24"/>
                <w:szCs w:val="24"/>
                <w:lang w:val="vi-VN"/>
              </w:rPr>
            </w:pPr>
            <w:r w:rsidRPr="00E53B91">
              <w:rPr>
                <w:rFonts w:ascii="Times New Roman" w:hAnsi="Times New Roman" w:cs="Times New Roman"/>
                <w:b/>
                <w:bCs/>
                <w:sz w:val="25"/>
                <w:szCs w:val="25"/>
              </w:rPr>
              <w:t xml:space="preserve">Tình hình xử lý </w:t>
            </w:r>
          </w:p>
        </w:tc>
      </w:tr>
      <w:tr w:rsidR="005C5D35" w:rsidRPr="00A35EC9" w14:paraId="7564C03B" w14:textId="77777777" w:rsidTr="00ED03DD">
        <w:tc>
          <w:tcPr>
            <w:tcW w:w="702" w:type="dxa"/>
          </w:tcPr>
          <w:p w14:paraId="23561977" w14:textId="77777777" w:rsidR="005C5D35" w:rsidRPr="00A35EC9" w:rsidRDefault="005C5D35" w:rsidP="00ED03DD">
            <w:pPr>
              <w:pStyle w:val="ListParagraph"/>
              <w:numPr>
                <w:ilvl w:val="0"/>
                <w:numId w:val="3"/>
              </w:numPr>
              <w:tabs>
                <w:tab w:val="left" w:pos="360"/>
              </w:tabs>
              <w:spacing w:after="0" w:line="240" w:lineRule="auto"/>
              <w:rPr>
                <w:rFonts w:ascii="Times New Roman" w:eastAsia="Times New Roman" w:hAnsi="Times New Roman" w:cs="Times New Roman"/>
                <w:sz w:val="24"/>
                <w:szCs w:val="24"/>
              </w:rPr>
            </w:pPr>
          </w:p>
        </w:tc>
        <w:tc>
          <w:tcPr>
            <w:tcW w:w="1897" w:type="dxa"/>
          </w:tcPr>
          <w:p w14:paraId="391BACFE" w14:textId="77777777" w:rsidR="005C5D35" w:rsidRPr="00A35EC9" w:rsidRDefault="005C5D35" w:rsidP="00ED03DD">
            <w:pPr>
              <w:tabs>
                <w:tab w:val="left" w:pos="360"/>
              </w:tabs>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 xml:space="preserve">Điều 15 Luật Đầu tư về Hình thức và đối tượng áp dụng ưu đãi đầu tư 1. Hình thức ưu đãi đầu tư bao gồm: a) Ưu đãi thuế thu nhập doanh nghiệp, bao gồm áp dụng mức thuế suất thuế </w:t>
            </w:r>
            <w:r w:rsidRPr="00A35EC9">
              <w:rPr>
                <w:rFonts w:ascii="Times New Roman" w:eastAsia="Times New Roman" w:hAnsi="Times New Roman" w:cs="Times New Roman"/>
                <w:sz w:val="24"/>
                <w:szCs w:val="24"/>
              </w:rPr>
              <w:lastRenderedPageBreak/>
              <w:t xml:space="preserve">thu nhập doanh nghiệp thấp hơn mức thuế suất thông thường có thời hạn hoặc toàn bộ thời gian thực hiện dự án đầu tư; miễn thuế, giảm thuế và các ưu đãi khác theo quy định của pháp luật về thuế thu nhập doanh nghiệp; b) Miễn thuế nhập khẩu đối với hàng hóa nhập khẩu để tạo tài sản cố định; nguyên liệu, vật tư, linh kiện nhập khẩu để sản xuất theo quy định của pháp luật về thuế xuất </w:t>
            </w:r>
            <w:r w:rsidRPr="00A35EC9">
              <w:rPr>
                <w:rFonts w:ascii="Times New Roman" w:eastAsia="Times New Roman" w:hAnsi="Times New Roman" w:cs="Times New Roman"/>
                <w:sz w:val="24"/>
                <w:szCs w:val="24"/>
              </w:rPr>
              <w:lastRenderedPageBreak/>
              <w:t>khẩu, thuế nhập khẩu; c) Miễn, giảm tiền sử dụng đất, tiền thuê đất, thuế sử dụng đất; d) Khấu hao nhanh, tăng mức chi phí được trừ khi tính thu nhập chịu thuế</w:t>
            </w:r>
          </w:p>
        </w:tc>
        <w:tc>
          <w:tcPr>
            <w:tcW w:w="3913" w:type="dxa"/>
          </w:tcPr>
          <w:p w14:paraId="75C8600A"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lastRenderedPageBreak/>
              <w:t>Các ưu đãi này chủ yếu ưu đãi cho các đối tượng: - Đã hoàn thành đầu tư và đi vào hoạt động có lãi (ưu đãi thuế TNDN). - Đầu tư liên quan đến tài sản cố định, đất đai … Như vậy, doanh nghiệp khởi nghiệp, các doanh nghiệp đầu tư về công nghệ cao (các giải pháp công nghệ, chất xám …) chưa được hưởng lợi nhiều từ các ưu đãi này do các đặc điểm thời gian nghiên cứu dài, ít phụ thuộc vào các tài sản cố định, đất đai …</w:t>
            </w:r>
          </w:p>
        </w:tc>
        <w:tc>
          <w:tcPr>
            <w:tcW w:w="1280" w:type="dxa"/>
          </w:tcPr>
          <w:p w14:paraId="231962AF"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 xml:space="preserve">C. Sửa đổi, bổ sung, thay thế, ban hành mới VBQPPL (theo trình tự, thủ tục rút gọn ban hành VBQPPL của Luật </w:t>
            </w:r>
            <w:r w:rsidRPr="00A35EC9">
              <w:rPr>
                <w:rFonts w:ascii="Times New Roman" w:eastAsia="Times New Roman" w:hAnsi="Times New Roman" w:cs="Times New Roman"/>
                <w:sz w:val="24"/>
                <w:szCs w:val="24"/>
              </w:rPr>
              <w:lastRenderedPageBreak/>
              <w:t>Ban hành VBQPPL)</w:t>
            </w:r>
          </w:p>
        </w:tc>
        <w:tc>
          <w:tcPr>
            <w:tcW w:w="1254" w:type="dxa"/>
          </w:tcPr>
          <w:p w14:paraId="1FEBA194"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lastRenderedPageBreak/>
              <w:t>Tập đoàn Bảo Việt</w:t>
            </w:r>
          </w:p>
        </w:tc>
        <w:tc>
          <w:tcPr>
            <w:tcW w:w="2289" w:type="dxa"/>
          </w:tcPr>
          <w:p w14:paraId="2DA2619D"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 xml:space="preserve">Nhất trí vì: </w:t>
            </w:r>
          </w:p>
          <w:p w14:paraId="49879C60" w14:textId="77777777" w:rsidR="005C5D35"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Hiện nay Bộ Tài chính đang nghiên cứu để sửa tổng thể Luật Đầu tư và các văn bản hướng dẫn thi hành. (năm 2025-2026).</w:t>
            </w:r>
          </w:p>
          <w:p w14:paraId="7286EEA1" w14:textId="77777777" w:rsidR="005C5D35" w:rsidRDefault="005C5D35" w:rsidP="00ED03DD">
            <w:pPr>
              <w:jc w:val="both"/>
              <w:rPr>
                <w:rFonts w:ascii="Times New Roman" w:eastAsiaTheme="minorHAnsi" w:hAnsi="Times New Roman" w:cs="Times New Roman"/>
                <w:color w:val="EE0000"/>
                <w:sz w:val="24"/>
                <w:szCs w:val="24"/>
              </w:rPr>
            </w:pPr>
            <w:r>
              <w:rPr>
                <w:rFonts w:ascii="Times New Roman" w:eastAsia="Times New Roman" w:hAnsi="Times New Roman"/>
                <w:b/>
                <w:bCs/>
                <w:sz w:val="24"/>
                <w:szCs w:val="24"/>
              </w:rPr>
              <w:t xml:space="preserve">Theo Công văn số 08-CV/ĐUBTC-PC ngày 22/8/2025, Bộ Tài chính: </w:t>
            </w:r>
            <w:r w:rsidRPr="00A35EC9">
              <w:rPr>
                <w:rFonts w:ascii="Times New Roman" w:eastAsia="Times New Roman" w:hAnsi="Times New Roman" w:cs="Times New Roman"/>
                <w:sz w:val="24"/>
                <w:szCs w:val="24"/>
              </w:rPr>
              <w:t>Dự</w:t>
            </w:r>
            <w:r w:rsidRPr="00A35EC9">
              <w:rPr>
                <w:rFonts w:ascii="Times New Roman" w:eastAsia="Times New Roman" w:hAnsi="Times New Roman" w:cs="Times New Roman"/>
                <w:sz w:val="24"/>
                <w:szCs w:val="24"/>
                <w:lang w:val="vi-VN"/>
              </w:rPr>
              <w:t xml:space="preserve"> kiến </w:t>
            </w:r>
            <w:r w:rsidRPr="00A35EC9">
              <w:rPr>
                <w:rFonts w:ascii="Times New Roman" w:eastAsia="Times New Roman" w:hAnsi="Times New Roman" w:cs="Times New Roman"/>
                <w:sz w:val="24"/>
                <w:szCs w:val="24"/>
                <w:lang w:val="vi-VN"/>
              </w:rPr>
              <w:lastRenderedPageBreak/>
              <w:t>trình Quốc hội tại Kỳ họp tháng 10/2025</w:t>
            </w:r>
          </w:p>
          <w:p w14:paraId="3D7D9BF0"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p>
        </w:tc>
        <w:tc>
          <w:tcPr>
            <w:tcW w:w="2694" w:type="dxa"/>
          </w:tcPr>
          <w:p w14:paraId="70055C1B" w14:textId="77777777" w:rsidR="005C5D35" w:rsidRDefault="005C5D35" w:rsidP="00ED03DD">
            <w:pPr>
              <w:pBdr>
                <w:top w:val="nil"/>
                <w:left w:val="nil"/>
                <w:bottom w:val="nil"/>
                <w:right w:val="nil"/>
                <w:between w:val="nil"/>
              </w:pBdr>
              <w:jc w:val="both"/>
              <w:rPr>
                <w:rFonts w:ascii="Times New Roman" w:eastAsia="Times New Roman" w:hAnsi="Times New Roman" w:cs="Times New Roman"/>
                <w:b/>
                <w:sz w:val="24"/>
                <w:szCs w:val="24"/>
              </w:rPr>
            </w:pPr>
            <w:r w:rsidRPr="00F41238">
              <w:rPr>
                <w:rFonts w:ascii="Times New Roman" w:eastAsia="Times New Roman" w:hAnsi="Times New Roman" w:cs="Times New Roman"/>
                <w:b/>
                <w:sz w:val="24"/>
                <w:szCs w:val="24"/>
                <w:highlight w:val="yellow"/>
              </w:rPr>
              <w:lastRenderedPageBreak/>
              <w:t>Đã xử lý</w:t>
            </w:r>
          </w:p>
          <w:p w14:paraId="01ACC4EF" w14:textId="37748AA9" w:rsidR="005C5D35" w:rsidRPr="000318E4" w:rsidRDefault="005C5D35" w:rsidP="00ED03DD">
            <w:pPr>
              <w:jc w:val="both"/>
              <w:rPr>
                <w:rFonts w:ascii="Times New Roman" w:eastAsiaTheme="minorHAnsi" w:hAnsi="Times New Roman" w:cs="Times New Roman"/>
                <w:color w:val="FF0000"/>
                <w:sz w:val="24"/>
                <w:szCs w:val="24"/>
              </w:rPr>
            </w:pPr>
            <w:r w:rsidRPr="000318E4">
              <w:rPr>
                <w:rFonts w:ascii="Times New Roman" w:eastAsia="Times New Roman" w:hAnsi="Times New Roman" w:cs="Times New Roman"/>
                <w:b/>
                <w:color w:val="FF0000"/>
                <w:sz w:val="24"/>
                <w:szCs w:val="24"/>
              </w:rPr>
              <w:t xml:space="preserve">Nội dung này đã được đưa vào khoản 3 Điều 14 và khoản 1 Điều 15 Luật Đầu tư </w:t>
            </w:r>
            <w:r w:rsidR="00206B51" w:rsidRPr="00206B51">
              <w:rPr>
                <w:rFonts w:ascii="Times New Roman" w:eastAsia="Times New Roman" w:hAnsi="Times New Roman" w:cs="Times New Roman"/>
                <w:b/>
                <w:bCs/>
                <w:color w:val="FF0000"/>
                <w:sz w:val="24"/>
                <w:szCs w:val="24"/>
              </w:rPr>
              <w:t>được</w:t>
            </w:r>
            <w:r w:rsidR="00206B51" w:rsidRPr="00206B51">
              <w:rPr>
                <w:rFonts w:ascii="Times New Roman" w:eastAsia="Times New Roman" w:hAnsi="Times New Roman" w:cs="Times New Roman"/>
                <w:b/>
                <w:color w:val="FF0000"/>
                <w:sz w:val="24"/>
                <w:szCs w:val="24"/>
              </w:rPr>
              <w:t xml:space="preserve"> </w:t>
            </w:r>
            <w:r w:rsidR="00206B51" w:rsidRPr="00206B51">
              <w:rPr>
                <w:rFonts w:ascii="Times New Roman" w:eastAsia="Times New Roman" w:hAnsi="Times New Roman" w:cs="Times New Roman"/>
                <w:b/>
                <w:bCs/>
                <w:color w:val="FF0000"/>
                <w:sz w:val="24"/>
                <w:szCs w:val="24"/>
              </w:rPr>
              <w:t>thông qua tại Kỳ họp thứ 10</w:t>
            </w:r>
            <w:r w:rsidR="00206B51" w:rsidRPr="00206B51">
              <w:rPr>
                <w:rFonts w:ascii="Times New Roman" w:eastAsia="Times New Roman" w:hAnsi="Times New Roman" w:cs="Times New Roman"/>
                <w:b/>
                <w:color w:val="FF0000"/>
                <w:sz w:val="24"/>
                <w:szCs w:val="24"/>
              </w:rPr>
              <w:t xml:space="preserve">  </w:t>
            </w:r>
            <w:r w:rsidR="00206B51" w:rsidRPr="00206B51">
              <w:rPr>
                <w:rFonts w:ascii="Times New Roman" w:eastAsia="Times New Roman" w:hAnsi="Times New Roman" w:cs="Times New Roman"/>
                <w:b/>
                <w:color w:val="FF0000"/>
                <w:sz w:val="24"/>
                <w:szCs w:val="24"/>
                <w:lang w:val="vi-VN"/>
              </w:rPr>
              <w:t xml:space="preserve">Quốc hội </w:t>
            </w:r>
            <w:r w:rsidR="00206B51" w:rsidRPr="00206B51">
              <w:rPr>
                <w:rFonts w:ascii="Times New Roman" w:eastAsia="Times New Roman" w:hAnsi="Times New Roman" w:cs="Times New Roman"/>
                <w:b/>
                <w:color w:val="FF0000"/>
                <w:sz w:val="24"/>
                <w:szCs w:val="24"/>
              </w:rPr>
              <w:t>khóa XV</w:t>
            </w:r>
          </w:p>
          <w:p w14:paraId="60035F10" w14:textId="1C011167" w:rsidR="005C5D35" w:rsidRPr="00C92F0C" w:rsidRDefault="005C5D35" w:rsidP="00ED03DD">
            <w:pPr>
              <w:spacing w:after="0" w:line="240" w:lineRule="auto"/>
              <w:jc w:val="both"/>
              <w:rPr>
                <w:rFonts w:ascii="Times New Roman" w:eastAsia="Times New Roman" w:hAnsi="Times New Roman" w:cs="Times New Roman"/>
                <w:sz w:val="24"/>
                <w:szCs w:val="24"/>
              </w:rPr>
            </w:pPr>
          </w:p>
        </w:tc>
      </w:tr>
      <w:tr w:rsidR="005C5D35" w:rsidRPr="00A35EC9" w14:paraId="1C61B602" w14:textId="77777777" w:rsidTr="00ED03DD">
        <w:tc>
          <w:tcPr>
            <w:tcW w:w="702" w:type="dxa"/>
          </w:tcPr>
          <w:p w14:paraId="352F95D7" w14:textId="77777777" w:rsidR="005C5D35" w:rsidRPr="00A35EC9" w:rsidRDefault="005C5D35" w:rsidP="00ED03DD">
            <w:pPr>
              <w:pStyle w:val="ListParagraph"/>
              <w:numPr>
                <w:ilvl w:val="0"/>
                <w:numId w:val="3"/>
              </w:numPr>
              <w:tabs>
                <w:tab w:val="left" w:pos="360"/>
              </w:tabs>
              <w:spacing w:after="0" w:line="240" w:lineRule="auto"/>
              <w:rPr>
                <w:rFonts w:ascii="Times New Roman" w:eastAsia="Times New Roman" w:hAnsi="Times New Roman" w:cs="Times New Roman"/>
                <w:sz w:val="24"/>
                <w:szCs w:val="24"/>
              </w:rPr>
            </w:pPr>
          </w:p>
        </w:tc>
        <w:tc>
          <w:tcPr>
            <w:tcW w:w="1897" w:type="dxa"/>
          </w:tcPr>
          <w:p w14:paraId="7D941D10" w14:textId="77777777" w:rsidR="005C5D35" w:rsidRPr="00A35EC9" w:rsidRDefault="005C5D35" w:rsidP="00ED03DD">
            <w:pPr>
              <w:tabs>
                <w:tab w:val="left" w:pos="360"/>
              </w:tabs>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 xml:space="preserve">Điều 20 Luật Đầu tư về Ưu đãi và hỗ trợ đầu tư đặc biệt 1. Chính phủ quyết định việc áp dụng ưu đãi, hỗ trợ đầu tư đặc biệt nhằm khuyến khích phát triển một số dự án đầu tư có tác động lớn đến phát triển kinh tế - xã hội. 2. Đối </w:t>
            </w:r>
            <w:r w:rsidRPr="00A35EC9">
              <w:rPr>
                <w:rFonts w:ascii="Times New Roman" w:eastAsia="Times New Roman" w:hAnsi="Times New Roman" w:cs="Times New Roman"/>
                <w:sz w:val="24"/>
                <w:szCs w:val="24"/>
              </w:rPr>
              <w:lastRenderedPageBreak/>
              <w:t xml:space="preserve">tượng áp dụng ưu đãi, hỗ trợ đầu tư đặc biệt quy định tại khoản 1 Điều này bao gồm: a) Dự án đầu tư thành lập mới (bao gồm cả việc mở rộng dự án thành lập mới đó) các trung tâm đổi mới sáng tạo, trung tâm nghiên cứu và phát triển có tổng vốn đầu tư từ 3.000 tỷ đồng trở lên, thực hiện giải ngân tối thiểu 1.000 tỷ đồng trong thời hạn 03 năm kể từ ngày được cấp Giấy chứng nhận </w:t>
            </w:r>
            <w:r w:rsidRPr="00A35EC9">
              <w:rPr>
                <w:rFonts w:ascii="Times New Roman" w:eastAsia="Times New Roman" w:hAnsi="Times New Roman" w:cs="Times New Roman"/>
                <w:sz w:val="24"/>
                <w:szCs w:val="24"/>
              </w:rPr>
              <w:lastRenderedPageBreak/>
              <w:t xml:space="preserve">đăng ký đầu tư hoặc chấp thuận chủ trương đầu tư; trung tâm đổi mới sáng tạo quốc gia được thành lập theo quyết định của Thủ tướng Chính phủ; b) Dự án đầu tư thuộc ngành, nghề đặc biệt ưu đãi đầu tư có quy mô vốn đầu tư từ 30.000 tỷ đồng trở lên, thực hiện giải ngân tối thiểu 10.000 tỷ đồng trong thời hạn 03 năm kể từ ngày được cấp Giấy chứng nhận đăng ký đầu tư hoặc chấp thuận </w:t>
            </w:r>
            <w:r w:rsidRPr="00A35EC9">
              <w:rPr>
                <w:rFonts w:ascii="Times New Roman" w:eastAsia="Times New Roman" w:hAnsi="Times New Roman" w:cs="Times New Roman"/>
                <w:sz w:val="24"/>
                <w:szCs w:val="24"/>
              </w:rPr>
              <w:lastRenderedPageBreak/>
              <w:t>chủ trương đầu tư.</w:t>
            </w:r>
          </w:p>
        </w:tc>
        <w:tc>
          <w:tcPr>
            <w:tcW w:w="3913" w:type="dxa"/>
          </w:tcPr>
          <w:p w14:paraId="362BE55A"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lastRenderedPageBreak/>
              <w:t>Quy mô vốn theo quy định quá lớn so với các dự án khởi nghiệp, sáng tạo.</w:t>
            </w:r>
          </w:p>
        </w:tc>
        <w:tc>
          <w:tcPr>
            <w:tcW w:w="1280" w:type="dxa"/>
          </w:tcPr>
          <w:p w14:paraId="4D0A6EF5"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C. Sửa đổi, bổ sung, thay thế, ban hành mới VBQPPL (theo trình tự, thủ tục rút gọn ban hành VBQPPL của Luật Ban hành VBQPPL)</w:t>
            </w:r>
          </w:p>
        </w:tc>
        <w:tc>
          <w:tcPr>
            <w:tcW w:w="1254" w:type="dxa"/>
          </w:tcPr>
          <w:p w14:paraId="244F8EDD"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Tập đoàn Bảo Việt</w:t>
            </w:r>
          </w:p>
        </w:tc>
        <w:tc>
          <w:tcPr>
            <w:tcW w:w="2289" w:type="dxa"/>
          </w:tcPr>
          <w:p w14:paraId="1B28704E"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 xml:space="preserve">Nhất trí vì: </w:t>
            </w:r>
          </w:p>
          <w:p w14:paraId="796926C4" w14:textId="77777777" w:rsidR="005C5D35"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Hiện nay Bộ Tài chính đang nghiên cứu để sửa tổng thể Luật Đầu tư và các văn bản hướng dẫn thi hành. (năm 2025-2026).</w:t>
            </w:r>
          </w:p>
          <w:p w14:paraId="52012384" w14:textId="77777777" w:rsidR="005C5D35" w:rsidRDefault="005C5D35" w:rsidP="00ED03DD">
            <w:pPr>
              <w:jc w:val="both"/>
              <w:rPr>
                <w:rFonts w:ascii="Times New Roman" w:eastAsiaTheme="minorHAnsi" w:hAnsi="Times New Roman" w:cs="Times New Roman"/>
                <w:color w:val="EE0000"/>
                <w:sz w:val="24"/>
                <w:szCs w:val="24"/>
              </w:rPr>
            </w:pPr>
            <w:r>
              <w:rPr>
                <w:rFonts w:ascii="Times New Roman" w:eastAsia="Times New Roman" w:hAnsi="Times New Roman"/>
                <w:b/>
                <w:bCs/>
                <w:sz w:val="24"/>
                <w:szCs w:val="24"/>
              </w:rPr>
              <w:t xml:space="preserve">Theo Công văn số 08-CV/ĐUBTC-PC ngày 22/8/2025, Bộ Tài chính: </w:t>
            </w:r>
            <w:r w:rsidRPr="00A35EC9">
              <w:rPr>
                <w:rFonts w:ascii="Times New Roman" w:eastAsia="Times New Roman" w:hAnsi="Times New Roman" w:cs="Times New Roman"/>
                <w:sz w:val="24"/>
                <w:szCs w:val="24"/>
              </w:rPr>
              <w:t>Dự</w:t>
            </w:r>
            <w:r w:rsidRPr="00A35EC9">
              <w:rPr>
                <w:rFonts w:ascii="Times New Roman" w:eastAsia="Times New Roman" w:hAnsi="Times New Roman" w:cs="Times New Roman"/>
                <w:sz w:val="24"/>
                <w:szCs w:val="24"/>
                <w:lang w:val="vi-VN"/>
              </w:rPr>
              <w:t xml:space="preserve"> kiến trình Quốc hội tại Kỳ </w:t>
            </w:r>
            <w:r w:rsidRPr="00A35EC9">
              <w:rPr>
                <w:rFonts w:ascii="Times New Roman" w:eastAsia="Times New Roman" w:hAnsi="Times New Roman" w:cs="Times New Roman"/>
                <w:sz w:val="24"/>
                <w:szCs w:val="24"/>
                <w:lang w:val="vi-VN"/>
              </w:rPr>
              <w:lastRenderedPageBreak/>
              <w:t>họp tháng 10/2025</w:t>
            </w:r>
          </w:p>
          <w:p w14:paraId="10BC519A"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p>
        </w:tc>
        <w:tc>
          <w:tcPr>
            <w:tcW w:w="2694" w:type="dxa"/>
          </w:tcPr>
          <w:p w14:paraId="40638844" w14:textId="77777777" w:rsidR="005C5D35" w:rsidRDefault="005C5D35" w:rsidP="00ED03DD">
            <w:pPr>
              <w:pBdr>
                <w:top w:val="nil"/>
                <w:left w:val="nil"/>
                <w:bottom w:val="nil"/>
                <w:right w:val="nil"/>
                <w:between w:val="nil"/>
              </w:pBdr>
              <w:jc w:val="both"/>
              <w:rPr>
                <w:rFonts w:ascii="Times New Roman" w:eastAsia="Times New Roman" w:hAnsi="Times New Roman" w:cs="Times New Roman"/>
                <w:b/>
                <w:sz w:val="24"/>
                <w:szCs w:val="24"/>
              </w:rPr>
            </w:pPr>
            <w:r w:rsidRPr="00F41238">
              <w:rPr>
                <w:rFonts w:ascii="Times New Roman" w:eastAsia="Times New Roman" w:hAnsi="Times New Roman" w:cs="Times New Roman"/>
                <w:b/>
                <w:sz w:val="24"/>
                <w:szCs w:val="24"/>
                <w:highlight w:val="yellow"/>
              </w:rPr>
              <w:lastRenderedPageBreak/>
              <w:t>Đã xử lý</w:t>
            </w:r>
          </w:p>
          <w:p w14:paraId="5D034D44" w14:textId="6AF187AD" w:rsidR="005C5D35" w:rsidRPr="000318E4" w:rsidRDefault="005C5D35" w:rsidP="00ED03DD">
            <w:pPr>
              <w:jc w:val="both"/>
              <w:rPr>
                <w:rFonts w:ascii="Times New Roman" w:eastAsiaTheme="minorHAnsi" w:hAnsi="Times New Roman" w:cs="Times New Roman"/>
                <w:color w:val="FF0000"/>
                <w:sz w:val="24"/>
                <w:szCs w:val="24"/>
              </w:rPr>
            </w:pPr>
            <w:r w:rsidRPr="000318E4">
              <w:rPr>
                <w:rFonts w:ascii="Times New Roman" w:eastAsia="Times New Roman" w:hAnsi="Times New Roman" w:cs="Times New Roman"/>
                <w:b/>
                <w:color w:val="FF0000"/>
                <w:sz w:val="24"/>
                <w:szCs w:val="24"/>
              </w:rPr>
              <w:t xml:space="preserve">Nội dung này đã được đưa vào khoản </w:t>
            </w:r>
            <w:r>
              <w:rPr>
                <w:rFonts w:ascii="Times New Roman" w:eastAsia="Times New Roman" w:hAnsi="Times New Roman" w:cs="Times New Roman"/>
                <w:b/>
                <w:color w:val="FF0000"/>
                <w:sz w:val="24"/>
                <w:szCs w:val="24"/>
              </w:rPr>
              <w:t>2</w:t>
            </w:r>
            <w:r w:rsidRPr="000318E4">
              <w:rPr>
                <w:rFonts w:ascii="Times New Roman" w:eastAsia="Times New Roman" w:hAnsi="Times New Roman" w:cs="Times New Roman"/>
                <w:b/>
                <w:color w:val="FF0000"/>
                <w:sz w:val="24"/>
                <w:szCs w:val="24"/>
              </w:rPr>
              <w:t xml:space="preserve"> Điều 1</w:t>
            </w:r>
            <w:r>
              <w:rPr>
                <w:rFonts w:ascii="Times New Roman" w:eastAsia="Times New Roman" w:hAnsi="Times New Roman" w:cs="Times New Roman"/>
                <w:b/>
                <w:color w:val="FF0000"/>
                <w:sz w:val="24"/>
                <w:szCs w:val="24"/>
              </w:rPr>
              <w:t>7</w:t>
            </w:r>
            <w:r w:rsidRPr="000318E4">
              <w:rPr>
                <w:rFonts w:ascii="Times New Roman" w:eastAsia="Times New Roman" w:hAnsi="Times New Roman" w:cs="Times New Roman"/>
                <w:b/>
                <w:color w:val="FF0000"/>
                <w:sz w:val="24"/>
                <w:szCs w:val="24"/>
              </w:rPr>
              <w:t xml:space="preserve"> Luật Đầu tư </w:t>
            </w:r>
            <w:r w:rsidR="00ED03DD" w:rsidRPr="00ED03DD">
              <w:rPr>
                <w:rFonts w:ascii="Times New Roman" w:eastAsia="Times New Roman" w:hAnsi="Times New Roman" w:cs="Times New Roman"/>
                <w:bCs/>
                <w:sz w:val="24"/>
                <w:szCs w:val="24"/>
              </w:rPr>
              <w:t xml:space="preserve"> </w:t>
            </w:r>
            <w:r w:rsidR="00ED03DD" w:rsidRPr="00ED03DD">
              <w:rPr>
                <w:rFonts w:ascii="Times New Roman" w:eastAsia="Times New Roman" w:hAnsi="Times New Roman" w:cs="Times New Roman"/>
                <w:b/>
                <w:bCs/>
                <w:color w:val="FF0000"/>
                <w:sz w:val="24"/>
                <w:szCs w:val="24"/>
              </w:rPr>
              <w:t>được</w:t>
            </w:r>
            <w:r w:rsidR="00ED03DD" w:rsidRPr="00ED03DD">
              <w:rPr>
                <w:rFonts w:ascii="Times New Roman" w:eastAsia="Times New Roman" w:hAnsi="Times New Roman" w:cs="Times New Roman"/>
                <w:b/>
                <w:color w:val="FF0000"/>
                <w:sz w:val="24"/>
                <w:szCs w:val="24"/>
              </w:rPr>
              <w:t xml:space="preserve"> </w:t>
            </w:r>
            <w:r w:rsidR="00ED03DD" w:rsidRPr="00ED03DD">
              <w:rPr>
                <w:rFonts w:ascii="Times New Roman" w:eastAsia="Times New Roman" w:hAnsi="Times New Roman" w:cs="Times New Roman"/>
                <w:b/>
                <w:bCs/>
                <w:color w:val="FF0000"/>
                <w:sz w:val="24"/>
                <w:szCs w:val="24"/>
              </w:rPr>
              <w:t>thông qua tại Kỳ họp thứ 10</w:t>
            </w:r>
            <w:r w:rsidR="00ED03DD" w:rsidRPr="00ED03DD">
              <w:rPr>
                <w:rFonts w:ascii="Times New Roman" w:eastAsia="Times New Roman" w:hAnsi="Times New Roman" w:cs="Times New Roman"/>
                <w:b/>
                <w:color w:val="FF0000"/>
                <w:sz w:val="24"/>
                <w:szCs w:val="24"/>
              </w:rPr>
              <w:t xml:space="preserve">  </w:t>
            </w:r>
            <w:r w:rsidR="00ED03DD" w:rsidRPr="00ED03DD">
              <w:rPr>
                <w:rFonts w:ascii="Times New Roman" w:eastAsia="Times New Roman" w:hAnsi="Times New Roman" w:cs="Times New Roman"/>
                <w:b/>
                <w:color w:val="FF0000"/>
                <w:sz w:val="24"/>
                <w:szCs w:val="24"/>
                <w:lang w:val="vi-VN"/>
              </w:rPr>
              <w:t xml:space="preserve">Quốc hội </w:t>
            </w:r>
            <w:r w:rsidR="00ED03DD" w:rsidRPr="00ED03DD">
              <w:rPr>
                <w:rFonts w:ascii="Times New Roman" w:eastAsia="Times New Roman" w:hAnsi="Times New Roman" w:cs="Times New Roman"/>
                <w:b/>
                <w:color w:val="FF0000"/>
                <w:sz w:val="24"/>
                <w:szCs w:val="24"/>
              </w:rPr>
              <w:t>khóa XV</w:t>
            </w:r>
          </w:p>
          <w:p w14:paraId="63516DC1"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p>
        </w:tc>
      </w:tr>
      <w:tr w:rsidR="005C5D35" w:rsidRPr="00A35EC9" w14:paraId="4B2C4FCD" w14:textId="77777777" w:rsidTr="00ED03DD">
        <w:tc>
          <w:tcPr>
            <w:tcW w:w="702" w:type="dxa"/>
          </w:tcPr>
          <w:p w14:paraId="6B9025EB" w14:textId="77777777" w:rsidR="005C5D35" w:rsidRPr="00A35EC9" w:rsidRDefault="005C5D35" w:rsidP="00ED03DD">
            <w:pPr>
              <w:pStyle w:val="ListParagraph"/>
              <w:numPr>
                <w:ilvl w:val="0"/>
                <w:numId w:val="3"/>
              </w:numPr>
              <w:tabs>
                <w:tab w:val="left" w:pos="360"/>
              </w:tabs>
              <w:spacing w:after="0" w:line="240" w:lineRule="auto"/>
              <w:rPr>
                <w:rFonts w:ascii="Times New Roman" w:eastAsia="Times New Roman" w:hAnsi="Times New Roman" w:cs="Times New Roman"/>
                <w:sz w:val="24"/>
                <w:szCs w:val="24"/>
              </w:rPr>
            </w:pPr>
          </w:p>
        </w:tc>
        <w:tc>
          <w:tcPr>
            <w:tcW w:w="1897" w:type="dxa"/>
          </w:tcPr>
          <w:p w14:paraId="140B953F" w14:textId="77777777" w:rsidR="005C5D35" w:rsidRPr="00A35EC9" w:rsidRDefault="005C5D35" w:rsidP="00ED03DD">
            <w:pPr>
              <w:tabs>
                <w:tab w:val="left" w:pos="360"/>
              </w:tabs>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Khoản 5 Điều 31 Luật Đầu tư số 61/2020/QH14</w:t>
            </w:r>
          </w:p>
        </w:tc>
        <w:tc>
          <w:tcPr>
            <w:tcW w:w="3913" w:type="dxa"/>
          </w:tcPr>
          <w:p w14:paraId="1B694285"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 xml:space="preserve">Dự án đầu tư đồng thời thuộc thẩm quyền chấp thuận chủ trương đầu tư của từ 02 UBND cấp tỉnh trở lên thuộc thẩm quyền chấp thuận chủ trương đầu tư của Thủ tướng Chính phủ. Việc này sẽ ảnh hưởng đối với một số dự án đường ống dẫn khí của PV GAS có tính chất đặc thù thường đi qua nhiều tỉnh thành và có chi phí đầu tư không lớn do phải mất nhiều thời gian, thủ tục trình, phê duyệt của cấp thẩm quyền (Thủ tướng Chính phủ) chấp thuận chủ trương đầu tư. Kiến nghị: - Sửa đổi khoản 5 Điều 31 luật Đầu tư số 61/2020/QH14 theo hướng đối với các Dự án đường ống dẫn khí đi qua địa giới hành chính từ 02 tỉnh trở lên nếu thuộc diện phải chấp thuận chủ trương đầu tư thì UBND cấp tỉnh nơi có vị trí điểm đầu đường ống dẫn khí có thẩm quyền chấp thuận chủ trương đầu tư, tương tự như quy định tại điểm a khoản 2 </w:t>
            </w:r>
            <w:r w:rsidRPr="00A35EC9">
              <w:rPr>
                <w:rFonts w:ascii="Times New Roman" w:eastAsia="Times New Roman" w:hAnsi="Times New Roman" w:cs="Times New Roman"/>
                <w:sz w:val="24"/>
                <w:szCs w:val="24"/>
              </w:rPr>
              <w:lastRenderedPageBreak/>
              <w:t>Điều 13 Luật điện lực số 61/2024/QH15.; - Về lâu dài, kiến nghị ban hành mới/sửa đổi, bổ sung Luật Đầu tư theo hướng thông thoáng hơn, đặc biệt (i) chủ trương đầu tư chỉ nên áp dụng cho đối với các Nhà đầu tư nước ngoài, còn với các Nhà đầu tư trong nước điều chỉnh thông qua quy trình quản lý vốn; (ii) Luật Đầu tư nếu còn duy trì, đối với các Nhà đầu tư trong nước nên tập trung cho các ưu đãi đầu tư (như Luật Khuyến khích Đầu tư trong nước trước đây) và giảm tối đa quy trình, thủ tục.</w:t>
            </w:r>
          </w:p>
        </w:tc>
        <w:tc>
          <w:tcPr>
            <w:tcW w:w="1280" w:type="dxa"/>
          </w:tcPr>
          <w:p w14:paraId="3029975F"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lastRenderedPageBreak/>
              <w:t>C. Sửa đổi, bổ sung, thay thế, ban hành mới VBQPPL (theo trình tự, thủ tục rút gọn ban hành VBQPPL của Luật Ban hành VBQPPL)</w:t>
            </w:r>
          </w:p>
        </w:tc>
        <w:tc>
          <w:tcPr>
            <w:tcW w:w="1254" w:type="dxa"/>
          </w:tcPr>
          <w:p w14:paraId="46A0F40C"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Tập đoàn Công nghiệp - Năng lượng Quốc gia Việt Nam</w:t>
            </w:r>
          </w:p>
        </w:tc>
        <w:tc>
          <w:tcPr>
            <w:tcW w:w="2289" w:type="dxa"/>
          </w:tcPr>
          <w:p w14:paraId="27BF56B7"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 xml:space="preserve">Nhất trí vì: </w:t>
            </w:r>
          </w:p>
          <w:p w14:paraId="726E6299" w14:textId="77777777" w:rsidR="005C5D35"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Hiện nay Bộ Tài chính đang nghiên cứu để sửa tổng thể Luật Đầu tư và các văn bản hướng dẫn thi hành. (năm 2025-2026).</w:t>
            </w:r>
          </w:p>
          <w:p w14:paraId="0FC989A9" w14:textId="77777777" w:rsidR="005C5D35" w:rsidRDefault="005C5D35" w:rsidP="00ED03DD">
            <w:pPr>
              <w:jc w:val="both"/>
              <w:rPr>
                <w:rFonts w:ascii="Times New Roman" w:eastAsiaTheme="minorHAnsi" w:hAnsi="Times New Roman" w:cs="Times New Roman"/>
                <w:color w:val="EE0000"/>
                <w:sz w:val="24"/>
                <w:szCs w:val="24"/>
              </w:rPr>
            </w:pPr>
            <w:r>
              <w:rPr>
                <w:rFonts w:ascii="Times New Roman" w:eastAsia="Times New Roman" w:hAnsi="Times New Roman"/>
                <w:b/>
                <w:bCs/>
                <w:sz w:val="24"/>
                <w:szCs w:val="24"/>
              </w:rPr>
              <w:t xml:space="preserve">Theo Công văn số 08-CV/ĐUBTC-PC ngày 22/8/2025, Bộ Tài chính: </w:t>
            </w:r>
          </w:p>
          <w:p w14:paraId="41B2D875" w14:textId="77777777" w:rsidR="005C5D35" w:rsidRDefault="005C5D35" w:rsidP="00ED03DD">
            <w:pPr>
              <w:spacing w:after="0" w:line="240" w:lineRule="auto"/>
              <w:jc w:val="both"/>
              <w:rPr>
                <w:rFonts w:ascii="Times New Roman" w:eastAsia="Times New Roman" w:hAnsi="Times New Roman" w:cs="Times New Roman"/>
                <w:b/>
                <w:bCs/>
                <w:sz w:val="24"/>
                <w:szCs w:val="24"/>
                <w:lang w:val="vi-VN"/>
              </w:rPr>
            </w:pPr>
            <w:r>
              <w:rPr>
                <w:rFonts w:ascii="Times New Roman" w:eastAsia="Times New Roman" w:hAnsi="Times New Roman" w:cs="Times New Roman"/>
                <w:b/>
                <w:bCs/>
                <w:sz w:val="24"/>
                <w:szCs w:val="24"/>
              </w:rPr>
              <w:t>Đã</w:t>
            </w:r>
            <w:r>
              <w:rPr>
                <w:rFonts w:ascii="Times New Roman" w:eastAsia="Times New Roman" w:hAnsi="Times New Roman" w:cs="Times New Roman"/>
                <w:b/>
                <w:bCs/>
                <w:sz w:val="24"/>
                <w:szCs w:val="24"/>
                <w:lang w:val="vi-VN"/>
              </w:rPr>
              <w:t xml:space="preserve"> hoàn thành </w:t>
            </w:r>
          </w:p>
          <w:p w14:paraId="0526E5F6" w14:textId="77777777" w:rsidR="005C5D35" w:rsidRDefault="005C5D35" w:rsidP="00ED03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Kiến nghị này đã được xử lý tại: Luật số 90/2025/QH15 đã phân cấp thẩm quyền này cho UBND tỉnh.</w:t>
            </w:r>
          </w:p>
          <w:p w14:paraId="4050BF98" w14:textId="77777777" w:rsidR="005C5D35" w:rsidRDefault="005C5D35" w:rsidP="00ED03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Dự thảo Nghị định sửa Nghị định số 31/2021/NĐ-CP đã dự kiến quy định </w:t>
            </w:r>
            <w:r>
              <w:rPr>
                <w:rFonts w:ascii="Times New Roman" w:eastAsia="Times New Roman" w:hAnsi="Times New Roman" w:cs="Times New Roman"/>
                <w:sz w:val="24"/>
                <w:szCs w:val="24"/>
              </w:rPr>
              <w:lastRenderedPageBreak/>
              <w:t>trình tự, thủ tục châp thuận chủ trương đầu tư trong TH này.</w:t>
            </w:r>
          </w:p>
          <w:p w14:paraId="74D31104"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p>
        </w:tc>
        <w:tc>
          <w:tcPr>
            <w:tcW w:w="2694" w:type="dxa"/>
          </w:tcPr>
          <w:p w14:paraId="6040CEBF" w14:textId="4AFA0E45" w:rsidR="005C5D35" w:rsidRDefault="005C5D35" w:rsidP="00ED03DD">
            <w:pPr>
              <w:spacing w:after="0" w:line="240" w:lineRule="auto"/>
              <w:jc w:val="both"/>
              <w:rPr>
                <w:rFonts w:ascii="Times New Roman" w:eastAsia="Times New Roman" w:hAnsi="Times New Roman" w:cs="Times New Roman"/>
                <w:b/>
                <w:bCs/>
                <w:sz w:val="24"/>
                <w:szCs w:val="24"/>
                <w:lang w:val="vi-VN"/>
              </w:rPr>
            </w:pPr>
            <w:r w:rsidRPr="00736BEF">
              <w:rPr>
                <w:rFonts w:ascii="Times New Roman" w:eastAsia="Times New Roman" w:hAnsi="Times New Roman" w:cs="Times New Roman"/>
                <w:b/>
                <w:bCs/>
                <w:sz w:val="24"/>
                <w:szCs w:val="24"/>
                <w:highlight w:val="yellow"/>
              </w:rPr>
              <w:lastRenderedPageBreak/>
              <w:t>Đã xử lý</w:t>
            </w:r>
          </w:p>
          <w:p w14:paraId="31485ED0" w14:textId="77777777" w:rsidR="005C5D35" w:rsidRDefault="005C5D35" w:rsidP="00ED03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Kiến nghị này đã được xử lý tại: Luật số 90/2025/QH15 đã phân cấp thẩm quyền này cho UBND tỉnh.</w:t>
            </w:r>
          </w:p>
          <w:p w14:paraId="41949CAC" w14:textId="44440585" w:rsidR="005C5D35" w:rsidRPr="00A35EC9" w:rsidRDefault="005C5D35" w:rsidP="00ED03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Ngày 3/9/2025, Chính phủ đã ban hành Nghị định số 239/2025/NĐ-CP sửa đổi, bổ sung </w:t>
            </w:r>
            <w:r w:rsidRPr="00736BEF">
              <w:rPr>
                <w:rFonts w:ascii="Times New Roman" w:eastAsia="Times New Roman" w:hAnsi="Times New Roman" w:cs="Times New Roman"/>
                <w:sz w:val="24"/>
                <w:szCs w:val="24"/>
              </w:rPr>
              <w:t>một số điều của Nghị định số </w:t>
            </w:r>
            <w:bookmarkStart w:id="0" w:name="tvpllink_cxhwshsuqi"/>
            <w:r w:rsidRPr="00736BEF">
              <w:rPr>
                <w:rFonts w:ascii="Times New Roman" w:eastAsia="Times New Roman" w:hAnsi="Times New Roman" w:cs="Times New Roman"/>
                <w:sz w:val="24"/>
                <w:szCs w:val="24"/>
              </w:rPr>
              <w:fldChar w:fldCharType="begin"/>
            </w:r>
            <w:r w:rsidRPr="00736BEF">
              <w:rPr>
                <w:rFonts w:ascii="Times New Roman" w:eastAsia="Times New Roman" w:hAnsi="Times New Roman" w:cs="Times New Roman"/>
                <w:sz w:val="24"/>
                <w:szCs w:val="24"/>
              </w:rPr>
              <w:instrText xml:space="preserve"> HYPERLINK "https://thuvienphapluat.vn/van-ban/Dau-tu/Nghi-dinh-31-2021-ND-CP-huong-dan-Luat-Dau-tu-462291.aspx" \t "_blank" </w:instrText>
            </w:r>
            <w:r w:rsidRPr="00736BEF">
              <w:rPr>
                <w:rFonts w:ascii="Times New Roman" w:eastAsia="Times New Roman" w:hAnsi="Times New Roman" w:cs="Times New Roman"/>
                <w:sz w:val="24"/>
                <w:szCs w:val="24"/>
              </w:rPr>
            </w:r>
            <w:r w:rsidRPr="00736BEF">
              <w:rPr>
                <w:rFonts w:ascii="Times New Roman" w:eastAsia="Times New Roman" w:hAnsi="Times New Roman" w:cs="Times New Roman"/>
                <w:sz w:val="24"/>
                <w:szCs w:val="24"/>
              </w:rPr>
              <w:fldChar w:fldCharType="separate"/>
            </w:r>
            <w:r w:rsidRPr="00736BEF">
              <w:rPr>
                <w:rFonts w:ascii="Times New Roman" w:eastAsia="Times New Roman" w:hAnsi="Times New Roman" w:cs="Times New Roman"/>
                <w:sz w:val="24"/>
                <w:szCs w:val="24"/>
              </w:rPr>
              <w:t>31/2021/NĐ-CP</w:t>
            </w:r>
            <w:r w:rsidRPr="00736BEF">
              <w:rPr>
                <w:rFonts w:ascii="Times New Roman" w:eastAsia="Times New Roman" w:hAnsi="Times New Roman" w:cs="Times New Roman"/>
                <w:sz w:val="24"/>
                <w:szCs w:val="24"/>
              </w:rPr>
              <w:fldChar w:fldCharType="end"/>
            </w:r>
            <w:bookmarkEnd w:id="0"/>
            <w:r w:rsidRPr="00736BEF">
              <w:rPr>
                <w:rFonts w:ascii="Times New Roman" w:eastAsia="Times New Roman" w:hAnsi="Times New Roman" w:cs="Times New Roman"/>
                <w:sz w:val="24"/>
                <w:szCs w:val="24"/>
              </w:rPr>
              <w:t> ngày 26 tháng 3 năm 2021 của Chính phủ quy định chi tiết và hướng dẫn thi hành một số điều của </w:t>
            </w:r>
            <w:bookmarkStart w:id="1" w:name="tvpllink_gwozgqnrqo_1"/>
            <w:r w:rsidRPr="00736BEF">
              <w:rPr>
                <w:rFonts w:ascii="Times New Roman" w:eastAsia="Times New Roman" w:hAnsi="Times New Roman" w:cs="Times New Roman"/>
                <w:sz w:val="24"/>
                <w:szCs w:val="24"/>
              </w:rPr>
              <w:fldChar w:fldCharType="begin"/>
            </w:r>
            <w:r w:rsidRPr="00736BEF">
              <w:rPr>
                <w:rFonts w:ascii="Times New Roman" w:eastAsia="Times New Roman" w:hAnsi="Times New Roman" w:cs="Times New Roman"/>
                <w:sz w:val="24"/>
                <w:szCs w:val="24"/>
              </w:rPr>
              <w:instrText xml:space="preserve"> HYPERLINK "https://thuvienphapluat.vn/van-ban/Doanh-nghiep/Luat-Dau-tu-so-61-2020-QH14-321051.aspx" \t "_blank" </w:instrText>
            </w:r>
            <w:r w:rsidRPr="00736BEF">
              <w:rPr>
                <w:rFonts w:ascii="Times New Roman" w:eastAsia="Times New Roman" w:hAnsi="Times New Roman" w:cs="Times New Roman"/>
                <w:sz w:val="24"/>
                <w:szCs w:val="24"/>
              </w:rPr>
            </w:r>
            <w:r w:rsidRPr="00736BEF">
              <w:rPr>
                <w:rFonts w:ascii="Times New Roman" w:eastAsia="Times New Roman" w:hAnsi="Times New Roman" w:cs="Times New Roman"/>
                <w:sz w:val="24"/>
                <w:szCs w:val="24"/>
              </w:rPr>
              <w:fldChar w:fldCharType="separate"/>
            </w:r>
            <w:r w:rsidRPr="00736BEF">
              <w:rPr>
                <w:rFonts w:ascii="Times New Roman" w:eastAsia="Times New Roman" w:hAnsi="Times New Roman" w:cs="Times New Roman"/>
                <w:sz w:val="24"/>
                <w:szCs w:val="24"/>
              </w:rPr>
              <w:t>Luật Đầu tư</w:t>
            </w:r>
            <w:r w:rsidRPr="00736BEF">
              <w:rPr>
                <w:rFonts w:ascii="Times New Roman" w:eastAsia="Times New Roman" w:hAnsi="Times New Roman" w:cs="Times New Roman"/>
                <w:sz w:val="24"/>
                <w:szCs w:val="24"/>
              </w:rPr>
              <w:fldChar w:fldCharType="end"/>
            </w:r>
            <w:bookmarkEnd w:id="1"/>
            <w:r w:rsidRPr="00736BEF">
              <w:rPr>
                <w:rFonts w:ascii="Times New Roman" w:eastAsia="Times New Roman" w:hAnsi="Times New Roman" w:cs="Times New Roman"/>
                <w:sz w:val="24"/>
                <w:szCs w:val="24"/>
              </w:rPr>
              <w:t>.</w:t>
            </w:r>
          </w:p>
        </w:tc>
      </w:tr>
      <w:tr w:rsidR="005C5D35" w:rsidRPr="00A35EC9" w14:paraId="5F5D8743" w14:textId="77777777" w:rsidTr="00ED03DD">
        <w:tc>
          <w:tcPr>
            <w:tcW w:w="702" w:type="dxa"/>
          </w:tcPr>
          <w:p w14:paraId="7DFE4250" w14:textId="77777777" w:rsidR="005C5D35" w:rsidRPr="00A35EC9" w:rsidRDefault="005C5D35" w:rsidP="00ED03DD">
            <w:pPr>
              <w:pStyle w:val="ListParagraph"/>
              <w:numPr>
                <w:ilvl w:val="0"/>
                <w:numId w:val="3"/>
              </w:numPr>
              <w:tabs>
                <w:tab w:val="left" w:pos="360"/>
              </w:tabs>
              <w:spacing w:after="0" w:line="240" w:lineRule="auto"/>
              <w:rPr>
                <w:rFonts w:ascii="Times New Roman" w:eastAsia="Times New Roman" w:hAnsi="Times New Roman" w:cs="Times New Roman"/>
                <w:sz w:val="24"/>
                <w:szCs w:val="24"/>
              </w:rPr>
            </w:pPr>
          </w:p>
        </w:tc>
        <w:tc>
          <w:tcPr>
            <w:tcW w:w="1897" w:type="dxa"/>
          </w:tcPr>
          <w:p w14:paraId="1E42E4E9" w14:textId="77777777" w:rsidR="005C5D35" w:rsidRPr="00A35EC9" w:rsidRDefault="005C5D35" w:rsidP="00ED03DD">
            <w:pPr>
              <w:tabs>
                <w:tab w:val="left" w:pos="360"/>
              </w:tabs>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 xml:space="preserve">Điểm d khoản 1 Điều 31 Luật Đầu tư số 61/2020/QH14 và điểm b khoản 3 Điều 18 Luật Đầu tư công năm 2024 về thẩm quyền chấp thuận chủ trương đầu tư theo Luật </w:t>
            </w:r>
            <w:r w:rsidRPr="00A35EC9">
              <w:rPr>
                <w:rFonts w:ascii="Times New Roman" w:eastAsia="Times New Roman" w:hAnsi="Times New Roman" w:cs="Times New Roman"/>
                <w:sz w:val="24"/>
                <w:szCs w:val="24"/>
              </w:rPr>
              <w:lastRenderedPageBreak/>
              <w:t>Đầu tư đối với Dự án bến cảng, khu bến cảng có quy mô vốn đầu tư từ 2.300 tỷ đồng trở lên (hạn mức của Dự án nhóm A theo Luật Đầu tư công năm 2019) thuộc cảng biển đặc biệt, cảng biển loại I</w:t>
            </w:r>
          </w:p>
        </w:tc>
        <w:tc>
          <w:tcPr>
            <w:tcW w:w="3913" w:type="dxa"/>
          </w:tcPr>
          <w:p w14:paraId="07547D37"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lastRenderedPageBreak/>
              <w:t xml:space="preserve">- Theo quy định tại điểm d khoản 1 Điều 31 Luật Đầu tư số 61/2020/QH14 thì các Dự án này thuộc thẩm quyền chấp thuận chủ trương đầu tư của Thủ tướng Chính phủ. - Tuy nhiên theo điểm b khoản 3 Điều 18 Luật Đầu tư công năm 2024, Thủ tướng chính phủ quyết định chủ trương đầu tư Dự án nhóm A có tổng mức đầu tư từ 10.000 tỷ đồng trở lên, đồng thời theo điểm a khoản 2 Điều 9 </w:t>
            </w:r>
            <w:r w:rsidRPr="00A35EC9">
              <w:rPr>
                <w:rFonts w:ascii="Times New Roman" w:eastAsia="Times New Roman" w:hAnsi="Times New Roman" w:cs="Times New Roman"/>
                <w:sz w:val="24"/>
                <w:szCs w:val="24"/>
              </w:rPr>
              <w:lastRenderedPageBreak/>
              <w:t>Luật Đầu tư công năm 2024 thì Dự án nhóm A là Dự án thuộc lĩnh vực cảng biển, cảng sông … có tổng mức đầu tư từ 4.600 tỷ đồng trở lên (theo Luật Đầu tư công năm 2019 trước đây là 2.300 tỷ đồng). Kiến nghị điều chỉnh quy mô vốn đầu tư đối với dự án thuộc thẩm quyền chấp thuận chủ trương đầu tư của Thủ tướng Chính phủ quy định tại điểm d, khoản 1 Điều 31 Luật đầu tư số 61/2020/QH từ mức 2.300 tỷ lên mức từ 4.600 tỷ trở lên (thay vì từ 2.300 tỷ đồng trở lên như quy định hiện nay).</w:t>
            </w:r>
          </w:p>
        </w:tc>
        <w:tc>
          <w:tcPr>
            <w:tcW w:w="1280" w:type="dxa"/>
          </w:tcPr>
          <w:p w14:paraId="4F544DCB"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lastRenderedPageBreak/>
              <w:t xml:space="preserve">C. Sửa đổi, bổ sung, thay thế, ban hành mới VBQPPL (theo trình tự, thủ tục rút gọn ban hành VBQPPL </w:t>
            </w:r>
            <w:r w:rsidRPr="00A35EC9">
              <w:rPr>
                <w:rFonts w:ascii="Times New Roman" w:eastAsia="Times New Roman" w:hAnsi="Times New Roman" w:cs="Times New Roman"/>
                <w:sz w:val="24"/>
                <w:szCs w:val="24"/>
              </w:rPr>
              <w:lastRenderedPageBreak/>
              <w:t>của Luật Ban hành VBQPPL)</w:t>
            </w:r>
          </w:p>
        </w:tc>
        <w:tc>
          <w:tcPr>
            <w:tcW w:w="1254" w:type="dxa"/>
          </w:tcPr>
          <w:p w14:paraId="70394207"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lastRenderedPageBreak/>
              <w:t>Tập đoàn Công nghiệp - Năng lượng Quốc gia Việt Nam</w:t>
            </w:r>
          </w:p>
        </w:tc>
        <w:tc>
          <w:tcPr>
            <w:tcW w:w="2289" w:type="dxa"/>
          </w:tcPr>
          <w:p w14:paraId="5FA70C37"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 xml:space="preserve">Nhất trí vì: </w:t>
            </w:r>
          </w:p>
          <w:p w14:paraId="268C759F" w14:textId="77777777" w:rsidR="005C5D35"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Hiện nay Bộ Tài chính đang nghiên cứu để sửa tổng thể Luật Đầu tư và các văn bản hướng dẫn thi hành. (năm 2025-2026).</w:t>
            </w:r>
          </w:p>
          <w:p w14:paraId="75890DDB" w14:textId="77777777" w:rsidR="005C5D35" w:rsidRDefault="005C5D35" w:rsidP="00ED03DD">
            <w:pPr>
              <w:jc w:val="both"/>
              <w:rPr>
                <w:rFonts w:ascii="Times New Roman" w:eastAsia="Times New Roman" w:hAnsi="Times New Roman"/>
                <w:b/>
                <w:bCs/>
                <w:sz w:val="24"/>
                <w:szCs w:val="24"/>
              </w:rPr>
            </w:pPr>
            <w:r>
              <w:rPr>
                <w:rFonts w:ascii="Times New Roman" w:eastAsia="Times New Roman" w:hAnsi="Times New Roman"/>
                <w:b/>
                <w:bCs/>
                <w:sz w:val="24"/>
                <w:szCs w:val="24"/>
              </w:rPr>
              <w:t xml:space="preserve">Theo Công văn số 08-CV/ĐUBTC-PC ngày 22/8/2025, Bộ </w:t>
            </w:r>
            <w:r>
              <w:rPr>
                <w:rFonts w:ascii="Times New Roman" w:eastAsia="Times New Roman" w:hAnsi="Times New Roman"/>
                <w:b/>
                <w:bCs/>
                <w:sz w:val="24"/>
                <w:szCs w:val="24"/>
              </w:rPr>
              <w:lastRenderedPageBreak/>
              <w:t xml:space="preserve">Tài chính: </w:t>
            </w:r>
          </w:p>
          <w:p w14:paraId="25E57422"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Kiến nghị này đã được xử lý tại: Luật số 90/2025/QH15 đã phân cấp thẩm quyền này cho UBND tỉnh.</w:t>
            </w:r>
          </w:p>
          <w:p w14:paraId="6EA513A4" w14:textId="77777777" w:rsidR="005C5D35" w:rsidRDefault="005C5D35" w:rsidP="00ED03DD">
            <w:pPr>
              <w:jc w:val="both"/>
              <w:rPr>
                <w:rFonts w:ascii="Times New Roman" w:eastAsiaTheme="minorHAnsi" w:hAnsi="Times New Roman" w:cs="Times New Roman"/>
                <w:color w:val="EE0000"/>
                <w:sz w:val="24"/>
                <w:szCs w:val="24"/>
              </w:rPr>
            </w:pPr>
            <w:r w:rsidRPr="00A35EC9">
              <w:rPr>
                <w:rFonts w:ascii="Times New Roman" w:eastAsia="Times New Roman" w:hAnsi="Times New Roman" w:cs="Times New Roman"/>
                <w:sz w:val="24"/>
                <w:szCs w:val="24"/>
              </w:rPr>
              <w:t>Dự thảo Nghị định sửa Nghị định số 31/2021/NĐ-CP đã dự kiến quy định trình tự, thủ tục châp thuận chủ trương đầu tư trong TH này.</w:t>
            </w:r>
          </w:p>
          <w:p w14:paraId="4DEF6BDF"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p>
        </w:tc>
        <w:tc>
          <w:tcPr>
            <w:tcW w:w="2694" w:type="dxa"/>
          </w:tcPr>
          <w:p w14:paraId="26821CAE" w14:textId="77777777" w:rsidR="005C5D35" w:rsidRPr="001C67FC" w:rsidRDefault="005C5D35" w:rsidP="00ED03DD">
            <w:pPr>
              <w:pBdr>
                <w:top w:val="nil"/>
                <w:left w:val="nil"/>
                <w:bottom w:val="nil"/>
                <w:right w:val="nil"/>
                <w:between w:val="nil"/>
              </w:pBdr>
              <w:jc w:val="both"/>
              <w:rPr>
                <w:rFonts w:ascii="Times New Roman" w:eastAsia="Times New Roman" w:hAnsi="Times New Roman" w:cs="Times New Roman"/>
                <w:b/>
                <w:sz w:val="24"/>
                <w:szCs w:val="24"/>
              </w:rPr>
            </w:pPr>
            <w:r w:rsidRPr="00F41238">
              <w:rPr>
                <w:rFonts w:ascii="Times New Roman" w:eastAsia="Times New Roman" w:hAnsi="Times New Roman" w:cs="Times New Roman"/>
                <w:b/>
                <w:sz w:val="24"/>
                <w:szCs w:val="24"/>
                <w:highlight w:val="yellow"/>
              </w:rPr>
              <w:lastRenderedPageBreak/>
              <w:t>Đã xử lý</w:t>
            </w:r>
          </w:p>
          <w:p w14:paraId="6893003F"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Kiến nghị này đã được xử lý tại: Luật số 90/2025/QH15 đã phân cấp thẩm quyền này cho UBND tỉnh.</w:t>
            </w:r>
          </w:p>
          <w:p w14:paraId="6A7D6433"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w:t>
            </w:r>
            <w:r w:rsidRPr="007B00E7">
              <w:rPr>
                <w:rFonts w:ascii="Times New Roman" w:eastAsia="Times New Roman" w:hAnsi="Times New Roman" w:cs="Times New Roman"/>
                <w:sz w:val="24"/>
                <w:szCs w:val="24"/>
              </w:rPr>
              <w:t>ính</w:t>
            </w:r>
            <w:r>
              <w:rPr>
                <w:rFonts w:ascii="Times New Roman" w:eastAsia="Times New Roman" w:hAnsi="Times New Roman" w:cs="Times New Roman"/>
                <w:sz w:val="24"/>
                <w:szCs w:val="24"/>
              </w:rPr>
              <w:t xml:space="preserve"> ph</w:t>
            </w:r>
            <w:r w:rsidRPr="007B00E7">
              <w:rPr>
                <w:rFonts w:ascii="Times New Roman" w:eastAsia="Times New Roman" w:hAnsi="Times New Roman" w:cs="Times New Roman"/>
                <w:sz w:val="24"/>
                <w:szCs w:val="24"/>
              </w:rPr>
              <w:t>ủ</w:t>
            </w:r>
            <w:r>
              <w:rPr>
                <w:rFonts w:ascii="Times New Roman" w:eastAsia="Times New Roman" w:hAnsi="Times New Roman" w:cs="Times New Roman"/>
                <w:sz w:val="24"/>
                <w:szCs w:val="24"/>
              </w:rPr>
              <w:t xml:space="preserve"> </w:t>
            </w:r>
            <w:r w:rsidRPr="007B00E7">
              <w:rPr>
                <w:rFonts w:ascii="Times New Roman" w:eastAsia="Times New Roman" w:hAnsi="Times New Roman" w:cs="Times New Roman"/>
                <w:sz w:val="24"/>
                <w:szCs w:val="24"/>
              </w:rPr>
              <w:t>đã</w:t>
            </w:r>
            <w:r>
              <w:rPr>
                <w:rFonts w:ascii="Times New Roman" w:eastAsia="Times New Roman" w:hAnsi="Times New Roman" w:cs="Times New Roman"/>
                <w:sz w:val="24"/>
                <w:szCs w:val="24"/>
              </w:rPr>
              <w:t xml:space="preserve"> ban h</w:t>
            </w:r>
            <w:r w:rsidRPr="007B00E7">
              <w:rPr>
                <w:rFonts w:ascii="Times New Roman" w:eastAsia="Times New Roman" w:hAnsi="Times New Roman" w:cs="Times New Roman"/>
                <w:sz w:val="24"/>
                <w:szCs w:val="24"/>
              </w:rPr>
              <w:t>ành</w:t>
            </w:r>
            <w:r w:rsidRPr="00A35EC9">
              <w:rPr>
                <w:rFonts w:ascii="Times New Roman" w:eastAsia="Times New Roman" w:hAnsi="Times New Roman" w:cs="Times New Roman"/>
                <w:sz w:val="24"/>
                <w:szCs w:val="24"/>
              </w:rPr>
              <w:t xml:space="preserve"> Nghị định số </w:t>
            </w:r>
            <w:r>
              <w:rPr>
                <w:rFonts w:ascii="Times New Roman" w:eastAsia="Times New Roman" w:hAnsi="Times New Roman" w:cs="Times New Roman"/>
                <w:sz w:val="24"/>
                <w:szCs w:val="24"/>
              </w:rPr>
              <w:t>239/2025</w:t>
            </w:r>
            <w:r w:rsidRPr="00A35EC9">
              <w:rPr>
                <w:rFonts w:ascii="Times New Roman" w:eastAsia="Times New Roman" w:hAnsi="Times New Roman" w:cs="Times New Roman"/>
                <w:sz w:val="24"/>
                <w:szCs w:val="24"/>
              </w:rPr>
              <w:t xml:space="preserve">/NĐ-CP </w:t>
            </w:r>
            <w:r>
              <w:rPr>
                <w:rFonts w:ascii="Times New Roman" w:eastAsia="Times New Roman" w:hAnsi="Times New Roman" w:cs="Times New Roman"/>
                <w:sz w:val="24"/>
                <w:szCs w:val="24"/>
              </w:rPr>
              <w:t>ng</w:t>
            </w:r>
            <w:r w:rsidRPr="007B00E7">
              <w:rPr>
                <w:rFonts w:ascii="Times New Roman" w:eastAsia="Times New Roman" w:hAnsi="Times New Roman" w:cs="Times New Roman"/>
                <w:sz w:val="24"/>
                <w:szCs w:val="24"/>
              </w:rPr>
              <w:t>ày</w:t>
            </w:r>
            <w:r>
              <w:rPr>
                <w:rFonts w:ascii="Times New Roman" w:eastAsia="Times New Roman" w:hAnsi="Times New Roman" w:cs="Times New Roman"/>
                <w:sz w:val="24"/>
                <w:szCs w:val="24"/>
              </w:rPr>
              <w:t xml:space="preserve"> 03/9/2025.</w:t>
            </w:r>
          </w:p>
          <w:p w14:paraId="713C594A"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p>
        </w:tc>
      </w:tr>
      <w:tr w:rsidR="005C5D35" w:rsidRPr="00A35EC9" w14:paraId="4BE096DC" w14:textId="77777777" w:rsidTr="00ED03DD">
        <w:tc>
          <w:tcPr>
            <w:tcW w:w="702" w:type="dxa"/>
            <w:hideMark/>
          </w:tcPr>
          <w:p w14:paraId="221AEE82" w14:textId="77777777" w:rsidR="005C5D35" w:rsidRPr="00A35EC9" w:rsidRDefault="005C5D35" w:rsidP="00ED03DD">
            <w:pPr>
              <w:pStyle w:val="ListParagraph"/>
              <w:numPr>
                <w:ilvl w:val="0"/>
                <w:numId w:val="3"/>
              </w:numPr>
              <w:tabs>
                <w:tab w:val="left" w:pos="360"/>
              </w:tabs>
              <w:spacing w:after="0" w:line="240" w:lineRule="auto"/>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lastRenderedPageBreak/>
              <w:t>4</w:t>
            </w:r>
          </w:p>
        </w:tc>
        <w:tc>
          <w:tcPr>
            <w:tcW w:w="1897" w:type="dxa"/>
          </w:tcPr>
          <w:p w14:paraId="7E3CAA8B" w14:textId="77777777" w:rsidR="005C5D35" w:rsidRPr="00A35EC9" w:rsidRDefault="005C5D35" w:rsidP="00ED03DD">
            <w:pPr>
              <w:tabs>
                <w:tab w:val="left" w:pos="360"/>
              </w:tabs>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Điều 16 Luật Đầu tư; Phụ lục II, III Nghị định 31</w:t>
            </w:r>
          </w:p>
        </w:tc>
        <w:tc>
          <w:tcPr>
            <w:tcW w:w="3913" w:type="dxa"/>
          </w:tcPr>
          <w:p w14:paraId="786794F9"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 xml:space="preserve">Các dự án điện LNG, Hydrogen không nằm trong danh mục ngành nghề được ưu đãi đầu tư, dù là lĩnh vực Nhà nước khuyến khích phát triển. Đề nghị có cơ chế khuyến khích Sản xuất, phân phối điện từ khí tự nhiên hóa lỏng (LNG), hydrogen; Xây dựng cơ sở hạ tầng tiếp nhận, tái hóa khí LNG; Công nghệ lưu trữ năng </w:t>
            </w:r>
            <w:r w:rsidRPr="00A35EC9">
              <w:rPr>
                <w:rFonts w:ascii="Times New Roman" w:eastAsia="Times New Roman" w:hAnsi="Times New Roman" w:cs="Times New Roman"/>
                <w:sz w:val="24"/>
                <w:szCs w:val="24"/>
              </w:rPr>
              <w:lastRenderedPageBreak/>
              <w:t>lượng, phát triển điện gió ngoài khơi, điện mặt trời quy mô lớn. Áp dụng ưu đãi đặc biệt về thuế, đất đai và tiếp cận tín dụng với các dự án có quy mô lớn, công nghệ cao, sử dụng tỷ lệ nội địa hóa lớn và không phát thải carbon.</w:t>
            </w:r>
          </w:p>
        </w:tc>
        <w:tc>
          <w:tcPr>
            <w:tcW w:w="1280" w:type="dxa"/>
          </w:tcPr>
          <w:p w14:paraId="38CB05AD"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lastRenderedPageBreak/>
              <w:t xml:space="preserve">C. Sửa đổi, bổ sung, thay thế, ban hành mới VBQPPL (theo trình tự, thủ tục rút gọn </w:t>
            </w:r>
            <w:r w:rsidRPr="00A35EC9">
              <w:rPr>
                <w:rFonts w:ascii="Times New Roman" w:eastAsia="Times New Roman" w:hAnsi="Times New Roman" w:cs="Times New Roman"/>
                <w:sz w:val="24"/>
                <w:szCs w:val="24"/>
              </w:rPr>
              <w:lastRenderedPageBreak/>
              <w:t>ban hành VBQPPL của Luật Ban hành VBQPPL)</w:t>
            </w:r>
          </w:p>
        </w:tc>
        <w:tc>
          <w:tcPr>
            <w:tcW w:w="1254" w:type="dxa"/>
          </w:tcPr>
          <w:p w14:paraId="5FA58301"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lastRenderedPageBreak/>
              <w:t>Tập đoàn Công nghiệp - Năng lượng Quốc gia Việt Nam</w:t>
            </w:r>
          </w:p>
        </w:tc>
        <w:tc>
          <w:tcPr>
            <w:tcW w:w="2289" w:type="dxa"/>
          </w:tcPr>
          <w:p w14:paraId="6B9FB04D"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 xml:space="preserve">Nhất trí vì: </w:t>
            </w:r>
          </w:p>
          <w:p w14:paraId="683B6C3C" w14:textId="77777777" w:rsidR="005C5D35"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Hiện nay Bộ Tài chính đang nghiên cứu để sửa tổng thể Luật Đầu tư và các văn bản hướng dẫn thi hành. (năm 2025-2026).</w:t>
            </w:r>
          </w:p>
          <w:p w14:paraId="4AB43A26" w14:textId="77777777" w:rsidR="005C5D35" w:rsidRDefault="005C5D35" w:rsidP="00ED03DD">
            <w:pPr>
              <w:jc w:val="both"/>
              <w:rPr>
                <w:rFonts w:ascii="Times New Roman" w:eastAsia="Times New Roman" w:hAnsi="Times New Roman"/>
                <w:b/>
                <w:bCs/>
                <w:sz w:val="24"/>
                <w:szCs w:val="24"/>
              </w:rPr>
            </w:pPr>
            <w:r>
              <w:rPr>
                <w:rFonts w:ascii="Times New Roman" w:eastAsia="Times New Roman" w:hAnsi="Times New Roman"/>
                <w:b/>
                <w:bCs/>
                <w:sz w:val="24"/>
                <w:szCs w:val="24"/>
              </w:rPr>
              <w:t xml:space="preserve">Theo Công văn số </w:t>
            </w:r>
            <w:r>
              <w:rPr>
                <w:rFonts w:ascii="Times New Roman" w:eastAsia="Times New Roman" w:hAnsi="Times New Roman"/>
                <w:b/>
                <w:bCs/>
                <w:sz w:val="24"/>
                <w:szCs w:val="24"/>
              </w:rPr>
              <w:lastRenderedPageBreak/>
              <w:t xml:space="preserve">08-CV/ĐUBTC-PC ngày 22/8/2025, Bộ Tài chính: </w:t>
            </w:r>
          </w:p>
          <w:p w14:paraId="7F27A369" w14:textId="77777777" w:rsidR="005C5D35" w:rsidRDefault="005C5D35" w:rsidP="00ED03DD">
            <w:pPr>
              <w:jc w:val="both"/>
              <w:rPr>
                <w:rFonts w:ascii="Times New Roman" w:eastAsiaTheme="minorHAnsi" w:hAnsi="Times New Roman" w:cs="Times New Roman"/>
                <w:color w:val="EE0000"/>
                <w:sz w:val="24"/>
                <w:szCs w:val="24"/>
              </w:rPr>
            </w:pPr>
            <w:r w:rsidRPr="00A35EC9">
              <w:rPr>
                <w:rFonts w:ascii="Times New Roman" w:eastAsia="Times New Roman" w:hAnsi="Times New Roman" w:cs="Times New Roman"/>
                <w:sz w:val="24"/>
                <w:szCs w:val="24"/>
              </w:rPr>
              <w:t>Dự</w:t>
            </w:r>
            <w:r w:rsidRPr="00A35EC9">
              <w:rPr>
                <w:rFonts w:ascii="Times New Roman" w:eastAsia="Times New Roman" w:hAnsi="Times New Roman" w:cs="Times New Roman"/>
                <w:sz w:val="24"/>
                <w:szCs w:val="24"/>
                <w:lang w:val="vi-VN"/>
              </w:rPr>
              <w:t xml:space="preserve"> kiến trình</w:t>
            </w:r>
            <w:r w:rsidRPr="00A35EC9">
              <w:rPr>
                <w:rFonts w:ascii="Times New Roman" w:eastAsia="Times New Roman" w:hAnsi="Times New Roman" w:cs="Times New Roman"/>
                <w:sz w:val="24"/>
                <w:szCs w:val="24"/>
              </w:rPr>
              <w:t xml:space="preserve"> Quốc hội dự án Luật Đầu tư (thay thế) </w:t>
            </w:r>
            <w:r w:rsidRPr="00A35EC9">
              <w:rPr>
                <w:rFonts w:ascii="Times New Roman" w:eastAsia="Times New Roman" w:hAnsi="Times New Roman" w:cs="Times New Roman"/>
                <w:sz w:val="24"/>
                <w:szCs w:val="24"/>
                <w:lang w:val="vi-VN"/>
              </w:rPr>
              <w:t xml:space="preserve"> tại Kỳ họp tháng 10/2025</w:t>
            </w:r>
          </w:p>
          <w:p w14:paraId="2EB4EAA8"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Luật Đầu tư dự kiến sẽ sửa theo hướng chỉ quy định nguyên tắc ưu đãi đầu tư và giao CP quy định chi tiết danh mục.</w:t>
            </w:r>
          </w:p>
        </w:tc>
        <w:tc>
          <w:tcPr>
            <w:tcW w:w="2694" w:type="dxa"/>
          </w:tcPr>
          <w:p w14:paraId="6AEBEFCD" w14:textId="0E5C1FBE" w:rsidR="005C5D35" w:rsidRPr="001C67FC" w:rsidRDefault="001D5F6C" w:rsidP="00ED03DD">
            <w:pPr>
              <w:pBdr>
                <w:top w:val="nil"/>
                <w:left w:val="nil"/>
                <w:bottom w:val="nil"/>
                <w:right w:val="nil"/>
                <w:between w:val="nil"/>
              </w:pBd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Đã xử lý</w:t>
            </w:r>
          </w:p>
          <w:p w14:paraId="53CF11D6" w14:textId="77777777" w:rsidR="005C5D35" w:rsidRDefault="005C5D35" w:rsidP="00ED03DD">
            <w:pPr>
              <w:spacing w:after="0" w:line="240" w:lineRule="auto"/>
              <w:jc w:val="both"/>
              <w:rPr>
                <w:rFonts w:ascii="Times New Roman" w:eastAsia="Times New Roman" w:hAnsi="Times New Roman" w:cs="Times New Roman"/>
                <w:b/>
                <w:color w:val="FF0000"/>
                <w:sz w:val="24"/>
                <w:szCs w:val="24"/>
              </w:rPr>
            </w:pPr>
          </w:p>
          <w:p w14:paraId="6D9AFE14" w14:textId="1A97D56C" w:rsidR="005C5D35" w:rsidRPr="00A35EC9" w:rsidRDefault="005C5D35" w:rsidP="00ED03DD">
            <w:pPr>
              <w:spacing w:after="0" w:line="240" w:lineRule="auto"/>
              <w:jc w:val="both"/>
              <w:rPr>
                <w:rFonts w:ascii="Times New Roman" w:eastAsia="Times New Roman" w:hAnsi="Times New Roman" w:cs="Times New Roman"/>
                <w:sz w:val="24"/>
                <w:szCs w:val="24"/>
                <w:lang w:val="vi-VN"/>
              </w:rPr>
            </w:pPr>
            <w:r w:rsidRPr="001D5F6C">
              <w:rPr>
                <w:rFonts w:ascii="Times New Roman" w:eastAsia="Times New Roman" w:hAnsi="Times New Roman" w:cs="Times New Roman"/>
                <w:bCs/>
                <w:color w:val="FF0000"/>
                <w:sz w:val="24"/>
                <w:szCs w:val="24"/>
              </w:rPr>
              <w:t xml:space="preserve">Nội dung này đã được đưa vào khoản 3 Điều 14 Luật Đầu tư </w:t>
            </w:r>
            <w:r w:rsidR="00ED03DD" w:rsidRPr="001D5F6C">
              <w:rPr>
                <w:rFonts w:ascii="Times New Roman" w:eastAsia="Times New Roman" w:hAnsi="Times New Roman" w:cs="Times New Roman"/>
                <w:bCs/>
                <w:sz w:val="24"/>
                <w:szCs w:val="24"/>
              </w:rPr>
              <w:t xml:space="preserve"> </w:t>
            </w:r>
            <w:r w:rsidR="00ED03DD" w:rsidRPr="001D5F6C">
              <w:rPr>
                <w:rFonts w:ascii="Times New Roman" w:eastAsia="Times New Roman" w:hAnsi="Times New Roman" w:cs="Times New Roman"/>
                <w:bCs/>
                <w:color w:val="FF0000"/>
                <w:sz w:val="24"/>
                <w:szCs w:val="24"/>
              </w:rPr>
              <w:t xml:space="preserve">được thông qua tại Kỳ họp thứ 10  </w:t>
            </w:r>
            <w:r w:rsidR="00ED03DD" w:rsidRPr="001D5F6C">
              <w:rPr>
                <w:rFonts w:ascii="Times New Roman" w:eastAsia="Times New Roman" w:hAnsi="Times New Roman" w:cs="Times New Roman"/>
                <w:bCs/>
                <w:color w:val="FF0000"/>
                <w:sz w:val="24"/>
                <w:szCs w:val="24"/>
                <w:lang w:val="vi-VN"/>
              </w:rPr>
              <w:t xml:space="preserve">Quốc hội </w:t>
            </w:r>
            <w:r w:rsidR="00ED03DD" w:rsidRPr="001D5F6C">
              <w:rPr>
                <w:rFonts w:ascii="Times New Roman" w:eastAsia="Times New Roman" w:hAnsi="Times New Roman" w:cs="Times New Roman"/>
                <w:bCs/>
                <w:color w:val="FF0000"/>
                <w:sz w:val="24"/>
                <w:szCs w:val="24"/>
              </w:rPr>
              <w:t xml:space="preserve">khóa XV </w:t>
            </w:r>
            <w:r w:rsidR="001D5F6C" w:rsidRPr="001D5F6C">
              <w:rPr>
                <w:rFonts w:ascii="Times New Roman" w:eastAsia="Times New Roman" w:hAnsi="Times New Roman" w:cs="Times New Roman"/>
                <w:bCs/>
                <w:color w:val="FF0000"/>
                <w:sz w:val="24"/>
                <w:szCs w:val="24"/>
              </w:rPr>
              <w:t>và</w:t>
            </w:r>
            <w:r w:rsidR="001D5F6C">
              <w:rPr>
                <w:rFonts w:ascii="Times New Roman" w:eastAsia="Times New Roman" w:hAnsi="Times New Roman" w:cs="Times New Roman"/>
                <w:b/>
                <w:color w:val="FF0000"/>
                <w:sz w:val="24"/>
                <w:szCs w:val="24"/>
              </w:rPr>
              <w:t xml:space="preserve"> sẽ </w:t>
            </w:r>
            <w:r w:rsidR="001D5F6C" w:rsidRPr="001D5F6C">
              <w:rPr>
                <w:rFonts w:ascii="Times New Roman" w:eastAsia="Times New Roman" w:hAnsi="Times New Roman" w:cs="Times New Roman"/>
                <w:bCs/>
                <w:color w:val="FF0000"/>
                <w:sz w:val="24"/>
                <w:szCs w:val="24"/>
              </w:rPr>
              <w:t xml:space="preserve">ban hành </w:t>
            </w:r>
            <w:r w:rsidRPr="001D5F6C">
              <w:rPr>
                <w:rFonts w:ascii="Times New Roman" w:eastAsia="Times New Roman" w:hAnsi="Times New Roman" w:cs="Times New Roman"/>
                <w:bCs/>
                <w:color w:val="FF0000"/>
                <w:sz w:val="24"/>
                <w:szCs w:val="24"/>
              </w:rPr>
              <w:t>hướng dẫn cụ</w:t>
            </w:r>
            <w:r>
              <w:rPr>
                <w:rFonts w:ascii="Times New Roman" w:eastAsia="Times New Roman" w:hAnsi="Times New Roman" w:cs="Times New Roman"/>
                <w:b/>
                <w:color w:val="FF0000"/>
                <w:sz w:val="24"/>
                <w:szCs w:val="24"/>
              </w:rPr>
              <w:t xml:space="preserve"> </w:t>
            </w:r>
            <w:r w:rsidRPr="001D5F6C">
              <w:rPr>
                <w:rFonts w:ascii="Times New Roman" w:eastAsia="Times New Roman" w:hAnsi="Times New Roman" w:cs="Times New Roman"/>
                <w:bCs/>
                <w:color w:val="FF0000"/>
                <w:sz w:val="24"/>
                <w:szCs w:val="24"/>
              </w:rPr>
              <w:lastRenderedPageBreak/>
              <w:t>thể tại Nghị định</w:t>
            </w:r>
          </w:p>
        </w:tc>
      </w:tr>
      <w:tr w:rsidR="005C5D35" w:rsidRPr="00A35EC9" w14:paraId="6070CFF0" w14:textId="77777777" w:rsidTr="00ED03DD">
        <w:tc>
          <w:tcPr>
            <w:tcW w:w="702" w:type="dxa"/>
          </w:tcPr>
          <w:p w14:paraId="02084294" w14:textId="77777777" w:rsidR="005C5D35" w:rsidRPr="00A35EC9" w:rsidRDefault="005C5D35" w:rsidP="00ED03DD">
            <w:pPr>
              <w:pStyle w:val="ListParagraph"/>
              <w:numPr>
                <w:ilvl w:val="0"/>
                <w:numId w:val="3"/>
              </w:numPr>
              <w:tabs>
                <w:tab w:val="left" w:pos="360"/>
              </w:tabs>
              <w:spacing w:after="0" w:line="240" w:lineRule="auto"/>
              <w:rPr>
                <w:rFonts w:ascii="Times New Roman" w:eastAsia="Times New Roman" w:hAnsi="Times New Roman" w:cs="Times New Roman"/>
                <w:sz w:val="24"/>
                <w:szCs w:val="24"/>
              </w:rPr>
            </w:pPr>
          </w:p>
        </w:tc>
        <w:tc>
          <w:tcPr>
            <w:tcW w:w="1897" w:type="dxa"/>
          </w:tcPr>
          <w:p w14:paraId="11EED447" w14:textId="77777777" w:rsidR="005C5D35" w:rsidRPr="00A35EC9" w:rsidRDefault="005C5D35" w:rsidP="00ED03DD">
            <w:pPr>
              <w:tabs>
                <w:tab w:val="left" w:pos="360"/>
              </w:tabs>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Điểm a, khoản 1 và khoản 2 Điều 4 Thông tư 80/2021/TT-BTC ngày 29/9/2021.</w:t>
            </w:r>
          </w:p>
        </w:tc>
        <w:tc>
          <w:tcPr>
            <w:tcW w:w="3913" w:type="dxa"/>
          </w:tcPr>
          <w:p w14:paraId="1252573A"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 xml:space="preserve">“1. Các trường hợp khai thuế, nộp thuế bằng ngoại tệ tự do chuyển đổi bao gồm: a) Hoạt động tìm kiếm, thăm dò, khai thác dầu khí (trừ trường hợp dầu thô, condensate, khí thiên nhiên bán tại thị trườngKiến nghị:Tổng cục Thuế có hướng dẫn chi tiết về tỷ giá, kê khai, nộp thuế cho trường hợp dầu thô bán tại thị trường Việt Nam để các đơn vị có cơ sở thực </w:t>
            </w:r>
            <w:r w:rsidRPr="00A35EC9">
              <w:rPr>
                <w:rFonts w:ascii="Times New Roman" w:eastAsia="Times New Roman" w:hAnsi="Times New Roman" w:cs="Times New Roman"/>
                <w:sz w:val="24"/>
                <w:szCs w:val="24"/>
              </w:rPr>
              <w:lastRenderedPageBreak/>
              <w:t>hiện.</w:t>
            </w:r>
          </w:p>
        </w:tc>
        <w:tc>
          <w:tcPr>
            <w:tcW w:w="1280" w:type="dxa"/>
          </w:tcPr>
          <w:p w14:paraId="7BE915B9"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lastRenderedPageBreak/>
              <w:t xml:space="preserve">C. Sửa đổi, bổ sung, thay thế, ban hành mới VBQPPL (theo trình tự, thủ tục rút gọn ban hành </w:t>
            </w:r>
            <w:r w:rsidRPr="00A35EC9">
              <w:rPr>
                <w:rFonts w:ascii="Times New Roman" w:eastAsia="Times New Roman" w:hAnsi="Times New Roman" w:cs="Times New Roman"/>
                <w:sz w:val="24"/>
                <w:szCs w:val="24"/>
              </w:rPr>
              <w:lastRenderedPageBreak/>
              <w:t>VBQPPL của Luật Ban hành VBQPPL)</w:t>
            </w:r>
          </w:p>
        </w:tc>
        <w:tc>
          <w:tcPr>
            <w:tcW w:w="1254" w:type="dxa"/>
          </w:tcPr>
          <w:p w14:paraId="37F34940"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lastRenderedPageBreak/>
              <w:t>Tập đoàn Công nghiệp - Năng lượng Quốc gia Việt Nam</w:t>
            </w:r>
          </w:p>
        </w:tc>
        <w:tc>
          <w:tcPr>
            <w:tcW w:w="2289" w:type="dxa"/>
          </w:tcPr>
          <w:p w14:paraId="0B4DFD96"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Nhất trí vì:</w:t>
            </w:r>
          </w:p>
          <w:p w14:paraId="4A061518" w14:textId="77777777" w:rsidR="005C5D35"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 xml:space="preserve">Về nội dung tỷ giá khai thuế: Bộ Tài chính đang đề xuất sửa đổi tại Luật sửa đổi Luật Quản lý thuế số 38/2019/QH14 (dự kiến trình Quốc hội thông qua tháng </w:t>
            </w:r>
            <w:r w:rsidRPr="00A35EC9">
              <w:rPr>
                <w:rFonts w:ascii="Times New Roman" w:eastAsia="Times New Roman" w:hAnsi="Times New Roman" w:cs="Times New Roman"/>
                <w:sz w:val="24"/>
                <w:szCs w:val="24"/>
              </w:rPr>
              <w:lastRenderedPageBreak/>
              <w:t>10/2025) và các văn bản hướng dẫn Luật Quản lý thuế sửa đổi.</w:t>
            </w:r>
          </w:p>
          <w:p w14:paraId="66641CFF" w14:textId="77777777" w:rsidR="005C5D35" w:rsidRDefault="005C5D35" w:rsidP="00ED03DD">
            <w:pPr>
              <w:jc w:val="both"/>
              <w:rPr>
                <w:rFonts w:ascii="Times New Roman" w:eastAsiaTheme="minorHAnsi" w:hAnsi="Times New Roman" w:cs="Times New Roman"/>
                <w:color w:val="EE0000"/>
                <w:sz w:val="24"/>
                <w:szCs w:val="24"/>
              </w:rPr>
            </w:pPr>
            <w:r>
              <w:rPr>
                <w:rFonts w:ascii="Times New Roman" w:eastAsia="Times New Roman" w:hAnsi="Times New Roman"/>
                <w:b/>
                <w:bCs/>
                <w:sz w:val="24"/>
                <w:szCs w:val="24"/>
              </w:rPr>
              <w:t xml:space="preserve">Theo Công văn số 08-CV/ĐUBTC-PC ngày 22/8/2025, Bộ Tài chính: </w:t>
            </w:r>
          </w:p>
          <w:p w14:paraId="29B95654"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Kiến nghị này sẽ được nghiên cứu, xử lý trong quá trình xây dựng, trình Chính phủ trình Quốc hội thông qua Luật Quản lý thuế (dự kiến trình QH tại kỳ họp tháng 10/2025)</w:t>
            </w:r>
          </w:p>
        </w:tc>
        <w:tc>
          <w:tcPr>
            <w:tcW w:w="2694" w:type="dxa"/>
          </w:tcPr>
          <w:p w14:paraId="61875665" w14:textId="77777777" w:rsidR="005C5D35" w:rsidRPr="001B6814" w:rsidRDefault="005C5D35" w:rsidP="00ED03DD">
            <w:pPr>
              <w:jc w:val="both"/>
              <w:rPr>
                <w:rFonts w:ascii="Times New Roman" w:hAnsi="Times New Roman" w:cs="Times New Roman"/>
                <w:b/>
                <w:sz w:val="24"/>
                <w:szCs w:val="24"/>
              </w:rPr>
            </w:pPr>
            <w:r w:rsidRPr="001B6814">
              <w:rPr>
                <w:rFonts w:ascii="Times New Roman" w:hAnsi="Times New Roman" w:cs="Times New Roman"/>
                <w:b/>
                <w:sz w:val="24"/>
                <w:szCs w:val="24"/>
              </w:rPr>
              <w:lastRenderedPageBreak/>
              <w:t>Chưa xử lý</w:t>
            </w:r>
          </w:p>
          <w:p w14:paraId="46319960" w14:textId="017DA174" w:rsidR="005C5D35" w:rsidRPr="00A35EC9" w:rsidRDefault="005C5D35" w:rsidP="00ED03DD">
            <w:pPr>
              <w:pBdr>
                <w:top w:val="nil"/>
                <w:left w:val="nil"/>
                <w:bottom w:val="nil"/>
                <w:right w:val="nil"/>
                <w:between w:val="nil"/>
              </w:pBdr>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 xml:space="preserve">Kiến nghị này sẽ được nghiên cứu, xử lý trong quá trình xây dựng, trình Chính phủ trình Quốc </w:t>
            </w:r>
            <w:r>
              <w:rPr>
                <w:rFonts w:ascii="Times New Roman" w:eastAsia="Times New Roman" w:hAnsi="Times New Roman" w:cs="Times New Roman"/>
                <w:sz w:val="24"/>
                <w:szCs w:val="24"/>
              </w:rPr>
              <w:t xml:space="preserve">hội thông qua Luật Quản lý thuế và các văn bản quy định chi tiết, hướng dẫn </w:t>
            </w:r>
            <w:r>
              <w:rPr>
                <w:rFonts w:ascii="Times New Roman" w:eastAsia="Times New Roman" w:hAnsi="Times New Roman" w:cs="Times New Roman"/>
                <w:sz w:val="24"/>
                <w:szCs w:val="24"/>
              </w:rPr>
              <w:lastRenderedPageBreak/>
              <w:t>thi hành.</w:t>
            </w:r>
          </w:p>
        </w:tc>
      </w:tr>
      <w:tr w:rsidR="005C5D35" w:rsidRPr="00A35EC9" w14:paraId="0C0F45A8" w14:textId="77777777" w:rsidTr="00ED03DD">
        <w:tc>
          <w:tcPr>
            <w:tcW w:w="702" w:type="dxa"/>
          </w:tcPr>
          <w:p w14:paraId="62E602AD" w14:textId="77777777" w:rsidR="005C5D35" w:rsidRPr="00A35EC9" w:rsidRDefault="005C5D35" w:rsidP="00ED03DD">
            <w:pPr>
              <w:pStyle w:val="ListParagraph"/>
              <w:numPr>
                <w:ilvl w:val="0"/>
                <w:numId w:val="3"/>
              </w:numPr>
              <w:tabs>
                <w:tab w:val="left" w:pos="360"/>
              </w:tabs>
              <w:spacing w:after="0" w:line="240" w:lineRule="auto"/>
              <w:rPr>
                <w:rFonts w:ascii="Times New Roman" w:eastAsia="Times New Roman" w:hAnsi="Times New Roman" w:cs="Times New Roman"/>
                <w:sz w:val="24"/>
                <w:szCs w:val="24"/>
              </w:rPr>
            </w:pPr>
          </w:p>
        </w:tc>
        <w:tc>
          <w:tcPr>
            <w:tcW w:w="1897" w:type="dxa"/>
          </w:tcPr>
          <w:p w14:paraId="2D01948B" w14:textId="77777777" w:rsidR="005C5D35" w:rsidRPr="00A35EC9" w:rsidRDefault="005C5D35" w:rsidP="00ED03DD">
            <w:pPr>
              <w:tabs>
                <w:tab w:val="left" w:pos="360"/>
              </w:tabs>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 xml:space="preserve">Thông tư 200/2014/TT-BTC ngày 22/12/2014 của Bộ Tài chính hướng dẫn chế độ kế toán doanh </w:t>
            </w:r>
            <w:r w:rsidRPr="00A35EC9">
              <w:rPr>
                <w:rFonts w:ascii="Times New Roman" w:eastAsia="Times New Roman" w:hAnsi="Times New Roman" w:cs="Times New Roman"/>
                <w:sz w:val="24"/>
                <w:szCs w:val="24"/>
              </w:rPr>
              <w:lastRenderedPageBreak/>
              <w:t>nghiệp</w:t>
            </w:r>
          </w:p>
        </w:tc>
        <w:tc>
          <w:tcPr>
            <w:tcW w:w="3913" w:type="dxa"/>
          </w:tcPr>
          <w:p w14:paraId="30AC6F57"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lastRenderedPageBreak/>
              <w:t xml:space="preserve">Thị trường quốc tế những năm gần đây ghi nhận nhiều diễn biến phức tạp và bất ổn, Chính sách thuế đối ứng của Mỹ đối với một số quốc gia, cùng với tình hình chiến tranh và xung đột tại nhiều khu vực, đã tác động mạnh đến mục tiêu tăng trưởng và gây ra </w:t>
            </w:r>
            <w:r w:rsidRPr="00A35EC9">
              <w:rPr>
                <w:rFonts w:ascii="Times New Roman" w:eastAsia="Times New Roman" w:hAnsi="Times New Roman" w:cs="Times New Roman"/>
                <w:sz w:val="24"/>
                <w:szCs w:val="24"/>
              </w:rPr>
              <w:lastRenderedPageBreak/>
              <w:t>những biến động tiêu cực, giá dầu thô giảm sâu, biên lợi nhuận lọc dầu trên thị trường diễn biến khó lường. Tỷ giá USD/VNĐ tăng biến động đột biến 3%-4%, nhất là những tháng đầu năm 2025. Vì vậy BSR có nhu cầu sử dụng các công cụ phái sinh, các công cụ phòng ngừa rủi ro về tỷ giá, giao dịch mua/bán dầu thô và các thành phẩm liên quan. Tuy nhiên TT 200/2014/TT-BTC chưa chưa có hướng dẫn kế toán cho Doanh nghiệp để hạch toán kế toán.</w:t>
            </w:r>
          </w:p>
        </w:tc>
        <w:tc>
          <w:tcPr>
            <w:tcW w:w="1280" w:type="dxa"/>
          </w:tcPr>
          <w:p w14:paraId="62382416"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lastRenderedPageBreak/>
              <w:t xml:space="preserve">B. Hướng dẫn áp dụng VBQPPL theo quy định tại Điều 61 </w:t>
            </w:r>
            <w:r w:rsidRPr="00A35EC9">
              <w:rPr>
                <w:rFonts w:ascii="Times New Roman" w:eastAsia="Times New Roman" w:hAnsi="Times New Roman" w:cs="Times New Roman"/>
                <w:sz w:val="24"/>
                <w:szCs w:val="24"/>
              </w:rPr>
              <w:lastRenderedPageBreak/>
              <w:t>Luật Ban hành VBQPPL năm 2025</w:t>
            </w:r>
          </w:p>
        </w:tc>
        <w:tc>
          <w:tcPr>
            <w:tcW w:w="1254" w:type="dxa"/>
          </w:tcPr>
          <w:p w14:paraId="1ECD44C6"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lastRenderedPageBreak/>
              <w:t>Tập đoàn Công nghiệp - Năng lượng Quốc gia Việt Nam</w:t>
            </w:r>
          </w:p>
        </w:tc>
        <w:tc>
          <w:tcPr>
            <w:tcW w:w="2289" w:type="dxa"/>
          </w:tcPr>
          <w:p w14:paraId="43D41F2B" w14:textId="77777777" w:rsidR="005C5D35"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 xml:space="preserve">Nhất trí vì: </w:t>
            </w:r>
            <w:r w:rsidRPr="00A35EC9">
              <w:rPr>
                <w:rFonts w:ascii="Times New Roman" w:eastAsia="Times New Roman" w:hAnsi="Times New Roman" w:cs="Times New Roman"/>
                <w:sz w:val="24"/>
                <w:szCs w:val="24"/>
              </w:rPr>
              <w:br/>
              <w:t>Bộ Tài chính đang triển khài nghiên cứu Thông tư hướng dẫn kế toán công cụ tài chính phái sinh để giải quyết.</w:t>
            </w:r>
          </w:p>
          <w:p w14:paraId="3BBC9A26" w14:textId="77777777" w:rsidR="005C5D35" w:rsidRDefault="005C5D35" w:rsidP="00ED03DD">
            <w:pPr>
              <w:jc w:val="both"/>
              <w:rPr>
                <w:rFonts w:ascii="Times New Roman" w:eastAsiaTheme="minorHAnsi" w:hAnsi="Times New Roman" w:cs="Times New Roman"/>
                <w:color w:val="EE0000"/>
                <w:sz w:val="24"/>
                <w:szCs w:val="24"/>
              </w:rPr>
            </w:pPr>
            <w:r>
              <w:rPr>
                <w:rFonts w:ascii="Times New Roman" w:eastAsia="Times New Roman" w:hAnsi="Times New Roman"/>
                <w:b/>
                <w:bCs/>
                <w:sz w:val="24"/>
                <w:szCs w:val="24"/>
              </w:rPr>
              <w:lastRenderedPageBreak/>
              <w:t xml:space="preserve">Theo Công văn số 08-CV/ĐUBTC-PC ngày 22/8/2025, Bộ Tài chính: </w:t>
            </w:r>
          </w:p>
          <w:p w14:paraId="4D72825D" w14:textId="77777777" w:rsidR="005C5D35" w:rsidRDefault="005C5D35" w:rsidP="00ED03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Dự kiến ban hành trong năm 2025.</w:t>
            </w:r>
          </w:p>
          <w:p w14:paraId="3D000C77"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Phản ánh của Tập đoàn Công nghiệp - năng lượng Quốc gia Việt Nam sẽ được Bộ Tài chính nghiên cứu, tổng hợp cùng với ý kiến của các doanh nghiệp khác thuộc mọi thành phần kinh tế cũng như các cơ quan chức năng để có hướng xử lý phù hợp với tình hình hoạt động thực tế của các chủ thể tham gia thị trường.</w:t>
            </w:r>
          </w:p>
        </w:tc>
        <w:tc>
          <w:tcPr>
            <w:tcW w:w="2694" w:type="dxa"/>
          </w:tcPr>
          <w:p w14:paraId="7D98249B" w14:textId="77777777" w:rsidR="005C5D35" w:rsidRPr="001C67FC" w:rsidRDefault="005C5D35" w:rsidP="00ED03DD">
            <w:pPr>
              <w:pBdr>
                <w:top w:val="nil"/>
                <w:left w:val="nil"/>
                <w:bottom w:val="nil"/>
                <w:right w:val="nil"/>
                <w:between w:val="nil"/>
              </w:pBdr>
              <w:jc w:val="both"/>
              <w:rPr>
                <w:rFonts w:ascii="Times New Roman" w:eastAsia="Times New Roman" w:hAnsi="Times New Roman" w:cs="Times New Roman"/>
                <w:b/>
                <w:sz w:val="24"/>
                <w:szCs w:val="24"/>
              </w:rPr>
            </w:pPr>
            <w:r w:rsidRPr="00F41238">
              <w:rPr>
                <w:rFonts w:ascii="Times New Roman" w:eastAsia="Times New Roman" w:hAnsi="Times New Roman" w:cs="Times New Roman"/>
                <w:b/>
                <w:sz w:val="24"/>
                <w:szCs w:val="24"/>
                <w:highlight w:val="yellow"/>
              </w:rPr>
              <w:lastRenderedPageBreak/>
              <w:t>Đã xử lý</w:t>
            </w:r>
          </w:p>
          <w:p w14:paraId="45EB1389" w14:textId="50C13BA1" w:rsidR="005C5D35" w:rsidRPr="00A35EC9" w:rsidRDefault="005C5D35" w:rsidP="00ED03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Th</w:t>
            </w:r>
            <w:r w:rsidRPr="00316EDE">
              <w:rPr>
                <w:rFonts w:ascii="Times New Roman" w:eastAsia="Times New Roman" w:hAnsi="Times New Roman" w:cs="Times New Roman"/>
                <w:b/>
                <w:sz w:val="24"/>
                <w:szCs w:val="24"/>
              </w:rPr>
              <w:t>ô</w:t>
            </w:r>
            <w:r>
              <w:rPr>
                <w:rFonts w:ascii="Times New Roman" w:eastAsia="Times New Roman" w:hAnsi="Times New Roman" w:cs="Times New Roman"/>
                <w:b/>
                <w:sz w:val="24"/>
                <w:szCs w:val="24"/>
              </w:rPr>
              <w:t>ng t</w:t>
            </w:r>
            <w:r w:rsidRPr="00316EDE">
              <w:rPr>
                <w:rFonts w:ascii="Times New Roman" w:eastAsia="Times New Roman" w:hAnsi="Times New Roman" w:cs="Times New Roman"/>
                <w:b/>
                <w:sz w:val="24"/>
                <w:szCs w:val="24"/>
              </w:rPr>
              <w:t>ư</w:t>
            </w:r>
            <w:r>
              <w:rPr>
                <w:rFonts w:ascii="Times New Roman" w:eastAsia="Times New Roman" w:hAnsi="Times New Roman" w:cs="Times New Roman"/>
                <w:b/>
                <w:sz w:val="24"/>
                <w:szCs w:val="24"/>
              </w:rPr>
              <w:t xml:space="preserve"> s</w:t>
            </w:r>
            <w:r w:rsidRPr="00316EDE">
              <w:rPr>
                <w:rFonts w:ascii="Times New Roman" w:eastAsia="Times New Roman" w:hAnsi="Times New Roman" w:cs="Times New Roman"/>
                <w:b/>
                <w:sz w:val="24"/>
                <w:szCs w:val="24"/>
              </w:rPr>
              <w:t>ố</w:t>
            </w:r>
            <w:r>
              <w:rPr>
                <w:rFonts w:ascii="Times New Roman" w:eastAsia="Times New Roman" w:hAnsi="Times New Roman" w:cs="Times New Roman"/>
                <w:b/>
                <w:sz w:val="24"/>
                <w:szCs w:val="24"/>
              </w:rPr>
              <w:t xml:space="preserve"> 99/2025/TT-BTC ng</w:t>
            </w:r>
            <w:r w:rsidRPr="0010752A">
              <w:rPr>
                <w:rFonts w:ascii="Times New Roman" w:eastAsia="Times New Roman" w:hAnsi="Times New Roman" w:cs="Times New Roman"/>
                <w:b/>
                <w:sz w:val="24"/>
                <w:szCs w:val="24"/>
              </w:rPr>
              <w:t>ày</w:t>
            </w:r>
            <w:r>
              <w:rPr>
                <w:rFonts w:ascii="Times New Roman" w:eastAsia="Times New Roman" w:hAnsi="Times New Roman" w:cs="Times New Roman"/>
                <w:b/>
                <w:sz w:val="24"/>
                <w:szCs w:val="24"/>
              </w:rPr>
              <w:t xml:space="preserve"> 27/10/2025 h</w:t>
            </w:r>
            <w:r w:rsidRPr="0010752A">
              <w:rPr>
                <w:rFonts w:ascii="Times New Roman" w:eastAsia="Times New Roman" w:hAnsi="Times New Roman" w:cs="Times New Roman"/>
                <w:b/>
                <w:sz w:val="24"/>
                <w:szCs w:val="24"/>
              </w:rPr>
              <w:t>ướng</w:t>
            </w:r>
            <w:r>
              <w:rPr>
                <w:rFonts w:ascii="Times New Roman" w:eastAsia="Times New Roman" w:hAnsi="Times New Roman" w:cs="Times New Roman"/>
                <w:b/>
                <w:sz w:val="24"/>
                <w:szCs w:val="24"/>
              </w:rPr>
              <w:t xml:space="preserve"> d</w:t>
            </w:r>
            <w:r w:rsidRPr="0010752A">
              <w:rPr>
                <w:rFonts w:ascii="Times New Roman" w:eastAsia="Times New Roman" w:hAnsi="Times New Roman" w:cs="Times New Roman"/>
                <w:b/>
                <w:sz w:val="24"/>
                <w:szCs w:val="24"/>
              </w:rPr>
              <w:t>ẫn</w:t>
            </w:r>
            <w:r>
              <w:rPr>
                <w:rFonts w:ascii="Times New Roman" w:eastAsia="Times New Roman" w:hAnsi="Times New Roman" w:cs="Times New Roman"/>
                <w:b/>
                <w:sz w:val="24"/>
                <w:szCs w:val="24"/>
              </w:rPr>
              <w:t xml:space="preserve"> ch</w:t>
            </w:r>
            <w:r w:rsidRPr="0010752A">
              <w:rPr>
                <w:rFonts w:ascii="Times New Roman" w:eastAsia="Times New Roman" w:hAnsi="Times New Roman" w:cs="Times New Roman"/>
                <w:b/>
                <w:sz w:val="24"/>
                <w:szCs w:val="24"/>
              </w:rPr>
              <w:t>ế</w:t>
            </w:r>
            <w:r>
              <w:rPr>
                <w:rFonts w:ascii="Times New Roman" w:eastAsia="Times New Roman" w:hAnsi="Times New Roman" w:cs="Times New Roman"/>
                <w:b/>
                <w:sz w:val="24"/>
                <w:szCs w:val="24"/>
              </w:rPr>
              <w:t xml:space="preserve"> </w:t>
            </w:r>
            <w:r w:rsidRPr="0010752A">
              <w:rPr>
                <w:rFonts w:ascii="Times New Roman" w:eastAsia="Times New Roman" w:hAnsi="Times New Roman" w:cs="Times New Roman"/>
                <w:b/>
                <w:sz w:val="24"/>
                <w:szCs w:val="24"/>
              </w:rPr>
              <w:t>độ</w:t>
            </w:r>
            <w:r>
              <w:rPr>
                <w:rFonts w:ascii="Times New Roman" w:eastAsia="Times New Roman" w:hAnsi="Times New Roman" w:cs="Times New Roman"/>
                <w:b/>
                <w:sz w:val="24"/>
                <w:szCs w:val="24"/>
              </w:rPr>
              <w:t xml:space="preserve"> k</w:t>
            </w:r>
            <w:r w:rsidRPr="0010752A">
              <w:rPr>
                <w:rFonts w:ascii="Times New Roman" w:eastAsia="Times New Roman" w:hAnsi="Times New Roman" w:cs="Times New Roman"/>
                <w:b/>
                <w:sz w:val="24"/>
                <w:szCs w:val="24"/>
              </w:rPr>
              <w:t>ế</w:t>
            </w:r>
            <w:r>
              <w:rPr>
                <w:rFonts w:ascii="Times New Roman" w:eastAsia="Times New Roman" w:hAnsi="Times New Roman" w:cs="Times New Roman"/>
                <w:b/>
                <w:sz w:val="24"/>
                <w:szCs w:val="24"/>
              </w:rPr>
              <w:t xml:space="preserve"> to</w:t>
            </w:r>
            <w:r w:rsidRPr="0010752A">
              <w:rPr>
                <w:rFonts w:ascii="Times New Roman" w:eastAsia="Times New Roman" w:hAnsi="Times New Roman" w:cs="Times New Roman"/>
                <w:b/>
                <w:sz w:val="24"/>
                <w:szCs w:val="24"/>
              </w:rPr>
              <w:t>án</w:t>
            </w:r>
            <w:r>
              <w:rPr>
                <w:rFonts w:ascii="Times New Roman" w:eastAsia="Times New Roman" w:hAnsi="Times New Roman" w:cs="Times New Roman"/>
                <w:b/>
                <w:sz w:val="24"/>
                <w:szCs w:val="24"/>
              </w:rPr>
              <w:t xml:space="preserve"> doanh nghi</w:t>
            </w:r>
            <w:r w:rsidRPr="0010752A">
              <w:rPr>
                <w:rFonts w:ascii="Times New Roman" w:eastAsia="Times New Roman" w:hAnsi="Times New Roman" w:cs="Times New Roman"/>
                <w:b/>
                <w:sz w:val="24"/>
                <w:szCs w:val="24"/>
              </w:rPr>
              <w:t>ệp</w:t>
            </w:r>
          </w:p>
        </w:tc>
      </w:tr>
      <w:tr w:rsidR="005C5D35" w:rsidRPr="00A35EC9" w14:paraId="09797E4A" w14:textId="77777777" w:rsidTr="00ED03DD">
        <w:tc>
          <w:tcPr>
            <w:tcW w:w="702" w:type="dxa"/>
          </w:tcPr>
          <w:p w14:paraId="40EFE9DD" w14:textId="77777777" w:rsidR="005C5D35" w:rsidRPr="00A35EC9" w:rsidRDefault="005C5D35" w:rsidP="00ED03DD">
            <w:pPr>
              <w:pStyle w:val="ListParagraph"/>
              <w:numPr>
                <w:ilvl w:val="0"/>
                <w:numId w:val="3"/>
              </w:numPr>
              <w:tabs>
                <w:tab w:val="left" w:pos="360"/>
              </w:tabs>
              <w:spacing w:after="0" w:line="240" w:lineRule="auto"/>
              <w:rPr>
                <w:rFonts w:ascii="Times New Roman" w:eastAsia="Times New Roman" w:hAnsi="Times New Roman" w:cs="Times New Roman"/>
                <w:sz w:val="24"/>
                <w:szCs w:val="24"/>
              </w:rPr>
            </w:pPr>
          </w:p>
        </w:tc>
        <w:tc>
          <w:tcPr>
            <w:tcW w:w="1897" w:type="dxa"/>
          </w:tcPr>
          <w:p w14:paraId="4EEBA717" w14:textId="77777777" w:rsidR="005C5D35" w:rsidRPr="00A35EC9" w:rsidRDefault="005C5D35" w:rsidP="00ED03DD">
            <w:pPr>
              <w:tabs>
                <w:tab w:val="left" w:pos="360"/>
              </w:tabs>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Luật thuế thu nhập cá nhân</w:t>
            </w:r>
          </w:p>
        </w:tc>
        <w:tc>
          <w:tcPr>
            <w:tcW w:w="3913" w:type="dxa"/>
          </w:tcPr>
          <w:p w14:paraId="4175F519"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Điều 4, Thu nhập từ thực hiện NV KHCN&amp;ĐMST chịu thuế. Các khoản thu nhập từ tiền lương, tiền công từ thực hiện nhiệm vụ khoa học, công nghệ và đổi mới sáng tạo có sử dụng ngân sách nhà nước là các khoản thu nhập không chịu thuế thu nhập cá nhân.</w:t>
            </w:r>
          </w:p>
        </w:tc>
        <w:tc>
          <w:tcPr>
            <w:tcW w:w="1280" w:type="dxa"/>
          </w:tcPr>
          <w:p w14:paraId="65488E74"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C. Sửa đổi, bổ sung, thay thế, ban hành mới VBQPPL (theo trình tự, thủ tục rút gọn ban hành VBQPPL của Luật Ban hành VBQPPL)</w:t>
            </w:r>
          </w:p>
        </w:tc>
        <w:tc>
          <w:tcPr>
            <w:tcW w:w="1254" w:type="dxa"/>
          </w:tcPr>
          <w:p w14:paraId="2B8DF832"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Tập đoàn Công nghiệp - Năng lượng Quốc gia Việt Nam</w:t>
            </w:r>
          </w:p>
        </w:tc>
        <w:tc>
          <w:tcPr>
            <w:tcW w:w="2289" w:type="dxa"/>
          </w:tcPr>
          <w:p w14:paraId="007759E7"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Nhất trí vì:</w:t>
            </w:r>
          </w:p>
          <w:p w14:paraId="7DC0AE2F" w14:textId="77777777" w:rsidR="005C5D35"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Tại dự thảo Luật Thuế TNCN (thay thế) (đã gửi xin ý kiến Bộ ngành, địa phương, tổ chức, cá nhân theo công văn số 10899/BTC-CST ngày 17/7/2025) đã bổ sung thu nhập từ tiền lương, tiền công từ thực hiện nhiệm vụ khoa học và công nghệ sử dụng ngân sách nhà nước; thu nhập từ tiền lương, tiền công từ thực hiện nhiệm vụ khoa học, công nghệ và đổi mới sáng tạo sử dụng ngân sách nhà nước là thu nhập được miễn thuế TNCN.</w:t>
            </w:r>
          </w:p>
          <w:p w14:paraId="63E734EA" w14:textId="77777777" w:rsidR="005C5D35" w:rsidRDefault="005C5D35" w:rsidP="00ED03DD">
            <w:pPr>
              <w:jc w:val="both"/>
              <w:rPr>
                <w:rFonts w:ascii="Times New Roman" w:eastAsiaTheme="minorHAnsi" w:hAnsi="Times New Roman" w:cs="Times New Roman"/>
                <w:color w:val="EE0000"/>
                <w:sz w:val="24"/>
                <w:szCs w:val="24"/>
              </w:rPr>
            </w:pPr>
            <w:r>
              <w:rPr>
                <w:rFonts w:ascii="Times New Roman" w:eastAsia="Times New Roman" w:hAnsi="Times New Roman"/>
                <w:b/>
                <w:bCs/>
                <w:sz w:val="24"/>
                <w:szCs w:val="24"/>
              </w:rPr>
              <w:t xml:space="preserve">Theo Công văn số </w:t>
            </w:r>
            <w:r>
              <w:rPr>
                <w:rFonts w:ascii="Times New Roman" w:eastAsia="Times New Roman" w:hAnsi="Times New Roman"/>
                <w:b/>
                <w:bCs/>
                <w:sz w:val="24"/>
                <w:szCs w:val="24"/>
              </w:rPr>
              <w:lastRenderedPageBreak/>
              <w:t xml:space="preserve">08-CV/ĐUBTC-PC ngày 22/8/2025, Bộ Tài chính: </w:t>
            </w:r>
          </w:p>
          <w:p w14:paraId="37E5D358" w14:textId="77777777" w:rsidR="005C5D35" w:rsidRDefault="005C5D35" w:rsidP="00ED03DD">
            <w:pPr>
              <w:spacing w:after="0" w:line="24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Dự</w:t>
            </w:r>
            <w:r>
              <w:rPr>
                <w:rFonts w:ascii="Times New Roman" w:eastAsia="Times New Roman" w:hAnsi="Times New Roman" w:cs="Times New Roman"/>
                <w:sz w:val="24"/>
                <w:szCs w:val="24"/>
                <w:lang w:val="vi-VN"/>
              </w:rPr>
              <w:t xml:space="preserve"> kiến trình Quốc hội tại Kỳ họp tháng 10/2026</w:t>
            </w:r>
          </w:p>
          <w:p w14:paraId="06E9A4C0"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p>
        </w:tc>
        <w:tc>
          <w:tcPr>
            <w:tcW w:w="2694" w:type="dxa"/>
          </w:tcPr>
          <w:p w14:paraId="7E740BC8" w14:textId="6123AE2F" w:rsidR="005C5D35" w:rsidRPr="00ED03DD" w:rsidRDefault="005C5D35" w:rsidP="00ED03DD">
            <w:pPr>
              <w:pBdr>
                <w:top w:val="nil"/>
                <w:left w:val="nil"/>
                <w:bottom w:val="nil"/>
                <w:right w:val="nil"/>
                <w:between w:val="nil"/>
              </w:pBdr>
              <w:jc w:val="both"/>
              <w:rPr>
                <w:rFonts w:ascii="Times New Roman" w:eastAsia="Times New Roman" w:hAnsi="Times New Roman" w:cs="Times New Roman"/>
                <w:b/>
                <w:sz w:val="24"/>
                <w:szCs w:val="24"/>
              </w:rPr>
            </w:pPr>
            <w:r w:rsidRPr="00F41238">
              <w:rPr>
                <w:rFonts w:ascii="Times New Roman" w:eastAsia="Times New Roman" w:hAnsi="Times New Roman" w:cs="Times New Roman"/>
                <w:b/>
                <w:sz w:val="24"/>
                <w:szCs w:val="24"/>
                <w:highlight w:val="yellow"/>
              </w:rPr>
              <w:lastRenderedPageBreak/>
              <w:t>Đã xử lý</w:t>
            </w:r>
            <w:r>
              <w:rPr>
                <w:rFonts w:ascii="Times New Roman" w:hAnsi="Times New Roman" w:cs="Times New Roman"/>
                <w:bCs/>
                <w:sz w:val="24"/>
                <w:szCs w:val="24"/>
              </w:rPr>
              <w:t xml:space="preserve"> </w:t>
            </w:r>
          </w:p>
          <w:p w14:paraId="44F4F097" w14:textId="487F6F20" w:rsidR="005C5D35" w:rsidRPr="00B54714" w:rsidRDefault="005C5D35" w:rsidP="00ED03DD">
            <w:pPr>
              <w:spacing w:after="0"/>
              <w:jc w:val="both"/>
              <w:rPr>
                <w:rFonts w:ascii="Times New Roman" w:hAnsi="Times New Roman" w:cs="Times New Roman"/>
                <w:b/>
                <w:bCs/>
                <w:color w:val="FF0000"/>
                <w:sz w:val="24"/>
                <w:szCs w:val="24"/>
              </w:rPr>
            </w:pPr>
            <w:r w:rsidRPr="00B54714">
              <w:rPr>
                <w:rFonts w:ascii="Times New Roman" w:eastAsia="Times New Roman" w:hAnsi="Times New Roman" w:cs="Times New Roman"/>
                <w:b/>
                <w:color w:val="FF0000"/>
                <w:sz w:val="24"/>
                <w:szCs w:val="24"/>
              </w:rPr>
              <w:t xml:space="preserve">Nội dung này đã được đưa vào khoản 17 Điều 4 dự thảo Thuế TNCN </w:t>
            </w:r>
            <w:r w:rsidR="00ED03DD" w:rsidRPr="00ED03DD">
              <w:rPr>
                <w:rFonts w:ascii="Times New Roman" w:eastAsia="Times New Roman" w:hAnsi="Times New Roman" w:cs="Times New Roman"/>
                <w:bCs/>
                <w:sz w:val="24"/>
                <w:szCs w:val="24"/>
              </w:rPr>
              <w:t xml:space="preserve"> </w:t>
            </w:r>
            <w:r w:rsidR="00ED03DD" w:rsidRPr="00ED03DD">
              <w:rPr>
                <w:rFonts w:ascii="Times New Roman" w:eastAsia="Times New Roman" w:hAnsi="Times New Roman" w:cs="Times New Roman"/>
                <w:b/>
                <w:bCs/>
                <w:color w:val="FF0000"/>
                <w:sz w:val="24"/>
                <w:szCs w:val="24"/>
              </w:rPr>
              <w:t>được</w:t>
            </w:r>
            <w:r w:rsidR="00ED03DD" w:rsidRPr="00ED03DD">
              <w:rPr>
                <w:rFonts w:ascii="Times New Roman" w:eastAsia="Times New Roman" w:hAnsi="Times New Roman" w:cs="Times New Roman"/>
                <w:b/>
                <w:color w:val="FF0000"/>
                <w:sz w:val="24"/>
                <w:szCs w:val="24"/>
              </w:rPr>
              <w:t xml:space="preserve"> </w:t>
            </w:r>
            <w:r w:rsidR="00ED03DD" w:rsidRPr="00ED03DD">
              <w:rPr>
                <w:rFonts w:ascii="Times New Roman" w:eastAsia="Times New Roman" w:hAnsi="Times New Roman" w:cs="Times New Roman"/>
                <w:b/>
                <w:bCs/>
                <w:color w:val="FF0000"/>
                <w:sz w:val="24"/>
                <w:szCs w:val="24"/>
              </w:rPr>
              <w:t>thông qua tại Kỳ họp thứ 10</w:t>
            </w:r>
            <w:r w:rsidR="00ED03DD" w:rsidRPr="00ED03DD">
              <w:rPr>
                <w:rFonts w:ascii="Times New Roman" w:eastAsia="Times New Roman" w:hAnsi="Times New Roman" w:cs="Times New Roman"/>
                <w:b/>
                <w:color w:val="FF0000"/>
                <w:sz w:val="24"/>
                <w:szCs w:val="24"/>
              </w:rPr>
              <w:t xml:space="preserve">  </w:t>
            </w:r>
            <w:r w:rsidR="00ED03DD" w:rsidRPr="00ED03DD">
              <w:rPr>
                <w:rFonts w:ascii="Times New Roman" w:eastAsia="Times New Roman" w:hAnsi="Times New Roman" w:cs="Times New Roman"/>
                <w:b/>
                <w:color w:val="FF0000"/>
                <w:sz w:val="24"/>
                <w:szCs w:val="24"/>
                <w:lang w:val="vi-VN"/>
              </w:rPr>
              <w:t xml:space="preserve">Quốc hội </w:t>
            </w:r>
            <w:r w:rsidR="00ED03DD" w:rsidRPr="00ED03DD">
              <w:rPr>
                <w:rFonts w:ascii="Times New Roman" w:eastAsia="Times New Roman" w:hAnsi="Times New Roman" w:cs="Times New Roman"/>
                <w:b/>
                <w:color w:val="FF0000"/>
                <w:sz w:val="24"/>
                <w:szCs w:val="24"/>
              </w:rPr>
              <w:t>khóa XV</w:t>
            </w:r>
          </w:p>
          <w:p w14:paraId="66019A01" w14:textId="69C0564B" w:rsidR="005C5D35" w:rsidRPr="00A35EC9" w:rsidRDefault="005C5D35" w:rsidP="00ED03DD">
            <w:pPr>
              <w:spacing w:after="0" w:line="240" w:lineRule="auto"/>
              <w:jc w:val="both"/>
              <w:rPr>
                <w:rFonts w:ascii="Times New Roman" w:eastAsia="Times New Roman" w:hAnsi="Times New Roman" w:cs="Times New Roman"/>
                <w:sz w:val="24"/>
                <w:szCs w:val="24"/>
              </w:rPr>
            </w:pPr>
          </w:p>
        </w:tc>
      </w:tr>
      <w:tr w:rsidR="005C5D35" w:rsidRPr="00A35EC9" w14:paraId="41C5FEED" w14:textId="77777777" w:rsidTr="00ED03DD">
        <w:tc>
          <w:tcPr>
            <w:tcW w:w="702" w:type="dxa"/>
          </w:tcPr>
          <w:p w14:paraId="14EE94B5" w14:textId="77777777" w:rsidR="005C5D35" w:rsidRPr="00A35EC9" w:rsidRDefault="005C5D35" w:rsidP="00ED03DD">
            <w:pPr>
              <w:pStyle w:val="ListParagraph"/>
              <w:numPr>
                <w:ilvl w:val="0"/>
                <w:numId w:val="3"/>
              </w:numPr>
              <w:tabs>
                <w:tab w:val="left" w:pos="360"/>
              </w:tabs>
              <w:spacing w:after="0" w:line="240" w:lineRule="auto"/>
              <w:rPr>
                <w:rFonts w:ascii="Times New Roman" w:eastAsia="Times New Roman" w:hAnsi="Times New Roman" w:cs="Times New Roman"/>
                <w:sz w:val="24"/>
                <w:szCs w:val="24"/>
              </w:rPr>
            </w:pPr>
          </w:p>
        </w:tc>
        <w:tc>
          <w:tcPr>
            <w:tcW w:w="1897" w:type="dxa"/>
          </w:tcPr>
          <w:p w14:paraId="1FCBA398" w14:textId="77777777" w:rsidR="005C5D35" w:rsidRPr="00A35EC9" w:rsidRDefault="005C5D35" w:rsidP="00ED03DD">
            <w:pPr>
              <w:tabs>
                <w:tab w:val="left" w:pos="360"/>
              </w:tabs>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Luật quản lý, sử dụng vốn nhà nước đầu tư vào sản xuất, kinh doanh tại doanh nghiệp</w:t>
            </w:r>
          </w:p>
        </w:tc>
        <w:tc>
          <w:tcPr>
            <w:tcW w:w="3913" w:type="dxa"/>
          </w:tcPr>
          <w:p w14:paraId="624FCEC4"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Điều 59 Khoản 1 điểm a Sửa đổi, bổ sung: Kết quả thực hiện kế hoạch của doanh nghiệp đối với các chỉ tiêu về doanh thu, lợi nhuận và tỷ suất lợi nhuận trên vốn chủ sở hữu của doanh nghiệp. Doanh nghiệp được loại trừ ảnh hưởng của các khoản chi, khoản đầu tư cho hoạt động nghiên cứu, phát triển, đổi mới sáng tạo trong doanh nghiệp; các khoản tài trợ cho hoạt động nghiên cứu, phát triển khoa học, công nghệ, đổi mới sáng tạo cho doanh nghiệp; đầu tư, tài trợ cho doanh nghiệp khởi nghiệp sáng tạo khi xác định các chỉ tiêu này</w:t>
            </w:r>
          </w:p>
        </w:tc>
        <w:tc>
          <w:tcPr>
            <w:tcW w:w="1280" w:type="dxa"/>
          </w:tcPr>
          <w:p w14:paraId="2ABC1929"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C. Sửa đổi, bổ sung, thay thế, ban hành mới VBQPPL (theo trình tự, thủ tục rút gọn ban hành VBQPPL của Luật Ban hành VBQPPL)</w:t>
            </w:r>
          </w:p>
        </w:tc>
        <w:tc>
          <w:tcPr>
            <w:tcW w:w="1254" w:type="dxa"/>
          </w:tcPr>
          <w:p w14:paraId="0D1DF936"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Tập đoàn Công nghiệp - Năng lượng Quốc gia Việt Nam</w:t>
            </w:r>
          </w:p>
        </w:tc>
        <w:tc>
          <w:tcPr>
            <w:tcW w:w="2289" w:type="dxa"/>
          </w:tcPr>
          <w:p w14:paraId="51EE52C0" w14:textId="77777777" w:rsidR="005C5D35"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Nhất trí vì:</w:t>
            </w:r>
            <w:r w:rsidRPr="00A35EC9">
              <w:rPr>
                <w:rFonts w:ascii="Times New Roman" w:eastAsia="Times New Roman" w:hAnsi="Times New Roman" w:cs="Times New Roman"/>
                <w:sz w:val="24"/>
                <w:szCs w:val="24"/>
              </w:rPr>
              <w:br/>
              <w:t xml:space="preserve">Điểm c khoản 1 Điều 51 Luật số 68/2025, đã quy định “việc đánh giá, xếp loại doanh nghiệp căn cứu:…c)hiệu quả hoạt động tổng thể của doanh nghiệp, có loại trừ các tác động do thực hiện nhiệm vụ chính trị...và tác động của yếu tố khách quan”. </w:t>
            </w:r>
            <w:r w:rsidRPr="00A35EC9">
              <w:rPr>
                <w:rFonts w:ascii="Times New Roman" w:eastAsia="Times New Roman" w:hAnsi="Times New Roman" w:cs="Times New Roman"/>
                <w:sz w:val="24"/>
                <w:szCs w:val="24"/>
              </w:rPr>
              <w:br/>
              <w:t xml:space="preserve">Hiện nay, Bộ Tài chính đang xây dựng Nghị định thay thế </w:t>
            </w:r>
            <w:r w:rsidRPr="00A35EC9">
              <w:rPr>
                <w:rFonts w:ascii="Times New Roman" w:eastAsia="Times New Roman" w:hAnsi="Times New Roman" w:cs="Times New Roman"/>
                <w:sz w:val="24"/>
                <w:szCs w:val="24"/>
              </w:rPr>
              <w:lastRenderedPageBreak/>
              <w:t>Nghị định số 87/2015/NĐ-CP hướng dẫn chi tiết nội dung trên, dự kiến có hiệu lực từ 1/8/2025.</w:t>
            </w:r>
          </w:p>
          <w:p w14:paraId="3EE96A30" w14:textId="77777777" w:rsidR="005C5D35" w:rsidRDefault="005C5D35" w:rsidP="00ED03DD">
            <w:pPr>
              <w:jc w:val="both"/>
              <w:rPr>
                <w:rFonts w:ascii="Times New Roman" w:eastAsiaTheme="minorHAnsi" w:hAnsi="Times New Roman" w:cs="Times New Roman"/>
                <w:color w:val="EE0000"/>
                <w:sz w:val="24"/>
                <w:szCs w:val="24"/>
              </w:rPr>
            </w:pPr>
            <w:r>
              <w:rPr>
                <w:rFonts w:ascii="Times New Roman" w:eastAsia="Times New Roman" w:hAnsi="Times New Roman"/>
                <w:b/>
                <w:bCs/>
                <w:sz w:val="24"/>
                <w:szCs w:val="24"/>
              </w:rPr>
              <w:t xml:space="preserve">Theo Công văn số 08-CV/ĐUBTC-PC ngày 22/8/2025, Bộ Tài chính: </w:t>
            </w:r>
          </w:p>
          <w:p w14:paraId="1B9B967F"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Dự kiến hoàn thành trong năm 2025. Theo đó, Bộ</w:t>
            </w:r>
            <w:r>
              <w:rPr>
                <w:rFonts w:ascii="Times New Roman" w:eastAsia="Times New Roman" w:hAnsi="Times New Roman" w:cs="Times New Roman"/>
                <w:sz w:val="24"/>
                <w:szCs w:val="24"/>
                <w:lang w:val="vi-VN"/>
              </w:rPr>
              <w:t xml:space="preserve"> Tài chính đã trình Chính phủ dự thảo Nghị định quy định về giám sát, kiểm tra đánh giá hiệu quả hoạt động đầu tư và quản lý vốn nhà nước tại doanh nghiệp; báo cáo và công khai thông tin</w:t>
            </w:r>
            <w:r>
              <w:rPr>
                <w:rFonts w:ascii="Times New Roman" w:eastAsia="Times New Roman" w:hAnsi="Times New Roman" w:cs="Times New Roman"/>
                <w:sz w:val="24"/>
                <w:szCs w:val="24"/>
              </w:rPr>
              <w:t>.</w:t>
            </w:r>
          </w:p>
        </w:tc>
        <w:tc>
          <w:tcPr>
            <w:tcW w:w="2694" w:type="dxa"/>
          </w:tcPr>
          <w:p w14:paraId="55C9871B" w14:textId="77777777" w:rsidR="005C5D35" w:rsidRPr="001C67FC" w:rsidRDefault="005C5D35" w:rsidP="00ED03DD">
            <w:pPr>
              <w:pBdr>
                <w:top w:val="nil"/>
                <w:left w:val="nil"/>
                <w:bottom w:val="nil"/>
                <w:right w:val="nil"/>
                <w:between w:val="nil"/>
              </w:pBdr>
              <w:jc w:val="both"/>
              <w:rPr>
                <w:rFonts w:ascii="Times New Roman" w:eastAsia="Times New Roman" w:hAnsi="Times New Roman" w:cs="Times New Roman"/>
                <w:b/>
                <w:sz w:val="24"/>
                <w:szCs w:val="24"/>
              </w:rPr>
            </w:pPr>
            <w:r w:rsidRPr="00F41238">
              <w:rPr>
                <w:rFonts w:ascii="Times New Roman" w:eastAsia="Times New Roman" w:hAnsi="Times New Roman" w:cs="Times New Roman"/>
                <w:b/>
                <w:sz w:val="24"/>
                <w:szCs w:val="24"/>
                <w:highlight w:val="yellow"/>
              </w:rPr>
              <w:lastRenderedPageBreak/>
              <w:t>Đã xử lý</w:t>
            </w:r>
          </w:p>
          <w:p w14:paraId="2F510601" w14:textId="77777777" w:rsidR="005C5D35" w:rsidRPr="00467AC1" w:rsidRDefault="005C5D35" w:rsidP="00ED03DD">
            <w:pPr>
              <w:spacing w:after="0" w:line="240" w:lineRule="auto"/>
              <w:jc w:val="both"/>
              <w:rPr>
                <w:rFonts w:ascii="Times New Roman" w:eastAsia="Times New Roman" w:hAnsi="Times New Roman" w:cs="Times New Roman"/>
                <w:b/>
                <w:color w:val="FF0000"/>
                <w:sz w:val="24"/>
                <w:szCs w:val="24"/>
              </w:rPr>
            </w:pPr>
            <w:r w:rsidRPr="00467AC1">
              <w:rPr>
                <w:rFonts w:ascii="Times New Roman" w:eastAsia="Times New Roman" w:hAnsi="Times New Roman" w:cs="Times New Roman"/>
                <w:b/>
                <w:color w:val="FF0000"/>
                <w:sz w:val="24"/>
                <w:szCs w:val="24"/>
              </w:rPr>
              <w:t>Chính phủ đã ban hành Nghị quyết số 253/NQ-CP ngày 26/8/2025 về việc công bố các Nghị định của Chính phủ hướng dẫn thi hành Luật 69/2014/QH13</w:t>
            </w:r>
          </w:p>
          <w:p w14:paraId="52601D1E" w14:textId="77777777" w:rsidR="005C5D35" w:rsidRPr="00467AC1" w:rsidRDefault="005C5D35" w:rsidP="00ED03DD">
            <w:pPr>
              <w:spacing w:after="0" w:line="240" w:lineRule="auto"/>
              <w:jc w:val="both"/>
              <w:rPr>
                <w:rFonts w:ascii="Times New Roman" w:eastAsia="Times New Roman" w:hAnsi="Times New Roman" w:cs="Times New Roman"/>
                <w:b/>
                <w:sz w:val="24"/>
                <w:szCs w:val="24"/>
              </w:rPr>
            </w:pPr>
          </w:p>
          <w:p w14:paraId="4C49F00C" w14:textId="77777777" w:rsidR="005C5D35"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Nghị định thay thế Nghị định số 87/2015/NĐ-CP hướng dẫn chi tiết nội dung trên, dự kiến có hiệu lực từ 1/8/2025.</w:t>
            </w:r>
          </w:p>
          <w:p w14:paraId="3AE93E8F" w14:textId="7B8D20B0" w:rsidR="005C5D35" w:rsidRPr="00A35EC9" w:rsidRDefault="005C5D35" w:rsidP="00ED03DD">
            <w:pPr>
              <w:spacing w:after="0" w:line="240" w:lineRule="auto"/>
              <w:jc w:val="both"/>
              <w:rPr>
                <w:rFonts w:ascii="Times New Roman" w:eastAsia="Times New Roman" w:hAnsi="Times New Roman" w:cs="Times New Roman"/>
                <w:sz w:val="24"/>
                <w:szCs w:val="24"/>
                <w:lang w:val="vi-VN"/>
              </w:rPr>
            </w:pPr>
          </w:p>
        </w:tc>
      </w:tr>
      <w:tr w:rsidR="005C5D35" w:rsidRPr="00A35EC9" w14:paraId="30B6585C" w14:textId="77777777" w:rsidTr="00ED03DD">
        <w:tc>
          <w:tcPr>
            <w:tcW w:w="702" w:type="dxa"/>
          </w:tcPr>
          <w:p w14:paraId="63D1B10C" w14:textId="77777777" w:rsidR="005C5D35" w:rsidRPr="00A35EC9" w:rsidRDefault="005C5D35" w:rsidP="00ED03DD">
            <w:pPr>
              <w:pStyle w:val="ListParagraph"/>
              <w:numPr>
                <w:ilvl w:val="0"/>
                <w:numId w:val="3"/>
              </w:numPr>
              <w:tabs>
                <w:tab w:val="left" w:pos="360"/>
              </w:tabs>
              <w:spacing w:after="0" w:line="240" w:lineRule="auto"/>
              <w:rPr>
                <w:rFonts w:ascii="Times New Roman" w:eastAsia="Times New Roman" w:hAnsi="Times New Roman" w:cs="Times New Roman"/>
                <w:sz w:val="24"/>
                <w:szCs w:val="24"/>
              </w:rPr>
            </w:pPr>
          </w:p>
        </w:tc>
        <w:tc>
          <w:tcPr>
            <w:tcW w:w="1897" w:type="dxa"/>
          </w:tcPr>
          <w:p w14:paraId="7E820939" w14:textId="77777777" w:rsidR="005C5D35" w:rsidRPr="00A35EC9" w:rsidRDefault="005C5D35" w:rsidP="00ED03DD">
            <w:pPr>
              <w:tabs>
                <w:tab w:val="left" w:pos="360"/>
              </w:tabs>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Nghị định số 93/2018/NĐ-CP ngày 30/06/2018 của Chính phủ về quản lý nợ của chính quyền địa phương</w:t>
            </w:r>
          </w:p>
        </w:tc>
        <w:tc>
          <w:tcPr>
            <w:tcW w:w="3913" w:type="dxa"/>
          </w:tcPr>
          <w:p w14:paraId="5DA8D72D"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Pháp luật hiện hành chưa có quy định cụ thể nhằm xác định khái niệm “trái phiếu chính quyền địa phương xanh”. Hiện nay, khái niệm trái phiếu Chính phủ xanh, trái phiếu doanh nghiệp xanh đã được ghi nhận khái niệm trong các quy định của pháp luật chuyên ngành, duy chỉ có khái niệm trái phiếu CQĐP xanh chưa được làm rõ.</w:t>
            </w:r>
          </w:p>
        </w:tc>
        <w:tc>
          <w:tcPr>
            <w:tcW w:w="1280" w:type="dxa"/>
          </w:tcPr>
          <w:p w14:paraId="3153C2C6"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C. Sửa đổi, bổ sung, thay thế, ban hành mới VBQPPL (theo trình tự, thủ tục rút gọn ban hành VBQPPL của Luật Ban hành VBQPPL)</w:t>
            </w:r>
          </w:p>
        </w:tc>
        <w:tc>
          <w:tcPr>
            <w:tcW w:w="1254" w:type="dxa"/>
          </w:tcPr>
          <w:p w14:paraId="7563EF35"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Trường Đại học Luật Hà Nội</w:t>
            </w:r>
          </w:p>
        </w:tc>
        <w:tc>
          <w:tcPr>
            <w:tcW w:w="2289" w:type="dxa"/>
          </w:tcPr>
          <w:p w14:paraId="15DCB6D2" w14:textId="77777777" w:rsidR="005C5D35"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Nhất trí vì:</w:t>
            </w:r>
            <w:r w:rsidRPr="00A35EC9">
              <w:rPr>
                <w:rFonts w:ascii="Times New Roman" w:eastAsia="Times New Roman" w:hAnsi="Times New Roman" w:cs="Times New Roman"/>
                <w:sz w:val="24"/>
                <w:szCs w:val="24"/>
              </w:rPr>
              <w:br/>
              <w:t>Bộ Tài chính sẽ nghiên cứu để sửa tổng thể trong quá trình sửa Luật Quản lý nợ công và các văn bản hướng dẫn thi hành.</w:t>
            </w:r>
          </w:p>
          <w:p w14:paraId="4F5E65CA" w14:textId="77777777" w:rsidR="005C5D35" w:rsidRDefault="005C5D35" w:rsidP="00ED03DD">
            <w:pPr>
              <w:jc w:val="both"/>
              <w:rPr>
                <w:rFonts w:ascii="Times New Roman" w:eastAsiaTheme="minorHAnsi" w:hAnsi="Times New Roman" w:cs="Times New Roman"/>
                <w:color w:val="EE0000"/>
                <w:sz w:val="24"/>
                <w:szCs w:val="24"/>
              </w:rPr>
            </w:pPr>
            <w:r>
              <w:rPr>
                <w:rFonts w:ascii="Times New Roman" w:eastAsia="Times New Roman" w:hAnsi="Times New Roman"/>
                <w:b/>
                <w:bCs/>
                <w:sz w:val="24"/>
                <w:szCs w:val="24"/>
              </w:rPr>
              <w:t xml:space="preserve">Theo Công văn số 08-CV/ĐUBTC-PC ngày 22/8/2025, Bộ Tài chính: </w:t>
            </w:r>
            <w:r w:rsidRPr="00A35EC9">
              <w:rPr>
                <w:rFonts w:ascii="Times New Roman" w:eastAsia="Times New Roman" w:hAnsi="Times New Roman" w:cs="Times New Roman"/>
                <w:sz w:val="24"/>
                <w:szCs w:val="24"/>
              </w:rPr>
              <w:t>Dự</w:t>
            </w:r>
            <w:r w:rsidRPr="00A35EC9">
              <w:rPr>
                <w:rFonts w:ascii="Times New Roman" w:eastAsia="Times New Roman" w:hAnsi="Times New Roman" w:cs="Times New Roman"/>
                <w:sz w:val="24"/>
                <w:szCs w:val="24"/>
                <w:lang w:val="vi-VN"/>
              </w:rPr>
              <w:t xml:space="preserve"> kiến Luật sửa đổi, bổ sung một số điều của Luật Quản lý nợ công sẽ trình Quốc hội tại Kỳ họp tháng 10/2025.</w:t>
            </w:r>
          </w:p>
          <w:p w14:paraId="7373C581"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p>
        </w:tc>
        <w:tc>
          <w:tcPr>
            <w:tcW w:w="2694" w:type="dxa"/>
          </w:tcPr>
          <w:p w14:paraId="3F210C32" w14:textId="77777777" w:rsidR="005C5D35" w:rsidRPr="001B6814" w:rsidRDefault="005C5D35" w:rsidP="00ED03DD">
            <w:pPr>
              <w:jc w:val="both"/>
              <w:rPr>
                <w:rFonts w:ascii="Times New Roman" w:hAnsi="Times New Roman" w:cs="Times New Roman"/>
                <w:b/>
                <w:sz w:val="24"/>
                <w:szCs w:val="24"/>
              </w:rPr>
            </w:pPr>
            <w:r w:rsidRPr="001B6814">
              <w:rPr>
                <w:rFonts w:ascii="Times New Roman" w:hAnsi="Times New Roman" w:cs="Times New Roman"/>
                <w:b/>
                <w:sz w:val="24"/>
                <w:szCs w:val="24"/>
              </w:rPr>
              <w:t>Chưa xử lý</w:t>
            </w:r>
          </w:p>
          <w:p w14:paraId="0EB2E322" w14:textId="77777777" w:rsidR="005C5D35" w:rsidRDefault="005C5D35" w:rsidP="00ED03DD">
            <w:pPr>
              <w:spacing w:after="0" w:line="240" w:lineRule="auto"/>
              <w:jc w:val="both"/>
              <w:rPr>
                <w:rFonts w:ascii="Times New Roman" w:hAnsi="Times New Roman" w:cs="Times New Roman"/>
                <w:sz w:val="24"/>
                <w:szCs w:val="24"/>
              </w:rPr>
            </w:pPr>
            <w:r w:rsidRPr="000968D0">
              <w:rPr>
                <w:rFonts w:ascii="Times New Roman" w:hAnsi="Times New Roman" w:cs="Times New Roman"/>
                <w:sz w:val="24"/>
                <w:szCs w:val="24"/>
              </w:rPr>
              <w:t>Đang nghiên cứu sửa đổi quy định tại Nghị định số 93/2018/NĐ-CP gắn với quá trình sửa đổi tổng thể Luật Quản lý nợ công và các văn bản hướng dẫn (dự kiến trong năm 2026).</w:t>
            </w:r>
          </w:p>
          <w:p w14:paraId="5AAEF856" w14:textId="02437648" w:rsidR="005C5D35" w:rsidRPr="000968D0" w:rsidRDefault="005C5D35" w:rsidP="00ED03DD">
            <w:pPr>
              <w:spacing w:after="0"/>
              <w:jc w:val="both"/>
              <w:rPr>
                <w:rFonts w:ascii="Times New Roman" w:eastAsia="Times New Roman" w:hAnsi="Times New Roman" w:cs="Times New Roman"/>
                <w:sz w:val="24"/>
                <w:szCs w:val="24"/>
              </w:rPr>
            </w:pPr>
          </w:p>
        </w:tc>
      </w:tr>
      <w:tr w:rsidR="005C5D35" w:rsidRPr="00A35EC9" w14:paraId="766AF96B" w14:textId="77777777" w:rsidTr="00ED03DD">
        <w:tc>
          <w:tcPr>
            <w:tcW w:w="702" w:type="dxa"/>
          </w:tcPr>
          <w:p w14:paraId="5E68865B" w14:textId="77777777" w:rsidR="005C5D35" w:rsidRPr="00A35EC9" w:rsidRDefault="005C5D35" w:rsidP="00ED03DD">
            <w:pPr>
              <w:pStyle w:val="ListParagraph"/>
              <w:numPr>
                <w:ilvl w:val="0"/>
                <w:numId w:val="3"/>
              </w:numPr>
              <w:tabs>
                <w:tab w:val="left" w:pos="360"/>
              </w:tabs>
              <w:spacing w:after="0" w:line="240" w:lineRule="auto"/>
              <w:rPr>
                <w:rFonts w:ascii="Times New Roman" w:eastAsia="Times New Roman" w:hAnsi="Times New Roman" w:cs="Times New Roman"/>
                <w:sz w:val="24"/>
                <w:szCs w:val="24"/>
              </w:rPr>
            </w:pPr>
          </w:p>
        </w:tc>
        <w:tc>
          <w:tcPr>
            <w:tcW w:w="1897" w:type="dxa"/>
          </w:tcPr>
          <w:p w14:paraId="6AF72F17" w14:textId="77777777" w:rsidR="005C5D35" w:rsidRPr="00A35EC9" w:rsidRDefault="005C5D35" w:rsidP="00ED03DD">
            <w:pPr>
              <w:tabs>
                <w:tab w:val="left" w:pos="360"/>
              </w:tabs>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 xml:space="preserve">Nghị định số 93/2018/NĐ-CP ngày 30/06/2018 của Chính phủ về quản lý nợ của chính quyền </w:t>
            </w:r>
            <w:r w:rsidRPr="00A35EC9">
              <w:rPr>
                <w:rFonts w:ascii="Times New Roman" w:eastAsia="Times New Roman" w:hAnsi="Times New Roman" w:cs="Times New Roman"/>
                <w:sz w:val="24"/>
                <w:szCs w:val="24"/>
              </w:rPr>
              <w:lastRenderedPageBreak/>
              <w:t>địa phương</w:t>
            </w:r>
          </w:p>
        </w:tc>
        <w:tc>
          <w:tcPr>
            <w:tcW w:w="3913" w:type="dxa"/>
          </w:tcPr>
          <w:p w14:paraId="27D683FC"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lastRenderedPageBreak/>
              <w:t>Pháp luật chưa có quy định cụ thể về chủ thể và cách thức thực hiện phát hành trái phiếu CQĐP xanh.</w:t>
            </w:r>
          </w:p>
        </w:tc>
        <w:tc>
          <w:tcPr>
            <w:tcW w:w="1280" w:type="dxa"/>
          </w:tcPr>
          <w:p w14:paraId="6B92337C"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 xml:space="preserve">C. Sửa đổi, bổ sung, thay thế, ban hành mới VBQPPL </w:t>
            </w:r>
            <w:r w:rsidRPr="00A35EC9">
              <w:rPr>
                <w:rFonts w:ascii="Times New Roman" w:eastAsia="Times New Roman" w:hAnsi="Times New Roman" w:cs="Times New Roman"/>
                <w:sz w:val="24"/>
                <w:szCs w:val="24"/>
              </w:rPr>
              <w:lastRenderedPageBreak/>
              <w:t>(theo trình tự, thủ tục rút gọn ban hành VBQPPL của Luật Ban hành VBQPPL)</w:t>
            </w:r>
          </w:p>
        </w:tc>
        <w:tc>
          <w:tcPr>
            <w:tcW w:w="1254" w:type="dxa"/>
          </w:tcPr>
          <w:p w14:paraId="62CE0D30"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lastRenderedPageBreak/>
              <w:t>Trường Đại học Luật Hà Nội</w:t>
            </w:r>
          </w:p>
        </w:tc>
        <w:tc>
          <w:tcPr>
            <w:tcW w:w="2289" w:type="dxa"/>
          </w:tcPr>
          <w:p w14:paraId="15DCCF12" w14:textId="77777777" w:rsidR="005C5D35"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Nhất trí vì:</w:t>
            </w:r>
            <w:r w:rsidRPr="00A35EC9">
              <w:rPr>
                <w:rFonts w:ascii="Times New Roman" w:eastAsia="Times New Roman" w:hAnsi="Times New Roman" w:cs="Times New Roman"/>
                <w:sz w:val="24"/>
                <w:szCs w:val="24"/>
              </w:rPr>
              <w:br/>
              <w:t xml:space="preserve">Bộ Tài chính sẽ nghiên cứu để sửa tổng thể trong quá trình sửa Luật Quản lý nợ công và các </w:t>
            </w:r>
            <w:r w:rsidRPr="00A35EC9">
              <w:rPr>
                <w:rFonts w:ascii="Times New Roman" w:eastAsia="Times New Roman" w:hAnsi="Times New Roman" w:cs="Times New Roman"/>
                <w:sz w:val="24"/>
                <w:szCs w:val="24"/>
              </w:rPr>
              <w:lastRenderedPageBreak/>
              <w:t>văn bản hướng dẫn thi hành.</w:t>
            </w:r>
          </w:p>
          <w:p w14:paraId="530096D7" w14:textId="77777777" w:rsidR="005C5D35" w:rsidRDefault="005C5D35" w:rsidP="00ED03DD">
            <w:pPr>
              <w:jc w:val="both"/>
              <w:rPr>
                <w:rFonts w:ascii="Times New Roman" w:eastAsiaTheme="minorHAnsi" w:hAnsi="Times New Roman" w:cs="Times New Roman"/>
                <w:color w:val="EE0000"/>
                <w:sz w:val="24"/>
                <w:szCs w:val="24"/>
              </w:rPr>
            </w:pPr>
            <w:r>
              <w:rPr>
                <w:rFonts w:ascii="Times New Roman" w:eastAsia="Times New Roman" w:hAnsi="Times New Roman"/>
                <w:b/>
                <w:bCs/>
                <w:sz w:val="24"/>
                <w:szCs w:val="24"/>
              </w:rPr>
              <w:t xml:space="preserve">Theo Công văn số 08-CV/ĐUBTC-PC ngày 22/8/2025, Bộ Tài chính: </w:t>
            </w:r>
          </w:p>
          <w:p w14:paraId="58A7A3E0"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Dự</w:t>
            </w:r>
            <w:r>
              <w:rPr>
                <w:rFonts w:ascii="Times New Roman" w:eastAsia="Times New Roman" w:hAnsi="Times New Roman" w:cs="Times New Roman"/>
                <w:sz w:val="24"/>
                <w:szCs w:val="24"/>
                <w:lang w:val="vi-VN"/>
              </w:rPr>
              <w:t xml:space="preserve"> kiến Luật sửa đổi, bổ sung một số điều của Luật Quản lý nợ công sẽ trình Quốc hội tại Kỳ họp tháng 10/2025.</w:t>
            </w:r>
          </w:p>
        </w:tc>
        <w:tc>
          <w:tcPr>
            <w:tcW w:w="2694" w:type="dxa"/>
          </w:tcPr>
          <w:p w14:paraId="6B9625FF" w14:textId="77777777" w:rsidR="005C5D35" w:rsidRPr="001B6814" w:rsidRDefault="005C5D35" w:rsidP="00ED03DD">
            <w:pPr>
              <w:jc w:val="both"/>
              <w:rPr>
                <w:rFonts w:ascii="Times New Roman" w:hAnsi="Times New Roman" w:cs="Times New Roman"/>
                <w:b/>
                <w:sz w:val="24"/>
                <w:szCs w:val="24"/>
              </w:rPr>
            </w:pPr>
            <w:r w:rsidRPr="001B6814">
              <w:rPr>
                <w:rFonts w:ascii="Times New Roman" w:hAnsi="Times New Roman" w:cs="Times New Roman"/>
                <w:b/>
                <w:sz w:val="24"/>
                <w:szCs w:val="24"/>
              </w:rPr>
              <w:lastRenderedPageBreak/>
              <w:t>Chưa xử lý</w:t>
            </w:r>
          </w:p>
          <w:p w14:paraId="36ACDA1A" w14:textId="77777777" w:rsidR="005C5D35" w:rsidRDefault="005C5D35" w:rsidP="00ED03DD">
            <w:pPr>
              <w:spacing w:after="0" w:line="240" w:lineRule="auto"/>
              <w:jc w:val="both"/>
              <w:rPr>
                <w:rFonts w:ascii="Times New Roman" w:hAnsi="Times New Roman" w:cs="Times New Roman"/>
                <w:sz w:val="24"/>
                <w:szCs w:val="24"/>
              </w:rPr>
            </w:pPr>
            <w:r w:rsidRPr="000968D0">
              <w:rPr>
                <w:rFonts w:ascii="Times New Roman" w:hAnsi="Times New Roman" w:cs="Times New Roman"/>
                <w:sz w:val="24"/>
                <w:szCs w:val="24"/>
              </w:rPr>
              <w:t xml:space="preserve">Đang nghiên cứu sửa đổi quy định tại Nghị định số 93/2018/NĐ-CP gắn với quá trình sửa đổi tổng thể </w:t>
            </w:r>
            <w:r w:rsidRPr="000968D0">
              <w:rPr>
                <w:rFonts w:ascii="Times New Roman" w:hAnsi="Times New Roman" w:cs="Times New Roman"/>
                <w:sz w:val="24"/>
                <w:szCs w:val="24"/>
              </w:rPr>
              <w:lastRenderedPageBreak/>
              <w:t>Luật Quản lý nợ công và các văn bản hướng dẫn (dự kiến trong năm 2026).</w:t>
            </w:r>
          </w:p>
          <w:p w14:paraId="5B6242CC" w14:textId="1C1234F0" w:rsidR="005C5D35" w:rsidRPr="000968D0" w:rsidRDefault="005C5D35" w:rsidP="00ED03DD">
            <w:pPr>
              <w:spacing w:after="0"/>
              <w:jc w:val="both"/>
              <w:rPr>
                <w:rFonts w:ascii="Times New Roman" w:eastAsia="Times New Roman" w:hAnsi="Times New Roman" w:cs="Times New Roman"/>
                <w:sz w:val="24"/>
                <w:szCs w:val="24"/>
              </w:rPr>
            </w:pPr>
          </w:p>
        </w:tc>
      </w:tr>
      <w:tr w:rsidR="005C5D35" w:rsidRPr="009C2F0D" w14:paraId="265BCCCD" w14:textId="77777777" w:rsidTr="00ED03DD">
        <w:tc>
          <w:tcPr>
            <w:tcW w:w="702" w:type="dxa"/>
          </w:tcPr>
          <w:p w14:paraId="00EF7529" w14:textId="77777777" w:rsidR="005C5D35" w:rsidRPr="00A35EC9" w:rsidRDefault="005C5D35" w:rsidP="00ED03DD">
            <w:pPr>
              <w:pStyle w:val="ListParagraph"/>
              <w:numPr>
                <w:ilvl w:val="0"/>
                <w:numId w:val="3"/>
              </w:numPr>
              <w:tabs>
                <w:tab w:val="left" w:pos="360"/>
              </w:tabs>
              <w:spacing w:after="0" w:line="240" w:lineRule="auto"/>
              <w:rPr>
                <w:rFonts w:ascii="Times New Roman" w:eastAsia="Times New Roman" w:hAnsi="Times New Roman" w:cs="Times New Roman"/>
                <w:sz w:val="24"/>
                <w:szCs w:val="24"/>
              </w:rPr>
            </w:pPr>
          </w:p>
        </w:tc>
        <w:tc>
          <w:tcPr>
            <w:tcW w:w="1897" w:type="dxa"/>
          </w:tcPr>
          <w:p w14:paraId="7D6E5FF6" w14:textId="77777777" w:rsidR="005C5D35" w:rsidRPr="00A35EC9" w:rsidRDefault="005C5D35" w:rsidP="00ED03DD">
            <w:pPr>
              <w:tabs>
                <w:tab w:val="left" w:pos="360"/>
              </w:tabs>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 xml:space="preserve">Nghị quyết số 954/2020/UBTVQH14 điều chỉnh mức giảm trừ gia cảnh quy định tại khoản 1 Điều 19 của Luật Thuế thu nhập cá nhân số 04/2007/QH12 đã được sửa đổi, bổ sung một số </w:t>
            </w:r>
            <w:r w:rsidRPr="00A35EC9">
              <w:rPr>
                <w:rFonts w:ascii="Times New Roman" w:eastAsia="Times New Roman" w:hAnsi="Times New Roman" w:cs="Times New Roman"/>
                <w:sz w:val="24"/>
                <w:szCs w:val="24"/>
              </w:rPr>
              <w:lastRenderedPageBreak/>
              <w:t>điều theo Luật số 26/2012/QH13 - Ủy ban Thường vụ Quốc hội</w:t>
            </w:r>
          </w:p>
        </w:tc>
        <w:tc>
          <w:tcPr>
            <w:tcW w:w="3913" w:type="dxa"/>
          </w:tcPr>
          <w:p w14:paraId="0E6457CF"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lastRenderedPageBreak/>
              <w:t xml:space="preserve">Mức nộp thuế TNCN (11 triệu/tháng) và giảm trừ đối với người phụ thuộc (4,4 triệu/tháng) không còn phù hợp, do: - Từ năm 2020 đến nay, chỉ số giá tiêu dùng (CPI) và lạm phát đã tăng mạnh, làm cho giá trị thực của mức giảm trừ giảm đi đáng kể. - Mức giảm trừ 11 triệu đồng/tháng không còn đủ để đảm bảo mức sống tối thiểu, trái với nguyên tắc của Luật thuế TNCN: “Chỉ đánh thuế thu nhập phần vượt quá chi phí tối thiểu để duy trì cuộc </w:t>
            </w:r>
            <w:r w:rsidRPr="00A35EC9">
              <w:rPr>
                <w:rFonts w:ascii="Times New Roman" w:eastAsia="Times New Roman" w:hAnsi="Times New Roman" w:cs="Times New Roman"/>
                <w:sz w:val="24"/>
                <w:szCs w:val="24"/>
              </w:rPr>
              <w:lastRenderedPageBreak/>
              <w:t>sống” - Mức thuế luỹ tiến tối đa 35% là mức thuế cao, chưa phù hợp với thu nhập NLĐ. Thuế TNCN ngày càng trở thành gánh nặng cho NLĐ, làm hạn chế động lực làm việc cho NLĐ</w:t>
            </w:r>
          </w:p>
        </w:tc>
        <w:tc>
          <w:tcPr>
            <w:tcW w:w="1280" w:type="dxa"/>
          </w:tcPr>
          <w:p w14:paraId="3A894D62"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lastRenderedPageBreak/>
              <w:t xml:space="preserve">C. Sửa đổi, bổ sung, thay thế, ban hành mới VBQPPL (theo trình tự, thủ tục rút gọn ban hành VBQPPL của Luật </w:t>
            </w:r>
            <w:r w:rsidRPr="00A35EC9">
              <w:rPr>
                <w:rFonts w:ascii="Times New Roman" w:eastAsia="Times New Roman" w:hAnsi="Times New Roman" w:cs="Times New Roman"/>
                <w:sz w:val="24"/>
                <w:szCs w:val="24"/>
              </w:rPr>
              <w:lastRenderedPageBreak/>
              <w:t>Ban hành VBQPPL)</w:t>
            </w:r>
          </w:p>
        </w:tc>
        <w:tc>
          <w:tcPr>
            <w:tcW w:w="1254" w:type="dxa"/>
          </w:tcPr>
          <w:p w14:paraId="406A7062"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lastRenderedPageBreak/>
              <w:t>Tập đoàn xăng dầu Việt Nam</w:t>
            </w:r>
          </w:p>
        </w:tc>
        <w:tc>
          <w:tcPr>
            <w:tcW w:w="2289" w:type="dxa"/>
          </w:tcPr>
          <w:p w14:paraId="4E6639E4"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Nhất trí vì:</w:t>
            </w:r>
          </w:p>
          <w:p w14:paraId="42C7B4F2" w14:textId="77777777" w:rsidR="005C5D35"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 xml:space="preserve"> Hiện tại, Bộ Tài chính đang xây dựng Nghị quyết của UBTVQH về điều chỉnh mức giảm trừ gia cảnh của thuế TNCN (dự thảo Nghị quyết đã gửi xin ý kiến Bộ ngành, địa phương, tổ chức và cá nhân theo công </w:t>
            </w:r>
            <w:r w:rsidRPr="00A35EC9">
              <w:rPr>
                <w:rFonts w:ascii="Times New Roman" w:eastAsia="Times New Roman" w:hAnsi="Times New Roman" w:cs="Times New Roman"/>
                <w:sz w:val="24"/>
                <w:szCs w:val="24"/>
              </w:rPr>
              <w:lastRenderedPageBreak/>
              <w:t>văn số 10898/BTC-CST ngày 17/7/2025).</w:t>
            </w:r>
          </w:p>
          <w:p w14:paraId="02758EF2" w14:textId="77777777" w:rsidR="005C5D35" w:rsidRDefault="005C5D35" w:rsidP="00ED03DD">
            <w:pPr>
              <w:jc w:val="both"/>
              <w:rPr>
                <w:rFonts w:ascii="Times New Roman" w:eastAsiaTheme="minorHAnsi" w:hAnsi="Times New Roman" w:cs="Times New Roman"/>
                <w:color w:val="EE0000"/>
                <w:sz w:val="24"/>
                <w:szCs w:val="24"/>
              </w:rPr>
            </w:pPr>
            <w:r>
              <w:rPr>
                <w:rFonts w:ascii="Times New Roman" w:eastAsia="Times New Roman" w:hAnsi="Times New Roman"/>
                <w:b/>
                <w:bCs/>
                <w:sz w:val="24"/>
                <w:szCs w:val="24"/>
              </w:rPr>
              <w:t xml:space="preserve">Theo Công văn số 08-CV/ĐUBTC-PC ngày 22/8/2025, Bộ Tài chính: </w:t>
            </w:r>
          </w:p>
          <w:p w14:paraId="72F98405"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Dự kiến sẽ hoàn thành trong năm 2025 (dự</w:t>
            </w:r>
            <w:r>
              <w:rPr>
                <w:rFonts w:ascii="Times New Roman" w:eastAsia="Times New Roman" w:hAnsi="Times New Roman" w:cs="Times New Roman"/>
                <w:sz w:val="24"/>
                <w:szCs w:val="24"/>
                <w:lang w:val="vi-VN"/>
              </w:rPr>
              <w:t xml:space="preserve"> kiến trình UBTVQH tại Phiên họp tháng 10/2025</w:t>
            </w:r>
            <w:r>
              <w:rPr>
                <w:rFonts w:ascii="Times New Roman" w:eastAsia="Times New Roman" w:hAnsi="Times New Roman" w:cs="Times New Roman"/>
                <w:sz w:val="24"/>
                <w:szCs w:val="24"/>
              </w:rPr>
              <w:t>).</w:t>
            </w:r>
          </w:p>
        </w:tc>
        <w:tc>
          <w:tcPr>
            <w:tcW w:w="2694" w:type="dxa"/>
          </w:tcPr>
          <w:p w14:paraId="061E05F1" w14:textId="77777777" w:rsidR="005C5D35" w:rsidRPr="00AB5373" w:rsidRDefault="005C5D35" w:rsidP="00ED03DD">
            <w:pPr>
              <w:pBdr>
                <w:top w:val="nil"/>
                <w:left w:val="nil"/>
                <w:bottom w:val="nil"/>
                <w:right w:val="nil"/>
                <w:between w:val="nil"/>
              </w:pBdr>
              <w:jc w:val="both"/>
              <w:rPr>
                <w:rFonts w:ascii="Times New Roman" w:eastAsia="Times New Roman" w:hAnsi="Times New Roman" w:cs="Times New Roman"/>
                <w:b/>
                <w:sz w:val="24"/>
                <w:szCs w:val="24"/>
              </w:rPr>
            </w:pPr>
            <w:r w:rsidRPr="00F41238">
              <w:rPr>
                <w:rFonts w:ascii="Times New Roman" w:eastAsia="Times New Roman" w:hAnsi="Times New Roman" w:cs="Times New Roman"/>
                <w:b/>
                <w:sz w:val="24"/>
                <w:szCs w:val="24"/>
                <w:highlight w:val="yellow"/>
              </w:rPr>
              <w:lastRenderedPageBreak/>
              <w:t>Đã xử lý:</w:t>
            </w:r>
          </w:p>
          <w:p w14:paraId="7261C70F" w14:textId="6EF8825B" w:rsidR="005C5D35" w:rsidRPr="00A35EC9" w:rsidRDefault="005C5D35" w:rsidP="00ED03DD">
            <w:pPr>
              <w:spacing w:after="0" w:line="240" w:lineRule="auto"/>
              <w:jc w:val="both"/>
              <w:rPr>
                <w:rFonts w:ascii="Times New Roman" w:eastAsia="Times New Roman" w:hAnsi="Times New Roman" w:cs="Times New Roman"/>
                <w:sz w:val="24"/>
                <w:szCs w:val="24"/>
                <w:lang w:val="vi-VN"/>
              </w:rPr>
            </w:pPr>
            <w:r w:rsidRPr="00AB5373">
              <w:rPr>
                <w:rFonts w:ascii="Times New Roman" w:eastAsia="Times New Roman" w:hAnsi="Times New Roman" w:cs="Times New Roman"/>
                <w:b/>
                <w:sz w:val="24"/>
                <w:szCs w:val="24"/>
              </w:rPr>
              <w:t>Điều 1 Nghị quyết số 110/2025/UBTVQH15 ngày 17/10/2025 của Ủy ban Thường vụ Quốc hội về điều chỉnh mức giảm trừ gia cảnh của thuế TNCN</w:t>
            </w:r>
            <w:r w:rsidRPr="00A35EC9">
              <w:rPr>
                <w:rFonts w:ascii="Times New Roman" w:eastAsia="Times New Roman" w:hAnsi="Times New Roman" w:cs="Times New Roman"/>
                <w:sz w:val="24"/>
                <w:szCs w:val="24"/>
                <w:lang w:val="vi-VN"/>
              </w:rPr>
              <w:t xml:space="preserve"> </w:t>
            </w:r>
          </w:p>
        </w:tc>
      </w:tr>
      <w:tr w:rsidR="005C5D35" w:rsidRPr="009C2F0D" w14:paraId="62B93D4F" w14:textId="77777777" w:rsidTr="00ED03DD">
        <w:tc>
          <w:tcPr>
            <w:tcW w:w="702" w:type="dxa"/>
          </w:tcPr>
          <w:p w14:paraId="2ACC8D45" w14:textId="77777777" w:rsidR="005C5D35" w:rsidRPr="00C92F0C" w:rsidRDefault="005C5D35" w:rsidP="00ED03DD">
            <w:pPr>
              <w:pStyle w:val="ListParagraph"/>
              <w:numPr>
                <w:ilvl w:val="0"/>
                <w:numId w:val="3"/>
              </w:numPr>
              <w:tabs>
                <w:tab w:val="left" w:pos="360"/>
              </w:tabs>
              <w:spacing w:after="0" w:line="240" w:lineRule="auto"/>
              <w:rPr>
                <w:rFonts w:ascii="Times New Roman" w:eastAsia="Times New Roman" w:hAnsi="Times New Roman" w:cs="Times New Roman"/>
                <w:sz w:val="24"/>
                <w:szCs w:val="24"/>
                <w:lang w:val="vi-VN"/>
              </w:rPr>
            </w:pPr>
          </w:p>
        </w:tc>
        <w:tc>
          <w:tcPr>
            <w:tcW w:w="1897" w:type="dxa"/>
          </w:tcPr>
          <w:p w14:paraId="04545DC5" w14:textId="77777777" w:rsidR="005C5D35" w:rsidRPr="00C92F0C" w:rsidRDefault="005C5D35" w:rsidP="00ED03DD">
            <w:pPr>
              <w:tabs>
                <w:tab w:val="left" w:pos="360"/>
              </w:tabs>
              <w:spacing w:after="0" w:line="240" w:lineRule="auto"/>
              <w:jc w:val="both"/>
              <w:rPr>
                <w:rFonts w:ascii="Times New Roman" w:eastAsia="Times New Roman" w:hAnsi="Times New Roman" w:cs="Times New Roman"/>
                <w:sz w:val="24"/>
                <w:szCs w:val="24"/>
                <w:lang w:val="vi-VN"/>
              </w:rPr>
            </w:pPr>
            <w:r w:rsidRPr="00C92F0C">
              <w:rPr>
                <w:rFonts w:ascii="Times New Roman" w:eastAsia="Times New Roman" w:hAnsi="Times New Roman" w:cs="Times New Roman"/>
                <w:sz w:val="24"/>
                <w:szCs w:val="24"/>
                <w:lang w:val="vi-VN"/>
              </w:rPr>
              <w:t xml:space="preserve">Khoản 2 Điều 82, Nghị định 31/2021/NĐ-CP về chuyển vốn đầu tư ra nước ngoài quy định: 2. Nhà đầu tư được chuyển ngoại tệ, hàng hóa, máy móc, thiết bị ra nước ngoài trước khi </w:t>
            </w:r>
            <w:r w:rsidRPr="00C92F0C">
              <w:rPr>
                <w:rFonts w:ascii="Times New Roman" w:eastAsia="Times New Roman" w:hAnsi="Times New Roman" w:cs="Times New Roman"/>
                <w:sz w:val="24"/>
                <w:szCs w:val="24"/>
                <w:lang w:val="vi-VN"/>
              </w:rPr>
              <w:lastRenderedPageBreak/>
              <w:t xml:space="preserve">được cấp Giấy chứng nhận đăng ký đầu tư ra nước ngoài để đáp ứng các chi phí cho hoạt động hình thành dự án đầu tư, bao gồm: a) Nghiên cứu thị trường và cơ hội đầu tư; b) Khảo sát thực địa; …… h) Tham gia đấu thầu quốc tế, đặt cọc, ký quỹ hoặc các hình thức bảo lãnh tài chính khác, thanh toán chi phí, lệ phí theo yêu cầu của bên mời thầu, quốc gia, vùng lãnh thổ tiếp nhận đầu </w:t>
            </w:r>
            <w:r w:rsidRPr="00C92F0C">
              <w:rPr>
                <w:rFonts w:ascii="Times New Roman" w:eastAsia="Times New Roman" w:hAnsi="Times New Roman" w:cs="Times New Roman"/>
                <w:sz w:val="24"/>
                <w:szCs w:val="24"/>
                <w:lang w:val="vi-VN"/>
              </w:rPr>
              <w:lastRenderedPageBreak/>
              <w:t>tư liên quan đến điều kiện tham gia đấu thầu, điều kiện thực hiện dự án đầu tư; …….</w:t>
            </w:r>
          </w:p>
        </w:tc>
        <w:tc>
          <w:tcPr>
            <w:tcW w:w="3913" w:type="dxa"/>
          </w:tcPr>
          <w:p w14:paraId="339E0FE8" w14:textId="77777777" w:rsidR="005C5D35" w:rsidRPr="00C92F0C" w:rsidRDefault="005C5D35" w:rsidP="00ED03DD">
            <w:pPr>
              <w:spacing w:after="0" w:line="240" w:lineRule="auto"/>
              <w:jc w:val="both"/>
              <w:rPr>
                <w:rFonts w:ascii="Times New Roman" w:eastAsia="Times New Roman" w:hAnsi="Times New Roman" w:cs="Times New Roman"/>
                <w:sz w:val="24"/>
                <w:szCs w:val="24"/>
                <w:lang w:val="vi-VN"/>
              </w:rPr>
            </w:pPr>
            <w:r w:rsidRPr="00C92F0C">
              <w:rPr>
                <w:rFonts w:ascii="Times New Roman" w:eastAsia="Times New Roman" w:hAnsi="Times New Roman" w:cs="Times New Roman"/>
                <w:sz w:val="24"/>
                <w:szCs w:val="24"/>
                <w:lang w:val="vi-VN"/>
              </w:rPr>
              <w:lastRenderedPageBreak/>
              <w:t xml:space="preserve">- Thực tế Một trong các chi phí lớn của Viettel trước khi được cấp GCNĐTRNN là chi phí thanh toán tiền mua giấy phép viễn thông tại nước sở tại. Nội dung này chưa được quy định tại Nghị định 31/2021 hướng dẫn Luật Đầu tư. Tuy nhiên, Viettel đã có cơ chế đặc thù riêng về nội dung này tại Điều lệ Viettel ban hành kèm theo Nghị định 05/2018/NĐ-CP Thủ tướng Chính phủ ngày 05/01/2018. “VIETTEL được phép </w:t>
            </w:r>
            <w:r w:rsidRPr="00C92F0C">
              <w:rPr>
                <w:rFonts w:ascii="Times New Roman" w:eastAsia="Times New Roman" w:hAnsi="Times New Roman" w:cs="Times New Roman"/>
                <w:sz w:val="24"/>
                <w:szCs w:val="24"/>
                <w:lang w:val="vi-VN"/>
              </w:rPr>
              <w:lastRenderedPageBreak/>
              <w:t xml:space="preserve">chuyển ngoại tệ trước khi được cấp Giấy chứng nhận đăng ký đầu tư ra nước ngoài theo thông báo trúng thầu mua giấy phép viễn thông để thanh toán phí mua giấy phép viễn thông, theo quy định của nước sở tại. Giá trị ngoại tệ được phép chuyển bằng giá trúng thầu mua giấy phép.” (Điều 76) - Vướng mắc Viettel đánh giá đây có thể là vướng mắc đối với các nhà đầu tư khác, cần được thể chế hóa chung trong quy định pháp luật. Đề nghị thể chế hóa chung trong Luật về việc nhà đầu tư được phép chuyển tiền để thanh toán chi phí mua giấy phép theo quy định nước sở tại trước khi được cấp GCNĐTRNN. Xem xét sửa như sau: “h) Tham gia đấu thầu quốc tế, đặt cọc, ký quỹ hoặc các hình thức bảo lãnh tài chính khác, thanh toán chi phí, lệ phí, tiền mua giấy phép theo yêu cầu của bên mời thầu, quốc gia, vùng lãnh thổ tiếp nhận đầu tư liên quan đến điều kiện tham gia đấu thầu, điều kiện thực hiện dự án đầu </w:t>
            </w:r>
            <w:r w:rsidRPr="00C92F0C">
              <w:rPr>
                <w:rFonts w:ascii="Times New Roman" w:eastAsia="Times New Roman" w:hAnsi="Times New Roman" w:cs="Times New Roman"/>
                <w:sz w:val="24"/>
                <w:szCs w:val="24"/>
                <w:lang w:val="vi-VN"/>
              </w:rPr>
              <w:lastRenderedPageBreak/>
              <w:t>tư;”</w:t>
            </w:r>
          </w:p>
        </w:tc>
        <w:tc>
          <w:tcPr>
            <w:tcW w:w="1280" w:type="dxa"/>
          </w:tcPr>
          <w:p w14:paraId="51D4F9BE" w14:textId="77777777" w:rsidR="005C5D35" w:rsidRPr="00C92F0C" w:rsidRDefault="005C5D35" w:rsidP="00ED03DD">
            <w:pPr>
              <w:spacing w:after="0" w:line="240" w:lineRule="auto"/>
              <w:jc w:val="both"/>
              <w:rPr>
                <w:rFonts w:ascii="Times New Roman" w:eastAsia="Times New Roman" w:hAnsi="Times New Roman" w:cs="Times New Roman"/>
                <w:sz w:val="24"/>
                <w:szCs w:val="24"/>
                <w:lang w:val="vi-VN"/>
              </w:rPr>
            </w:pPr>
            <w:r w:rsidRPr="00C92F0C">
              <w:rPr>
                <w:rFonts w:ascii="Times New Roman" w:eastAsia="Times New Roman" w:hAnsi="Times New Roman" w:cs="Times New Roman"/>
                <w:sz w:val="24"/>
                <w:szCs w:val="24"/>
                <w:lang w:val="vi-VN"/>
              </w:rPr>
              <w:lastRenderedPageBreak/>
              <w:t xml:space="preserve">C. Sửa đổi, bổ sung, thay thế, ban hành mới VBQPPL (theo trình tự, thủ tục rút gọn ban hành VBQPPL của Luật </w:t>
            </w:r>
            <w:r w:rsidRPr="00C92F0C">
              <w:rPr>
                <w:rFonts w:ascii="Times New Roman" w:eastAsia="Times New Roman" w:hAnsi="Times New Roman" w:cs="Times New Roman"/>
                <w:sz w:val="24"/>
                <w:szCs w:val="24"/>
                <w:lang w:val="vi-VN"/>
              </w:rPr>
              <w:lastRenderedPageBreak/>
              <w:t>Ban hành VBQPPL)</w:t>
            </w:r>
          </w:p>
        </w:tc>
        <w:tc>
          <w:tcPr>
            <w:tcW w:w="1254" w:type="dxa"/>
          </w:tcPr>
          <w:p w14:paraId="727DCC48" w14:textId="77777777" w:rsidR="005C5D35" w:rsidRPr="00C92F0C" w:rsidRDefault="005C5D35" w:rsidP="00ED03DD">
            <w:pPr>
              <w:spacing w:after="0" w:line="240" w:lineRule="auto"/>
              <w:jc w:val="both"/>
              <w:rPr>
                <w:rFonts w:ascii="Times New Roman" w:eastAsia="Times New Roman" w:hAnsi="Times New Roman" w:cs="Times New Roman"/>
                <w:sz w:val="24"/>
                <w:szCs w:val="24"/>
                <w:lang w:val="vi-VN"/>
              </w:rPr>
            </w:pPr>
            <w:r w:rsidRPr="00C92F0C">
              <w:rPr>
                <w:rFonts w:ascii="Times New Roman" w:eastAsia="Times New Roman" w:hAnsi="Times New Roman" w:cs="Times New Roman"/>
                <w:sz w:val="24"/>
                <w:szCs w:val="24"/>
                <w:lang w:val="vi-VN"/>
              </w:rPr>
              <w:lastRenderedPageBreak/>
              <w:t>Tập đoàn Công nghiệp - Viễn thông quân đội</w:t>
            </w:r>
          </w:p>
        </w:tc>
        <w:tc>
          <w:tcPr>
            <w:tcW w:w="2289" w:type="dxa"/>
          </w:tcPr>
          <w:p w14:paraId="5F12D353" w14:textId="77777777" w:rsidR="005C5D35" w:rsidRPr="00C92F0C" w:rsidRDefault="005C5D35" w:rsidP="00ED03DD">
            <w:pPr>
              <w:spacing w:after="0" w:line="240" w:lineRule="auto"/>
              <w:jc w:val="both"/>
              <w:rPr>
                <w:rFonts w:ascii="Times New Roman" w:eastAsia="Times New Roman" w:hAnsi="Times New Roman" w:cs="Times New Roman"/>
                <w:sz w:val="24"/>
                <w:szCs w:val="24"/>
                <w:lang w:val="vi-VN"/>
              </w:rPr>
            </w:pPr>
            <w:r w:rsidRPr="00C92F0C">
              <w:rPr>
                <w:rFonts w:ascii="Times New Roman" w:eastAsia="Times New Roman" w:hAnsi="Times New Roman" w:cs="Times New Roman"/>
                <w:sz w:val="24"/>
                <w:szCs w:val="24"/>
                <w:lang w:val="vi-VN"/>
              </w:rPr>
              <w:t xml:space="preserve">Nhất trí vì: </w:t>
            </w:r>
            <w:r w:rsidRPr="00C92F0C">
              <w:rPr>
                <w:rFonts w:ascii="Times New Roman" w:eastAsia="Times New Roman" w:hAnsi="Times New Roman" w:cs="Times New Roman"/>
                <w:sz w:val="24"/>
                <w:szCs w:val="24"/>
                <w:lang w:val="vi-VN"/>
              </w:rPr>
              <w:br/>
              <w:t>Hiện nay Bộ Tài chính đang nghiên cứu để sửa tổng thể Luật Đầu tư và các văn bản hướng dẫn thi hành. (năm 2025-2026).</w:t>
            </w:r>
          </w:p>
          <w:p w14:paraId="70420A04" w14:textId="77777777" w:rsidR="005C5D35" w:rsidRPr="00C92F0C" w:rsidRDefault="005C5D35" w:rsidP="00ED03DD">
            <w:pPr>
              <w:jc w:val="both"/>
              <w:rPr>
                <w:rFonts w:ascii="Times New Roman" w:eastAsiaTheme="minorHAnsi" w:hAnsi="Times New Roman" w:cs="Times New Roman"/>
                <w:color w:val="EE0000"/>
                <w:sz w:val="24"/>
                <w:szCs w:val="24"/>
                <w:lang w:val="vi-VN"/>
              </w:rPr>
            </w:pPr>
            <w:r w:rsidRPr="00C92F0C">
              <w:rPr>
                <w:rFonts w:ascii="Times New Roman" w:eastAsia="Times New Roman" w:hAnsi="Times New Roman"/>
                <w:b/>
                <w:bCs/>
                <w:sz w:val="24"/>
                <w:szCs w:val="24"/>
                <w:lang w:val="vi-VN"/>
              </w:rPr>
              <w:t xml:space="preserve">Theo Công văn số 08-CV/ĐUBTC-PC ngày 22/8/2025, Bộ </w:t>
            </w:r>
            <w:r w:rsidRPr="00C92F0C">
              <w:rPr>
                <w:rFonts w:ascii="Times New Roman" w:eastAsia="Times New Roman" w:hAnsi="Times New Roman"/>
                <w:b/>
                <w:bCs/>
                <w:sz w:val="24"/>
                <w:szCs w:val="24"/>
                <w:lang w:val="vi-VN"/>
              </w:rPr>
              <w:lastRenderedPageBreak/>
              <w:t xml:space="preserve">Tài chính: </w:t>
            </w:r>
          </w:p>
          <w:p w14:paraId="308726C0" w14:textId="77777777" w:rsidR="005C5D35" w:rsidRPr="00C92F0C" w:rsidRDefault="005C5D35" w:rsidP="00ED03DD">
            <w:pPr>
              <w:spacing w:after="0" w:line="240" w:lineRule="auto"/>
              <w:jc w:val="both"/>
              <w:rPr>
                <w:rFonts w:ascii="Times New Roman" w:eastAsia="Times New Roman" w:hAnsi="Times New Roman" w:cs="Times New Roman"/>
                <w:sz w:val="24"/>
                <w:szCs w:val="24"/>
                <w:lang w:val="vi-VN"/>
              </w:rPr>
            </w:pPr>
            <w:r w:rsidRPr="00C92F0C">
              <w:rPr>
                <w:rFonts w:ascii="Times New Roman" w:eastAsia="Times New Roman" w:hAnsi="Times New Roman" w:cs="Times New Roman"/>
                <w:sz w:val="24"/>
                <w:szCs w:val="24"/>
                <w:lang w:val="vi-VN"/>
              </w:rPr>
              <w:t>Dự</w:t>
            </w:r>
            <w:r>
              <w:rPr>
                <w:rFonts w:ascii="Times New Roman" w:eastAsia="Times New Roman" w:hAnsi="Times New Roman" w:cs="Times New Roman"/>
                <w:sz w:val="24"/>
                <w:szCs w:val="24"/>
                <w:lang w:val="vi-VN"/>
              </w:rPr>
              <w:t xml:space="preserve"> kiến trình Quốc hội tại Kỳ họp tháng 10/2025.</w:t>
            </w:r>
          </w:p>
        </w:tc>
        <w:tc>
          <w:tcPr>
            <w:tcW w:w="2694" w:type="dxa"/>
          </w:tcPr>
          <w:p w14:paraId="754D7DA4" w14:textId="0E8CB349" w:rsidR="005C5D35" w:rsidRPr="005C5D35" w:rsidRDefault="005C5D35" w:rsidP="00ED03DD">
            <w:pPr>
              <w:jc w:val="both"/>
              <w:rPr>
                <w:rFonts w:ascii="Times New Roman" w:hAnsi="Times New Roman" w:cs="Times New Roman"/>
                <w:b/>
                <w:bCs/>
                <w:sz w:val="24"/>
                <w:szCs w:val="24"/>
              </w:rPr>
            </w:pPr>
            <w:r w:rsidRPr="005C5D35">
              <w:rPr>
                <w:rFonts w:ascii="Times New Roman" w:hAnsi="Times New Roman" w:cs="Times New Roman"/>
                <w:b/>
                <w:bCs/>
                <w:sz w:val="24"/>
                <w:szCs w:val="24"/>
              </w:rPr>
              <w:lastRenderedPageBreak/>
              <w:t>Chưa xử lý</w:t>
            </w:r>
          </w:p>
          <w:p w14:paraId="59477F36" w14:textId="1269D147" w:rsidR="005C5D35" w:rsidRPr="00653888" w:rsidRDefault="005C5D35" w:rsidP="00ED03DD">
            <w:pPr>
              <w:spacing w:after="0"/>
              <w:jc w:val="both"/>
              <w:rPr>
                <w:rFonts w:ascii="Times New Roman" w:eastAsia="Times New Roman" w:hAnsi="Times New Roman" w:cs="Times New Roman"/>
                <w:b/>
                <w:color w:val="FF0000"/>
                <w:sz w:val="24"/>
                <w:szCs w:val="24"/>
                <w:lang w:val="vi-VN"/>
              </w:rPr>
            </w:pPr>
            <w:r w:rsidRPr="00C400DE">
              <w:rPr>
                <w:rFonts w:ascii="Times New Roman" w:eastAsia="Times New Roman" w:hAnsi="Times New Roman" w:cs="Times New Roman"/>
                <w:b/>
                <w:color w:val="FF0000"/>
                <w:sz w:val="24"/>
                <w:szCs w:val="24"/>
                <w:lang w:val="vi-VN"/>
              </w:rPr>
              <w:t xml:space="preserve">Nội dung này đã được đưa vào Điều 43 Luật Đầu tư </w:t>
            </w:r>
            <w:r w:rsidR="00A44430" w:rsidRPr="00A44430">
              <w:rPr>
                <w:rFonts w:ascii="Times New Roman" w:eastAsia="Times New Roman" w:hAnsi="Times New Roman" w:cs="Times New Roman"/>
                <w:bCs/>
                <w:sz w:val="24"/>
                <w:szCs w:val="24"/>
              </w:rPr>
              <w:t xml:space="preserve"> </w:t>
            </w:r>
            <w:r w:rsidR="00A44430" w:rsidRPr="00A44430">
              <w:rPr>
                <w:rFonts w:ascii="Times New Roman" w:eastAsia="Times New Roman" w:hAnsi="Times New Roman" w:cs="Times New Roman"/>
                <w:b/>
                <w:bCs/>
                <w:color w:val="FF0000"/>
                <w:sz w:val="24"/>
                <w:szCs w:val="24"/>
              </w:rPr>
              <w:t>được</w:t>
            </w:r>
            <w:r w:rsidR="00A44430" w:rsidRPr="00A44430">
              <w:rPr>
                <w:rFonts w:ascii="Times New Roman" w:eastAsia="Times New Roman" w:hAnsi="Times New Roman" w:cs="Times New Roman"/>
                <w:b/>
                <w:color w:val="FF0000"/>
                <w:sz w:val="24"/>
                <w:szCs w:val="24"/>
              </w:rPr>
              <w:t xml:space="preserve"> </w:t>
            </w:r>
            <w:r w:rsidR="00A44430" w:rsidRPr="00A44430">
              <w:rPr>
                <w:rFonts w:ascii="Times New Roman" w:eastAsia="Times New Roman" w:hAnsi="Times New Roman" w:cs="Times New Roman"/>
                <w:b/>
                <w:bCs/>
                <w:color w:val="FF0000"/>
                <w:sz w:val="24"/>
                <w:szCs w:val="24"/>
              </w:rPr>
              <w:t>thông qua tại Kỳ họp thứ 10</w:t>
            </w:r>
            <w:r w:rsidR="00A44430" w:rsidRPr="00A44430">
              <w:rPr>
                <w:rFonts w:ascii="Times New Roman" w:eastAsia="Times New Roman" w:hAnsi="Times New Roman" w:cs="Times New Roman"/>
                <w:b/>
                <w:color w:val="FF0000"/>
                <w:sz w:val="24"/>
                <w:szCs w:val="24"/>
              </w:rPr>
              <w:t xml:space="preserve">  </w:t>
            </w:r>
            <w:r w:rsidR="00A44430" w:rsidRPr="00A44430">
              <w:rPr>
                <w:rFonts w:ascii="Times New Roman" w:eastAsia="Times New Roman" w:hAnsi="Times New Roman" w:cs="Times New Roman"/>
                <w:b/>
                <w:color w:val="FF0000"/>
                <w:sz w:val="24"/>
                <w:szCs w:val="24"/>
                <w:lang w:val="vi-VN"/>
              </w:rPr>
              <w:t xml:space="preserve">Quốc hội </w:t>
            </w:r>
            <w:r w:rsidR="00A44430" w:rsidRPr="00A44430">
              <w:rPr>
                <w:rFonts w:ascii="Times New Roman" w:eastAsia="Times New Roman" w:hAnsi="Times New Roman" w:cs="Times New Roman"/>
                <w:b/>
                <w:color w:val="FF0000"/>
                <w:sz w:val="24"/>
                <w:szCs w:val="24"/>
              </w:rPr>
              <w:t>khóa XV</w:t>
            </w:r>
          </w:p>
          <w:p w14:paraId="26E8149C" w14:textId="77777777" w:rsidR="005C5D35" w:rsidRPr="00653888" w:rsidRDefault="005C5D35" w:rsidP="00ED03DD">
            <w:pPr>
              <w:spacing w:after="0"/>
              <w:jc w:val="both"/>
              <w:rPr>
                <w:rFonts w:ascii="Times New Roman" w:hAnsi="Times New Roman" w:cs="Times New Roman"/>
                <w:bCs/>
                <w:color w:val="FF0000"/>
                <w:sz w:val="24"/>
                <w:szCs w:val="24"/>
                <w:lang w:val="vi-VN"/>
              </w:rPr>
            </w:pPr>
            <w:r w:rsidRPr="00653888">
              <w:rPr>
                <w:rFonts w:ascii="Times New Roman" w:eastAsia="Times New Roman" w:hAnsi="Times New Roman" w:cs="Times New Roman"/>
                <w:b/>
                <w:color w:val="FF0000"/>
                <w:sz w:val="24"/>
                <w:szCs w:val="24"/>
                <w:lang w:val="vi-VN"/>
              </w:rPr>
              <w:t>Sẽ được hướng dẫn cụ thể về nội dung này tại Nghị định</w:t>
            </w:r>
          </w:p>
          <w:p w14:paraId="4BE671C9" w14:textId="1A2AE673" w:rsidR="005C5D35" w:rsidRPr="00A35EC9" w:rsidRDefault="005C5D35" w:rsidP="00ED03DD">
            <w:pPr>
              <w:spacing w:after="0" w:line="240" w:lineRule="auto"/>
              <w:jc w:val="both"/>
              <w:rPr>
                <w:rFonts w:ascii="Times New Roman" w:eastAsia="Times New Roman" w:hAnsi="Times New Roman" w:cs="Times New Roman"/>
                <w:sz w:val="24"/>
                <w:szCs w:val="24"/>
                <w:lang w:val="vi-VN"/>
              </w:rPr>
            </w:pPr>
          </w:p>
        </w:tc>
      </w:tr>
      <w:tr w:rsidR="005C5D35" w:rsidRPr="009C2F0D" w14:paraId="2EDF8ACD" w14:textId="77777777" w:rsidTr="00ED03DD">
        <w:tc>
          <w:tcPr>
            <w:tcW w:w="702" w:type="dxa"/>
          </w:tcPr>
          <w:p w14:paraId="7771E2E7" w14:textId="77777777" w:rsidR="005C5D35" w:rsidRPr="00C92F0C" w:rsidRDefault="005C5D35" w:rsidP="00ED03DD">
            <w:pPr>
              <w:pStyle w:val="ListParagraph"/>
              <w:numPr>
                <w:ilvl w:val="0"/>
                <w:numId w:val="3"/>
              </w:numPr>
              <w:tabs>
                <w:tab w:val="left" w:pos="360"/>
              </w:tabs>
              <w:spacing w:after="0" w:line="240" w:lineRule="auto"/>
              <w:rPr>
                <w:rFonts w:ascii="Times New Roman" w:eastAsia="Times New Roman" w:hAnsi="Times New Roman" w:cs="Times New Roman"/>
                <w:sz w:val="24"/>
                <w:szCs w:val="24"/>
                <w:lang w:val="vi-VN"/>
              </w:rPr>
            </w:pPr>
          </w:p>
        </w:tc>
        <w:tc>
          <w:tcPr>
            <w:tcW w:w="1897" w:type="dxa"/>
          </w:tcPr>
          <w:p w14:paraId="671AA4A3" w14:textId="77777777" w:rsidR="005C5D35" w:rsidRPr="00C92F0C" w:rsidRDefault="005C5D35" w:rsidP="00ED03DD">
            <w:pPr>
              <w:tabs>
                <w:tab w:val="left" w:pos="360"/>
              </w:tabs>
              <w:spacing w:after="0" w:line="240" w:lineRule="auto"/>
              <w:jc w:val="both"/>
              <w:rPr>
                <w:rFonts w:ascii="Times New Roman" w:eastAsia="Times New Roman" w:hAnsi="Times New Roman" w:cs="Times New Roman"/>
                <w:sz w:val="24"/>
                <w:szCs w:val="24"/>
                <w:lang w:val="vi-VN"/>
              </w:rPr>
            </w:pPr>
            <w:r w:rsidRPr="00C92F0C">
              <w:rPr>
                <w:rFonts w:ascii="Times New Roman" w:eastAsia="Times New Roman" w:hAnsi="Times New Roman" w:cs="Times New Roman"/>
                <w:sz w:val="24"/>
                <w:szCs w:val="24"/>
                <w:lang w:val="vi-VN"/>
              </w:rPr>
              <w:t xml:space="preserve">Khoản 4 Điều 82, Nghị định 31/2021/NĐ-CP về chuyển vốn đầu tư ra nước ngoài quy định: “4. Hạn mức chuyển ngoại tệ theo quy định tại khoản 2 Điều này không vượt quá 5% tổng vốn đầu tư ra nước ngoài và không quá 300.000 đô la Mỹ, được tính vào tổng vốn đầu tư ra nước ngoài, trừ trường hợp </w:t>
            </w:r>
            <w:r w:rsidRPr="00C92F0C">
              <w:rPr>
                <w:rFonts w:ascii="Times New Roman" w:eastAsia="Times New Roman" w:hAnsi="Times New Roman" w:cs="Times New Roman"/>
                <w:sz w:val="24"/>
                <w:szCs w:val="24"/>
                <w:lang w:val="vi-VN"/>
              </w:rPr>
              <w:lastRenderedPageBreak/>
              <w:t>Chính phủ có quy định khác”.</w:t>
            </w:r>
          </w:p>
        </w:tc>
        <w:tc>
          <w:tcPr>
            <w:tcW w:w="3913" w:type="dxa"/>
          </w:tcPr>
          <w:p w14:paraId="042AF0A3" w14:textId="77777777" w:rsidR="005C5D35" w:rsidRPr="00C92F0C" w:rsidRDefault="005C5D35" w:rsidP="00ED03DD">
            <w:pPr>
              <w:spacing w:after="0" w:line="240" w:lineRule="auto"/>
              <w:jc w:val="both"/>
              <w:rPr>
                <w:rFonts w:ascii="Times New Roman" w:eastAsia="Times New Roman" w:hAnsi="Times New Roman" w:cs="Times New Roman"/>
                <w:sz w:val="24"/>
                <w:szCs w:val="24"/>
                <w:lang w:val="vi-VN"/>
              </w:rPr>
            </w:pPr>
            <w:r w:rsidRPr="00C92F0C">
              <w:rPr>
                <w:rFonts w:ascii="Times New Roman" w:eastAsia="Times New Roman" w:hAnsi="Times New Roman" w:cs="Times New Roman"/>
                <w:sz w:val="24"/>
                <w:szCs w:val="24"/>
                <w:lang w:val="vi-VN"/>
              </w:rPr>
              <w:lastRenderedPageBreak/>
              <w:t xml:space="preserve">Vướng mắc Trường hợp nhà đầu tư được phép chuyển tiền ra nước ngoài để thanh toán chi phí mua giấy phép trước khi được cấp GCNĐTRNN (nêu trên), giá trị giấy phép có thể lớn hơn giá trị tối đa quy định tại khoản 4, Điều 82 (300.000 USD). Để xuất, để thống nhất trong trường hợp nhà đầu tư được phép chuyển tiền ra nước ngoài để thanh toán chi phí giấy phép trước khi được cấp GCNĐTRNN, đề nghị sửa như sau: “Hạn mức chuyển ngoại tệ theo quy định tại khoản 2 Điều này không vượt quá 5% tổng vốn đầu tư ra nước ngoài và không quá 300.000 đô la Mỹ, được tính vào tổng vốn đầu tư ra nước ngoài. Hạn mức này không bao gồm giá trị ngoại tệ chuyển ra nước ngoài để thanh toán </w:t>
            </w:r>
            <w:r w:rsidRPr="00C92F0C">
              <w:rPr>
                <w:rFonts w:ascii="Times New Roman" w:eastAsia="Times New Roman" w:hAnsi="Times New Roman" w:cs="Times New Roman"/>
                <w:sz w:val="24"/>
                <w:szCs w:val="24"/>
                <w:lang w:val="vi-VN"/>
              </w:rPr>
              <w:lastRenderedPageBreak/>
              <w:t>giá trúng thầu mua giấy phép.”</w:t>
            </w:r>
          </w:p>
        </w:tc>
        <w:tc>
          <w:tcPr>
            <w:tcW w:w="1280" w:type="dxa"/>
          </w:tcPr>
          <w:p w14:paraId="7E5E5482" w14:textId="77777777" w:rsidR="005C5D35" w:rsidRPr="00C92F0C" w:rsidRDefault="005C5D35" w:rsidP="00ED03DD">
            <w:pPr>
              <w:spacing w:after="0" w:line="240" w:lineRule="auto"/>
              <w:jc w:val="both"/>
              <w:rPr>
                <w:rFonts w:ascii="Times New Roman" w:eastAsia="Times New Roman" w:hAnsi="Times New Roman" w:cs="Times New Roman"/>
                <w:sz w:val="24"/>
                <w:szCs w:val="24"/>
                <w:lang w:val="vi-VN"/>
              </w:rPr>
            </w:pPr>
            <w:r w:rsidRPr="00C92F0C">
              <w:rPr>
                <w:rFonts w:ascii="Times New Roman" w:eastAsia="Times New Roman" w:hAnsi="Times New Roman" w:cs="Times New Roman"/>
                <w:sz w:val="24"/>
                <w:szCs w:val="24"/>
                <w:lang w:val="vi-VN"/>
              </w:rPr>
              <w:lastRenderedPageBreak/>
              <w:t>C. Sửa đổi, bổ sung, thay thế, ban hành mới VBQPPL (theo trình tự, thủ tục rút gọn ban hành VBQPPL của Luật Ban hành VBQPPL)</w:t>
            </w:r>
          </w:p>
        </w:tc>
        <w:tc>
          <w:tcPr>
            <w:tcW w:w="1254" w:type="dxa"/>
          </w:tcPr>
          <w:p w14:paraId="03DD0162" w14:textId="77777777" w:rsidR="005C5D35" w:rsidRPr="00C92F0C" w:rsidRDefault="005C5D35" w:rsidP="00ED03DD">
            <w:pPr>
              <w:spacing w:after="0" w:line="240" w:lineRule="auto"/>
              <w:jc w:val="both"/>
              <w:rPr>
                <w:rFonts w:ascii="Times New Roman" w:eastAsia="Times New Roman" w:hAnsi="Times New Roman" w:cs="Times New Roman"/>
                <w:sz w:val="24"/>
                <w:szCs w:val="24"/>
                <w:lang w:val="vi-VN"/>
              </w:rPr>
            </w:pPr>
            <w:r w:rsidRPr="00C92F0C">
              <w:rPr>
                <w:rFonts w:ascii="Times New Roman" w:eastAsia="Times New Roman" w:hAnsi="Times New Roman" w:cs="Times New Roman"/>
                <w:sz w:val="24"/>
                <w:szCs w:val="24"/>
                <w:lang w:val="vi-VN"/>
              </w:rPr>
              <w:t>Tập đoàn Công nghiệp - Viễn thông quân đội</w:t>
            </w:r>
          </w:p>
        </w:tc>
        <w:tc>
          <w:tcPr>
            <w:tcW w:w="2289" w:type="dxa"/>
          </w:tcPr>
          <w:p w14:paraId="508AAD58" w14:textId="77777777" w:rsidR="005C5D35" w:rsidRPr="00C92F0C" w:rsidRDefault="005C5D35" w:rsidP="00ED03DD">
            <w:pPr>
              <w:spacing w:after="0" w:line="240" w:lineRule="auto"/>
              <w:jc w:val="both"/>
              <w:rPr>
                <w:rFonts w:ascii="Times New Roman" w:eastAsia="Times New Roman" w:hAnsi="Times New Roman" w:cs="Times New Roman"/>
                <w:sz w:val="24"/>
                <w:szCs w:val="24"/>
                <w:lang w:val="vi-VN"/>
              </w:rPr>
            </w:pPr>
            <w:r w:rsidRPr="00C92F0C">
              <w:rPr>
                <w:rFonts w:ascii="Times New Roman" w:eastAsia="Times New Roman" w:hAnsi="Times New Roman" w:cs="Times New Roman"/>
                <w:sz w:val="24"/>
                <w:szCs w:val="24"/>
                <w:lang w:val="vi-VN"/>
              </w:rPr>
              <w:t xml:space="preserve">Nhất trí vì: </w:t>
            </w:r>
            <w:r w:rsidRPr="00C92F0C">
              <w:rPr>
                <w:rFonts w:ascii="Times New Roman" w:eastAsia="Times New Roman" w:hAnsi="Times New Roman" w:cs="Times New Roman"/>
                <w:sz w:val="24"/>
                <w:szCs w:val="24"/>
                <w:lang w:val="vi-VN"/>
              </w:rPr>
              <w:br/>
              <w:t>Hiện nay Bộ Tài chính đang nghiên cứu để sửa tổng thể Luật Đầu tư và các văn bản hướng dẫn thi hành. (năm 2025-2026).</w:t>
            </w:r>
          </w:p>
          <w:p w14:paraId="7328F144" w14:textId="77777777" w:rsidR="005C5D35" w:rsidRPr="00C92F0C" w:rsidRDefault="005C5D35" w:rsidP="00ED03DD">
            <w:pPr>
              <w:jc w:val="both"/>
              <w:rPr>
                <w:rFonts w:ascii="Times New Roman" w:eastAsiaTheme="minorHAnsi" w:hAnsi="Times New Roman" w:cs="Times New Roman"/>
                <w:color w:val="EE0000"/>
                <w:sz w:val="24"/>
                <w:szCs w:val="24"/>
                <w:lang w:val="vi-VN"/>
              </w:rPr>
            </w:pPr>
            <w:r w:rsidRPr="00C92F0C">
              <w:rPr>
                <w:rFonts w:ascii="Times New Roman" w:eastAsia="Times New Roman" w:hAnsi="Times New Roman"/>
                <w:b/>
                <w:bCs/>
                <w:sz w:val="24"/>
                <w:szCs w:val="24"/>
                <w:lang w:val="vi-VN"/>
              </w:rPr>
              <w:t xml:space="preserve">Theo Công văn số 08-CV/ĐUBTC-PC ngày 22/8/2025, Bộ Tài chính: </w:t>
            </w:r>
          </w:p>
          <w:p w14:paraId="04BCB7EA" w14:textId="77777777" w:rsidR="005C5D35" w:rsidRPr="00C92F0C" w:rsidRDefault="005C5D35" w:rsidP="00ED03DD">
            <w:pPr>
              <w:spacing w:after="0" w:line="240" w:lineRule="auto"/>
              <w:jc w:val="both"/>
              <w:rPr>
                <w:rFonts w:ascii="Times New Roman" w:eastAsia="Times New Roman" w:hAnsi="Times New Roman" w:cs="Times New Roman"/>
                <w:sz w:val="24"/>
                <w:szCs w:val="24"/>
                <w:lang w:val="vi-VN"/>
              </w:rPr>
            </w:pPr>
            <w:r w:rsidRPr="00C92F0C">
              <w:rPr>
                <w:rFonts w:ascii="Times New Roman" w:eastAsia="Times New Roman" w:hAnsi="Times New Roman" w:cs="Times New Roman"/>
                <w:sz w:val="24"/>
                <w:szCs w:val="24"/>
                <w:lang w:val="vi-VN"/>
              </w:rPr>
              <w:t>Dự</w:t>
            </w:r>
            <w:r>
              <w:rPr>
                <w:rFonts w:ascii="Times New Roman" w:eastAsia="Times New Roman" w:hAnsi="Times New Roman" w:cs="Times New Roman"/>
                <w:sz w:val="24"/>
                <w:szCs w:val="24"/>
                <w:lang w:val="vi-VN"/>
              </w:rPr>
              <w:t xml:space="preserve"> kiến trình Quốc hội tại Kỳ họp tháng 10/2025.</w:t>
            </w:r>
          </w:p>
        </w:tc>
        <w:tc>
          <w:tcPr>
            <w:tcW w:w="2694" w:type="dxa"/>
          </w:tcPr>
          <w:p w14:paraId="23C8FF65" w14:textId="77777777" w:rsidR="005C5D35" w:rsidRPr="001B6814" w:rsidRDefault="005C5D35" w:rsidP="00ED03DD">
            <w:pPr>
              <w:jc w:val="both"/>
              <w:rPr>
                <w:rFonts w:ascii="Times New Roman" w:hAnsi="Times New Roman" w:cs="Times New Roman"/>
                <w:b/>
                <w:sz w:val="24"/>
                <w:szCs w:val="24"/>
              </w:rPr>
            </w:pPr>
            <w:r w:rsidRPr="001B6814">
              <w:rPr>
                <w:rFonts w:ascii="Times New Roman" w:hAnsi="Times New Roman" w:cs="Times New Roman"/>
                <w:b/>
                <w:sz w:val="24"/>
                <w:szCs w:val="24"/>
              </w:rPr>
              <w:t>Chưa xử lý</w:t>
            </w:r>
          </w:p>
          <w:p w14:paraId="5552A434" w14:textId="5693F21E" w:rsidR="005C5D35" w:rsidRPr="00644393" w:rsidRDefault="005C5D35" w:rsidP="00ED03DD">
            <w:pPr>
              <w:spacing w:after="0"/>
              <w:jc w:val="both"/>
              <w:rPr>
                <w:rFonts w:ascii="Times New Roman" w:eastAsia="Times New Roman" w:hAnsi="Times New Roman" w:cs="Times New Roman"/>
                <w:b/>
                <w:color w:val="FF0000"/>
                <w:sz w:val="24"/>
                <w:szCs w:val="24"/>
                <w:lang w:val="vi-VN"/>
              </w:rPr>
            </w:pPr>
            <w:r w:rsidRPr="00C400DE">
              <w:rPr>
                <w:rFonts w:ascii="Times New Roman" w:eastAsia="Times New Roman" w:hAnsi="Times New Roman" w:cs="Times New Roman"/>
                <w:b/>
                <w:color w:val="FF0000"/>
                <w:sz w:val="24"/>
                <w:szCs w:val="24"/>
                <w:lang w:val="vi-VN"/>
              </w:rPr>
              <w:t xml:space="preserve">Nội dung này đã được đưa vào Điều 43 Luật Đầu tư </w:t>
            </w:r>
            <w:r w:rsidR="00A44430" w:rsidRPr="00A44430">
              <w:rPr>
                <w:rFonts w:ascii="Times New Roman" w:eastAsia="Times New Roman" w:hAnsi="Times New Roman" w:cs="Times New Roman"/>
                <w:bCs/>
                <w:sz w:val="24"/>
                <w:szCs w:val="24"/>
              </w:rPr>
              <w:t xml:space="preserve"> </w:t>
            </w:r>
            <w:r w:rsidR="00A44430" w:rsidRPr="00A44430">
              <w:rPr>
                <w:rFonts w:ascii="Times New Roman" w:eastAsia="Times New Roman" w:hAnsi="Times New Roman" w:cs="Times New Roman"/>
                <w:b/>
                <w:bCs/>
                <w:color w:val="FF0000"/>
                <w:sz w:val="24"/>
                <w:szCs w:val="24"/>
              </w:rPr>
              <w:t>được</w:t>
            </w:r>
            <w:r w:rsidR="00A44430" w:rsidRPr="00A44430">
              <w:rPr>
                <w:rFonts w:ascii="Times New Roman" w:eastAsia="Times New Roman" w:hAnsi="Times New Roman" w:cs="Times New Roman"/>
                <w:b/>
                <w:color w:val="FF0000"/>
                <w:sz w:val="24"/>
                <w:szCs w:val="24"/>
              </w:rPr>
              <w:t xml:space="preserve"> </w:t>
            </w:r>
            <w:r w:rsidR="00A44430" w:rsidRPr="00A44430">
              <w:rPr>
                <w:rFonts w:ascii="Times New Roman" w:eastAsia="Times New Roman" w:hAnsi="Times New Roman" w:cs="Times New Roman"/>
                <w:b/>
                <w:bCs/>
                <w:color w:val="FF0000"/>
                <w:sz w:val="24"/>
                <w:szCs w:val="24"/>
              </w:rPr>
              <w:t>thông qua tại Kỳ họp thứ 10</w:t>
            </w:r>
            <w:r w:rsidR="00A44430" w:rsidRPr="00A44430">
              <w:rPr>
                <w:rFonts w:ascii="Times New Roman" w:eastAsia="Times New Roman" w:hAnsi="Times New Roman" w:cs="Times New Roman"/>
                <w:b/>
                <w:color w:val="FF0000"/>
                <w:sz w:val="24"/>
                <w:szCs w:val="24"/>
              </w:rPr>
              <w:t xml:space="preserve">  </w:t>
            </w:r>
            <w:r w:rsidR="00A44430" w:rsidRPr="00A44430">
              <w:rPr>
                <w:rFonts w:ascii="Times New Roman" w:eastAsia="Times New Roman" w:hAnsi="Times New Roman" w:cs="Times New Roman"/>
                <w:b/>
                <w:color w:val="FF0000"/>
                <w:sz w:val="24"/>
                <w:szCs w:val="24"/>
                <w:lang w:val="vi-VN"/>
              </w:rPr>
              <w:t xml:space="preserve">Quốc hội </w:t>
            </w:r>
            <w:r w:rsidR="00A44430" w:rsidRPr="00A44430">
              <w:rPr>
                <w:rFonts w:ascii="Times New Roman" w:eastAsia="Times New Roman" w:hAnsi="Times New Roman" w:cs="Times New Roman"/>
                <w:b/>
                <w:color w:val="FF0000"/>
                <w:sz w:val="24"/>
                <w:szCs w:val="24"/>
              </w:rPr>
              <w:t>khóa XV</w:t>
            </w:r>
          </w:p>
          <w:p w14:paraId="56E8495F" w14:textId="4AEC8FBE" w:rsidR="005C5D35" w:rsidRPr="00C92F0C" w:rsidRDefault="005C5D35" w:rsidP="00A44430">
            <w:pPr>
              <w:spacing w:after="0"/>
              <w:jc w:val="both"/>
              <w:rPr>
                <w:rFonts w:ascii="Times New Roman" w:eastAsia="Times New Roman" w:hAnsi="Times New Roman" w:cs="Times New Roman"/>
                <w:sz w:val="24"/>
                <w:szCs w:val="24"/>
                <w:lang w:val="vi-VN"/>
              </w:rPr>
            </w:pPr>
          </w:p>
        </w:tc>
      </w:tr>
      <w:tr w:rsidR="005C5D35" w:rsidRPr="009C2F0D" w14:paraId="169782C3" w14:textId="77777777" w:rsidTr="00ED03DD">
        <w:tc>
          <w:tcPr>
            <w:tcW w:w="702" w:type="dxa"/>
          </w:tcPr>
          <w:p w14:paraId="50DCB3C9" w14:textId="77777777" w:rsidR="005C5D35" w:rsidRPr="00C92F0C" w:rsidRDefault="005C5D35" w:rsidP="00ED03DD">
            <w:pPr>
              <w:pStyle w:val="ListParagraph"/>
              <w:numPr>
                <w:ilvl w:val="0"/>
                <w:numId w:val="3"/>
              </w:numPr>
              <w:tabs>
                <w:tab w:val="left" w:pos="360"/>
              </w:tabs>
              <w:spacing w:after="0" w:line="240" w:lineRule="auto"/>
              <w:rPr>
                <w:rFonts w:ascii="Times New Roman" w:eastAsia="Times New Roman" w:hAnsi="Times New Roman" w:cs="Times New Roman"/>
                <w:sz w:val="24"/>
                <w:szCs w:val="24"/>
                <w:lang w:val="vi-VN"/>
              </w:rPr>
            </w:pPr>
          </w:p>
        </w:tc>
        <w:tc>
          <w:tcPr>
            <w:tcW w:w="1897" w:type="dxa"/>
          </w:tcPr>
          <w:p w14:paraId="3DEA13A4" w14:textId="77777777" w:rsidR="005C5D35" w:rsidRPr="00C92F0C" w:rsidRDefault="005C5D35" w:rsidP="00ED03DD">
            <w:pPr>
              <w:tabs>
                <w:tab w:val="left" w:pos="360"/>
              </w:tabs>
              <w:spacing w:after="0" w:line="240" w:lineRule="auto"/>
              <w:jc w:val="both"/>
              <w:rPr>
                <w:rFonts w:ascii="Times New Roman" w:eastAsia="Times New Roman" w:hAnsi="Times New Roman" w:cs="Times New Roman"/>
                <w:sz w:val="24"/>
                <w:szCs w:val="24"/>
                <w:lang w:val="vi-VN"/>
              </w:rPr>
            </w:pPr>
            <w:r w:rsidRPr="00C92F0C">
              <w:rPr>
                <w:rFonts w:ascii="Times New Roman" w:eastAsia="Times New Roman" w:hAnsi="Times New Roman" w:cs="Times New Roman"/>
                <w:sz w:val="24"/>
                <w:szCs w:val="24"/>
                <w:lang w:val="vi-VN"/>
              </w:rPr>
              <w:t xml:space="preserve">Điều 67, và 68 Luật Đầu tư, nhà đầu tư chỉ được giữ lại lợi nhuận thu từ đầu tư để tái đầu tư trong trường hợp sau: a) Tiếp tục góp vốn đầu tư ở nước ngoài trong trường hợp chưa góp đủ vốn theo đăng ký; b) Tăng vốn đầu tư ra nước ngoài; c) Thực hiện dự án đầu tư mới ở nước ngoài. Trừ trường hợp giữ lại lợi nhuận theo quy định tại Điều 67 của Luật này, trong thời hạn 06 </w:t>
            </w:r>
            <w:r w:rsidRPr="00C92F0C">
              <w:rPr>
                <w:rFonts w:ascii="Times New Roman" w:eastAsia="Times New Roman" w:hAnsi="Times New Roman" w:cs="Times New Roman"/>
                <w:sz w:val="24"/>
                <w:szCs w:val="24"/>
                <w:lang w:val="vi-VN"/>
              </w:rPr>
              <w:lastRenderedPageBreak/>
              <w:t>tháng kể từ ngày có báo cáo quyết toán thuế hoặc văn bản có giá trị pháp lý tương đương theo quy định của pháp luật nước tiếp nhận đầu tư, nhà đầu tư phải chuyển toàn bộ lợi nhuận thu được và các khoản thu nhập khác từ đầu tư ở nước ngoài về Việt Nam.</w:t>
            </w:r>
          </w:p>
        </w:tc>
        <w:tc>
          <w:tcPr>
            <w:tcW w:w="3913" w:type="dxa"/>
          </w:tcPr>
          <w:p w14:paraId="58004A73" w14:textId="77777777" w:rsidR="005C5D35" w:rsidRPr="00C92F0C" w:rsidRDefault="005C5D35" w:rsidP="00ED03DD">
            <w:pPr>
              <w:spacing w:after="0" w:line="240" w:lineRule="auto"/>
              <w:jc w:val="both"/>
              <w:rPr>
                <w:rFonts w:ascii="Times New Roman" w:eastAsia="Times New Roman" w:hAnsi="Times New Roman" w:cs="Times New Roman"/>
                <w:sz w:val="24"/>
                <w:szCs w:val="24"/>
                <w:lang w:val="vi-VN"/>
              </w:rPr>
            </w:pPr>
            <w:r w:rsidRPr="00C92F0C">
              <w:rPr>
                <w:rFonts w:ascii="Times New Roman" w:eastAsia="Times New Roman" w:hAnsi="Times New Roman" w:cs="Times New Roman"/>
                <w:sz w:val="24"/>
                <w:szCs w:val="24"/>
                <w:lang w:val="vi-VN"/>
              </w:rPr>
              <w:lastRenderedPageBreak/>
              <w:t xml:space="preserve">Ø Thực tế: + Đối với các dự án đầu tư ra nước ngoài, nhà đầu tư có thể chỉ là một cổ đông/bên góp vốn trong Công ty thực hiện Dự án. + Lợi nhuận Nhà đầu tư thu từ dự án được xác định khi Công ty tại nước ngoài có văn bản của cấp có thẩm quyền (ví dụ ĐHĐCĐ Công ty) về việc chia cổ tức/lợi nhuận cho các cổ đông. Việc có được chia lợi nhuận hay không và thời điểm được nhận phụ thuộc vào thời gian họp và quyết định của cấp có thẩm quyền của Công ty tại nước ngoài. Do vậy, không thể tham chiếu tới thời gian từ ngày có báo cáo quyết toán thuế hoặc văn bản có giá trị pháp lý tương đương. + Ngoài ra, việc kê khai thuế tại các nước chủ yếu được thực hiện theo hình thức tự kê, tự nộp. Việc quyết toán thuế với cơ quan thuế chỉ thực hiện theo quyết định của cơ quan thuế và thông thường không diễn ra hàng năm. + Đề nghị không </w:t>
            </w:r>
            <w:r w:rsidRPr="00C92F0C">
              <w:rPr>
                <w:rFonts w:ascii="Times New Roman" w:eastAsia="Times New Roman" w:hAnsi="Times New Roman" w:cs="Times New Roman"/>
                <w:sz w:val="24"/>
                <w:szCs w:val="24"/>
                <w:lang w:val="vi-VN"/>
              </w:rPr>
              <w:lastRenderedPageBreak/>
              <w:t>tham chiếu thời gian chuyển lợi nhuận về nước theo Báo cáo quyết toán thuế tại địa phương. + Xem xét sửa lại như sau: “Trừ trường hợp giữ lại lợi nhuận theo quy định tại Điều 67 của Luật này, trong thời hạn 06 tháng kể từ ngày có quyết định phân phối lợi nhuận theo quy định của pháp luật nước tiếp nhận đầu tư, nhà đầu tư phải chuyển toàn bộ lợi nhuận thu được và các khoản thu nhập khác từ đầu tư ở nước ngoài về Việt Nam.”</w:t>
            </w:r>
          </w:p>
        </w:tc>
        <w:tc>
          <w:tcPr>
            <w:tcW w:w="1280" w:type="dxa"/>
          </w:tcPr>
          <w:p w14:paraId="1E350FBF" w14:textId="77777777" w:rsidR="005C5D35" w:rsidRPr="00C92F0C" w:rsidRDefault="005C5D35" w:rsidP="00ED03DD">
            <w:pPr>
              <w:spacing w:after="0" w:line="240" w:lineRule="auto"/>
              <w:jc w:val="both"/>
              <w:rPr>
                <w:rFonts w:ascii="Times New Roman" w:eastAsia="Times New Roman" w:hAnsi="Times New Roman" w:cs="Times New Roman"/>
                <w:sz w:val="24"/>
                <w:szCs w:val="24"/>
                <w:lang w:val="vi-VN"/>
              </w:rPr>
            </w:pPr>
            <w:r w:rsidRPr="00C92F0C">
              <w:rPr>
                <w:rFonts w:ascii="Times New Roman" w:eastAsia="Times New Roman" w:hAnsi="Times New Roman" w:cs="Times New Roman"/>
                <w:sz w:val="24"/>
                <w:szCs w:val="24"/>
                <w:lang w:val="vi-VN"/>
              </w:rPr>
              <w:lastRenderedPageBreak/>
              <w:t>C. Sửa đổi, bổ sung, thay thế, ban hành mới VBQPPL (theo trình tự, thủ tục rút gọn ban hành VBQPPL của Luật Ban hành VBQPPL)</w:t>
            </w:r>
          </w:p>
        </w:tc>
        <w:tc>
          <w:tcPr>
            <w:tcW w:w="1254" w:type="dxa"/>
          </w:tcPr>
          <w:p w14:paraId="74A9D06D" w14:textId="77777777" w:rsidR="005C5D35" w:rsidRPr="00C92F0C" w:rsidRDefault="005C5D35" w:rsidP="00ED03DD">
            <w:pPr>
              <w:spacing w:after="0" w:line="240" w:lineRule="auto"/>
              <w:jc w:val="both"/>
              <w:rPr>
                <w:rFonts w:ascii="Times New Roman" w:eastAsia="Times New Roman" w:hAnsi="Times New Roman" w:cs="Times New Roman"/>
                <w:sz w:val="24"/>
                <w:szCs w:val="24"/>
                <w:lang w:val="vi-VN"/>
              </w:rPr>
            </w:pPr>
            <w:r w:rsidRPr="00C92F0C">
              <w:rPr>
                <w:rFonts w:ascii="Times New Roman" w:eastAsia="Times New Roman" w:hAnsi="Times New Roman" w:cs="Times New Roman"/>
                <w:sz w:val="24"/>
                <w:szCs w:val="24"/>
                <w:lang w:val="vi-VN"/>
              </w:rPr>
              <w:t>Tập đoàn Công nghiệp - Viễn thông quân đội</w:t>
            </w:r>
          </w:p>
        </w:tc>
        <w:tc>
          <w:tcPr>
            <w:tcW w:w="2289" w:type="dxa"/>
          </w:tcPr>
          <w:p w14:paraId="31ADCEB9" w14:textId="77777777" w:rsidR="005C5D35" w:rsidRPr="00C92F0C" w:rsidRDefault="005C5D35" w:rsidP="00ED03DD">
            <w:pPr>
              <w:spacing w:after="0" w:line="240" w:lineRule="auto"/>
              <w:jc w:val="both"/>
              <w:rPr>
                <w:rFonts w:ascii="Times New Roman" w:eastAsia="Times New Roman" w:hAnsi="Times New Roman" w:cs="Times New Roman"/>
                <w:sz w:val="24"/>
                <w:szCs w:val="24"/>
                <w:lang w:val="vi-VN"/>
              </w:rPr>
            </w:pPr>
            <w:r w:rsidRPr="00C92F0C">
              <w:rPr>
                <w:rFonts w:ascii="Times New Roman" w:eastAsia="Times New Roman" w:hAnsi="Times New Roman" w:cs="Times New Roman"/>
                <w:sz w:val="24"/>
                <w:szCs w:val="24"/>
                <w:lang w:val="vi-VN"/>
              </w:rPr>
              <w:t xml:space="preserve">Nhất trí vì: </w:t>
            </w:r>
            <w:r w:rsidRPr="00C92F0C">
              <w:rPr>
                <w:rFonts w:ascii="Times New Roman" w:eastAsia="Times New Roman" w:hAnsi="Times New Roman" w:cs="Times New Roman"/>
                <w:sz w:val="24"/>
                <w:szCs w:val="24"/>
                <w:lang w:val="vi-VN"/>
              </w:rPr>
              <w:br/>
              <w:t>Hiện nay Bộ Tài chính đang nghiên cứu để sửa tổng thể Luật Đầu tư và các văn bản hướng dẫn thi hành. (năm 2025-2026).</w:t>
            </w:r>
          </w:p>
          <w:p w14:paraId="73E0630D" w14:textId="77777777" w:rsidR="005C5D35" w:rsidRPr="00C92F0C" w:rsidRDefault="005C5D35" w:rsidP="00ED03DD">
            <w:pPr>
              <w:jc w:val="both"/>
              <w:rPr>
                <w:rFonts w:ascii="Times New Roman" w:eastAsiaTheme="minorHAnsi" w:hAnsi="Times New Roman" w:cs="Times New Roman"/>
                <w:color w:val="EE0000"/>
                <w:sz w:val="24"/>
                <w:szCs w:val="24"/>
                <w:lang w:val="vi-VN"/>
              </w:rPr>
            </w:pPr>
            <w:r w:rsidRPr="00C92F0C">
              <w:rPr>
                <w:rFonts w:ascii="Times New Roman" w:eastAsia="Times New Roman" w:hAnsi="Times New Roman"/>
                <w:b/>
                <w:bCs/>
                <w:sz w:val="24"/>
                <w:szCs w:val="24"/>
                <w:lang w:val="vi-VN"/>
              </w:rPr>
              <w:t xml:space="preserve">Theo Công văn số 08-CV/ĐUBTC-PC ngày 22/8/2025, Bộ Tài chính: </w:t>
            </w:r>
          </w:p>
          <w:p w14:paraId="0244CD62" w14:textId="77777777" w:rsidR="005C5D35" w:rsidRPr="00C92F0C" w:rsidRDefault="005C5D35" w:rsidP="00ED03DD">
            <w:pPr>
              <w:spacing w:after="0" w:line="240" w:lineRule="auto"/>
              <w:jc w:val="both"/>
              <w:rPr>
                <w:rFonts w:ascii="Times New Roman" w:eastAsia="Times New Roman" w:hAnsi="Times New Roman" w:cs="Times New Roman"/>
                <w:sz w:val="24"/>
                <w:szCs w:val="24"/>
                <w:lang w:val="vi-VN"/>
              </w:rPr>
            </w:pPr>
            <w:r w:rsidRPr="00C92F0C">
              <w:rPr>
                <w:rFonts w:ascii="Times New Roman" w:eastAsia="Times New Roman" w:hAnsi="Times New Roman" w:cs="Times New Roman"/>
                <w:sz w:val="24"/>
                <w:szCs w:val="24"/>
                <w:lang w:val="vi-VN"/>
              </w:rPr>
              <w:t>Dự</w:t>
            </w:r>
            <w:r>
              <w:rPr>
                <w:rFonts w:ascii="Times New Roman" w:eastAsia="Times New Roman" w:hAnsi="Times New Roman" w:cs="Times New Roman"/>
                <w:sz w:val="24"/>
                <w:szCs w:val="24"/>
                <w:lang w:val="vi-VN"/>
              </w:rPr>
              <w:t xml:space="preserve"> kiến trình Quốc hội tại Kỳ họp tháng 10/2025.</w:t>
            </w:r>
          </w:p>
        </w:tc>
        <w:tc>
          <w:tcPr>
            <w:tcW w:w="2694" w:type="dxa"/>
          </w:tcPr>
          <w:p w14:paraId="5FCF0A22" w14:textId="5AE32A29" w:rsidR="005C5D35" w:rsidRPr="001D5F6C" w:rsidRDefault="001D5F6C" w:rsidP="00ED03DD">
            <w:pPr>
              <w:jc w:val="both"/>
              <w:rPr>
                <w:rFonts w:ascii="Times New Roman" w:hAnsi="Times New Roman" w:cs="Times New Roman"/>
                <w:b/>
                <w:sz w:val="24"/>
                <w:szCs w:val="24"/>
              </w:rPr>
            </w:pPr>
            <w:r w:rsidRPr="001D5F6C">
              <w:rPr>
                <w:rFonts w:ascii="Times New Roman" w:hAnsi="Times New Roman" w:cs="Times New Roman"/>
                <w:b/>
                <w:sz w:val="24"/>
                <w:szCs w:val="24"/>
              </w:rPr>
              <w:t>Chưa xử lý</w:t>
            </w:r>
          </w:p>
          <w:p w14:paraId="2487CC32" w14:textId="668E6812" w:rsidR="005C5D35" w:rsidRPr="00C92F0C" w:rsidRDefault="005C5D35" w:rsidP="000E4098">
            <w:pPr>
              <w:spacing w:after="0"/>
              <w:jc w:val="both"/>
              <w:rPr>
                <w:rFonts w:ascii="Times New Roman" w:eastAsia="Times New Roman" w:hAnsi="Times New Roman" w:cs="Times New Roman"/>
                <w:sz w:val="24"/>
                <w:szCs w:val="24"/>
                <w:lang w:val="vi-VN"/>
              </w:rPr>
            </w:pPr>
            <w:r w:rsidRPr="00C400DE">
              <w:rPr>
                <w:rFonts w:ascii="Times New Roman" w:eastAsia="Times New Roman" w:hAnsi="Times New Roman" w:cs="Times New Roman"/>
                <w:b/>
                <w:color w:val="FF0000"/>
                <w:sz w:val="24"/>
                <w:szCs w:val="24"/>
                <w:lang w:val="vi-VN"/>
              </w:rPr>
              <w:t xml:space="preserve">Nội dung này đã được đưa vào Điều 43 Luật Đầu tư </w:t>
            </w:r>
            <w:r w:rsidR="00A44430" w:rsidRPr="00A44430">
              <w:rPr>
                <w:rFonts w:ascii="Times New Roman" w:eastAsia="Times New Roman" w:hAnsi="Times New Roman" w:cs="Times New Roman"/>
                <w:bCs/>
                <w:sz w:val="24"/>
                <w:szCs w:val="24"/>
              </w:rPr>
              <w:t xml:space="preserve"> </w:t>
            </w:r>
            <w:r w:rsidR="00A44430" w:rsidRPr="00A44430">
              <w:rPr>
                <w:rFonts w:ascii="Times New Roman" w:eastAsia="Times New Roman" w:hAnsi="Times New Roman" w:cs="Times New Roman"/>
                <w:b/>
                <w:bCs/>
                <w:color w:val="FF0000"/>
                <w:sz w:val="24"/>
                <w:szCs w:val="24"/>
              </w:rPr>
              <w:t>được</w:t>
            </w:r>
            <w:r w:rsidR="00A44430" w:rsidRPr="00A44430">
              <w:rPr>
                <w:rFonts w:ascii="Times New Roman" w:eastAsia="Times New Roman" w:hAnsi="Times New Roman" w:cs="Times New Roman"/>
                <w:b/>
                <w:color w:val="FF0000"/>
                <w:sz w:val="24"/>
                <w:szCs w:val="24"/>
              </w:rPr>
              <w:t xml:space="preserve"> </w:t>
            </w:r>
            <w:r w:rsidR="00A44430" w:rsidRPr="00A44430">
              <w:rPr>
                <w:rFonts w:ascii="Times New Roman" w:eastAsia="Times New Roman" w:hAnsi="Times New Roman" w:cs="Times New Roman"/>
                <w:b/>
                <w:bCs/>
                <w:color w:val="FF0000"/>
                <w:sz w:val="24"/>
                <w:szCs w:val="24"/>
              </w:rPr>
              <w:t>thông qua tại Kỳ họp thứ 10</w:t>
            </w:r>
            <w:r w:rsidR="00A44430" w:rsidRPr="00A44430">
              <w:rPr>
                <w:rFonts w:ascii="Times New Roman" w:eastAsia="Times New Roman" w:hAnsi="Times New Roman" w:cs="Times New Roman"/>
                <w:b/>
                <w:color w:val="FF0000"/>
                <w:sz w:val="24"/>
                <w:szCs w:val="24"/>
              </w:rPr>
              <w:t xml:space="preserve">  </w:t>
            </w:r>
            <w:r w:rsidR="00A44430" w:rsidRPr="00A44430">
              <w:rPr>
                <w:rFonts w:ascii="Times New Roman" w:eastAsia="Times New Roman" w:hAnsi="Times New Roman" w:cs="Times New Roman"/>
                <w:b/>
                <w:color w:val="FF0000"/>
                <w:sz w:val="24"/>
                <w:szCs w:val="24"/>
                <w:lang w:val="vi-VN"/>
              </w:rPr>
              <w:t xml:space="preserve">Quốc hội </w:t>
            </w:r>
            <w:r w:rsidR="00A44430" w:rsidRPr="00A44430">
              <w:rPr>
                <w:rFonts w:ascii="Times New Roman" w:eastAsia="Times New Roman" w:hAnsi="Times New Roman" w:cs="Times New Roman"/>
                <w:b/>
                <w:color w:val="FF0000"/>
                <w:sz w:val="24"/>
                <w:szCs w:val="24"/>
              </w:rPr>
              <w:t>khóa XV</w:t>
            </w:r>
            <w:r w:rsidR="000E4098">
              <w:rPr>
                <w:rFonts w:ascii="Times New Roman" w:eastAsia="Times New Roman" w:hAnsi="Times New Roman" w:cs="Times New Roman"/>
                <w:b/>
                <w:color w:val="FF0000"/>
                <w:sz w:val="24"/>
                <w:szCs w:val="24"/>
              </w:rPr>
              <w:t xml:space="preserve"> và sẽ được hướng dẫn cụ thể.</w:t>
            </w:r>
          </w:p>
        </w:tc>
      </w:tr>
      <w:tr w:rsidR="005C5D35" w:rsidRPr="009C2F0D" w14:paraId="4876FB08" w14:textId="77777777" w:rsidTr="00ED03DD">
        <w:tc>
          <w:tcPr>
            <w:tcW w:w="702" w:type="dxa"/>
          </w:tcPr>
          <w:p w14:paraId="4D80354D" w14:textId="77777777" w:rsidR="005C5D35" w:rsidRPr="00C92F0C" w:rsidRDefault="005C5D35" w:rsidP="00ED03DD">
            <w:pPr>
              <w:pStyle w:val="ListParagraph"/>
              <w:numPr>
                <w:ilvl w:val="0"/>
                <w:numId w:val="3"/>
              </w:numPr>
              <w:tabs>
                <w:tab w:val="left" w:pos="360"/>
              </w:tabs>
              <w:spacing w:after="0" w:line="240" w:lineRule="auto"/>
              <w:rPr>
                <w:rFonts w:ascii="Times New Roman" w:eastAsia="Times New Roman" w:hAnsi="Times New Roman" w:cs="Times New Roman"/>
                <w:sz w:val="24"/>
                <w:szCs w:val="24"/>
                <w:lang w:val="vi-VN"/>
              </w:rPr>
            </w:pPr>
          </w:p>
        </w:tc>
        <w:tc>
          <w:tcPr>
            <w:tcW w:w="1897" w:type="dxa"/>
          </w:tcPr>
          <w:p w14:paraId="4A89A93B" w14:textId="77777777" w:rsidR="005C5D35" w:rsidRPr="00C92F0C" w:rsidRDefault="005C5D35" w:rsidP="00ED03DD">
            <w:pPr>
              <w:tabs>
                <w:tab w:val="left" w:pos="360"/>
              </w:tabs>
              <w:spacing w:after="0" w:line="240" w:lineRule="auto"/>
              <w:jc w:val="both"/>
              <w:rPr>
                <w:rFonts w:ascii="Times New Roman" w:eastAsia="Times New Roman" w:hAnsi="Times New Roman" w:cs="Times New Roman"/>
                <w:sz w:val="24"/>
                <w:szCs w:val="24"/>
                <w:lang w:val="vi-VN"/>
              </w:rPr>
            </w:pPr>
            <w:r w:rsidRPr="00C92F0C">
              <w:rPr>
                <w:rFonts w:ascii="Times New Roman" w:eastAsia="Times New Roman" w:hAnsi="Times New Roman" w:cs="Times New Roman"/>
                <w:sz w:val="24"/>
                <w:szCs w:val="24"/>
                <w:lang w:val="vi-VN"/>
              </w:rPr>
              <w:t xml:space="preserve">Luật đầu tư và các văn bản hướng dẫn thi hành không quy định rõ mục tiêu đầu tư của Nhà đầu tư thực hiện ĐTRNN có phải </w:t>
            </w:r>
            <w:r w:rsidRPr="00C92F0C">
              <w:rPr>
                <w:rFonts w:ascii="Times New Roman" w:eastAsia="Times New Roman" w:hAnsi="Times New Roman" w:cs="Times New Roman"/>
                <w:sz w:val="24"/>
                <w:szCs w:val="24"/>
                <w:lang w:val="vi-VN"/>
              </w:rPr>
              <w:lastRenderedPageBreak/>
              <w:t>là: (1) phạm vi đầu tư kinh doanh dự án hay (2) ngành nghề, lĩnh vực kinh doanh của Doanh nghiệp dự án tại nước ngoài.</w:t>
            </w:r>
          </w:p>
        </w:tc>
        <w:tc>
          <w:tcPr>
            <w:tcW w:w="3913" w:type="dxa"/>
          </w:tcPr>
          <w:p w14:paraId="1E2E299B" w14:textId="77777777" w:rsidR="005C5D35" w:rsidRPr="00C92F0C" w:rsidRDefault="005C5D35" w:rsidP="00ED03DD">
            <w:pPr>
              <w:spacing w:after="0" w:line="240" w:lineRule="auto"/>
              <w:jc w:val="both"/>
              <w:rPr>
                <w:rFonts w:ascii="Times New Roman" w:eastAsia="Times New Roman" w:hAnsi="Times New Roman" w:cs="Times New Roman"/>
                <w:sz w:val="24"/>
                <w:szCs w:val="24"/>
                <w:lang w:val="vi-VN"/>
              </w:rPr>
            </w:pPr>
            <w:r w:rsidRPr="00C92F0C">
              <w:rPr>
                <w:rFonts w:ascii="Times New Roman" w:eastAsia="Times New Roman" w:hAnsi="Times New Roman" w:cs="Times New Roman"/>
                <w:sz w:val="24"/>
                <w:szCs w:val="24"/>
                <w:lang w:val="vi-VN"/>
              </w:rPr>
              <w:lastRenderedPageBreak/>
              <w:t xml:space="preserve">Ø Vướng mắc, bất cập: Thực tế, Viettel khi đầu tư tại nước ngoài, thường gắn liền với việc thành lập Doanh nghiệp dự án hoạt động độc lập theo pháp luật nước tiếp nhận đầu tư. Hoạt động kinh doanh chính của doanh nghiệp này là dịch vụ viễn thông. Bên cạnh đó, Doanh nghiệp </w:t>
            </w:r>
            <w:r w:rsidRPr="00C92F0C">
              <w:rPr>
                <w:rFonts w:ascii="Times New Roman" w:eastAsia="Times New Roman" w:hAnsi="Times New Roman" w:cs="Times New Roman"/>
                <w:sz w:val="24"/>
                <w:szCs w:val="24"/>
                <w:lang w:val="vi-VN"/>
              </w:rPr>
              <w:lastRenderedPageBreak/>
              <w:t xml:space="preserve">còn thực hiện thêm các dịch vụ giá trị gia tăng trên hạ tầng viễn thông (ví dụ: dịch vụ ví diện tử, dịch vụ chuyển tiền, các trò chơi …) khi được cơ quan có thẩm quyền tại nước tiếp nhận đầu tư cho phép. Việc pháp luật tại Việt Nam không quy định rõ ràng khiến cho Nhà đầu tư khó xác định trong trường hợp nào cần phải điều chỉnh mục tiêu của dự án, trong khi nếu thay đổi mục tiêu chính của dự án thì cần phải có sự chấp thuận về chủ trương của Thủ tướng Chính phủ (Điều 63 Luật đầu tư 2020). Kiến nghị hướng dẫn rõ: Mục tiêu của dự án không đồng thời là ngành nghề kinh doanh của Doanh nghiệp dự án tại nước ngoài, mà là định hướng kinh doanh chính của Nhà đầu tư khi thực hiện dự án tại nước ngoài. Doanh nghiệp dự án tại nước ngoài được hoạt động kinh doanh theo pháp luật nước tiếp nhận đầu tư và được kinh doanh các ngành nghề, lĩnh vực mà cơ quan có thẩm quyền nước tiếp nhận </w:t>
            </w:r>
            <w:r w:rsidRPr="00C92F0C">
              <w:rPr>
                <w:rFonts w:ascii="Times New Roman" w:eastAsia="Times New Roman" w:hAnsi="Times New Roman" w:cs="Times New Roman"/>
                <w:sz w:val="24"/>
                <w:szCs w:val="24"/>
                <w:lang w:val="vi-VN"/>
              </w:rPr>
              <w:lastRenderedPageBreak/>
              <w:t>đầu tư cho phép</w:t>
            </w:r>
          </w:p>
        </w:tc>
        <w:tc>
          <w:tcPr>
            <w:tcW w:w="1280" w:type="dxa"/>
          </w:tcPr>
          <w:p w14:paraId="6BFEEBBC" w14:textId="77777777" w:rsidR="005C5D35" w:rsidRPr="00C92F0C" w:rsidRDefault="005C5D35" w:rsidP="00ED03DD">
            <w:pPr>
              <w:spacing w:after="0" w:line="240" w:lineRule="auto"/>
              <w:jc w:val="both"/>
              <w:rPr>
                <w:rFonts w:ascii="Times New Roman" w:eastAsia="Times New Roman" w:hAnsi="Times New Roman" w:cs="Times New Roman"/>
                <w:sz w:val="24"/>
                <w:szCs w:val="24"/>
                <w:lang w:val="vi-VN"/>
              </w:rPr>
            </w:pPr>
            <w:r w:rsidRPr="00C92F0C">
              <w:rPr>
                <w:rFonts w:ascii="Times New Roman" w:eastAsia="Times New Roman" w:hAnsi="Times New Roman" w:cs="Times New Roman"/>
                <w:sz w:val="24"/>
                <w:szCs w:val="24"/>
                <w:lang w:val="vi-VN"/>
              </w:rPr>
              <w:lastRenderedPageBreak/>
              <w:t xml:space="preserve">A. Giải thích luật, nghị quyết của Quốc hội, pháp lệnh, nghị quyết của Ủy ban </w:t>
            </w:r>
            <w:r w:rsidRPr="00C92F0C">
              <w:rPr>
                <w:rFonts w:ascii="Times New Roman" w:eastAsia="Times New Roman" w:hAnsi="Times New Roman" w:cs="Times New Roman"/>
                <w:sz w:val="24"/>
                <w:szCs w:val="24"/>
                <w:lang w:val="vi-VN"/>
              </w:rPr>
              <w:lastRenderedPageBreak/>
              <w:t>Thường vụ Quốc hội theo quy định tại Điều 60 Luật Ban hành VBQPPL năm 2025</w:t>
            </w:r>
          </w:p>
        </w:tc>
        <w:tc>
          <w:tcPr>
            <w:tcW w:w="1254" w:type="dxa"/>
          </w:tcPr>
          <w:p w14:paraId="2DA66FA1" w14:textId="77777777" w:rsidR="005C5D35" w:rsidRPr="00C92F0C" w:rsidRDefault="005C5D35" w:rsidP="00ED03DD">
            <w:pPr>
              <w:spacing w:after="0" w:line="240" w:lineRule="auto"/>
              <w:jc w:val="both"/>
              <w:rPr>
                <w:rFonts w:ascii="Times New Roman" w:eastAsia="Times New Roman" w:hAnsi="Times New Roman" w:cs="Times New Roman"/>
                <w:sz w:val="24"/>
                <w:szCs w:val="24"/>
                <w:lang w:val="vi-VN"/>
              </w:rPr>
            </w:pPr>
            <w:r w:rsidRPr="00C92F0C">
              <w:rPr>
                <w:rFonts w:ascii="Times New Roman" w:eastAsia="Times New Roman" w:hAnsi="Times New Roman" w:cs="Times New Roman"/>
                <w:sz w:val="24"/>
                <w:szCs w:val="24"/>
                <w:lang w:val="vi-VN"/>
              </w:rPr>
              <w:lastRenderedPageBreak/>
              <w:t>Tập đoàn Công nghiệp - Viễn thông quân đội</w:t>
            </w:r>
          </w:p>
        </w:tc>
        <w:tc>
          <w:tcPr>
            <w:tcW w:w="2289" w:type="dxa"/>
          </w:tcPr>
          <w:p w14:paraId="65152F5B" w14:textId="77777777" w:rsidR="005C5D35" w:rsidRPr="00C92F0C" w:rsidRDefault="005C5D35" w:rsidP="00ED03DD">
            <w:pPr>
              <w:spacing w:after="0" w:line="240" w:lineRule="auto"/>
              <w:jc w:val="both"/>
              <w:rPr>
                <w:rFonts w:ascii="Times New Roman" w:eastAsia="Times New Roman" w:hAnsi="Times New Roman" w:cs="Times New Roman"/>
                <w:sz w:val="24"/>
                <w:szCs w:val="24"/>
                <w:lang w:val="vi-VN"/>
              </w:rPr>
            </w:pPr>
            <w:r w:rsidRPr="00C92F0C">
              <w:rPr>
                <w:rFonts w:ascii="Times New Roman" w:eastAsia="Times New Roman" w:hAnsi="Times New Roman" w:cs="Times New Roman"/>
                <w:sz w:val="24"/>
                <w:szCs w:val="24"/>
                <w:lang w:val="vi-VN"/>
              </w:rPr>
              <w:t xml:space="preserve">Nhất trí vì: </w:t>
            </w:r>
            <w:r w:rsidRPr="00C92F0C">
              <w:rPr>
                <w:rFonts w:ascii="Times New Roman" w:eastAsia="Times New Roman" w:hAnsi="Times New Roman" w:cs="Times New Roman"/>
                <w:sz w:val="24"/>
                <w:szCs w:val="24"/>
                <w:lang w:val="vi-VN"/>
              </w:rPr>
              <w:br/>
              <w:t>Hiện nay Bộ Tài chính đang nghiên cứu để sửa tổng thể Luật Đầu tư và các văn bản hướng dẫn thi hành. (năm 2025-2026).</w:t>
            </w:r>
          </w:p>
          <w:p w14:paraId="78C694EA" w14:textId="77777777" w:rsidR="005C5D35" w:rsidRPr="00C92F0C" w:rsidRDefault="005C5D35" w:rsidP="00ED03DD">
            <w:pPr>
              <w:jc w:val="both"/>
              <w:rPr>
                <w:rFonts w:ascii="Times New Roman" w:eastAsiaTheme="minorHAnsi" w:hAnsi="Times New Roman" w:cs="Times New Roman"/>
                <w:color w:val="EE0000"/>
                <w:sz w:val="24"/>
                <w:szCs w:val="24"/>
                <w:lang w:val="vi-VN"/>
              </w:rPr>
            </w:pPr>
            <w:r w:rsidRPr="00C92F0C">
              <w:rPr>
                <w:rFonts w:ascii="Times New Roman" w:eastAsia="Times New Roman" w:hAnsi="Times New Roman"/>
                <w:b/>
                <w:bCs/>
                <w:sz w:val="24"/>
                <w:szCs w:val="24"/>
                <w:lang w:val="vi-VN"/>
              </w:rPr>
              <w:lastRenderedPageBreak/>
              <w:t xml:space="preserve">Theo Công văn số 08-CV/ĐUBTC-PC ngày 22/8/2025, Bộ Tài chính: </w:t>
            </w:r>
          </w:p>
          <w:p w14:paraId="754BD38F" w14:textId="77777777" w:rsidR="005C5D35" w:rsidRPr="00C92F0C" w:rsidRDefault="005C5D35" w:rsidP="00ED03DD">
            <w:pPr>
              <w:spacing w:after="0" w:line="240" w:lineRule="auto"/>
              <w:jc w:val="both"/>
              <w:rPr>
                <w:rFonts w:ascii="Times New Roman" w:eastAsia="Times New Roman" w:hAnsi="Times New Roman" w:cs="Times New Roman"/>
                <w:sz w:val="24"/>
                <w:szCs w:val="24"/>
                <w:lang w:val="vi-VN"/>
              </w:rPr>
            </w:pPr>
            <w:r w:rsidRPr="00C92F0C">
              <w:rPr>
                <w:rFonts w:ascii="Times New Roman" w:eastAsia="Times New Roman" w:hAnsi="Times New Roman" w:cs="Times New Roman"/>
                <w:sz w:val="24"/>
                <w:szCs w:val="24"/>
                <w:lang w:val="vi-VN"/>
              </w:rPr>
              <w:t>Dự</w:t>
            </w:r>
            <w:r>
              <w:rPr>
                <w:rFonts w:ascii="Times New Roman" w:eastAsia="Times New Roman" w:hAnsi="Times New Roman" w:cs="Times New Roman"/>
                <w:sz w:val="24"/>
                <w:szCs w:val="24"/>
                <w:lang w:val="vi-VN"/>
              </w:rPr>
              <w:t xml:space="preserve"> kiến trình Quốc hội tại Kỳ họp tháng 10/2025.</w:t>
            </w:r>
          </w:p>
        </w:tc>
        <w:tc>
          <w:tcPr>
            <w:tcW w:w="2694" w:type="dxa"/>
          </w:tcPr>
          <w:p w14:paraId="668A9A51" w14:textId="59BD2FE2" w:rsidR="005C5D35" w:rsidRPr="00435B10" w:rsidRDefault="000E4098" w:rsidP="00ED03DD">
            <w:pPr>
              <w:jc w:val="both"/>
              <w:rPr>
                <w:rFonts w:ascii="Times New Roman" w:hAnsi="Times New Roman" w:cs="Times New Roman"/>
                <w:b/>
                <w:bCs/>
                <w:sz w:val="24"/>
                <w:szCs w:val="24"/>
              </w:rPr>
            </w:pPr>
            <w:r>
              <w:rPr>
                <w:rFonts w:ascii="Times New Roman" w:hAnsi="Times New Roman" w:cs="Times New Roman"/>
                <w:b/>
                <w:bCs/>
                <w:sz w:val="24"/>
                <w:szCs w:val="24"/>
                <w:highlight w:val="yellow"/>
              </w:rPr>
              <w:lastRenderedPageBreak/>
              <w:t>Chưa</w:t>
            </w:r>
            <w:r w:rsidR="005C5D35" w:rsidRPr="00435B10">
              <w:rPr>
                <w:rFonts w:ascii="Times New Roman" w:hAnsi="Times New Roman" w:cs="Times New Roman"/>
                <w:b/>
                <w:bCs/>
                <w:sz w:val="24"/>
                <w:szCs w:val="24"/>
                <w:highlight w:val="yellow"/>
              </w:rPr>
              <w:t xml:space="preserve"> xử lý:</w:t>
            </w:r>
          </w:p>
          <w:p w14:paraId="79000D35" w14:textId="7B3EFC93" w:rsidR="005C5D35" w:rsidRPr="00C92F0C" w:rsidRDefault="000E4098" w:rsidP="00A44430">
            <w:pPr>
              <w:spacing w:after="0"/>
              <w:jc w:val="both"/>
              <w:rPr>
                <w:rFonts w:ascii="Times New Roman" w:eastAsia="Times New Roman" w:hAnsi="Times New Roman" w:cs="Times New Roman"/>
                <w:sz w:val="24"/>
                <w:szCs w:val="24"/>
                <w:lang w:val="vi-VN"/>
              </w:rPr>
            </w:pPr>
            <w:r w:rsidRPr="00C400DE">
              <w:rPr>
                <w:rFonts w:ascii="Times New Roman" w:eastAsia="Times New Roman" w:hAnsi="Times New Roman" w:cs="Times New Roman"/>
                <w:b/>
                <w:color w:val="FF0000"/>
                <w:sz w:val="24"/>
                <w:szCs w:val="24"/>
                <w:lang w:val="vi-VN"/>
              </w:rPr>
              <w:t xml:space="preserve">Nội dung này đã được đưa vào Điều 43 Luật Đầu tư </w:t>
            </w:r>
            <w:r w:rsidRPr="00A44430">
              <w:rPr>
                <w:rFonts w:ascii="Times New Roman" w:eastAsia="Times New Roman" w:hAnsi="Times New Roman" w:cs="Times New Roman"/>
                <w:bCs/>
                <w:sz w:val="24"/>
                <w:szCs w:val="24"/>
              </w:rPr>
              <w:t xml:space="preserve"> </w:t>
            </w:r>
            <w:r w:rsidRPr="00A44430">
              <w:rPr>
                <w:rFonts w:ascii="Times New Roman" w:eastAsia="Times New Roman" w:hAnsi="Times New Roman" w:cs="Times New Roman"/>
                <w:b/>
                <w:bCs/>
                <w:color w:val="FF0000"/>
                <w:sz w:val="24"/>
                <w:szCs w:val="24"/>
              </w:rPr>
              <w:t>được</w:t>
            </w:r>
            <w:r w:rsidRPr="00A44430">
              <w:rPr>
                <w:rFonts w:ascii="Times New Roman" w:eastAsia="Times New Roman" w:hAnsi="Times New Roman" w:cs="Times New Roman"/>
                <w:b/>
                <w:color w:val="FF0000"/>
                <w:sz w:val="24"/>
                <w:szCs w:val="24"/>
              </w:rPr>
              <w:t xml:space="preserve"> </w:t>
            </w:r>
            <w:r w:rsidRPr="00A44430">
              <w:rPr>
                <w:rFonts w:ascii="Times New Roman" w:eastAsia="Times New Roman" w:hAnsi="Times New Roman" w:cs="Times New Roman"/>
                <w:b/>
                <w:bCs/>
                <w:color w:val="FF0000"/>
                <w:sz w:val="24"/>
                <w:szCs w:val="24"/>
              </w:rPr>
              <w:t>thông qua tại Kỳ họp thứ 10</w:t>
            </w:r>
            <w:r w:rsidRPr="00A44430">
              <w:rPr>
                <w:rFonts w:ascii="Times New Roman" w:eastAsia="Times New Roman" w:hAnsi="Times New Roman" w:cs="Times New Roman"/>
                <w:b/>
                <w:color w:val="FF0000"/>
                <w:sz w:val="24"/>
                <w:szCs w:val="24"/>
              </w:rPr>
              <w:t xml:space="preserve">  </w:t>
            </w:r>
            <w:r w:rsidRPr="00A44430">
              <w:rPr>
                <w:rFonts w:ascii="Times New Roman" w:eastAsia="Times New Roman" w:hAnsi="Times New Roman" w:cs="Times New Roman"/>
                <w:b/>
                <w:color w:val="FF0000"/>
                <w:sz w:val="24"/>
                <w:szCs w:val="24"/>
                <w:lang w:val="vi-VN"/>
              </w:rPr>
              <w:t xml:space="preserve">Quốc hội </w:t>
            </w:r>
            <w:r w:rsidRPr="00A44430">
              <w:rPr>
                <w:rFonts w:ascii="Times New Roman" w:eastAsia="Times New Roman" w:hAnsi="Times New Roman" w:cs="Times New Roman"/>
                <w:b/>
                <w:color w:val="FF0000"/>
                <w:sz w:val="24"/>
                <w:szCs w:val="24"/>
              </w:rPr>
              <w:t>khóa XV</w:t>
            </w:r>
            <w:r>
              <w:rPr>
                <w:rFonts w:ascii="Times New Roman" w:eastAsia="Times New Roman" w:hAnsi="Times New Roman" w:cs="Times New Roman"/>
                <w:b/>
                <w:color w:val="FF0000"/>
                <w:sz w:val="24"/>
                <w:szCs w:val="24"/>
              </w:rPr>
              <w:t xml:space="preserve"> và sẽ được hướng dẫn cụ thể.</w:t>
            </w:r>
          </w:p>
        </w:tc>
      </w:tr>
      <w:tr w:rsidR="005C5D35" w:rsidRPr="009C2F0D" w14:paraId="316C896C" w14:textId="77777777" w:rsidTr="00ED03DD">
        <w:tc>
          <w:tcPr>
            <w:tcW w:w="702" w:type="dxa"/>
          </w:tcPr>
          <w:p w14:paraId="178931A2" w14:textId="77777777" w:rsidR="005C5D35" w:rsidRPr="00C92F0C" w:rsidRDefault="005C5D35" w:rsidP="00ED03DD">
            <w:pPr>
              <w:pStyle w:val="ListParagraph"/>
              <w:numPr>
                <w:ilvl w:val="0"/>
                <w:numId w:val="3"/>
              </w:numPr>
              <w:tabs>
                <w:tab w:val="left" w:pos="360"/>
              </w:tabs>
              <w:spacing w:after="0" w:line="240" w:lineRule="auto"/>
              <w:rPr>
                <w:rFonts w:ascii="Times New Roman" w:eastAsia="Times New Roman" w:hAnsi="Times New Roman" w:cs="Times New Roman"/>
                <w:sz w:val="24"/>
                <w:szCs w:val="24"/>
                <w:lang w:val="vi-VN"/>
              </w:rPr>
            </w:pPr>
          </w:p>
        </w:tc>
        <w:tc>
          <w:tcPr>
            <w:tcW w:w="1897" w:type="dxa"/>
          </w:tcPr>
          <w:p w14:paraId="0541D185" w14:textId="77777777" w:rsidR="005C5D35" w:rsidRPr="00C92F0C" w:rsidRDefault="005C5D35" w:rsidP="00ED03DD">
            <w:pPr>
              <w:tabs>
                <w:tab w:val="left" w:pos="360"/>
              </w:tabs>
              <w:spacing w:after="0" w:line="240" w:lineRule="auto"/>
              <w:jc w:val="both"/>
              <w:rPr>
                <w:rFonts w:ascii="Times New Roman" w:eastAsia="Times New Roman" w:hAnsi="Times New Roman" w:cs="Times New Roman"/>
                <w:sz w:val="24"/>
                <w:szCs w:val="24"/>
                <w:lang w:val="vi-VN"/>
              </w:rPr>
            </w:pPr>
            <w:r w:rsidRPr="00C92F0C">
              <w:rPr>
                <w:rFonts w:ascii="Times New Roman" w:eastAsia="Times New Roman" w:hAnsi="Times New Roman" w:cs="Times New Roman"/>
                <w:sz w:val="24"/>
                <w:szCs w:val="24"/>
                <w:lang w:val="vi-VN"/>
              </w:rPr>
              <w:t>- Thông tư 200/2014/TT-BTC - Thông tư 202/2014/TT-BTC</w:t>
            </w:r>
          </w:p>
        </w:tc>
        <w:tc>
          <w:tcPr>
            <w:tcW w:w="3913" w:type="dxa"/>
          </w:tcPr>
          <w:p w14:paraId="490FA199" w14:textId="77777777" w:rsidR="005C5D35" w:rsidRPr="00C92F0C" w:rsidRDefault="005C5D35" w:rsidP="00ED03DD">
            <w:pPr>
              <w:spacing w:after="0" w:line="240" w:lineRule="auto"/>
              <w:jc w:val="both"/>
              <w:rPr>
                <w:rFonts w:ascii="Times New Roman" w:eastAsia="Times New Roman" w:hAnsi="Times New Roman" w:cs="Times New Roman"/>
                <w:sz w:val="24"/>
                <w:szCs w:val="24"/>
                <w:lang w:val="vi-VN"/>
              </w:rPr>
            </w:pPr>
            <w:r w:rsidRPr="00C92F0C">
              <w:rPr>
                <w:rFonts w:ascii="Times New Roman" w:eastAsia="Times New Roman" w:hAnsi="Times New Roman" w:cs="Times New Roman"/>
                <w:sz w:val="24"/>
                <w:szCs w:val="24"/>
                <w:lang w:val="vi-VN"/>
              </w:rPr>
              <w:t>- Thông tư 200/2014/TT-BTC và Thông tư 202/2014/TT-BTC đều quy định tỷ giá quy đổi báo cáo tài chính là tỷ giá giao dịch thực tế (là tỷ giá chuyển khoản của một ngân hàng thương mại nơi doanh nghiệp thường xuyên có giao dịch tại thời điểm báo cáo) - Tuy nhiên đối với ngân hàng không công bố tỷ giá giao dịch của đồng ngoại tệ so với VND, cần phải quy đổi chéo thì Thông tư 200 và Thông tư 202 chưa có hướng dẫn. Vậy nên, Bộ Tài chính cần hướng dẫn cách xác định tỷ giá giao dịch tính chéo cho trường hợp ngân hàng không công bố tỷ giá giao dịch của đồng ngoại tệ</w:t>
            </w:r>
          </w:p>
        </w:tc>
        <w:tc>
          <w:tcPr>
            <w:tcW w:w="1280" w:type="dxa"/>
          </w:tcPr>
          <w:p w14:paraId="77B752F4" w14:textId="77777777" w:rsidR="005C5D35" w:rsidRPr="00C92F0C" w:rsidRDefault="005C5D35" w:rsidP="00ED03DD">
            <w:pPr>
              <w:spacing w:after="0" w:line="240" w:lineRule="auto"/>
              <w:jc w:val="both"/>
              <w:rPr>
                <w:rFonts w:ascii="Times New Roman" w:eastAsia="Times New Roman" w:hAnsi="Times New Roman" w:cs="Times New Roman"/>
                <w:sz w:val="24"/>
                <w:szCs w:val="24"/>
                <w:lang w:val="vi-VN"/>
              </w:rPr>
            </w:pPr>
            <w:r w:rsidRPr="00C92F0C">
              <w:rPr>
                <w:rFonts w:ascii="Times New Roman" w:eastAsia="Times New Roman" w:hAnsi="Times New Roman" w:cs="Times New Roman"/>
                <w:sz w:val="24"/>
                <w:szCs w:val="24"/>
                <w:lang w:val="vi-VN"/>
              </w:rPr>
              <w:t>C. Sửa đổi, bổ sung, thay thế, ban hành mới VBQPPL (theo trình tự, thủ tục rút gọn ban hành VBQPPL của Luật Ban hành VBQPPL)</w:t>
            </w:r>
          </w:p>
        </w:tc>
        <w:tc>
          <w:tcPr>
            <w:tcW w:w="1254" w:type="dxa"/>
          </w:tcPr>
          <w:p w14:paraId="4EF65BD1" w14:textId="77777777" w:rsidR="005C5D35" w:rsidRPr="00C92F0C" w:rsidRDefault="005C5D35" w:rsidP="00ED03DD">
            <w:pPr>
              <w:spacing w:after="0" w:line="240" w:lineRule="auto"/>
              <w:jc w:val="both"/>
              <w:rPr>
                <w:rFonts w:ascii="Times New Roman" w:eastAsia="Times New Roman" w:hAnsi="Times New Roman" w:cs="Times New Roman"/>
                <w:sz w:val="24"/>
                <w:szCs w:val="24"/>
                <w:lang w:val="vi-VN"/>
              </w:rPr>
            </w:pPr>
            <w:r w:rsidRPr="00C92F0C">
              <w:rPr>
                <w:rFonts w:ascii="Times New Roman" w:eastAsia="Times New Roman" w:hAnsi="Times New Roman" w:cs="Times New Roman"/>
                <w:sz w:val="24"/>
                <w:szCs w:val="24"/>
                <w:lang w:val="vi-VN"/>
              </w:rPr>
              <w:t>Tập đoàn Công nghiệp - Viễn thông quân đội</w:t>
            </w:r>
          </w:p>
        </w:tc>
        <w:tc>
          <w:tcPr>
            <w:tcW w:w="2289" w:type="dxa"/>
          </w:tcPr>
          <w:p w14:paraId="5C2D4075" w14:textId="77777777" w:rsidR="005C5D35" w:rsidRPr="00C92F0C" w:rsidRDefault="005C5D35" w:rsidP="00ED03DD">
            <w:pPr>
              <w:spacing w:after="0" w:line="240" w:lineRule="auto"/>
              <w:jc w:val="both"/>
              <w:rPr>
                <w:rFonts w:ascii="Times New Roman" w:eastAsia="Times New Roman" w:hAnsi="Times New Roman" w:cs="Times New Roman"/>
                <w:sz w:val="24"/>
                <w:szCs w:val="24"/>
                <w:lang w:val="vi-VN"/>
              </w:rPr>
            </w:pPr>
            <w:r w:rsidRPr="00C92F0C">
              <w:rPr>
                <w:rFonts w:ascii="Times New Roman" w:eastAsia="Times New Roman" w:hAnsi="Times New Roman" w:cs="Times New Roman"/>
                <w:sz w:val="24"/>
                <w:szCs w:val="24"/>
                <w:lang w:val="vi-VN"/>
              </w:rPr>
              <w:t>Nhất trí vì:</w:t>
            </w:r>
            <w:r w:rsidRPr="00C92F0C">
              <w:rPr>
                <w:rFonts w:ascii="Times New Roman" w:eastAsia="Times New Roman" w:hAnsi="Times New Roman" w:cs="Times New Roman"/>
                <w:sz w:val="24"/>
                <w:szCs w:val="24"/>
                <w:lang w:val="vi-VN"/>
              </w:rPr>
              <w:br/>
              <w:t>Bộ Tài chính sẽ ban hành Thông tư thay thế Thông tư 200/2014/TT-BTC.</w:t>
            </w:r>
          </w:p>
          <w:p w14:paraId="4F0EB90C" w14:textId="77777777" w:rsidR="005C5D35" w:rsidRPr="00C92F0C" w:rsidRDefault="005C5D35" w:rsidP="00ED03DD">
            <w:pPr>
              <w:jc w:val="both"/>
              <w:rPr>
                <w:rFonts w:ascii="Times New Roman" w:eastAsiaTheme="minorHAnsi" w:hAnsi="Times New Roman" w:cs="Times New Roman"/>
                <w:color w:val="EE0000"/>
                <w:sz w:val="24"/>
                <w:szCs w:val="24"/>
                <w:lang w:val="vi-VN"/>
              </w:rPr>
            </w:pPr>
            <w:r w:rsidRPr="00C92F0C">
              <w:rPr>
                <w:rFonts w:ascii="Times New Roman" w:eastAsia="Times New Roman" w:hAnsi="Times New Roman"/>
                <w:b/>
                <w:bCs/>
                <w:sz w:val="24"/>
                <w:szCs w:val="24"/>
                <w:lang w:val="vi-VN"/>
              </w:rPr>
              <w:t xml:space="preserve">Theo Công văn số 08-CV/ĐUBTC-PC ngày 22/8/2025, Bộ Tài chính: </w:t>
            </w:r>
            <w:r w:rsidRPr="00C92F0C">
              <w:rPr>
                <w:rFonts w:ascii="Times New Roman" w:eastAsia="Times New Roman" w:hAnsi="Times New Roman" w:cs="Times New Roman"/>
                <w:sz w:val="24"/>
                <w:szCs w:val="24"/>
                <w:lang w:val="vi-VN"/>
              </w:rPr>
              <w:t>Dự kiến sẽ hoàn thành trong năm 2025.</w:t>
            </w:r>
          </w:p>
          <w:p w14:paraId="02DDD475" w14:textId="77777777" w:rsidR="005C5D35" w:rsidRPr="00C92F0C" w:rsidRDefault="005C5D35" w:rsidP="00ED03DD">
            <w:pPr>
              <w:spacing w:after="0" w:line="240" w:lineRule="auto"/>
              <w:jc w:val="both"/>
              <w:rPr>
                <w:rFonts w:ascii="Times New Roman" w:eastAsia="Times New Roman" w:hAnsi="Times New Roman" w:cs="Times New Roman"/>
                <w:sz w:val="24"/>
                <w:szCs w:val="24"/>
                <w:lang w:val="vi-VN"/>
              </w:rPr>
            </w:pPr>
          </w:p>
        </w:tc>
        <w:tc>
          <w:tcPr>
            <w:tcW w:w="2694" w:type="dxa"/>
          </w:tcPr>
          <w:p w14:paraId="11701844" w14:textId="77777777" w:rsidR="005C5D35" w:rsidRPr="001C67FC" w:rsidRDefault="005C5D35" w:rsidP="00ED03DD">
            <w:pPr>
              <w:pBdr>
                <w:top w:val="nil"/>
                <w:left w:val="nil"/>
                <w:bottom w:val="nil"/>
                <w:right w:val="nil"/>
                <w:between w:val="nil"/>
              </w:pBdr>
              <w:jc w:val="both"/>
              <w:rPr>
                <w:rFonts w:ascii="Times New Roman" w:eastAsia="Times New Roman" w:hAnsi="Times New Roman" w:cs="Times New Roman"/>
                <w:b/>
                <w:sz w:val="24"/>
                <w:szCs w:val="24"/>
              </w:rPr>
            </w:pPr>
            <w:r w:rsidRPr="00F41238">
              <w:rPr>
                <w:rFonts w:ascii="Times New Roman" w:eastAsia="Times New Roman" w:hAnsi="Times New Roman" w:cs="Times New Roman"/>
                <w:b/>
                <w:sz w:val="24"/>
                <w:szCs w:val="24"/>
                <w:highlight w:val="yellow"/>
              </w:rPr>
              <w:t>Đã xử lý</w:t>
            </w:r>
          </w:p>
          <w:p w14:paraId="262614C3" w14:textId="145FAB51" w:rsidR="005C5D35" w:rsidRPr="00A35EC9" w:rsidRDefault="005C5D35" w:rsidP="00ED03DD">
            <w:pPr>
              <w:spacing w:after="0" w:line="240" w:lineRule="auto"/>
              <w:jc w:val="both"/>
              <w:rPr>
                <w:rFonts w:ascii="Times New Roman" w:eastAsia="Times New Roman" w:hAnsi="Times New Roman" w:cs="Times New Roman"/>
                <w:sz w:val="24"/>
                <w:szCs w:val="24"/>
                <w:lang w:val="vi-VN"/>
              </w:rPr>
            </w:pPr>
            <w:r w:rsidRPr="00653888">
              <w:rPr>
                <w:rFonts w:ascii="Times New Roman" w:eastAsia="Times New Roman" w:hAnsi="Times New Roman" w:cs="Times New Roman"/>
                <w:b/>
                <w:sz w:val="24"/>
                <w:szCs w:val="24"/>
                <w:lang w:val="vi-VN"/>
              </w:rPr>
              <w:t>Thông tư số 99/2025/TT-BTC ngày 27/10/2025 hướng dẫn chế độ kế toán doanh nghiệp</w:t>
            </w:r>
          </w:p>
        </w:tc>
      </w:tr>
      <w:tr w:rsidR="005C5D35" w:rsidRPr="009C2F0D" w14:paraId="6C064947" w14:textId="77777777" w:rsidTr="00ED03DD">
        <w:tc>
          <w:tcPr>
            <w:tcW w:w="702" w:type="dxa"/>
          </w:tcPr>
          <w:p w14:paraId="2BE0CE13" w14:textId="77777777" w:rsidR="005C5D35" w:rsidRPr="00C92F0C" w:rsidRDefault="005C5D35" w:rsidP="00ED03DD">
            <w:pPr>
              <w:pStyle w:val="ListParagraph"/>
              <w:numPr>
                <w:ilvl w:val="0"/>
                <w:numId w:val="3"/>
              </w:numPr>
              <w:tabs>
                <w:tab w:val="left" w:pos="360"/>
              </w:tabs>
              <w:spacing w:after="0" w:line="240" w:lineRule="auto"/>
              <w:rPr>
                <w:rFonts w:ascii="Times New Roman" w:eastAsia="Times New Roman" w:hAnsi="Times New Roman" w:cs="Times New Roman"/>
                <w:sz w:val="24"/>
                <w:szCs w:val="24"/>
                <w:lang w:val="vi-VN"/>
              </w:rPr>
            </w:pPr>
          </w:p>
        </w:tc>
        <w:tc>
          <w:tcPr>
            <w:tcW w:w="1897" w:type="dxa"/>
          </w:tcPr>
          <w:p w14:paraId="6A4E8092" w14:textId="77777777" w:rsidR="005C5D35" w:rsidRPr="00C92F0C" w:rsidRDefault="005C5D35" w:rsidP="00ED03DD">
            <w:pPr>
              <w:tabs>
                <w:tab w:val="left" w:pos="360"/>
              </w:tabs>
              <w:spacing w:after="0" w:line="240" w:lineRule="auto"/>
              <w:jc w:val="both"/>
              <w:rPr>
                <w:rFonts w:ascii="Times New Roman" w:eastAsia="Times New Roman" w:hAnsi="Times New Roman" w:cs="Times New Roman"/>
                <w:sz w:val="24"/>
                <w:szCs w:val="24"/>
                <w:lang w:val="vi-VN"/>
              </w:rPr>
            </w:pPr>
            <w:r w:rsidRPr="00C92F0C">
              <w:rPr>
                <w:rFonts w:ascii="Times New Roman" w:eastAsia="Times New Roman" w:hAnsi="Times New Roman" w:cs="Times New Roman"/>
                <w:sz w:val="24"/>
                <w:szCs w:val="24"/>
                <w:lang w:val="vi-VN"/>
              </w:rPr>
              <w:t>- Điều 1 Thông tư 48/2019/TT-BTC; - Điều 45 Thông tư 200/2014/TT-BTC</w:t>
            </w:r>
          </w:p>
        </w:tc>
        <w:tc>
          <w:tcPr>
            <w:tcW w:w="3913" w:type="dxa"/>
          </w:tcPr>
          <w:p w14:paraId="60A760CA" w14:textId="77777777" w:rsidR="005C5D35" w:rsidRPr="00C92F0C" w:rsidRDefault="005C5D35" w:rsidP="00ED03DD">
            <w:pPr>
              <w:spacing w:after="0" w:line="240" w:lineRule="auto"/>
              <w:jc w:val="both"/>
              <w:rPr>
                <w:rFonts w:ascii="Times New Roman" w:eastAsia="Times New Roman" w:hAnsi="Times New Roman" w:cs="Times New Roman"/>
                <w:sz w:val="24"/>
                <w:szCs w:val="24"/>
                <w:lang w:val="vi-VN"/>
              </w:rPr>
            </w:pPr>
            <w:r w:rsidRPr="00C92F0C">
              <w:rPr>
                <w:rFonts w:ascii="Times New Roman" w:eastAsia="Times New Roman" w:hAnsi="Times New Roman" w:cs="Times New Roman"/>
                <w:sz w:val="24"/>
                <w:szCs w:val="24"/>
                <w:lang w:val="vi-VN"/>
              </w:rPr>
              <w:t xml:space="preserve">Hiện tại không có văn bản pháp luật quy định mức trích lập dự phòng cho doanh nghiệp để thực hiện lập báo cáo tài chính theo mục đích kế toán: - Điều 45 thông tư 200/2014/TT-BTC quy định "Mức trích lập dự phòng các khoản nợ phải thu khó đòi thực hiện </w:t>
            </w:r>
            <w:r w:rsidRPr="00C92F0C">
              <w:rPr>
                <w:rFonts w:ascii="Times New Roman" w:eastAsia="Times New Roman" w:hAnsi="Times New Roman" w:cs="Times New Roman"/>
                <w:sz w:val="24"/>
                <w:szCs w:val="24"/>
                <w:lang w:val="vi-VN"/>
              </w:rPr>
              <w:lastRenderedPageBreak/>
              <w:t>theo quy định hiện hành." - Thông tư 48/2019/TT-BTC quy định mức trích lập dự phòng nhưng tại điều 1 thông tư lại quy định: " Thông tư này hướng dẫn việc trích lập và xử lý các khoản dự phòng giảm giá hàng tồn kho, dự phòng tổn thất các khoản đầu tư, dự phòng tổn thất nợ phải thu khó đòi và dự phòng bảo hành sản phẩm, hàng hóa, dịch vụ, công trình xây dựng làm cơ sở xác định khoản chi phí được trừ khi xác định thu nhập chịu thuế thu nhập doanh nghiệp theo quy định. Việc trích lập các khoản dự phòng cho mục đích lập và trình bày báo cáo tài chính của các tổ chức kinh tế thực hiện theo pháp luật về kế toán." Do đó, Bộ Tài chính cần có văn bản hướng dẫn chung về trích lập dự phòng, trong đó quy định mức tối đa để xác định chi phí được trừ khi tính thuế, còn lại mức trích lập do doanh nghiệp tự xác định</w:t>
            </w:r>
          </w:p>
        </w:tc>
        <w:tc>
          <w:tcPr>
            <w:tcW w:w="1280" w:type="dxa"/>
          </w:tcPr>
          <w:p w14:paraId="103919F9" w14:textId="77777777" w:rsidR="005C5D35" w:rsidRPr="00C92F0C" w:rsidRDefault="005C5D35" w:rsidP="00ED03DD">
            <w:pPr>
              <w:spacing w:after="0" w:line="240" w:lineRule="auto"/>
              <w:jc w:val="both"/>
              <w:rPr>
                <w:rFonts w:ascii="Times New Roman" w:eastAsia="Times New Roman" w:hAnsi="Times New Roman" w:cs="Times New Roman"/>
                <w:sz w:val="24"/>
                <w:szCs w:val="24"/>
                <w:lang w:val="vi-VN"/>
              </w:rPr>
            </w:pPr>
            <w:r w:rsidRPr="00C92F0C">
              <w:rPr>
                <w:rFonts w:ascii="Times New Roman" w:eastAsia="Times New Roman" w:hAnsi="Times New Roman" w:cs="Times New Roman"/>
                <w:sz w:val="24"/>
                <w:szCs w:val="24"/>
                <w:lang w:val="vi-VN"/>
              </w:rPr>
              <w:lastRenderedPageBreak/>
              <w:t xml:space="preserve">C. Sửa đổi, bổ sung, thay thế, ban hành mới VBQPPL (theo trình </w:t>
            </w:r>
            <w:r w:rsidRPr="00C92F0C">
              <w:rPr>
                <w:rFonts w:ascii="Times New Roman" w:eastAsia="Times New Roman" w:hAnsi="Times New Roman" w:cs="Times New Roman"/>
                <w:sz w:val="24"/>
                <w:szCs w:val="24"/>
                <w:lang w:val="vi-VN"/>
              </w:rPr>
              <w:lastRenderedPageBreak/>
              <w:t>tự, thủ tục rút gọn ban hành VBQPPL của Luật Ban hành VBQPPL)</w:t>
            </w:r>
          </w:p>
        </w:tc>
        <w:tc>
          <w:tcPr>
            <w:tcW w:w="1254" w:type="dxa"/>
          </w:tcPr>
          <w:p w14:paraId="79A63135" w14:textId="77777777" w:rsidR="005C5D35" w:rsidRPr="00C92F0C" w:rsidRDefault="005C5D35" w:rsidP="00ED03DD">
            <w:pPr>
              <w:spacing w:after="0" w:line="240" w:lineRule="auto"/>
              <w:jc w:val="both"/>
              <w:rPr>
                <w:rFonts w:ascii="Times New Roman" w:eastAsia="Times New Roman" w:hAnsi="Times New Roman" w:cs="Times New Roman"/>
                <w:sz w:val="24"/>
                <w:szCs w:val="24"/>
                <w:lang w:val="vi-VN"/>
              </w:rPr>
            </w:pPr>
            <w:r w:rsidRPr="00C92F0C">
              <w:rPr>
                <w:rFonts w:ascii="Times New Roman" w:eastAsia="Times New Roman" w:hAnsi="Times New Roman" w:cs="Times New Roman"/>
                <w:sz w:val="24"/>
                <w:szCs w:val="24"/>
                <w:lang w:val="vi-VN"/>
              </w:rPr>
              <w:lastRenderedPageBreak/>
              <w:t>Tập đoàn Công nghiệp - Viễn thông quân đội</w:t>
            </w:r>
          </w:p>
        </w:tc>
        <w:tc>
          <w:tcPr>
            <w:tcW w:w="2289" w:type="dxa"/>
          </w:tcPr>
          <w:p w14:paraId="77BAB097" w14:textId="77777777" w:rsidR="005C5D35" w:rsidRPr="00C92F0C" w:rsidRDefault="005C5D35" w:rsidP="00ED03DD">
            <w:pPr>
              <w:spacing w:after="0" w:line="240" w:lineRule="auto"/>
              <w:jc w:val="both"/>
              <w:rPr>
                <w:rFonts w:ascii="Times New Roman" w:eastAsia="Times New Roman" w:hAnsi="Times New Roman" w:cs="Times New Roman"/>
                <w:sz w:val="24"/>
                <w:szCs w:val="24"/>
                <w:lang w:val="vi-VN"/>
              </w:rPr>
            </w:pPr>
            <w:r w:rsidRPr="00C92F0C">
              <w:rPr>
                <w:rFonts w:ascii="Times New Roman" w:eastAsia="Times New Roman" w:hAnsi="Times New Roman" w:cs="Times New Roman"/>
                <w:sz w:val="24"/>
                <w:szCs w:val="24"/>
                <w:lang w:val="vi-VN"/>
              </w:rPr>
              <w:t>Nhất trí vì:</w:t>
            </w:r>
            <w:r w:rsidRPr="00C92F0C">
              <w:rPr>
                <w:rFonts w:ascii="Times New Roman" w:eastAsia="Times New Roman" w:hAnsi="Times New Roman" w:cs="Times New Roman"/>
                <w:sz w:val="24"/>
                <w:szCs w:val="24"/>
                <w:lang w:val="vi-VN"/>
              </w:rPr>
              <w:br/>
              <w:t>Bộ Tài chính sẽ ban hành Thông tư thay thế Thông tư 200/2014/TT-BTC.</w:t>
            </w:r>
          </w:p>
          <w:p w14:paraId="50159840" w14:textId="77777777" w:rsidR="005C5D35" w:rsidRPr="00C92F0C" w:rsidRDefault="005C5D35" w:rsidP="00ED03DD">
            <w:pPr>
              <w:spacing w:after="0" w:line="240" w:lineRule="auto"/>
              <w:jc w:val="both"/>
              <w:rPr>
                <w:rFonts w:ascii="Times New Roman" w:eastAsia="Times New Roman" w:hAnsi="Times New Roman" w:cs="Times New Roman"/>
                <w:sz w:val="24"/>
                <w:szCs w:val="24"/>
                <w:lang w:val="vi-VN"/>
              </w:rPr>
            </w:pPr>
            <w:r w:rsidRPr="00C92F0C">
              <w:rPr>
                <w:rFonts w:ascii="Times New Roman" w:eastAsia="Times New Roman" w:hAnsi="Times New Roman"/>
                <w:b/>
                <w:bCs/>
                <w:sz w:val="24"/>
                <w:szCs w:val="24"/>
                <w:lang w:val="vi-VN"/>
              </w:rPr>
              <w:t xml:space="preserve">Theo Công văn số 08-CV/ĐUBTC-PC </w:t>
            </w:r>
            <w:r w:rsidRPr="00C92F0C">
              <w:rPr>
                <w:rFonts w:ascii="Times New Roman" w:eastAsia="Times New Roman" w:hAnsi="Times New Roman"/>
                <w:b/>
                <w:bCs/>
                <w:sz w:val="24"/>
                <w:szCs w:val="24"/>
                <w:lang w:val="vi-VN"/>
              </w:rPr>
              <w:lastRenderedPageBreak/>
              <w:t>ngày 22/8/2025, Bộ Tài chính:</w:t>
            </w:r>
          </w:p>
          <w:p w14:paraId="677EB1C7" w14:textId="77777777" w:rsidR="005C5D35" w:rsidRPr="00C92F0C" w:rsidRDefault="005C5D35" w:rsidP="00ED03DD">
            <w:pPr>
              <w:spacing w:after="0" w:line="240" w:lineRule="auto"/>
              <w:jc w:val="both"/>
              <w:rPr>
                <w:rFonts w:ascii="Times New Roman" w:eastAsia="Times New Roman" w:hAnsi="Times New Roman" w:cs="Times New Roman"/>
                <w:sz w:val="24"/>
                <w:szCs w:val="24"/>
                <w:lang w:val="vi-VN"/>
              </w:rPr>
            </w:pPr>
            <w:r w:rsidRPr="00C92F0C">
              <w:rPr>
                <w:rFonts w:ascii="Times New Roman" w:eastAsia="Times New Roman" w:hAnsi="Times New Roman" w:cs="Times New Roman"/>
                <w:sz w:val="24"/>
                <w:szCs w:val="24"/>
                <w:lang w:val="vi-VN"/>
              </w:rPr>
              <w:t>Dự kiến sẽ hoàn thành trong năm 2025.</w:t>
            </w:r>
          </w:p>
        </w:tc>
        <w:tc>
          <w:tcPr>
            <w:tcW w:w="2694" w:type="dxa"/>
          </w:tcPr>
          <w:p w14:paraId="255B78F9" w14:textId="77777777" w:rsidR="005C5D35" w:rsidRPr="001C67FC" w:rsidRDefault="005C5D35" w:rsidP="00ED03DD">
            <w:pPr>
              <w:pBdr>
                <w:top w:val="nil"/>
                <w:left w:val="nil"/>
                <w:bottom w:val="nil"/>
                <w:right w:val="nil"/>
                <w:between w:val="nil"/>
              </w:pBdr>
              <w:jc w:val="both"/>
              <w:rPr>
                <w:rFonts w:ascii="Times New Roman" w:eastAsia="Times New Roman" w:hAnsi="Times New Roman" w:cs="Times New Roman"/>
                <w:b/>
                <w:sz w:val="24"/>
                <w:szCs w:val="24"/>
              </w:rPr>
            </w:pPr>
            <w:r w:rsidRPr="00F41238">
              <w:rPr>
                <w:rFonts w:ascii="Times New Roman" w:eastAsia="Times New Roman" w:hAnsi="Times New Roman" w:cs="Times New Roman"/>
                <w:b/>
                <w:sz w:val="24"/>
                <w:szCs w:val="24"/>
                <w:highlight w:val="yellow"/>
              </w:rPr>
              <w:lastRenderedPageBreak/>
              <w:t>Đã xử lý</w:t>
            </w:r>
          </w:p>
          <w:p w14:paraId="2E2E4640" w14:textId="413CBCFA" w:rsidR="005C5D35" w:rsidRPr="00A35EC9" w:rsidRDefault="005C5D35" w:rsidP="00ED03DD">
            <w:pPr>
              <w:spacing w:after="0" w:line="240" w:lineRule="auto"/>
              <w:jc w:val="both"/>
              <w:rPr>
                <w:rFonts w:ascii="Times New Roman" w:eastAsia="Times New Roman" w:hAnsi="Times New Roman" w:cs="Times New Roman"/>
                <w:sz w:val="24"/>
                <w:szCs w:val="24"/>
                <w:lang w:val="vi-VN"/>
              </w:rPr>
            </w:pPr>
            <w:r w:rsidRPr="00E8323D">
              <w:rPr>
                <w:rFonts w:ascii="Times New Roman" w:eastAsia="Times New Roman" w:hAnsi="Times New Roman" w:cs="Times New Roman"/>
                <w:b/>
                <w:sz w:val="24"/>
                <w:szCs w:val="24"/>
                <w:lang w:val="vi-VN"/>
              </w:rPr>
              <w:t>Thông tư số 99/2025/TT-BTC ngày 27/10/2025 hướng dẫn chế độ kế toán doanh nghiệp</w:t>
            </w:r>
          </w:p>
        </w:tc>
      </w:tr>
      <w:tr w:rsidR="005C5D35" w:rsidRPr="00A35EC9" w14:paraId="501516F3" w14:textId="77777777" w:rsidTr="00ED03DD">
        <w:tc>
          <w:tcPr>
            <w:tcW w:w="702" w:type="dxa"/>
          </w:tcPr>
          <w:p w14:paraId="48362CBE" w14:textId="77777777" w:rsidR="005C5D35" w:rsidRPr="00C92F0C" w:rsidRDefault="005C5D35" w:rsidP="00ED03DD">
            <w:pPr>
              <w:pStyle w:val="ListParagraph"/>
              <w:numPr>
                <w:ilvl w:val="0"/>
                <w:numId w:val="3"/>
              </w:numPr>
              <w:tabs>
                <w:tab w:val="left" w:pos="360"/>
              </w:tabs>
              <w:spacing w:after="0" w:line="240" w:lineRule="auto"/>
              <w:rPr>
                <w:rFonts w:ascii="Times New Roman" w:eastAsia="Times New Roman" w:hAnsi="Times New Roman" w:cs="Times New Roman"/>
                <w:sz w:val="24"/>
                <w:szCs w:val="24"/>
                <w:lang w:val="vi-VN"/>
              </w:rPr>
            </w:pPr>
          </w:p>
        </w:tc>
        <w:tc>
          <w:tcPr>
            <w:tcW w:w="1897" w:type="dxa"/>
          </w:tcPr>
          <w:p w14:paraId="615F49EA" w14:textId="77777777" w:rsidR="005C5D35" w:rsidRPr="00C92F0C" w:rsidRDefault="005C5D35" w:rsidP="00ED03DD">
            <w:pPr>
              <w:tabs>
                <w:tab w:val="left" w:pos="360"/>
              </w:tabs>
              <w:spacing w:after="0" w:line="240" w:lineRule="auto"/>
              <w:jc w:val="both"/>
              <w:rPr>
                <w:rFonts w:ascii="Times New Roman" w:eastAsia="Times New Roman" w:hAnsi="Times New Roman" w:cs="Times New Roman"/>
                <w:sz w:val="24"/>
                <w:szCs w:val="24"/>
                <w:lang w:val="vi-VN"/>
              </w:rPr>
            </w:pPr>
            <w:r w:rsidRPr="00C92F0C">
              <w:rPr>
                <w:rFonts w:ascii="Times New Roman" w:eastAsia="Times New Roman" w:hAnsi="Times New Roman" w:cs="Times New Roman"/>
                <w:sz w:val="24"/>
                <w:szCs w:val="24"/>
                <w:lang w:val="vi-VN"/>
              </w:rPr>
              <w:t xml:space="preserve">Khoản 2 Điều 1 quy định về việc </w:t>
            </w:r>
            <w:r w:rsidRPr="00C92F0C">
              <w:rPr>
                <w:rFonts w:ascii="Times New Roman" w:eastAsia="Times New Roman" w:hAnsi="Times New Roman" w:cs="Times New Roman"/>
                <w:sz w:val="24"/>
                <w:szCs w:val="24"/>
                <w:lang w:val="vi-VN"/>
              </w:rPr>
              <w:lastRenderedPageBreak/>
              <w:t>sửa đổi khoản 2 Điều 5 Nghị định số 153/2020/NĐ-CP</w:t>
            </w:r>
          </w:p>
        </w:tc>
        <w:tc>
          <w:tcPr>
            <w:tcW w:w="3913" w:type="dxa"/>
          </w:tcPr>
          <w:p w14:paraId="1FA38E7F" w14:textId="77777777" w:rsidR="005C5D35" w:rsidRPr="00C92F0C" w:rsidRDefault="005C5D35" w:rsidP="00ED03DD">
            <w:pPr>
              <w:spacing w:after="0" w:line="240" w:lineRule="auto"/>
              <w:jc w:val="both"/>
              <w:rPr>
                <w:rFonts w:ascii="Times New Roman" w:eastAsia="Times New Roman" w:hAnsi="Times New Roman" w:cs="Times New Roman"/>
                <w:sz w:val="24"/>
                <w:szCs w:val="24"/>
                <w:lang w:val="vi-VN"/>
              </w:rPr>
            </w:pPr>
            <w:r w:rsidRPr="00C92F0C">
              <w:rPr>
                <w:rFonts w:ascii="Times New Roman" w:eastAsia="Times New Roman" w:hAnsi="Times New Roman" w:cs="Times New Roman"/>
                <w:sz w:val="24"/>
                <w:szCs w:val="24"/>
                <w:lang w:val="vi-VN"/>
              </w:rPr>
              <w:lastRenderedPageBreak/>
              <w:t xml:space="preserve">Theo rà soát quy định pháp luật hiện hành thì chỉ có định nghĩa về “dự án </w:t>
            </w:r>
            <w:r w:rsidRPr="00C92F0C">
              <w:rPr>
                <w:rFonts w:ascii="Times New Roman" w:eastAsia="Times New Roman" w:hAnsi="Times New Roman" w:cs="Times New Roman"/>
                <w:sz w:val="24"/>
                <w:szCs w:val="24"/>
                <w:lang w:val="vi-VN"/>
              </w:rPr>
              <w:lastRenderedPageBreak/>
              <w:t>đầu tư” tại khoản 4 Điều 3 Luật Đầu tư 2020, đối với thuật ngữ “chương trình đầu tư” thì hiện này không có định nghĩa cụ thể mà chỉ có định nghĩa về “chương trình đầu tư công” tại khoản 8 Điều 4 Luật Đầu tư công năm 2019. Việc không có định nghĩa/giải thích cụ thể cho thuật ngữ “chương trình đầu tư” dẫn đến thực tế vướng mắc của các bên khi thực hiện quy định về chào bán, giao dịch trái phiếu doanh nghiệp riêng lẻ. Đề nghị bổ sung giải thích/định nghĩa “chương trình đầu tư”.</w:t>
            </w:r>
          </w:p>
        </w:tc>
        <w:tc>
          <w:tcPr>
            <w:tcW w:w="1280" w:type="dxa"/>
          </w:tcPr>
          <w:p w14:paraId="609E549C" w14:textId="77777777" w:rsidR="005C5D35" w:rsidRPr="00C92F0C" w:rsidRDefault="005C5D35" w:rsidP="00ED03DD">
            <w:pPr>
              <w:spacing w:after="0" w:line="240" w:lineRule="auto"/>
              <w:jc w:val="both"/>
              <w:rPr>
                <w:rFonts w:ascii="Times New Roman" w:eastAsia="Times New Roman" w:hAnsi="Times New Roman" w:cs="Times New Roman"/>
                <w:sz w:val="24"/>
                <w:szCs w:val="24"/>
                <w:lang w:val="vi-VN"/>
              </w:rPr>
            </w:pPr>
            <w:r w:rsidRPr="00C92F0C">
              <w:rPr>
                <w:rFonts w:ascii="Times New Roman" w:eastAsia="Times New Roman" w:hAnsi="Times New Roman" w:cs="Times New Roman"/>
                <w:sz w:val="24"/>
                <w:szCs w:val="24"/>
                <w:lang w:val="vi-VN"/>
              </w:rPr>
              <w:lastRenderedPageBreak/>
              <w:t xml:space="preserve">A. Giải thích luật, </w:t>
            </w:r>
            <w:r w:rsidRPr="00C92F0C">
              <w:rPr>
                <w:rFonts w:ascii="Times New Roman" w:eastAsia="Times New Roman" w:hAnsi="Times New Roman" w:cs="Times New Roman"/>
                <w:sz w:val="24"/>
                <w:szCs w:val="24"/>
                <w:lang w:val="vi-VN"/>
              </w:rPr>
              <w:lastRenderedPageBreak/>
              <w:t>nghị quyết của Quốc hội, pháp lệnh, nghị quyết của Ủy ban Thường vụ Quốc hội theo quy định tại Điều 60 Luật Ban hành VBQPPL năm 2025</w:t>
            </w:r>
          </w:p>
        </w:tc>
        <w:tc>
          <w:tcPr>
            <w:tcW w:w="1254" w:type="dxa"/>
          </w:tcPr>
          <w:p w14:paraId="3520C089" w14:textId="77777777" w:rsidR="005C5D35" w:rsidRPr="00C92F0C" w:rsidRDefault="005C5D35" w:rsidP="00ED03DD">
            <w:pPr>
              <w:spacing w:after="0" w:line="240" w:lineRule="auto"/>
              <w:jc w:val="both"/>
              <w:rPr>
                <w:rFonts w:ascii="Times New Roman" w:eastAsia="Times New Roman" w:hAnsi="Times New Roman" w:cs="Times New Roman"/>
                <w:sz w:val="24"/>
                <w:szCs w:val="24"/>
                <w:lang w:val="vi-VN"/>
              </w:rPr>
            </w:pPr>
            <w:r w:rsidRPr="00C92F0C">
              <w:rPr>
                <w:rFonts w:ascii="Times New Roman" w:eastAsia="Times New Roman" w:hAnsi="Times New Roman" w:cs="Times New Roman"/>
                <w:sz w:val="24"/>
                <w:szCs w:val="24"/>
                <w:lang w:val="vi-VN"/>
              </w:rPr>
              <w:lastRenderedPageBreak/>
              <w:t xml:space="preserve">Ngân hàng </w:t>
            </w:r>
            <w:r w:rsidRPr="00C92F0C">
              <w:rPr>
                <w:rFonts w:ascii="Times New Roman" w:eastAsia="Times New Roman" w:hAnsi="Times New Roman" w:cs="Times New Roman"/>
                <w:sz w:val="24"/>
                <w:szCs w:val="24"/>
                <w:lang w:val="vi-VN"/>
              </w:rPr>
              <w:lastRenderedPageBreak/>
              <w:t>TMCP Tiên Phong</w:t>
            </w:r>
          </w:p>
        </w:tc>
        <w:tc>
          <w:tcPr>
            <w:tcW w:w="2289" w:type="dxa"/>
          </w:tcPr>
          <w:p w14:paraId="448715C5" w14:textId="77777777" w:rsidR="005C5D35" w:rsidRPr="00C92F0C" w:rsidRDefault="005C5D35" w:rsidP="00ED03DD">
            <w:pPr>
              <w:spacing w:after="0" w:line="240" w:lineRule="auto"/>
              <w:jc w:val="both"/>
              <w:rPr>
                <w:rFonts w:ascii="Times New Roman" w:eastAsia="Times New Roman" w:hAnsi="Times New Roman" w:cs="Times New Roman"/>
                <w:sz w:val="24"/>
                <w:szCs w:val="24"/>
                <w:lang w:val="vi-VN"/>
              </w:rPr>
            </w:pPr>
            <w:r w:rsidRPr="00C92F0C">
              <w:rPr>
                <w:rFonts w:ascii="Times New Roman" w:eastAsia="Times New Roman" w:hAnsi="Times New Roman" w:cs="Times New Roman"/>
                <w:sz w:val="24"/>
                <w:szCs w:val="24"/>
                <w:lang w:val="vi-VN"/>
              </w:rPr>
              <w:lastRenderedPageBreak/>
              <w:t>Nhất trí vì:</w:t>
            </w:r>
            <w:r w:rsidRPr="00C92F0C">
              <w:rPr>
                <w:rFonts w:ascii="Times New Roman" w:eastAsia="Times New Roman" w:hAnsi="Times New Roman" w:cs="Times New Roman"/>
                <w:sz w:val="24"/>
                <w:szCs w:val="24"/>
                <w:lang w:val="vi-VN"/>
              </w:rPr>
              <w:br/>
              <w:t xml:space="preserve">Bộ Tài chính đang rà </w:t>
            </w:r>
            <w:r w:rsidRPr="00C92F0C">
              <w:rPr>
                <w:rFonts w:ascii="Times New Roman" w:eastAsia="Times New Roman" w:hAnsi="Times New Roman" w:cs="Times New Roman"/>
                <w:sz w:val="24"/>
                <w:szCs w:val="24"/>
                <w:lang w:val="vi-VN"/>
              </w:rPr>
              <w:lastRenderedPageBreak/>
              <w:t>soát tổng thể để xây dựng Nghị định thay thế Nghị định số 153/2020/NĐ-CP. Theo đó, tại dự thảo hiện nay, Bộ Tài chính đã bỏ quy định về mục đích phát hành để thực hiện các chương trình đầu tư, chỉ quy định mục đích phát hành là để thực hiện các dự án đầu tư theo quy định tại pháp luật đầu tư.</w:t>
            </w:r>
          </w:p>
          <w:p w14:paraId="0D5B03C8" w14:textId="77777777" w:rsidR="005C5D35" w:rsidRPr="00C92F0C" w:rsidRDefault="005C5D35" w:rsidP="00ED03DD">
            <w:pPr>
              <w:spacing w:after="0" w:line="240" w:lineRule="auto"/>
              <w:jc w:val="both"/>
              <w:rPr>
                <w:rFonts w:ascii="Times New Roman" w:eastAsia="Times New Roman" w:hAnsi="Times New Roman" w:cs="Times New Roman"/>
                <w:sz w:val="24"/>
                <w:szCs w:val="24"/>
                <w:lang w:val="vi-VN"/>
              </w:rPr>
            </w:pPr>
            <w:r w:rsidRPr="00C92F0C">
              <w:rPr>
                <w:rFonts w:ascii="Times New Roman" w:eastAsia="Times New Roman" w:hAnsi="Times New Roman"/>
                <w:b/>
                <w:bCs/>
                <w:sz w:val="24"/>
                <w:szCs w:val="24"/>
                <w:lang w:val="vi-VN"/>
              </w:rPr>
              <w:t>Theo Công văn số 08-CV/ĐUBTC-PC ngày 22/8/2025, Bộ Tài chính:</w:t>
            </w:r>
          </w:p>
          <w:p w14:paraId="77ACC1A1" w14:textId="77777777" w:rsidR="005C5D35" w:rsidRPr="00C92F0C" w:rsidRDefault="005C5D35" w:rsidP="00ED03DD">
            <w:pPr>
              <w:spacing w:after="0" w:line="240" w:lineRule="auto"/>
              <w:jc w:val="both"/>
              <w:rPr>
                <w:rFonts w:ascii="Times New Roman" w:eastAsia="Times New Roman" w:hAnsi="Times New Roman" w:cs="Times New Roman"/>
                <w:sz w:val="24"/>
                <w:szCs w:val="24"/>
                <w:lang w:val="vi-VN"/>
              </w:rPr>
            </w:pPr>
            <w:r w:rsidRPr="00C92F0C">
              <w:rPr>
                <w:rFonts w:ascii="Times New Roman" w:eastAsia="Times New Roman" w:hAnsi="Times New Roman" w:cs="Times New Roman"/>
                <w:sz w:val="24"/>
                <w:szCs w:val="24"/>
                <w:lang w:val="vi-VN"/>
              </w:rPr>
              <w:t>Dự kiến sẽ hoàn thành trong năm 2025.</w:t>
            </w:r>
          </w:p>
        </w:tc>
        <w:tc>
          <w:tcPr>
            <w:tcW w:w="2694" w:type="dxa"/>
          </w:tcPr>
          <w:p w14:paraId="6AA8ACAF" w14:textId="77777777" w:rsidR="005C5D35" w:rsidRPr="001B6814" w:rsidRDefault="005C5D35" w:rsidP="00ED03DD">
            <w:pPr>
              <w:jc w:val="both"/>
              <w:rPr>
                <w:rFonts w:ascii="Times New Roman" w:hAnsi="Times New Roman" w:cs="Times New Roman"/>
                <w:b/>
                <w:sz w:val="24"/>
                <w:szCs w:val="24"/>
              </w:rPr>
            </w:pPr>
            <w:r w:rsidRPr="001B6814">
              <w:rPr>
                <w:rFonts w:ascii="Times New Roman" w:hAnsi="Times New Roman" w:cs="Times New Roman"/>
                <w:b/>
                <w:sz w:val="24"/>
                <w:szCs w:val="24"/>
              </w:rPr>
              <w:lastRenderedPageBreak/>
              <w:t>Chưa xử lý</w:t>
            </w:r>
          </w:p>
          <w:p w14:paraId="1820FDD0" w14:textId="77777777" w:rsidR="005C5D35" w:rsidRDefault="005C5D35" w:rsidP="00ED03DD">
            <w:pPr>
              <w:spacing w:after="0"/>
              <w:jc w:val="both"/>
              <w:rPr>
                <w:rFonts w:ascii="Times New Roman" w:eastAsia="Times New Roman" w:hAnsi="Times New Roman" w:cs="Times New Roman"/>
                <w:sz w:val="24"/>
                <w:szCs w:val="24"/>
              </w:rPr>
            </w:pPr>
          </w:p>
          <w:p w14:paraId="34A11EE2" w14:textId="504592E3" w:rsidR="005C5D35" w:rsidRPr="00736BEF" w:rsidRDefault="005C5D35" w:rsidP="00ED03DD">
            <w:pPr>
              <w:spacing w:after="0"/>
              <w:jc w:val="both"/>
              <w:rPr>
                <w:rFonts w:ascii="Times New Roman" w:hAnsi="Times New Roman" w:cs="Times New Roman"/>
                <w:bCs/>
                <w:sz w:val="24"/>
                <w:szCs w:val="24"/>
              </w:rPr>
            </w:pPr>
            <w:r>
              <w:rPr>
                <w:rFonts w:ascii="Times New Roman" w:eastAsia="Times New Roman" w:hAnsi="Times New Roman" w:cs="Times New Roman"/>
                <w:sz w:val="24"/>
                <w:szCs w:val="24"/>
              </w:rPr>
              <w:t>Đang xây dựng Nghị định để trình trong năm 2025.</w:t>
            </w:r>
          </w:p>
          <w:p w14:paraId="398D439C" w14:textId="4046635C" w:rsidR="005C5D35" w:rsidRPr="00C92F0C" w:rsidRDefault="005C5D35" w:rsidP="00ED03DD">
            <w:pPr>
              <w:spacing w:after="0" w:line="240" w:lineRule="auto"/>
              <w:jc w:val="both"/>
              <w:rPr>
                <w:rFonts w:ascii="Times New Roman" w:eastAsia="Times New Roman" w:hAnsi="Times New Roman" w:cs="Times New Roman"/>
                <w:sz w:val="24"/>
                <w:szCs w:val="24"/>
                <w:lang w:val="vi-VN"/>
              </w:rPr>
            </w:pPr>
          </w:p>
        </w:tc>
      </w:tr>
      <w:tr w:rsidR="005C5D35" w:rsidRPr="00A35EC9" w14:paraId="5145DC14" w14:textId="77777777" w:rsidTr="00ED03DD">
        <w:tc>
          <w:tcPr>
            <w:tcW w:w="702" w:type="dxa"/>
          </w:tcPr>
          <w:p w14:paraId="541E4C02" w14:textId="77777777" w:rsidR="005C5D35" w:rsidRPr="00A35EC9" w:rsidRDefault="005C5D35" w:rsidP="00ED03DD">
            <w:pPr>
              <w:pStyle w:val="ListParagraph"/>
              <w:numPr>
                <w:ilvl w:val="0"/>
                <w:numId w:val="3"/>
              </w:numPr>
              <w:tabs>
                <w:tab w:val="left" w:pos="360"/>
              </w:tabs>
              <w:spacing w:after="0" w:line="240" w:lineRule="auto"/>
              <w:rPr>
                <w:rFonts w:ascii="Times New Roman" w:eastAsia="Times New Roman" w:hAnsi="Times New Roman" w:cs="Times New Roman"/>
                <w:sz w:val="24"/>
                <w:szCs w:val="24"/>
              </w:rPr>
            </w:pPr>
          </w:p>
        </w:tc>
        <w:tc>
          <w:tcPr>
            <w:tcW w:w="1897" w:type="dxa"/>
          </w:tcPr>
          <w:p w14:paraId="2956B980" w14:textId="77777777" w:rsidR="005C5D35" w:rsidRPr="00A35EC9" w:rsidRDefault="005C5D35" w:rsidP="00ED03DD">
            <w:pPr>
              <w:tabs>
                <w:tab w:val="left" w:pos="360"/>
              </w:tabs>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Chưa có quy định pháp luật</w:t>
            </w:r>
          </w:p>
        </w:tc>
        <w:tc>
          <w:tcPr>
            <w:tcW w:w="3913" w:type="dxa"/>
          </w:tcPr>
          <w:p w14:paraId="7F1735FE"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 xml:space="preserve">Chưa quy định nguyên tắc tuân thủ quy hoạch khi chấp thuận, quyết định dự án trong trường hợp có mâu thuẫn </w:t>
            </w:r>
            <w:r w:rsidRPr="00A35EC9">
              <w:rPr>
                <w:rFonts w:ascii="Times New Roman" w:eastAsia="Times New Roman" w:hAnsi="Times New Roman" w:cs="Times New Roman"/>
                <w:sz w:val="24"/>
                <w:szCs w:val="24"/>
              </w:rPr>
              <w:lastRenderedPageBreak/>
              <w:t>giữa các loại quy hoạch, gây lãng phí cơ hội đầu tư, chậm phát huy nguồn lực và lãng phí nguồn lực Nhà nước.</w:t>
            </w:r>
          </w:p>
        </w:tc>
        <w:tc>
          <w:tcPr>
            <w:tcW w:w="1280" w:type="dxa"/>
          </w:tcPr>
          <w:p w14:paraId="387F50F4"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lastRenderedPageBreak/>
              <w:t xml:space="preserve">C. Sửa đổi, bổ sung, thay </w:t>
            </w:r>
            <w:r w:rsidRPr="00A35EC9">
              <w:rPr>
                <w:rFonts w:ascii="Times New Roman" w:eastAsia="Times New Roman" w:hAnsi="Times New Roman" w:cs="Times New Roman"/>
                <w:sz w:val="24"/>
                <w:szCs w:val="24"/>
              </w:rPr>
              <w:lastRenderedPageBreak/>
              <w:t>thế, ban hành mới VBQPPL (theo trình tự, thủ tục rút gọn ban hành VBQPPL của Luật Ban hành VBQPPL)</w:t>
            </w:r>
          </w:p>
        </w:tc>
        <w:tc>
          <w:tcPr>
            <w:tcW w:w="1254" w:type="dxa"/>
          </w:tcPr>
          <w:p w14:paraId="075167E7"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lastRenderedPageBreak/>
              <w:t>Sở Tư pháp tỉnh Bắc Ninh</w:t>
            </w:r>
          </w:p>
        </w:tc>
        <w:tc>
          <w:tcPr>
            <w:tcW w:w="2289" w:type="dxa"/>
          </w:tcPr>
          <w:p w14:paraId="590BB26D" w14:textId="77777777" w:rsidR="005C5D35"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Nhất trí vì:</w:t>
            </w:r>
            <w:r w:rsidRPr="00A35EC9">
              <w:rPr>
                <w:rFonts w:ascii="Times New Roman" w:eastAsia="Times New Roman" w:hAnsi="Times New Roman" w:cs="Times New Roman"/>
                <w:sz w:val="24"/>
                <w:szCs w:val="24"/>
              </w:rPr>
              <w:br/>
              <w:t xml:space="preserve">Nội dung sẽ được nghiên cứu sửa đổi </w:t>
            </w:r>
            <w:r w:rsidRPr="00A35EC9">
              <w:rPr>
                <w:rFonts w:ascii="Times New Roman" w:eastAsia="Times New Roman" w:hAnsi="Times New Roman" w:cs="Times New Roman"/>
                <w:sz w:val="24"/>
                <w:szCs w:val="24"/>
              </w:rPr>
              <w:lastRenderedPageBreak/>
              <w:t>trong quá trình xây dựng Luật Quy hoạch (sửa đổi), dự kiến sẽ trình Quốc hội tại Kỳ họp thứ 10 (tháng 10/2025)</w:t>
            </w:r>
          </w:p>
          <w:p w14:paraId="30C8F191"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b/>
                <w:bCs/>
                <w:sz w:val="24"/>
                <w:szCs w:val="24"/>
              </w:rPr>
              <w:t>Theo Công văn số 08-CV/ĐUBTC-PC ngày 22/8/2025, Bộ Tài chính:</w:t>
            </w:r>
            <w:r>
              <w:rPr>
                <w:rFonts w:ascii="Times New Roman" w:eastAsia="Times New Roman" w:hAnsi="Times New Roman" w:cs="Times New Roman"/>
                <w:sz w:val="24"/>
                <w:szCs w:val="24"/>
              </w:rPr>
              <w:t>Dự kiến sẽ trình Quốc hội tại Kỳ họp thứ 10 (tháng 10/2025)</w:t>
            </w:r>
          </w:p>
        </w:tc>
        <w:tc>
          <w:tcPr>
            <w:tcW w:w="2694" w:type="dxa"/>
          </w:tcPr>
          <w:p w14:paraId="34C14EC6" w14:textId="77777777" w:rsidR="005C5D35" w:rsidRDefault="005C5D35" w:rsidP="00ED03DD">
            <w:pPr>
              <w:pBdr>
                <w:top w:val="nil"/>
                <w:left w:val="nil"/>
                <w:bottom w:val="nil"/>
                <w:right w:val="nil"/>
                <w:between w:val="nil"/>
              </w:pBdr>
              <w:jc w:val="both"/>
              <w:rPr>
                <w:rFonts w:ascii="Times New Roman" w:eastAsia="Times New Roman" w:hAnsi="Times New Roman" w:cs="Times New Roman"/>
                <w:b/>
                <w:sz w:val="24"/>
                <w:szCs w:val="24"/>
              </w:rPr>
            </w:pPr>
            <w:r w:rsidRPr="00F41238">
              <w:rPr>
                <w:rFonts w:ascii="Times New Roman" w:eastAsia="Times New Roman" w:hAnsi="Times New Roman" w:cs="Times New Roman"/>
                <w:b/>
                <w:sz w:val="24"/>
                <w:szCs w:val="24"/>
                <w:highlight w:val="yellow"/>
              </w:rPr>
              <w:lastRenderedPageBreak/>
              <w:t>Đã xử lý</w:t>
            </w:r>
          </w:p>
          <w:p w14:paraId="76F7D4A6" w14:textId="77777777" w:rsidR="005C5D35" w:rsidRPr="003004A3" w:rsidRDefault="005C5D35" w:rsidP="00ED03DD">
            <w:pPr>
              <w:pBdr>
                <w:top w:val="nil"/>
                <w:left w:val="nil"/>
                <w:bottom w:val="nil"/>
                <w:right w:val="nil"/>
                <w:between w:val="nil"/>
              </w:pBdr>
              <w:jc w:val="both"/>
              <w:rPr>
                <w:rFonts w:ascii="Times New Roman" w:hAnsi="Times New Roman" w:cs="Times New Roman"/>
                <w:bCs/>
                <w:sz w:val="24"/>
                <w:szCs w:val="24"/>
              </w:rPr>
            </w:pPr>
            <w:r w:rsidRPr="003004A3">
              <w:rPr>
                <w:rFonts w:ascii="Times New Roman" w:hAnsi="Times New Roman" w:cs="Times New Roman"/>
                <w:bCs/>
                <w:sz w:val="24"/>
                <w:szCs w:val="24"/>
              </w:rPr>
              <w:t xml:space="preserve">Ngày </w:t>
            </w:r>
            <w:r>
              <w:rPr>
                <w:rFonts w:ascii="Times New Roman" w:hAnsi="Times New Roman" w:cs="Times New Roman"/>
                <w:bCs/>
                <w:sz w:val="24"/>
                <w:szCs w:val="24"/>
              </w:rPr>
              <w:t xml:space="preserve">10/12/2025, Quốc </w:t>
            </w:r>
            <w:r>
              <w:rPr>
                <w:rFonts w:ascii="Times New Roman" w:hAnsi="Times New Roman" w:cs="Times New Roman"/>
                <w:bCs/>
                <w:sz w:val="24"/>
                <w:szCs w:val="24"/>
              </w:rPr>
              <w:lastRenderedPageBreak/>
              <w:t xml:space="preserve">hội đã ban hành Luật Quy hoạch </w:t>
            </w:r>
          </w:p>
          <w:p w14:paraId="27E805B8" w14:textId="2F203D50" w:rsidR="005C5D35" w:rsidRPr="00A35EC9" w:rsidRDefault="005C5D35" w:rsidP="00ED03DD">
            <w:pPr>
              <w:spacing w:after="0" w:line="240" w:lineRule="auto"/>
              <w:jc w:val="both"/>
              <w:rPr>
                <w:rFonts w:ascii="Times New Roman" w:eastAsia="Times New Roman" w:hAnsi="Times New Roman" w:cs="Times New Roman"/>
                <w:sz w:val="24"/>
                <w:szCs w:val="24"/>
                <w:lang w:val="vi-VN"/>
              </w:rPr>
            </w:pPr>
          </w:p>
        </w:tc>
      </w:tr>
      <w:tr w:rsidR="005C5D35" w:rsidRPr="00A35EC9" w14:paraId="6DB0EA25" w14:textId="77777777" w:rsidTr="00ED03DD">
        <w:tc>
          <w:tcPr>
            <w:tcW w:w="702" w:type="dxa"/>
          </w:tcPr>
          <w:p w14:paraId="0018C7F5" w14:textId="77777777" w:rsidR="005C5D35" w:rsidRPr="00A35EC9" w:rsidRDefault="005C5D35" w:rsidP="00ED03DD">
            <w:pPr>
              <w:pStyle w:val="ListParagraph"/>
              <w:numPr>
                <w:ilvl w:val="0"/>
                <w:numId w:val="3"/>
              </w:numPr>
              <w:tabs>
                <w:tab w:val="left" w:pos="360"/>
              </w:tabs>
              <w:spacing w:after="0" w:line="240" w:lineRule="auto"/>
              <w:rPr>
                <w:rFonts w:ascii="Times New Roman" w:eastAsia="Times New Roman" w:hAnsi="Times New Roman" w:cs="Times New Roman"/>
                <w:sz w:val="24"/>
                <w:szCs w:val="24"/>
              </w:rPr>
            </w:pPr>
          </w:p>
        </w:tc>
        <w:tc>
          <w:tcPr>
            <w:tcW w:w="1897" w:type="dxa"/>
          </w:tcPr>
          <w:p w14:paraId="51BBA991" w14:textId="77777777" w:rsidR="005C5D35" w:rsidRPr="00A35EC9" w:rsidRDefault="005C5D35" w:rsidP="00ED03DD">
            <w:pPr>
              <w:tabs>
                <w:tab w:val="left" w:pos="360"/>
              </w:tabs>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Khoản 2 Điều 44 Luật Đầu tư</w:t>
            </w:r>
          </w:p>
        </w:tc>
        <w:tc>
          <w:tcPr>
            <w:tcW w:w="3913" w:type="dxa"/>
          </w:tcPr>
          <w:p w14:paraId="2764F5EC"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Chưa quy định rõ mức vốn đầu tư để được xét là dự án có vốn đầu tư lớn, gây khó khăn trong việc xác định thời hạn hoạt động dự án.</w:t>
            </w:r>
          </w:p>
        </w:tc>
        <w:tc>
          <w:tcPr>
            <w:tcW w:w="1280" w:type="dxa"/>
          </w:tcPr>
          <w:p w14:paraId="673B2278"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 xml:space="preserve">C. Sửa đổi, bổ sung, thay thế, ban hành mới VBQPPL (theo trình tự, thủ tục rút gọn ban hành VBQPPL của Luật </w:t>
            </w:r>
            <w:r w:rsidRPr="00A35EC9">
              <w:rPr>
                <w:rFonts w:ascii="Times New Roman" w:eastAsia="Times New Roman" w:hAnsi="Times New Roman" w:cs="Times New Roman"/>
                <w:sz w:val="24"/>
                <w:szCs w:val="24"/>
              </w:rPr>
              <w:lastRenderedPageBreak/>
              <w:t>Ban hành VBQPPL)</w:t>
            </w:r>
          </w:p>
        </w:tc>
        <w:tc>
          <w:tcPr>
            <w:tcW w:w="1254" w:type="dxa"/>
          </w:tcPr>
          <w:p w14:paraId="62A63739"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lastRenderedPageBreak/>
              <w:t>Sở Tư pháp tỉnh Bắc Ninh</w:t>
            </w:r>
          </w:p>
        </w:tc>
        <w:tc>
          <w:tcPr>
            <w:tcW w:w="2289" w:type="dxa"/>
          </w:tcPr>
          <w:p w14:paraId="1DA1798C"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 xml:space="preserve">Nhất trí vì: </w:t>
            </w:r>
          </w:p>
          <w:p w14:paraId="56C0C2A7" w14:textId="77777777" w:rsidR="005C5D35"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Hiện nay Bộ Tài chính đang nghiên cứu để sửa tổng thể Luật Đầu tư và các văn bản hướng dẫn thi hành. (năm 2025-2026).</w:t>
            </w:r>
          </w:p>
          <w:p w14:paraId="3BF875DB"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b/>
                <w:bCs/>
                <w:sz w:val="24"/>
                <w:szCs w:val="24"/>
              </w:rPr>
              <w:t>Theo Công văn số 08-CV/ĐUBTC-PC ngày 22/8/2025, Bộ Tài chính:</w:t>
            </w:r>
            <w:r>
              <w:rPr>
                <w:rFonts w:ascii="Times New Roman" w:eastAsia="Times New Roman" w:hAnsi="Times New Roman" w:cs="Times New Roman"/>
                <w:sz w:val="24"/>
                <w:szCs w:val="24"/>
              </w:rPr>
              <w:t xml:space="preserve"> Dự kiến </w:t>
            </w:r>
            <w:r>
              <w:rPr>
                <w:rFonts w:ascii="Times New Roman" w:eastAsia="Times New Roman" w:hAnsi="Times New Roman" w:cs="Times New Roman"/>
                <w:sz w:val="24"/>
                <w:szCs w:val="24"/>
              </w:rPr>
              <w:lastRenderedPageBreak/>
              <w:t>sẽ trình Quốc hội tại Kỳ họp thứ 10 (tháng 10/2025)</w:t>
            </w:r>
          </w:p>
        </w:tc>
        <w:tc>
          <w:tcPr>
            <w:tcW w:w="2694" w:type="dxa"/>
          </w:tcPr>
          <w:p w14:paraId="00FB73A4" w14:textId="77777777" w:rsidR="005C5D35" w:rsidRDefault="005C5D35" w:rsidP="00ED03DD">
            <w:pPr>
              <w:jc w:val="both"/>
              <w:rPr>
                <w:rFonts w:ascii="Times New Roman" w:hAnsi="Times New Roman" w:cs="Times New Roman"/>
                <w:bCs/>
                <w:sz w:val="24"/>
                <w:szCs w:val="24"/>
              </w:rPr>
            </w:pPr>
            <w:r w:rsidRPr="00592602">
              <w:rPr>
                <w:rFonts w:ascii="Times New Roman" w:hAnsi="Times New Roman" w:cs="Times New Roman"/>
                <w:b/>
                <w:bCs/>
                <w:sz w:val="24"/>
                <w:szCs w:val="24"/>
                <w:highlight w:val="yellow"/>
              </w:rPr>
              <w:lastRenderedPageBreak/>
              <w:t>Đã xử lý</w:t>
            </w:r>
          </w:p>
          <w:p w14:paraId="36866B9C" w14:textId="1CEF9316" w:rsidR="005C5D35" w:rsidRPr="00DD3F9A" w:rsidRDefault="005C5D35" w:rsidP="00ED03DD">
            <w:pPr>
              <w:spacing w:after="0"/>
              <w:jc w:val="both"/>
              <w:rPr>
                <w:rFonts w:ascii="Times New Roman" w:eastAsia="Times New Roman" w:hAnsi="Times New Roman" w:cs="Times New Roman"/>
                <w:b/>
                <w:color w:val="FF0000"/>
                <w:sz w:val="24"/>
                <w:szCs w:val="24"/>
                <w:lang w:val="vi-VN"/>
              </w:rPr>
            </w:pPr>
            <w:r w:rsidRPr="00C400DE">
              <w:rPr>
                <w:rFonts w:ascii="Times New Roman" w:eastAsia="Times New Roman" w:hAnsi="Times New Roman" w:cs="Times New Roman"/>
                <w:b/>
                <w:color w:val="FF0000"/>
                <w:sz w:val="24"/>
                <w:szCs w:val="24"/>
                <w:lang w:val="vi-VN"/>
              </w:rPr>
              <w:t xml:space="preserve">Nội </w:t>
            </w:r>
            <w:r>
              <w:rPr>
                <w:rFonts w:ascii="Times New Roman" w:eastAsia="Times New Roman" w:hAnsi="Times New Roman" w:cs="Times New Roman"/>
                <w:b/>
                <w:color w:val="FF0000"/>
                <w:sz w:val="24"/>
                <w:szCs w:val="24"/>
                <w:lang w:val="vi-VN"/>
              </w:rPr>
              <w:t xml:space="preserve">dung này đã được đưa vào Điều </w:t>
            </w:r>
            <w:r>
              <w:rPr>
                <w:rFonts w:ascii="Times New Roman" w:eastAsia="Times New Roman" w:hAnsi="Times New Roman" w:cs="Times New Roman"/>
                <w:b/>
                <w:color w:val="FF0000"/>
                <w:sz w:val="24"/>
                <w:szCs w:val="24"/>
              </w:rPr>
              <w:t>31</w:t>
            </w:r>
            <w:r w:rsidRPr="00C400DE">
              <w:rPr>
                <w:rFonts w:ascii="Times New Roman" w:eastAsia="Times New Roman" w:hAnsi="Times New Roman" w:cs="Times New Roman"/>
                <w:b/>
                <w:color w:val="FF0000"/>
                <w:sz w:val="24"/>
                <w:szCs w:val="24"/>
                <w:lang w:val="vi-VN"/>
              </w:rPr>
              <w:t xml:space="preserve"> dự thảo Luật Đầu tư </w:t>
            </w:r>
            <w:r w:rsidR="00A44430" w:rsidRPr="00A44430">
              <w:rPr>
                <w:rFonts w:ascii="Times New Roman" w:eastAsia="Times New Roman" w:hAnsi="Times New Roman" w:cs="Times New Roman"/>
                <w:bCs/>
                <w:sz w:val="24"/>
                <w:szCs w:val="24"/>
              </w:rPr>
              <w:t xml:space="preserve"> </w:t>
            </w:r>
            <w:r w:rsidR="00A44430" w:rsidRPr="00A44430">
              <w:rPr>
                <w:rFonts w:ascii="Times New Roman" w:eastAsia="Times New Roman" w:hAnsi="Times New Roman" w:cs="Times New Roman"/>
                <w:b/>
                <w:bCs/>
                <w:color w:val="FF0000"/>
                <w:sz w:val="24"/>
                <w:szCs w:val="24"/>
              </w:rPr>
              <w:t>được</w:t>
            </w:r>
            <w:r w:rsidR="00A44430" w:rsidRPr="00A44430">
              <w:rPr>
                <w:rFonts w:ascii="Times New Roman" w:eastAsia="Times New Roman" w:hAnsi="Times New Roman" w:cs="Times New Roman"/>
                <w:b/>
                <w:color w:val="FF0000"/>
                <w:sz w:val="24"/>
                <w:szCs w:val="24"/>
              </w:rPr>
              <w:t xml:space="preserve"> </w:t>
            </w:r>
            <w:r w:rsidR="00A44430" w:rsidRPr="00A44430">
              <w:rPr>
                <w:rFonts w:ascii="Times New Roman" w:eastAsia="Times New Roman" w:hAnsi="Times New Roman" w:cs="Times New Roman"/>
                <w:b/>
                <w:bCs/>
                <w:color w:val="FF0000"/>
                <w:sz w:val="24"/>
                <w:szCs w:val="24"/>
              </w:rPr>
              <w:t>thông qua tại Kỳ họp thứ 10</w:t>
            </w:r>
            <w:r w:rsidR="00A44430" w:rsidRPr="00A44430">
              <w:rPr>
                <w:rFonts w:ascii="Times New Roman" w:eastAsia="Times New Roman" w:hAnsi="Times New Roman" w:cs="Times New Roman"/>
                <w:b/>
                <w:color w:val="FF0000"/>
                <w:sz w:val="24"/>
                <w:szCs w:val="24"/>
              </w:rPr>
              <w:t xml:space="preserve">  </w:t>
            </w:r>
            <w:r w:rsidR="00A44430" w:rsidRPr="00A44430">
              <w:rPr>
                <w:rFonts w:ascii="Times New Roman" w:eastAsia="Times New Roman" w:hAnsi="Times New Roman" w:cs="Times New Roman"/>
                <w:b/>
                <w:color w:val="FF0000"/>
                <w:sz w:val="24"/>
                <w:szCs w:val="24"/>
                <w:lang w:val="vi-VN"/>
              </w:rPr>
              <w:t xml:space="preserve">Quốc hội </w:t>
            </w:r>
            <w:r w:rsidR="00A44430" w:rsidRPr="00A44430">
              <w:rPr>
                <w:rFonts w:ascii="Times New Roman" w:eastAsia="Times New Roman" w:hAnsi="Times New Roman" w:cs="Times New Roman"/>
                <w:b/>
                <w:color w:val="FF0000"/>
                <w:sz w:val="24"/>
                <w:szCs w:val="24"/>
              </w:rPr>
              <w:t>khóa XV</w:t>
            </w:r>
          </w:p>
          <w:p w14:paraId="45CE2FB2" w14:textId="12A45AE4" w:rsidR="005C5D35" w:rsidRPr="00A35EC9" w:rsidRDefault="005C5D35" w:rsidP="00A44430">
            <w:pPr>
              <w:spacing w:after="0"/>
              <w:jc w:val="both"/>
              <w:rPr>
                <w:rFonts w:ascii="Times New Roman" w:eastAsia="Times New Roman" w:hAnsi="Times New Roman" w:cs="Times New Roman"/>
                <w:sz w:val="24"/>
                <w:szCs w:val="24"/>
                <w:lang w:val="vi-VN"/>
              </w:rPr>
            </w:pPr>
          </w:p>
        </w:tc>
      </w:tr>
      <w:tr w:rsidR="005C5D35" w:rsidRPr="00A35EC9" w14:paraId="3BE896F4" w14:textId="77777777" w:rsidTr="00ED03DD">
        <w:tc>
          <w:tcPr>
            <w:tcW w:w="702" w:type="dxa"/>
          </w:tcPr>
          <w:p w14:paraId="37139284" w14:textId="77777777" w:rsidR="005C5D35" w:rsidRPr="00A35EC9" w:rsidRDefault="005C5D35" w:rsidP="00ED03DD">
            <w:pPr>
              <w:pStyle w:val="ListParagraph"/>
              <w:numPr>
                <w:ilvl w:val="0"/>
                <w:numId w:val="3"/>
              </w:numPr>
              <w:tabs>
                <w:tab w:val="left" w:pos="360"/>
              </w:tabs>
              <w:spacing w:after="0" w:line="240" w:lineRule="auto"/>
              <w:rPr>
                <w:rFonts w:ascii="Times New Roman" w:eastAsia="Times New Roman" w:hAnsi="Times New Roman" w:cs="Times New Roman"/>
                <w:sz w:val="24"/>
                <w:szCs w:val="24"/>
              </w:rPr>
            </w:pPr>
          </w:p>
        </w:tc>
        <w:tc>
          <w:tcPr>
            <w:tcW w:w="1897" w:type="dxa"/>
          </w:tcPr>
          <w:p w14:paraId="04E89C36" w14:textId="77777777" w:rsidR="005C5D35" w:rsidRPr="00A35EC9" w:rsidRDefault="005C5D35" w:rsidP="00ED03DD">
            <w:pPr>
              <w:tabs>
                <w:tab w:val="left" w:pos="360"/>
              </w:tabs>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Điểm a khoản 2 Điều 46 Luật Đầu tư 2020</w:t>
            </w:r>
          </w:p>
        </w:tc>
        <w:tc>
          <w:tcPr>
            <w:tcW w:w="3913" w:type="dxa"/>
          </w:tcPr>
          <w:p w14:paraId="6ABD7751"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Chưa có quy định điều chỉnh các trường hợp được chấp thuận đầu tư và được cấp giấy phép đầu tư theo quy định pháp luật đầu tư trước đây khi chuyển nhượng dự án.</w:t>
            </w:r>
          </w:p>
        </w:tc>
        <w:tc>
          <w:tcPr>
            <w:tcW w:w="1280" w:type="dxa"/>
          </w:tcPr>
          <w:p w14:paraId="01974502"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C. Sửa đổi, bổ sung, thay thế, ban hành mới VBQPPL (theo trình tự, thủ tục rút gọn ban hành VBQPPL của Luật Ban hành VBQPPL)</w:t>
            </w:r>
          </w:p>
        </w:tc>
        <w:tc>
          <w:tcPr>
            <w:tcW w:w="1254" w:type="dxa"/>
          </w:tcPr>
          <w:p w14:paraId="233F0464"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Sở Tư pháp tỉnh Bắc Ninh</w:t>
            </w:r>
          </w:p>
        </w:tc>
        <w:tc>
          <w:tcPr>
            <w:tcW w:w="2289" w:type="dxa"/>
          </w:tcPr>
          <w:p w14:paraId="43983FAE"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 xml:space="preserve">Nhất trí vì: </w:t>
            </w:r>
          </w:p>
          <w:p w14:paraId="42CFC2E6" w14:textId="77777777" w:rsidR="005C5D35"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Hiện nay Bộ Tài chính đang nghiên cứu để sửa tổng thể Luật Đầu tư và các văn bản hướng dẫn thi hành. (năm 2025-2026).</w:t>
            </w:r>
          </w:p>
          <w:p w14:paraId="3774DB0E"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b/>
                <w:bCs/>
                <w:sz w:val="24"/>
                <w:szCs w:val="24"/>
              </w:rPr>
              <w:t>Theo Công văn số 08-CV/ĐUBTC-PC ngày 22/8/2025, Bộ Tài chính:</w:t>
            </w:r>
            <w:r>
              <w:rPr>
                <w:rFonts w:ascii="Times New Roman" w:eastAsia="Times New Roman" w:hAnsi="Times New Roman" w:cs="Times New Roman"/>
                <w:sz w:val="24"/>
                <w:szCs w:val="24"/>
              </w:rPr>
              <w:t xml:space="preserve"> Dự kiến sẽ trình Quốc hội tại Kỳ họp thứ 10 (tháng 10/2025)</w:t>
            </w:r>
          </w:p>
        </w:tc>
        <w:tc>
          <w:tcPr>
            <w:tcW w:w="2694" w:type="dxa"/>
          </w:tcPr>
          <w:p w14:paraId="2F8D0187" w14:textId="77777777" w:rsidR="005C5D35" w:rsidRPr="001C67FC" w:rsidRDefault="005C5D35" w:rsidP="00ED03DD">
            <w:pPr>
              <w:pBdr>
                <w:top w:val="nil"/>
                <w:left w:val="nil"/>
                <w:bottom w:val="nil"/>
                <w:right w:val="nil"/>
                <w:between w:val="nil"/>
              </w:pBdr>
              <w:jc w:val="both"/>
              <w:rPr>
                <w:rFonts w:ascii="Times New Roman" w:eastAsia="Times New Roman" w:hAnsi="Times New Roman" w:cs="Times New Roman"/>
                <w:b/>
                <w:sz w:val="24"/>
                <w:szCs w:val="24"/>
              </w:rPr>
            </w:pPr>
            <w:r w:rsidRPr="00F41238">
              <w:rPr>
                <w:rFonts w:ascii="Times New Roman" w:eastAsia="Times New Roman" w:hAnsi="Times New Roman" w:cs="Times New Roman"/>
                <w:b/>
                <w:sz w:val="24"/>
                <w:szCs w:val="24"/>
                <w:highlight w:val="yellow"/>
              </w:rPr>
              <w:t>Đã xử lý</w:t>
            </w:r>
          </w:p>
          <w:p w14:paraId="0A76011E" w14:textId="49590FE0" w:rsidR="005C5D35" w:rsidRPr="00DD3F9A" w:rsidRDefault="005C5D35" w:rsidP="00ED03DD">
            <w:pPr>
              <w:spacing w:after="0"/>
              <w:jc w:val="both"/>
              <w:rPr>
                <w:rFonts w:ascii="Times New Roman" w:eastAsia="Times New Roman" w:hAnsi="Times New Roman" w:cs="Times New Roman"/>
                <w:b/>
                <w:color w:val="FF0000"/>
                <w:sz w:val="24"/>
                <w:szCs w:val="24"/>
                <w:lang w:val="vi-VN"/>
              </w:rPr>
            </w:pPr>
            <w:r w:rsidRPr="00C400DE">
              <w:rPr>
                <w:rFonts w:ascii="Times New Roman" w:eastAsia="Times New Roman" w:hAnsi="Times New Roman" w:cs="Times New Roman"/>
                <w:b/>
                <w:color w:val="FF0000"/>
                <w:sz w:val="24"/>
                <w:szCs w:val="24"/>
                <w:lang w:val="vi-VN"/>
              </w:rPr>
              <w:t xml:space="preserve">Nội </w:t>
            </w:r>
            <w:r>
              <w:rPr>
                <w:rFonts w:ascii="Times New Roman" w:eastAsia="Times New Roman" w:hAnsi="Times New Roman" w:cs="Times New Roman"/>
                <w:b/>
                <w:color w:val="FF0000"/>
                <w:sz w:val="24"/>
                <w:szCs w:val="24"/>
                <w:lang w:val="vi-VN"/>
              </w:rPr>
              <w:t xml:space="preserve">dung này đã được đưa vào </w:t>
            </w:r>
            <w:r w:rsidRPr="00653888">
              <w:rPr>
                <w:rFonts w:ascii="Times New Roman" w:eastAsia="Times New Roman" w:hAnsi="Times New Roman" w:cs="Times New Roman"/>
                <w:b/>
                <w:color w:val="FF0000"/>
                <w:sz w:val="24"/>
                <w:szCs w:val="24"/>
                <w:lang w:val="vi-VN"/>
              </w:rPr>
              <w:t xml:space="preserve">khoản 6 </w:t>
            </w:r>
            <w:r>
              <w:rPr>
                <w:rFonts w:ascii="Times New Roman" w:eastAsia="Times New Roman" w:hAnsi="Times New Roman" w:cs="Times New Roman"/>
                <w:b/>
                <w:color w:val="FF0000"/>
                <w:sz w:val="24"/>
                <w:szCs w:val="24"/>
                <w:lang w:val="vi-VN"/>
              </w:rPr>
              <w:t xml:space="preserve">Điều </w:t>
            </w:r>
            <w:r w:rsidRPr="00653888">
              <w:rPr>
                <w:rFonts w:ascii="Times New Roman" w:eastAsia="Times New Roman" w:hAnsi="Times New Roman" w:cs="Times New Roman"/>
                <w:b/>
                <w:color w:val="FF0000"/>
                <w:sz w:val="24"/>
                <w:szCs w:val="24"/>
                <w:lang w:val="vi-VN"/>
              </w:rPr>
              <w:t>51</w:t>
            </w:r>
            <w:r w:rsidRPr="00C400DE">
              <w:rPr>
                <w:rFonts w:ascii="Times New Roman" w:eastAsia="Times New Roman" w:hAnsi="Times New Roman" w:cs="Times New Roman"/>
                <w:b/>
                <w:color w:val="FF0000"/>
                <w:sz w:val="24"/>
                <w:szCs w:val="24"/>
                <w:lang w:val="vi-VN"/>
              </w:rPr>
              <w:t xml:space="preserve"> Luật Đầu tư </w:t>
            </w:r>
            <w:r w:rsidR="00A44430" w:rsidRPr="00A44430">
              <w:rPr>
                <w:rFonts w:ascii="Times New Roman" w:eastAsia="Times New Roman" w:hAnsi="Times New Roman" w:cs="Times New Roman"/>
                <w:bCs/>
                <w:sz w:val="24"/>
                <w:szCs w:val="24"/>
              </w:rPr>
              <w:t xml:space="preserve"> </w:t>
            </w:r>
            <w:r w:rsidR="00A44430" w:rsidRPr="00A44430">
              <w:rPr>
                <w:rFonts w:ascii="Times New Roman" w:eastAsia="Times New Roman" w:hAnsi="Times New Roman" w:cs="Times New Roman"/>
                <w:b/>
                <w:bCs/>
                <w:color w:val="FF0000"/>
                <w:sz w:val="24"/>
                <w:szCs w:val="24"/>
              </w:rPr>
              <w:t>được</w:t>
            </w:r>
            <w:r w:rsidR="00A44430" w:rsidRPr="00A44430">
              <w:rPr>
                <w:rFonts w:ascii="Times New Roman" w:eastAsia="Times New Roman" w:hAnsi="Times New Roman" w:cs="Times New Roman"/>
                <w:b/>
                <w:color w:val="FF0000"/>
                <w:sz w:val="24"/>
                <w:szCs w:val="24"/>
              </w:rPr>
              <w:t xml:space="preserve"> </w:t>
            </w:r>
            <w:r w:rsidR="00A44430" w:rsidRPr="00A44430">
              <w:rPr>
                <w:rFonts w:ascii="Times New Roman" w:eastAsia="Times New Roman" w:hAnsi="Times New Roman" w:cs="Times New Roman"/>
                <w:b/>
                <w:bCs/>
                <w:color w:val="FF0000"/>
                <w:sz w:val="24"/>
                <w:szCs w:val="24"/>
              </w:rPr>
              <w:t>thông qua tại Kỳ họp thứ 10</w:t>
            </w:r>
            <w:r w:rsidR="00A44430" w:rsidRPr="00A44430">
              <w:rPr>
                <w:rFonts w:ascii="Times New Roman" w:eastAsia="Times New Roman" w:hAnsi="Times New Roman" w:cs="Times New Roman"/>
                <w:b/>
                <w:color w:val="FF0000"/>
                <w:sz w:val="24"/>
                <w:szCs w:val="24"/>
              </w:rPr>
              <w:t xml:space="preserve">  </w:t>
            </w:r>
            <w:r w:rsidR="00A44430" w:rsidRPr="00A44430">
              <w:rPr>
                <w:rFonts w:ascii="Times New Roman" w:eastAsia="Times New Roman" w:hAnsi="Times New Roman" w:cs="Times New Roman"/>
                <w:b/>
                <w:color w:val="FF0000"/>
                <w:sz w:val="24"/>
                <w:szCs w:val="24"/>
                <w:lang w:val="vi-VN"/>
              </w:rPr>
              <w:t xml:space="preserve">Quốc hội </w:t>
            </w:r>
            <w:r w:rsidR="00A44430" w:rsidRPr="00A44430">
              <w:rPr>
                <w:rFonts w:ascii="Times New Roman" w:eastAsia="Times New Roman" w:hAnsi="Times New Roman" w:cs="Times New Roman"/>
                <w:b/>
                <w:color w:val="FF0000"/>
                <w:sz w:val="24"/>
                <w:szCs w:val="24"/>
              </w:rPr>
              <w:t>khóa XV</w:t>
            </w:r>
          </w:p>
          <w:p w14:paraId="19047856" w14:textId="184869A0" w:rsidR="005C5D35" w:rsidRPr="00A35EC9" w:rsidRDefault="005C5D35" w:rsidP="00ED03DD">
            <w:pPr>
              <w:spacing w:after="0" w:line="240" w:lineRule="auto"/>
              <w:jc w:val="both"/>
              <w:rPr>
                <w:rFonts w:ascii="Times New Roman" w:eastAsia="Times New Roman" w:hAnsi="Times New Roman" w:cs="Times New Roman"/>
                <w:sz w:val="24"/>
                <w:szCs w:val="24"/>
              </w:rPr>
            </w:pPr>
          </w:p>
        </w:tc>
      </w:tr>
      <w:tr w:rsidR="005C5D35" w:rsidRPr="00A35EC9" w14:paraId="6F04C548" w14:textId="77777777" w:rsidTr="00ED03DD">
        <w:tc>
          <w:tcPr>
            <w:tcW w:w="702" w:type="dxa"/>
          </w:tcPr>
          <w:p w14:paraId="64F3D346" w14:textId="77777777" w:rsidR="005C5D35" w:rsidRPr="00A35EC9" w:rsidRDefault="005C5D35" w:rsidP="00ED03DD">
            <w:pPr>
              <w:pStyle w:val="ListParagraph"/>
              <w:numPr>
                <w:ilvl w:val="0"/>
                <w:numId w:val="3"/>
              </w:numPr>
              <w:tabs>
                <w:tab w:val="left" w:pos="360"/>
              </w:tabs>
              <w:spacing w:after="0" w:line="240" w:lineRule="auto"/>
              <w:rPr>
                <w:rFonts w:ascii="Times New Roman" w:eastAsia="Times New Roman" w:hAnsi="Times New Roman" w:cs="Times New Roman"/>
                <w:sz w:val="24"/>
                <w:szCs w:val="24"/>
              </w:rPr>
            </w:pPr>
          </w:p>
        </w:tc>
        <w:tc>
          <w:tcPr>
            <w:tcW w:w="1897" w:type="dxa"/>
          </w:tcPr>
          <w:p w14:paraId="78FD0CF4" w14:textId="77777777" w:rsidR="005C5D35" w:rsidRPr="00A35EC9" w:rsidRDefault="005C5D35" w:rsidP="00ED03DD">
            <w:pPr>
              <w:tabs>
                <w:tab w:val="left" w:pos="360"/>
              </w:tabs>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Phụ lục Nghị định số 31/2021/NĐ-CP</w:t>
            </w:r>
          </w:p>
        </w:tc>
        <w:tc>
          <w:tcPr>
            <w:tcW w:w="3913" w:type="dxa"/>
          </w:tcPr>
          <w:p w14:paraId="1EE6D565"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Danh mục địa bàn ưu đãi đầu tư chưa phù hợp với địa danh tỉnh Bắc Ninh mới sau sắp xếp hành chính.</w:t>
            </w:r>
          </w:p>
        </w:tc>
        <w:tc>
          <w:tcPr>
            <w:tcW w:w="1280" w:type="dxa"/>
          </w:tcPr>
          <w:p w14:paraId="189534C6"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 xml:space="preserve">C. Sửa đổi, bổ sung, thay thế, ban hành mới VBQPPL (theo trình </w:t>
            </w:r>
            <w:r w:rsidRPr="00A35EC9">
              <w:rPr>
                <w:rFonts w:ascii="Times New Roman" w:eastAsia="Times New Roman" w:hAnsi="Times New Roman" w:cs="Times New Roman"/>
                <w:sz w:val="24"/>
                <w:szCs w:val="24"/>
              </w:rPr>
              <w:lastRenderedPageBreak/>
              <w:t>tự, thủ tục rút gọn ban hành VBQPPL của Luật Ban hành VBQPPL)</w:t>
            </w:r>
          </w:p>
        </w:tc>
        <w:tc>
          <w:tcPr>
            <w:tcW w:w="1254" w:type="dxa"/>
          </w:tcPr>
          <w:p w14:paraId="2F16426F"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lastRenderedPageBreak/>
              <w:t>Sở Tư pháp tỉnh Bắc Ninh</w:t>
            </w:r>
          </w:p>
        </w:tc>
        <w:tc>
          <w:tcPr>
            <w:tcW w:w="2289" w:type="dxa"/>
          </w:tcPr>
          <w:p w14:paraId="03FF6023"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 xml:space="preserve">Nhất trí vì: </w:t>
            </w:r>
          </w:p>
          <w:p w14:paraId="7717E0F3" w14:textId="77777777" w:rsidR="005C5D35"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Hiện nay Bộ Tài chính đang nghiên cứu để sửa tổng thể Luật Đầu tư và các văn bản hướng dẫn thi hành. (năm 2025-</w:t>
            </w:r>
            <w:r w:rsidRPr="00A35EC9">
              <w:rPr>
                <w:rFonts w:ascii="Times New Roman" w:eastAsia="Times New Roman" w:hAnsi="Times New Roman" w:cs="Times New Roman"/>
                <w:sz w:val="24"/>
                <w:szCs w:val="24"/>
              </w:rPr>
              <w:lastRenderedPageBreak/>
              <w:t>2026).</w:t>
            </w:r>
          </w:p>
          <w:p w14:paraId="6A1DB9FE"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b/>
                <w:bCs/>
                <w:sz w:val="24"/>
                <w:szCs w:val="24"/>
              </w:rPr>
              <w:t>Theo Công văn số 08-CV/ĐUBTC-PC ngày 22/8/2025, Bộ Tài chính:</w:t>
            </w:r>
            <w:r>
              <w:rPr>
                <w:rFonts w:ascii="Times New Roman" w:eastAsia="Times New Roman" w:hAnsi="Times New Roman" w:cs="Times New Roman"/>
                <w:sz w:val="24"/>
                <w:szCs w:val="24"/>
              </w:rPr>
              <w:t xml:space="preserve"> Dự kiến sẽ trình Quốc hội tại Kỳ họp thứ 10 (tháng 10/2025)</w:t>
            </w:r>
          </w:p>
        </w:tc>
        <w:tc>
          <w:tcPr>
            <w:tcW w:w="2694" w:type="dxa"/>
          </w:tcPr>
          <w:p w14:paraId="78FEE512" w14:textId="77777777" w:rsidR="005C5D35" w:rsidRPr="001B6814" w:rsidRDefault="005C5D35" w:rsidP="00ED03DD">
            <w:pPr>
              <w:jc w:val="both"/>
              <w:rPr>
                <w:rFonts w:ascii="Times New Roman" w:hAnsi="Times New Roman" w:cs="Times New Roman"/>
                <w:b/>
                <w:sz w:val="24"/>
                <w:szCs w:val="24"/>
              </w:rPr>
            </w:pPr>
            <w:r w:rsidRPr="001B6814">
              <w:rPr>
                <w:rFonts w:ascii="Times New Roman" w:hAnsi="Times New Roman" w:cs="Times New Roman"/>
                <w:b/>
                <w:sz w:val="24"/>
                <w:szCs w:val="24"/>
              </w:rPr>
              <w:lastRenderedPageBreak/>
              <w:t>Chưa xử lý</w:t>
            </w:r>
          </w:p>
          <w:p w14:paraId="6651E893" w14:textId="77777777" w:rsidR="005C5D35" w:rsidRDefault="005C5D35" w:rsidP="00ED03DD">
            <w:pPr>
              <w:spacing w:after="0" w:line="240" w:lineRule="auto"/>
              <w:jc w:val="both"/>
              <w:rPr>
                <w:rFonts w:ascii="Times New Roman" w:eastAsia="Times New Roman" w:hAnsi="Times New Roman" w:cs="Times New Roman"/>
                <w:bCs/>
                <w:sz w:val="24"/>
                <w:szCs w:val="24"/>
              </w:rPr>
            </w:pPr>
          </w:p>
          <w:p w14:paraId="1BAD209D" w14:textId="11D6539A" w:rsidR="005C5D35" w:rsidRPr="00592602" w:rsidRDefault="005C5D35" w:rsidP="00ED03DD">
            <w:pPr>
              <w:spacing w:after="0" w:line="240" w:lineRule="auto"/>
              <w:jc w:val="both"/>
              <w:rPr>
                <w:rFonts w:ascii="Times New Roman" w:eastAsia="Times New Roman" w:hAnsi="Times New Roman" w:cs="Times New Roman"/>
                <w:bCs/>
                <w:sz w:val="24"/>
                <w:szCs w:val="24"/>
              </w:rPr>
            </w:pPr>
            <w:r w:rsidRPr="00592602">
              <w:rPr>
                <w:rFonts w:ascii="Times New Roman" w:eastAsia="Times New Roman" w:hAnsi="Times New Roman" w:cs="Times New Roman"/>
                <w:bCs/>
                <w:sz w:val="24"/>
                <w:szCs w:val="24"/>
              </w:rPr>
              <w:t xml:space="preserve">Ngày 11/12/2025, Quốc hội đã ban hành Luật Đầu tư </w:t>
            </w:r>
          </w:p>
          <w:p w14:paraId="5BC8EA9E" w14:textId="77777777" w:rsidR="005C5D35" w:rsidRPr="00653888" w:rsidRDefault="005C5D35" w:rsidP="00ED03DD">
            <w:pPr>
              <w:spacing w:after="0" w:line="240" w:lineRule="auto"/>
              <w:jc w:val="both"/>
              <w:rPr>
                <w:rFonts w:ascii="Times New Roman" w:eastAsia="Times New Roman" w:hAnsi="Times New Roman" w:cs="Times New Roman"/>
                <w:b/>
                <w:sz w:val="24"/>
                <w:szCs w:val="24"/>
                <w:lang w:val="vi-VN"/>
              </w:rPr>
            </w:pPr>
          </w:p>
          <w:p w14:paraId="11753EE3" w14:textId="45DDA975" w:rsidR="005C5D35" w:rsidRPr="00A35EC9" w:rsidRDefault="005C5D35" w:rsidP="00ED03DD">
            <w:pPr>
              <w:spacing w:after="0" w:line="240" w:lineRule="auto"/>
              <w:jc w:val="both"/>
              <w:rPr>
                <w:rFonts w:ascii="Times New Roman" w:eastAsia="Times New Roman" w:hAnsi="Times New Roman" w:cs="Times New Roman"/>
                <w:sz w:val="24"/>
                <w:szCs w:val="24"/>
              </w:rPr>
            </w:pPr>
            <w:r w:rsidRPr="00653888">
              <w:rPr>
                <w:rFonts w:ascii="Times New Roman" w:eastAsia="Times New Roman" w:hAnsi="Times New Roman" w:cs="Times New Roman"/>
                <w:b/>
                <w:color w:val="FF0000"/>
                <w:sz w:val="24"/>
                <w:szCs w:val="24"/>
                <w:lang w:val="vi-VN"/>
              </w:rPr>
              <w:lastRenderedPageBreak/>
              <w:t xml:space="preserve">Sẽ được hướng dẫn cụ thể tại Nghị định hướng dẫn Luật Đầu tư </w:t>
            </w:r>
          </w:p>
        </w:tc>
      </w:tr>
      <w:tr w:rsidR="005C5D35" w:rsidRPr="00A35EC9" w14:paraId="2BED880C" w14:textId="77777777" w:rsidTr="00ED03DD">
        <w:tc>
          <w:tcPr>
            <w:tcW w:w="702" w:type="dxa"/>
          </w:tcPr>
          <w:p w14:paraId="25115524" w14:textId="77777777" w:rsidR="005C5D35" w:rsidRPr="00A35EC9" w:rsidRDefault="005C5D35" w:rsidP="00ED03DD">
            <w:pPr>
              <w:pStyle w:val="ListParagraph"/>
              <w:numPr>
                <w:ilvl w:val="0"/>
                <w:numId w:val="3"/>
              </w:numPr>
              <w:tabs>
                <w:tab w:val="left" w:pos="360"/>
              </w:tabs>
              <w:spacing w:after="0" w:line="240" w:lineRule="auto"/>
              <w:rPr>
                <w:rFonts w:ascii="Times New Roman" w:eastAsia="Times New Roman" w:hAnsi="Times New Roman" w:cs="Times New Roman"/>
                <w:sz w:val="24"/>
                <w:szCs w:val="24"/>
              </w:rPr>
            </w:pPr>
          </w:p>
        </w:tc>
        <w:tc>
          <w:tcPr>
            <w:tcW w:w="1897" w:type="dxa"/>
          </w:tcPr>
          <w:p w14:paraId="24FC14D4" w14:textId="77777777" w:rsidR="005C5D35" w:rsidRPr="00A35EC9" w:rsidRDefault="005C5D35" w:rsidP="00ED03DD">
            <w:pPr>
              <w:tabs>
                <w:tab w:val="left" w:pos="360"/>
              </w:tabs>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VI. Lĩnh vực quản lý Khu Kinh tế Khoản 2 Điều 50 và khoản 9 Điều 51 Nghị định số 103/2024/NĐ-CP của Chính phủ quy định về tiền sử dụng đất, tiền thuê đất</w:t>
            </w:r>
          </w:p>
        </w:tc>
        <w:tc>
          <w:tcPr>
            <w:tcW w:w="3913" w:type="dxa"/>
          </w:tcPr>
          <w:p w14:paraId="75B7DF2E"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 xml:space="preserve">Khoản 2 Điều 50 và khoản 9 Điều 51 Nghị định số 103/2024/NĐ-CP của Chính phủ quy định về tiền sử dụng đất, tiền thuê đất thì các trường hợp tại khoản 2 Điều 257 Luật Đất đai sẽ tính thu tiền sử dụng đất, tiền thuê đất theo Quyết định phê duyệt giá đất của UBND tỉnh; đồng thời tính bổ sung theo mức 5,4%/năm đối với thời gian chưa tính tiền sử dụng đất. Tuy nhiên, Nghị định này chưa quy định rõ “thời gian chưa tính tiền sử dụng đất” nên cơ quan Thuế thực hiện tính bổ sung theo mức 5,4%/năm từ thời điểm cơ quan thẩm quyền ban hành quyết định giao đất, cho thuê đất, cho phép chuyển mục đích sử dụng đất, cho </w:t>
            </w:r>
            <w:r w:rsidRPr="00A35EC9">
              <w:rPr>
                <w:rFonts w:ascii="Times New Roman" w:eastAsia="Times New Roman" w:hAnsi="Times New Roman" w:cs="Times New Roman"/>
                <w:sz w:val="24"/>
                <w:szCs w:val="24"/>
              </w:rPr>
              <w:lastRenderedPageBreak/>
              <w:t>phép chuyển hình thức thuê đất, gia hạn sử dụng đất, điều chỉnh thời hạn sử dụng đất, điều chỉnh quy hoạch chi tiết xây dựng. Trong khi đó, khoản 4 Điều 155 Luật Đất đai quy định “Ủy ban nhân dân cấp có thẩm quyền phải ban hành quyết định giá đất trong thời hạn 180 ngày” kể từ thời điểm cơ quan thẩm quyền ban hành quyết định giao đất, cho thuê đất, cho phép chuyển mục đích sử dụng đất, cho phép chuyển hình thức thuê đất, gia hạn sử dụng đất, điều chỉnh thời hạn sử dụng đất, điều chỉnh quy hoạch chi tiết xây dựng. Vì vậy, cơ quan Thuế thực hiện tính bổ sung theo mức 5,4%/năm trong cả thời gian xác định giá đất của cơ quan chức năng, các nhà đầu tư không đồng thuận, gây khó khăn trong tổ chức thực hiện.</w:t>
            </w:r>
          </w:p>
        </w:tc>
        <w:tc>
          <w:tcPr>
            <w:tcW w:w="1280" w:type="dxa"/>
          </w:tcPr>
          <w:p w14:paraId="29F9E392"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lastRenderedPageBreak/>
              <w:t>C. Sửa đổi, bổ sung, thay thế, ban hành mới VBQPPL (theo trình tự, thủ tục rút gọn ban hành VBQPPL của Luật Ban hành VBQPPL)</w:t>
            </w:r>
          </w:p>
        </w:tc>
        <w:tc>
          <w:tcPr>
            <w:tcW w:w="1254" w:type="dxa"/>
          </w:tcPr>
          <w:p w14:paraId="729C1541"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Sở Tư pháp tỉnh Gia Lai</w:t>
            </w:r>
          </w:p>
        </w:tc>
        <w:tc>
          <w:tcPr>
            <w:tcW w:w="2289" w:type="dxa"/>
          </w:tcPr>
          <w:p w14:paraId="68E847CF" w14:textId="77777777" w:rsidR="005C5D35" w:rsidRDefault="005C5D35" w:rsidP="00ED03DD">
            <w:pPr>
              <w:spacing w:after="0" w:line="240" w:lineRule="auto"/>
              <w:jc w:val="both"/>
              <w:rPr>
                <w:rFonts w:ascii="Times New Roman" w:eastAsia="Times New Roman" w:hAnsi="Times New Roman" w:cs="Times New Roman"/>
                <w:sz w:val="24"/>
                <w:szCs w:val="24"/>
              </w:rPr>
            </w:pPr>
            <w:r w:rsidRPr="004C0220">
              <w:rPr>
                <w:rFonts w:ascii="Times New Roman" w:eastAsia="Times New Roman" w:hAnsi="Times New Roman" w:cs="Times New Roman"/>
                <w:sz w:val="24"/>
                <w:szCs w:val="24"/>
              </w:rPr>
              <w:t>Nhất trí vì:</w:t>
            </w:r>
            <w:r w:rsidRPr="004C0220">
              <w:rPr>
                <w:rFonts w:ascii="Times New Roman" w:eastAsia="Times New Roman" w:hAnsi="Times New Roman" w:cs="Times New Roman"/>
                <w:sz w:val="24"/>
                <w:szCs w:val="24"/>
              </w:rPr>
              <w:br/>
              <w:t>Hiện nay Bộ Tài chính đang xây dựng dự thảo Nghị định sửa đổi, bổ sung Nghị định 103/2024/NĐ-CP; trong đó có quy định cụ thể về thời gian chưa tính tiền sử dụng đất, tiền thuê đất</w:t>
            </w:r>
            <w:r>
              <w:rPr>
                <w:rFonts w:ascii="Times New Roman" w:eastAsia="Times New Roman" w:hAnsi="Times New Roman" w:cs="Times New Roman"/>
                <w:sz w:val="24"/>
                <w:szCs w:val="24"/>
              </w:rPr>
              <w:t>.</w:t>
            </w:r>
          </w:p>
          <w:p w14:paraId="3217D14D" w14:textId="77777777" w:rsidR="005C5D35" w:rsidRPr="00A35EC9" w:rsidRDefault="005C5D35" w:rsidP="00ED03DD">
            <w:pPr>
              <w:widowControl w:val="0"/>
              <w:spacing w:before="120" w:after="120" w:line="240" w:lineRule="auto"/>
              <w:jc w:val="both"/>
              <w:outlineLvl w:val="0"/>
              <w:rPr>
                <w:rFonts w:ascii="Times New Roman" w:eastAsia="Times New Roman" w:hAnsi="Times New Roman" w:cs="Times New Roman"/>
                <w:sz w:val="24"/>
                <w:szCs w:val="24"/>
              </w:rPr>
            </w:pPr>
            <w:r>
              <w:rPr>
                <w:rFonts w:ascii="Times New Roman" w:eastAsia="Times New Roman" w:hAnsi="Times New Roman"/>
                <w:b/>
                <w:bCs/>
                <w:sz w:val="24"/>
                <w:szCs w:val="24"/>
              </w:rPr>
              <w:t xml:space="preserve">Theo Công văn số 08-CV/ĐUBTC-PC ngày 22/8/2025, Bộ Tài chính: </w:t>
            </w:r>
            <w:r w:rsidRPr="00A35EC9">
              <w:rPr>
                <w:rFonts w:ascii="Times New Roman" w:eastAsia="Times New Roman" w:hAnsi="Times New Roman" w:cs="Times New Roman"/>
                <w:sz w:val="24"/>
                <w:szCs w:val="24"/>
              </w:rPr>
              <w:t xml:space="preserve">Bộ Tài </w:t>
            </w:r>
            <w:r w:rsidRPr="00A35EC9">
              <w:rPr>
                <w:rFonts w:ascii="Times New Roman" w:eastAsia="Times New Roman" w:hAnsi="Times New Roman" w:cs="Times New Roman"/>
                <w:sz w:val="24"/>
                <w:szCs w:val="24"/>
              </w:rPr>
              <w:lastRenderedPageBreak/>
              <w:t xml:space="preserve">chính đã có Tờ trình Chính phủ số 476/TTr-BTC ngày 08/8/2025 trình dự thảo Nghị định của Chính phủ sửa đổi, bổ sung một số điều của Nghị định số 103/2024/NĐ-CP ngày 30 tháng 7 năm 2024 của Chính phủ quy định về tiền sử dụng đất, tiền thuê đất và Nghị định số 104/2024/NĐ-CP ngày 31 tháng 7 năm 2024 của Chính phủ quy định về Quỹ phát triển đất. </w:t>
            </w:r>
          </w:p>
        </w:tc>
        <w:tc>
          <w:tcPr>
            <w:tcW w:w="2694" w:type="dxa"/>
          </w:tcPr>
          <w:p w14:paraId="5D1749D9" w14:textId="77777777" w:rsidR="005C5D35" w:rsidRPr="001C67FC" w:rsidRDefault="005C5D35" w:rsidP="00ED03DD">
            <w:pPr>
              <w:pBdr>
                <w:top w:val="nil"/>
                <w:left w:val="nil"/>
                <w:bottom w:val="nil"/>
                <w:right w:val="nil"/>
                <w:between w:val="nil"/>
              </w:pBdr>
              <w:jc w:val="both"/>
              <w:rPr>
                <w:rFonts w:ascii="Times New Roman" w:eastAsia="Times New Roman" w:hAnsi="Times New Roman" w:cs="Times New Roman"/>
                <w:b/>
                <w:sz w:val="24"/>
                <w:szCs w:val="24"/>
              </w:rPr>
            </w:pPr>
            <w:r w:rsidRPr="00F41238">
              <w:rPr>
                <w:rFonts w:ascii="Times New Roman" w:eastAsia="Times New Roman" w:hAnsi="Times New Roman" w:cs="Times New Roman"/>
                <w:b/>
                <w:sz w:val="24"/>
                <w:szCs w:val="24"/>
                <w:highlight w:val="yellow"/>
              </w:rPr>
              <w:lastRenderedPageBreak/>
              <w:t>Đã xử lý</w:t>
            </w:r>
          </w:p>
          <w:p w14:paraId="6178E64B" w14:textId="77777777" w:rsidR="005C5D35" w:rsidRPr="00A00F24" w:rsidRDefault="005C5D35" w:rsidP="00ED03DD">
            <w:pPr>
              <w:spacing w:after="0"/>
              <w:jc w:val="both"/>
              <w:rPr>
                <w:rFonts w:ascii="Times New Roman" w:hAnsi="Times New Roman" w:cs="Times New Roman"/>
                <w:b/>
                <w:bCs/>
                <w:sz w:val="24"/>
                <w:szCs w:val="24"/>
                <w:lang w:val="vi-VN"/>
              </w:rPr>
            </w:pPr>
            <w:r w:rsidRPr="00A00F24">
              <w:rPr>
                <w:rFonts w:ascii="Times New Roman" w:hAnsi="Times New Roman" w:cs="Times New Roman"/>
                <w:b/>
                <w:bCs/>
                <w:sz w:val="24"/>
                <w:szCs w:val="24"/>
                <w:lang w:val="vi-VN"/>
              </w:rPr>
              <w:t xml:space="preserve">Chính phủ đã ban hành 291/2025/NĐ-CP ngày 06/11/2025 sửa đổi, bổ sung một số điều của Nghị định số </w:t>
            </w:r>
            <w:r w:rsidRPr="00E96C84">
              <w:rPr>
                <w:rFonts w:ascii="Times New Roman" w:eastAsia="Times New Roman" w:hAnsi="Times New Roman" w:cs="Times New Roman"/>
                <w:b/>
                <w:sz w:val="24"/>
                <w:szCs w:val="24"/>
                <w:lang w:val="vi-VN"/>
              </w:rPr>
              <w:t>103/2024/NĐ-CP của Chính phủ quy định về tiền sử dụng đất, tiền thuê đất</w:t>
            </w:r>
          </w:p>
          <w:p w14:paraId="56C54F89" w14:textId="41EE36FA" w:rsidR="005C5D35" w:rsidRPr="00A35EC9" w:rsidRDefault="005C5D35" w:rsidP="00ED03DD">
            <w:pPr>
              <w:spacing w:after="0"/>
              <w:jc w:val="both"/>
              <w:rPr>
                <w:rFonts w:ascii="Times New Roman" w:eastAsia="Times New Roman" w:hAnsi="Times New Roman" w:cs="Times New Roman"/>
                <w:sz w:val="24"/>
                <w:szCs w:val="24"/>
              </w:rPr>
            </w:pPr>
          </w:p>
        </w:tc>
      </w:tr>
      <w:tr w:rsidR="005C5D35" w:rsidRPr="00A35EC9" w14:paraId="428F2360" w14:textId="77777777" w:rsidTr="00ED03DD">
        <w:tc>
          <w:tcPr>
            <w:tcW w:w="702" w:type="dxa"/>
          </w:tcPr>
          <w:p w14:paraId="5288FC37" w14:textId="77777777" w:rsidR="005C5D35" w:rsidRPr="00A35EC9" w:rsidRDefault="005C5D35" w:rsidP="00ED03DD">
            <w:pPr>
              <w:pStyle w:val="ListParagraph"/>
              <w:numPr>
                <w:ilvl w:val="0"/>
                <w:numId w:val="3"/>
              </w:numPr>
              <w:tabs>
                <w:tab w:val="left" w:pos="360"/>
              </w:tabs>
              <w:spacing w:after="0" w:line="240" w:lineRule="auto"/>
              <w:rPr>
                <w:rFonts w:ascii="Times New Roman" w:eastAsia="Times New Roman" w:hAnsi="Times New Roman" w:cs="Times New Roman"/>
                <w:sz w:val="24"/>
                <w:szCs w:val="24"/>
              </w:rPr>
            </w:pPr>
          </w:p>
        </w:tc>
        <w:tc>
          <w:tcPr>
            <w:tcW w:w="1897" w:type="dxa"/>
          </w:tcPr>
          <w:p w14:paraId="6C40AB3C" w14:textId="77777777" w:rsidR="005C5D35" w:rsidRPr="00A35EC9" w:rsidRDefault="005C5D35" w:rsidP="00ED03DD">
            <w:pPr>
              <w:tabs>
                <w:tab w:val="left" w:pos="360"/>
              </w:tabs>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 xml:space="preserve">Điều 10 Thông tư 55/2023/TT-BTC ngày 15/8/2023 của Bộ Tài chính quy </w:t>
            </w:r>
            <w:r w:rsidRPr="00A35EC9">
              <w:rPr>
                <w:rFonts w:ascii="Times New Roman" w:eastAsia="Times New Roman" w:hAnsi="Times New Roman" w:cs="Times New Roman"/>
                <w:sz w:val="24"/>
                <w:szCs w:val="24"/>
              </w:rPr>
              <w:lastRenderedPageBreak/>
              <w:t>định quản lý, sử dụng và quyết toán kinh phí sự nghiệp từ nguồn ngân sách nhà nước thực hiện các chương trình mục tiêu quốc gia giai đoạn 2021-2025</w:t>
            </w:r>
          </w:p>
        </w:tc>
        <w:tc>
          <w:tcPr>
            <w:tcW w:w="3913" w:type="dxa"/>
          </w:tcPr>
          <w:p w14:paraId="07F61429"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lastRenderedPageBreak/>
              <w:t xml:space="preserve">Điều 10 Thông tư 55/2023/TT-BTC quy định: “1. Việc lập dự toán kinh phí thực hiện dự án, mô hình, kế hoạch liên kết, phương án sản xuất được xây dựng trên cơ sở các nội </w:t>
            </w:r>
            <w:r w:rsidRPr="00A35EC9">
              <w:rPr>
                <w:rFonts w:ascii="Times New Roman" w:eastAsia="Times New Roman" w:hAnsi="Times New Roman" w:cs="Times New Roman"/>
                <w:sz w:val="24"/>
                <w:szCs w:val="24"/>
              </w:rPr>
              <w:lastRenderedPageBreak/>
              <w:t xml:space="preserve">dung hỗ trợ quy định tại Chương V Nghị định số 27/2022/NĐ-CP (được sửa đổi, bổ sung tại khoản 11, 12, 13 và 14 Điều 1 Nghị định số 38/2023/NĐ-CP); Quyết định số 1719/QĐ-TTg; hướng dẫn của Ủy ban Dân tộc, Bộ Nông nghiệp và Phát triển nông thôn, Bộ Y tế; nội dung, mức chi tương ứng quy định tại Điều 12 Thông tư này và chế độ chi tiêu tài chính hiện hành. 2. Đối với dự án hỗ trợ phát triển ngành nghề và dịch vụ: Trường hợp cơ quan có thẩm quyền ban hành đơn giá thì căn cứ vào đơn giá do cơ quan có thẩm quyền ban hành và quy định tại khoản 1 Điều này để lập dự toán kinh phí thực hiện dự án. 3. Việc thanh toán kinh phí thực hiện dự án, mô hình, kế hoạch liên kết, phương án sản xuất thực hiện theo quy định tại khoản 5 Điều 3 Thông tư này; việc quyết toán căn cứ kết quả nghiệm thu khối lượng công việc hoàn thành theo tiến độ từng năm hoặc giai đoạn và quy định của pháp </w:t>
            </w:r>
            <w:r w:rsidRPr="00A35EC9">
              <w:rPr>
                <w:rFonts w:ascii="Times New Roman" w:eastAsia="Times New Roman" w:hAnsi="Times New Roman" w:cs="Times New Roman"/>
                <w:sz w:val="24"/>
                <w:szCs w:val="24"/>
              </w:rPr>
              <w:lastRenderedPageBreak/>
              <w:t>luật về ngân sách nhà nước, kế toán và hóa đơn chứng từ.” Yêu cầu chứng từ chi tiết, bảng kê, biên bản nghiệm thu cho các khoản chi nhỏ gây tốn thời gian, chi phí, hạn chế sự linh hoạt của địa phương.</w:t>
            </w:r>
          </w:p>
        </w:tc>
        <w:tc>
          <w:tcPr>
            <w:tcW w:w="1280" w:type="dxa"/>
          </w:tcPr>
          <w:p w14:paraId="06702A03"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lastRenderedPageBreak/>
              <w:t xml:space="preserve">C. Sửa đổi, bổ sung, thay thế, ban hành mới </w:t>
            </w:r>
            <w:r w:rsidRPr="00A35EC9">
              <w:rPr>
                <w:rFonts w:ascii="Times New Roman" w:eastAsia="Times New Roman" w:hAnsi="Times New Roman" w:cs="Times New Roman"/>
                <w:sz w:val="24"/>
                <w:szCs w:val="24"/>
              </w:rPr>
              <w:lastRenderedPageBreak/>
              <w:t>VBQPPL (theo trình tự, thủ tục rút gọn ban hành VBQPPL của Luật Ban hành VBQPPL)</w:t>
            </w:r>
          </w:p>
        </w:tc>
        <w:tc>
          <w:tcPr>
            <w:tcW w:w="1254" w:type="dxa"/>
          </w:tcPr>
          <w:p w14:paraId="180862A6"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lastRenderedPageBreak/>
              <w:t>Sở Tư pháp tỉnh Thái Nguyên</w:t>
            </w:r>
          </w:p>
        </w:tc>
        <w:tc>
          <w:tcPr>
            <w:tcW w:w="2289" w:type="dxa"/>
          </w:tcPr>
          <w:p w14:paraId="14BD3E91" w14:textId="77777777" w:rsidR="005C5D35" w:rsidRDefault="005C5D35" w:rsidP="00ED03DD">
            <w:pPr>
              <w:spacing w:after="0" w:line="240" w:lineRule="auto"/>
              <w:jc w:val="both"/>
              <w:rPr>
                <w:rFonts w:ascii="Times New Roman" w:eastAsia="Times New Roman" w:hAnsi="Times New Roman" w:cs="Times New Roman"/>
                <w:sz w:val="24"/>
                <w:szCs w:val="24"/>
              </w:rPr>
            </w:pPr>
          </w:p>
          <w:p w14:paraId="3B16065C" w14:textId="77777777" w:rsidR="005C5D35" w:rsidRDefault="005C5D35" w:rsidP="00ED03DD">
            <w:pPr>
              <w:spacing w:after="0" w:line="240" w:lineRule="auto"/>
              <w:jc w:val="both"/>
              <w:rPr>
                <w:rFonts w:ascii="Times New Roman" w:eastAsia="Times New Roman" w:hAnsi="Times New Roman" w:cs="Times New Roman"/>
                <w:sz w:val="24"/>
                <w:szCs w:val="24"/>
              </w:rPr>
            </w:pPr>
            <w:r w:rsidRPr="004C0220">
              <w:rPr>
                <w:rFonts w:ascii="Times New Roman" w:eastAsia="Times New Roman" w:hAnsi="Times New Roman" w:cs="Times New Roman"/>
                <w:sz w:val="24"/>
                <w:szCs w:val="24"/>
              </w:rPr>
              <w:t xml:space="preserve">Nhất trí: </w:t>
            </w:r>
            <w:r w:rsidRPr="004C0220">
              <w:rPr>
                <w:rFonts w:ascii="Times New Roman" w:eastAsia="Times New Roman" w:hAnsi="Times New Roman" w:cs="Times New Roman"/>
                <w:sz w:val="24"/>
                <w:szCs w:val="24"/>
              </w:rPr>
              <w:br/>
              <w:t xml:space="preserve">Bộ Tài chính sẽ nghiên cứu để sửa đổi, bổ sung đảm bảo </w:t>
            </w:r>
            <w:r w:rsidRPr="004C0220">
              <w:rPr>
                <w:rFonts w:ascii="Times New Roman" w:eastAsia="Times New Roman" w:hAnsi="Times New Roman" w:cs="Times New Roman"/>
                <w:sz w:val="24"/>
                <w:szCs w:val="24"/>
              </w:rPr>
              <w:lastRenderedPageBreak/>
              <w:t>phù hợp với quy định của Chính phủ về quản lý CTMTQG, quy định pháp luật NSNN và kế toán</w:t>
            </w:r>
          </w:p>
          <w:p w14:paraId="56FECE6A" w14:textId="77777777" w:rsidR="005C5D35" w:rsidRDefault="005C5D35" w:rsidP="00ED03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b/>
                <w:bCs/>
                <w:sz w:val="24"/>
                <w:szCs w:val="24"/>
              </w:rPr>
              <w:t>Theo Công văn số 08-CV/ĐUBTC-PC ngày 22/8/2025, Bộ Tài chính:</w:t>
            </w:r>
          </w:p>
          <w:p w14:paraId="08418DEE" w14:textId="77777777" w:rsidR="005C5D35" w:rsidRPr="004C0220"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Dự kiến sẽ hoàn thành trong năm 2025 (dự kiến  ban hành trong Quý IV/2025).</w:t>
            </w:r>
          </w:p>
        </w:tc>
        <w:tc>
          <w:tcPr>
            <w:tcW w:w="2694" w:type="dxa"/>
          </w:tcPr>
          <w:p w14:paraId="4F1952DE" w14:textId="77777777" w:rsidR="005C5D35" w:rsidRPr="001C67FC" w:rsidRDefault="005C5D35" w:rsidP="00ED03DD">
            <w:pPr>
              <w:pBdr>
                <w:top w:val="nil"/>
                <w:left w:val="nil"/>
                <w:bottom w:val="nil"/>
                <w:right w:val="nil"/>
                <w:between w:val="nil"/>
              </w:pBdr>
              <w:jc w:val="both"/>
              <w:rPr>
                <w:rFonts w:ascii="Times New Roman" w:eastAsia="Times New Roman" w:hAnsi="Times New Roman" w:cs="Times New Roman"/>
                <w:b/>
                <w:sz w:val="24"/>
                <w:szCs w:val="24"/>
              </w:rPr>
            </w:pPr>
            <w:r w:rsidRPr="00F41238">
              <w:rPr>
                <w:rFonts w:ascii="Times New Roman" w:eastAsia="Times New Roman" w:hAnsi="Times New Roman" w:cs="Times New Roman"/>
                <w:b/>
                <w:sz w:val="24"/>
                <w:szCs w:val="24"/>
                <w:highlight w:val="yellow"/>
              </w:rPr>
              <w:lastRenderedPageBreak/>
              <w:t>Đã xử lý</w:t>
            </w:r>
          </w:p>
          <w:p w14:paraId="198CFA06" w14:textId="77777777" w:rsidR="005C5D35" w:rsidRPr="00653888" w:rsidRDefault="005C5D35" w:rsidP="00ED03DD">
            <w:pPr>
              <w:spacing w:after="0"/>
              <w:jc w:val="both"/>
              <w:rPr>
                <w:rFonts w:ascii="Times New Roman" w:hAnsi="Times New Roman" w:cs="Times New Roman"/>
                <w:b/>
                <w:bCs/>
                <w:sz w:val="24"/>
                <w:szCs w:val="24"/>
                <w:lang w:val="vi-VN"/>
              </w:rPr>
            </w:pPr>
            <w:r w:rsidRPr="00653888">
              <w:rPr>
                <w:rFonts w:ascii="Times New Roman" w:hAnsi="Times New Roman" w:cs="Times New Roman"/>
                <w:b/>
                <w:bCs/>
                <w:sz w:val="24"/>
                <w:szCs w:val="24"/>
                <w:lang w:val="vi-VN"/>
              </w:rPr>
              <w:t xml:space="preserve">Thông tư số 112/2025/TT-BTC ngày 28/11/2025 sửa đổi, bổ </w:t>
            </w:r>
            <w:r w:rsidRPr="00653888">
              <w:rPr>
                <w:rFonts w:ascii="Times New Roman" w:hAnsi="Times New Roman" w:cs="Times New Roman"/>
                <w:b/>
                <w:bCs/>
                <w:sz w:val="24"/>
                <w:szCs w:val="24"/>
                <w:lang w:val="vi-VN"/>
              </w:rPr>
              <w:lastRenderedPageBreak/>
              <w:t xml:space="preserve">sung một số điều của </w:t>
            </w:r>
            <w:r w:rsidRPr="00653888">
              <w:rPr>
                <w:rFonts w:ascii="Times New Roman" w:eastAsia="Times New Roman" w:hAnsi="Times New Roman" w:cs="Times New Roman"/>
                <w:b/>
                <w:sz w:val="24"/>
                <w:szCs w:val="24"/>
                <w:lang w:val="vi-VN"/>
              </w:rPr>
              <w:t>Thông tư 55/2023/TT-BTC ngày 15/8/2023 của Bộ Tài chính quy định quản lý, sử dụng và quyết toán kinh phí sự nghiệp từ nguồn ngân sách nhà nước thực hiện các chương trình mục tiêu quốc gia giai đoạn 2021-2025</w:t>
            </w:r>
          </w:p>
          <w:p w14:paraId="55EE99A2" w14:textId="104EE529" w:rsidR="005C5D35" w:rsidRPr="00A35EC9" w:rsidRDefault="005C5D35" w:rsidP="00ED03DD">
            <w:pPr>
              <w:spacing w:after="0" w:line="240" w:lineRule="auto"/>
              <w:jc w:val="both"/>
              <w:rPr>
                <w:rFonts w:ascii="Times New Roman" w:eastAsia="Times New Roman" w:hAnsi="Times New Roman" w:cs="Times New Roman"/>
                <w:sz w:val="24"/>
                <w:szCs w:val="24"/>
              </w:rPr>
            </w:pPr>
          </w:p>
        </w:tc>
      </w:tr>
      <w:tr w:rsidR="005C5D35" w:rsidRPr="009C2F0D" w14:paraId="376FD3B3" w14:textId="77777777" w:rsidTr="00ED03DD">
        <w:tc>
          <w:tcPr>
            <w:tcW w:w="702" w:type="dxa"/>
          </w:tcPr>
          <w:p w14:paraId="084CF597" w14:textId="77777777" w:rsidR="005C5D35" w:rsidRPr="00A35EC9" w:rsidRDefault="005C5D35" w:rsidP="00ED03DD">
            <w:pPr>
              <w:pStyle w:val="ListParagraph"/>
              <w:numPr>
                <w:ilvl w:val="0"/>
                <w:numId w:val="3"/>
              </w:numPr>
              <w:tabs>
                <w:tab w:val="left" w:pos="360"/>
              </w:tabs>
              <w:spacing w:after="0" w:line="240" w:lineRule="auto"/>
              <w:rPr>
                <w:rFonts w:ascii="Times New Roman" w:eastAsia="Times New Roman" w:hAnsi="Times New Roman" w:cs="Times New Roman"/>
                <w:sz w:val="24"/>
                <w:szCs w:val="24"/>
              </w:rPr>
            </w:pPr>
          </w:p>
        </w:tc>
        <w:tc>
          <w:tcPr>
            <w:tcW w:w="1897" w:type="dxa"/>
          </w:tcPr>
          <w:p w14:paraId="0B7661EC" w14:textId="77777777" w:rsidR="005C5D35" w:rsidRPr="00A35EC9" w:rsidRDefault="005C5D35" w:rsidP="00ED03DD">
            <w:pPr>
              <w:tabs>
                <w:tab w:val="left" w:pos="360"/>
              </w:tabs>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 xml:space="preserve">Điều 16 Luật Đầu tư về Ngành, nghề ưu đãi đầu tư và địa bàn ưu đãi đầu tư b) Sản xuất vật liệu mới, năng lượng mới, năng lượng sạch, năng lượng tái tạo; sản xuất sản phẩm có giá trị gia tăng từ 30% trở lên, sản phẩm tiết kiệm năng lượng; Khoản 6 Phần I Mục A Phụ lục II Nghị định số 31/2021/NĐ-CP: </w:t>
            </w:r>
            <w:r w:rsidRPr="00A35EC9">
              <w:rPr>
                <w:rFonts w:ascii="Times New Roman" w:eastAsia="Times New Roman" w:hAnsi="Times New Roman" w:cs="Times New Roman"/>
                <w:sz w:val="24"/>
                <w:szCs w:val="24"/>
              </w:rPr>
              <w:lastRenderedPageBreak/>
              <w:t>“6. Sản xuất năng lượng tái tạo, năng lượng sạch, năng lượng từ việc tiêu hủy chất thải”.</w:t>
            </w:r>
          </w:p>
        </w:tc>
        <w:tc>
          <w:tcPr>
            <w:tcW w:w="3913" w:type="dxa"/>
          </w:tcPr>
          <w:p w14:paraId="579759D3"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lastRenderedPageBreak/>
              <w:t>Đối tượng được ưu đãi đầu tư quy định “sản xuất vật liệu mới, năng lượng mới, năng lượng sạch, năng lượng tái tạo” chưa chuẩn xác, cần hiệu chỉnh làm rõ đối tượng ưu đãi là đối với lĩnh vực sản xuất điện từ nguồn năng lượng tái tạo và năng lượng mới.</w:t>
            </w:r>
          </w:p>
        </w:tc>
        <w:tc>
          <w:tcPr>
            <w:tcW w:w="1280" w:type="dxa"/>
          </w:tcPr>
          <w:p w14:paraId="645DCB3E"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C. Sửa đổi, bổ sung, thay thế, ban hành mới VBQPPL (theo trình tự, thủ tục rút gọn ban hành VBQPPL của Luật Ban hành VBQPPL)</w:t>
            </w:r>
          </w:p>
        </w:tc>
        <w:tc>
          <w:tcPr>
            <w:tcW w:w="1254" w:type="dxa"/>
          </w:tcPr>
          <w:p w14:paraId="7D4AF052"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Bộ Công Thương</w:t>
            </w:r>
          </w:p>
        </w:tc>
        <w:tc>
          <w:tcPr>
            <w:tcW w:w="2289" w:type="dxa"/>
          </w:tcPr>
          <w:p w14:paraId="3EF28216" w14:textId="77777777" w:rsidR="005C5D35" w:rsidRPr="004C0220" w:rsidRDefault="005C5D35" w:rsidP="00ED03DD">
            <w:pPr>
              <w:spacing w:after="0" w:line="240" w:lineRule="auto"/>
              <w:jc w:val="both"/>
              <w:rPr>
                <w:rFonts w:ascii="Times New Roman" w:eastAsia="Times New Roman" w:hAnsi="Times New Roman" w:cs="Times New Roman"/>
                <w:sz w:val="24"/>
                <w:szCs w:val="24"/>
              </w:rPr>
            </w:pPr>
            <w:r w:rsidRPr="004C0220">
              <w:rPr>
                <w:rFonts w:ascii="Times New Roman" w:eastAsia="Times New Roman" w:hAnsi="Times New Roman" w:cs="Times New Roman"/>
                <w:sz w:val="24"/>
                <w:szCs w:val="24"/>
              </w:rPr>
              <w:t xml:space="preserve">Nhất trí vì: </w:t>
            </w:r>
          </w:p>
          <w:p w14:paraId="7875490D" w14:textId="77777777" w:rsidR="005C5D35" w:rsidRDefault="005C5D35" w:rsidP="00ED03DD">
            <w:pPr>
              <w:spacing w:after="0" w:line="240" w:lineRule="auto"/>
              <w:jc w:val="both"/>
              <w:rPr>
                <w:rFonts w:ascii="Times New Roman" w:eastAsia="Times New Roman" w:hAnsi="Times New Roman" w:cs="Times New Roman"/>
                <w:sz w:val="24"/>
                <w:szCs w:val="24"/>
              </w:rPr>
            </w:pPr>
            <w:r w:rsidRPr="004C0220">
              <w:rPr>
                <w:rFonts w:ascii="Times New Roman" w:eastAsia="Times New Roman" w:hAnsi="Times New Roman" w:cs="Times New Roman"/>
                <w:sz w:val="24"/>
                <w:szCs w:val="24"/>
              </w:rPr>
              <w:t>Hiện nay Bộ Tài chính đang nghiên cứu để sửa tổng thể Luật Đầu tư và các văn bản hướng dẫn thi hành. (năm 2025-2026).</w:t>
            </w:r>
          </w:p>
          <w:p w14:paraId="4680675E" w14:textId="77777777" w:rsidR="005C5D35" w:rsidRDefault="005C5D35" w:rsidP="00ED03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b/>
                <w:bCs/>
                <w:sz w:val="24"/>
                <w:szCs w:val="24"/>
              </w:rPr>
              <w:t>Theo Công văn số 08-CV/ĐUBTC-PC ngày 22/8/2025, Bộ Tài chính:</w:t>
            </w:r>
          </w:p>
          <w:p w14:paraId="470A4D80" w14:textId="77777777" w:rsidR="005C5D35" w:rsidRDefault="005C5D35" w:rsidP="00ED03DD">
            <w:pPr>
              <w:spacing w:after="0" w:line="240" w:lineRule="auto"/>
              <w:jc w:val="both"/>
              <w:rPr>
                <w:rFonts w:ascii="Times New Roman" w:eastAsia="Times New Roman" w:hAnsi="Times New Roman" w:cs="Times New Roman"/>
                <w:sz w:val="24"/>
                <w:szCs w:val="24"/>
              </w:rPr>
            </w:pPr>
          </w:p>
          <w:p w14:paraId="714C04DC" w14:textId="77777777" w:rsidR="005C5D35" w:rsidRPr="00A35EC9" w:rsidRDefault="005C5D35" w:rsidP="00ED03DD">
            <w:pPr>
              <w:spacing w:after="0" w:line="240" w:lineRule="auto"/>
              <w:jc w:val="both"/>
              <w:rPr>
                <w:rFonts w:ascii="Times New Roman" w:eastAsia="Times New Roman" w:hAnsi="Times New Roman" w:cs="Times New Roman"/>
                <w:sz w:val="24"/>
                <w:szCs w:val="24"/>
                <w:lang w:val="vi-VN"/>
              </w:rPr>
            </w:pPr>
            <w:r w:rsidRPr="00A35EC9">
              <w:rPr>
                <w:rFonts w:ascii="Times New Roman" w:eastAsia="Times New Roman" w:hAnsi="Times New Roman" w:cs="Times New Roman"/>
                <w:sz w:val="24"/>
                <w:szCs w:val="24"/>
              </w:rPr>
              <w:t>Dự</w:t>
            </w:r>
            <w:r w:rsidRPr="00A35EC9">
              <w:rPr>
                <w:rFonts w:ascii="Times New Roman" w:eastAsia="Times New Roman" w:hAnsi="Times New Roman" w:cs="Times New Roman"/>
                <w:sz w:val="24"/>
                <w:szCs w:val="24"/>
                <w:lang w:val="vi-VN"/>
              </w:rPr>
              <w:t xml:space="preserve"> kiến trình Quốc hội tại Kỳ họp tháng 10/2025</w:t>
            </w:r>
          </w:p>
        </w:tc>
        <w:tc>
          <w:tcPr>
            <w:tcW w:w="2694" w:type="dxa"/>
          </w:tcPr>
          <w:p w14:paraId="0EE3E3D3" w14:textId="77777777" w:rsidR="005C5D35" w:rsidRPr="001C67FC" w:rsidRDefault="005C5D35" w:rsidP="00ED03DD">
            <w:pPr>
              <w:pBdr>
                <w:top w:val="nil"/>
                <w:left w:val="nil"/>
                <w:bottom w:val="nil"/>
                <w:right w:val="nil"/>
                <w:between w:val="nil"/>
              </w:pBdr>
              <w:jc w:val="both"/>
              <w:rPr>
                <w:rFonts w:ascii="Times New Roman" w:eastAsia="Times New Roman" w:hAnsi="Times New Roman" w:cs="Times New Roman"/>
                <w:b/>
                <w:sz w:val="24"/>
                <w:szCs w:val="24"/>
              </w:rPr>
            </w:pPr>
            <w:r w:rsidRPr="00F41238">
              <w:rPr>
                <w:rFonts w:ascii="Times New Roman" w:eastAsia="Times New Roman" w:hAnsi="Times New Roman" w:cs="Times New Roman"/>
                <w:b/>
                <w:sz w:val="24"/>
                <w:szCs w:val="24"/>
                <w:highlight w:val="yellow"/>
              </w:rPr>
              <w:t>Đã xử lý</w:t>
            </w:r>
          </w:p>
          <w:p w14:paraId="57A7DF75" w14:textId="77777777" w:rsidR="005C5D35" w:rsidRPr="00592602" w:rsidRDefault="005C5D35" w:rsidP="00ED03DD">
            <w:pPr>
              <w:spacing w:after="0" w:line="240" w:lineRule="auto"/>
              <w:jc w:val="both"/>
              <w:rPr>
                <w:rFonts w:ascii="Times New Roman" w:eastAsia="Times New Roman" w:hAnsi="Times New Roman" w:cs="Times New Roman"/>
                <w:bCs/>
                <w:sz w:val="24"/>
                <w:szCs w:val="24"/>
              </w:rPr>
            </w:pPr>
            <w:r w:rsidRPr="00592602">
              <w:rPr>
                <w:rFonts w:ascii="Times New Roman" w:eastAsia="Times New Roman" w:hAnsi="Times New Roman" w:cs="Times New Roman"/>
                <w:bCs/>
                <w:sz w:val="24"/>
                <w:szCs w:val="24"/>
              </w:rPr>
              <w:t xml:space="preserve">Ngày 11/12/2025, Quốc hội đã ban hành Luật Đầu tư </w:t>
            </w:r>
          </w:p>
          <w:p w14:paraId="5E34621F" w14:textId="0D49B20B" w:rsidR="005C5D35" w:rsidRPr="00DD3F9A" w:rsidRDefault="005C5D35" w:rsidP="00ED03DD">
            <w:pPr>
              <w:spacing w:after="0"/>
              <w:jc w:val="both"/>
              <w:rPr>
                <w:rFonts w:ascii="Times New Roman" w:eastAsia="Times New Roman" w:hAnsi="Times New Roman" w:cs="Times New Roman"/>
                <w:b/>
                <w:color w:val="FF0000"/>
                <w:sz w:val="24"/>
                <w:szCs w:val="24"/>
                <w:lang w:val="vi-VN"/>
              </w:rPr>
            </w:pPr>
            <w:r w:rsidRPr="00C400DE">
              <w:rPr>
                <w:rFonts w:ascii="Times New Roman" w:eastAsia="Times New Roman" w:hAnsi="Times New Roman" w:cs="Times New Roman"/>
                <w:b/>
                <w:color w:val="FF0000"/>
                <w:sz w:val="24"/>
                <w:szCs w:val="24"/>
                <w:lang w:val="vi-VN"/>
              </w:rPr>
              <w:t xml:space="preserve">Nội </w:t>
            </w:r>
            <w:r>
              <w:rPr>
                <w:rFonts w:ascii="Times New Roman" w:eastAsia="Times New Roman" w:hAnsi="Times New Roman" w:cs="Times New Roman"/>
                <w:b/>
                <w:color w:val="FF0000"/>
                <w:sz w:val="24"/>
                <w:szCs w:val="24"/>
                <w:lang w:val="vi-VN"/>
              </w:rPr>
              <w:t xml:space="preserve">dung này đã được đưa vào </w:t>
            </w:r>
            <w:r w:rsidRPr="00653888">
              <w:rPr>
                <w:rFonts w:ascii="Times New Roman" w:eastAsia="Times New Roman" w:hAnsi="Times New Roman" w:cs="Times New Roman"/>
                <w:b/>
                <w:color w:val="FF0000"/>
                <w:sz w:val="24"/>
                <w:szCs w:val="24"/>
                <w:lang w:val="vi-VN"/>
              </w:rPr>
              <w:t xml:space="preserve">Khoản 1 </w:t>
            </w:r>
            <w:r>
              <w:rPr>
                <w:rFonts w:ascii="Times New Roman" w:eastAsia="Times New Roman" w:hAnsi="Times New Roman" w:cs="Times New Roman"/>
                <w:b/>
                <w:color w:val="FF0000"/>
                <w:sz w:val="24"/>
                <w:szCs w:val="24"/>
                <w:lang w:val="vi-VN"/>
              </w:rPr>
              <w:t xml:space="preserve">Điều </w:t>
            </w:r>
            <w:r w:rsidRPr="00C400DE">
              <w:rPr>
                <w:rFonts w:ascii="Times New Roman" w:eastAsia="Times New Roman" w:hAnsi="Times New Roman" w:cs="Times New Roman"/>
                <w:b/>
                <w:color w:val="FF0000"/>
                <w:sz w:val="24"/>
                <w:szCs w:val="24"/>
                <w:lang w:val="vi-VN"/>
              </w:rPr>
              <w:t xml:space="preserve">Luật Đầu tư </w:t>
            </w:r>
          </w:p>
          <w:p w14:paraId="1AA51834" w14:textId="77777777" w:rsidR="005C5D35" w:rsidRPr="00DD3F9A" w:rsidRDefault="005C5D35" w:rsidP="00ED03DD">
            <w:pPr>
              <w:spacing w:after="0"/>
              <w:jc w:val="both"/>
              <w:rPr>
                <w:rFonts w:ascii="Times New Roman" w:hAnsi="Times New Roman" w:cs="Times New Roman"/>
                <w:bCs/>
                <w:color w:val="FF0000"/>
                <w:sz w:val="24"/>
                <w:szCs w:val="24"/>
                <w:lang w:val="vi-VN"/>
              </w:rPr>
            </w:pPr>
            <w:r w:rsidRPr="00DD3F9A">
              <w:rPr>
                <w:rFonts w:ascii="Times New Roman" w:eastAsia="Times New Roman" w:hAnsi="Times New Roman" w:cs="Times New Roman"/>
                <w:b/>
                <w:color w:val="FF0000"/>
                <w:sz w:val="24"/>
                <w:szCs w:val="24"/>
                <w:lang w:val="vi-VN"/>
              </w:rPr>
              <w:t>Sẽ được hướng dẫn cụ thể về nội dung này tại Nghị định</w:t>
            </w:r>
          </w:p>
          <w:p w14:paraId="0C635234" w14:textId="471DEC4D" w:rsidR="005C5D35" w:rsidRPr="00285F21" w:rsidRDefault="005C5D35" w:rsidP="00ED03DD">
            <w:pPr>
              <w:spacing w:after="0" w:line="240" w:lineRule="auto"/>
              <w:jc w:val="both"/>
              <w:rPr>
                <w:rFonts w:ascii="Times New Roman" w:eastAsia="Times New Roman" w:hAnsi="Times New Roman" w:cs="Times New Roman"/>
                <w:sz w:val="24"/>
                <w:szCs w:val="24"/>
                <w:lang w:val="vi-VN"/>
              </w:rPr>
            </w:pPr>
          </w:p>
        </w:tc>
      </w:tr>
      <w:tr w:rsidR="005C5D35" w:rsidRPr="00A35EC9" w14:paraId="2CDD3927" w14:textId="77777777" w:rsidTr="00ED03DD">
        <w:tc>
          <w:tcPr>
            <w:tcW w:w="702" w:type="dxa"/>
          </w:tcPr>
          <w:p w14:paraId="58195BF5" w14:textId="77777777" w:rsidR="005C5D35" w:rsidRPr="00285F21" w:rsidRDefault="005C5D35" w:rsidP="00ED03DD">
            <w:pPr>
              <w:pStyle w:val="ListParagraph"/>
              <w:numPr>
                <w:ilvl w:val="0"/>
                <w:numId w:val="3"/>
              </w:numPr>
              <w:tabs>
                <w:tab w:val="left" w:pos="360"/>
              </w:tabs>
              <w:spacing w:after="0" w:line="240" w:lineRule="auto"/>
              <w:rPr>
                <w:rFonts w:ascii="Times New Roman" w:eastAsia="Times New Roman" w:hAnsi="Times New Roman" w:cs="Times New Roman"/>
                <w:sz w:val="24"/>
                <w:szCs w:val="24"/>
                <w:lang w:val="vi-VN"/>
              </w:rPr>
            </w:pPr>
          </w:p>
        </w:tc>
        <w:tc>
          <w:tcPr>
            <w:tcW w:w="1897" w:type="dxa"/>
          </w:tcPr>
          <w:p w14:paraId="5FE9AF5A" w14:textId="77777777" w:rsidR="005C5D35" w:rsidRPr="009C2F0D" w:rsidRDefault="005C5D35" w:rsidP="00ED03DD">
            <w:pPr>
              <w:tabs>
                <w:tab w:val="left" w:pos="360"/>
              </w:tabs>
              <w:spacing w:after="0" w:line="240" w:lineRule="auto"/>
              <w:jc w:val="both"/>
              <w:rPr>
                <w:rFonts w:ascii="Times New Roman" w:eastAsia="Times New Roman" w:hAnsi="Times New Roman" w:cs="Times New Roman"/>
                <w:sz w:val="24"/>
                <w:szCs w:val="24"/>
                <w:lang w:val="vi-VN"/>
              </w:rPr>
            </w:pPr>
            <w:r w:rsidRPr="009C2F0D">
              <w:rPr>
                <w:rFonts w:ascii="Times New Roman" w:eastAsia="Times New Roman" w:hAnsi="Times New Roman" w:cs="Times New Roman"/>
                <w:sz w:val="24"/>
                <w:szCs w:val="24"/>
                <w:lang w:val="vi-VN"/>
              </w:rPr>
              <w:t>Khoản 1 Điều 13 Luật đầu tư năm 2020: Liên quan đến bảo đảm đầu tư kinh doanh trong trường hợp thay đổi pháp luật, khoản 1 Điều 13 hiện chỉ đảm bảo duy nhất cho các “ưu đãi đầu tư” (bao gồm ưu đãi thuế và tiền sử dụng đất theo Điều 15).</w:t>
            </w:r>
          </w:p>
        </w:tc>
        <w:tc>
          <w:tcPr>
            <w:tcW w:w="3913" w:type="dxa"/>
          </w:tcPr>
          <w:p w14:paraId="22F8F85F" w14:textId="77777777" w:rsidR="005C5D35" w:rsidRPr="009C2F0D" w:rsidRDefault="005C5D35" w:rsidP="00ED03DD">
            <w:pPr>
              <w:spacing w:after="0" w:line="240" w:lineRule="auto"/>
              <w:jc w:val="both"/>
              <w:rPr>
                <w:rFonts w:ascii="Times New Roman" w:eastAsia="Times New Roman" w:hAnsi="Times New Roman" w:cs="Times New Roman"/>
                <w:sz w:val="24"/>
                <w:szCs w:val="24"/>
                <w:lang w:val="vi-VN"/>
              </w:rPr>
            </w:pPr>
            <w:r w:rsidRPr="009C2F0D">
              <w:rPr>
                <w:rFonts w:ascii="Times New Roman" w:eastAsia="Times New Roman" w:hAnsi="Times New Roman" w:cs="Times New Roman"/>
                <w:sz w:val="24"/>
                <w:szCs w:val="24"/>
                <w:lang w:val="vi-VN"/>
              </w:rPr>
              <w:t>Các dự án quy mô lớn thường yêu cầu có bảo đảm cho các quyền và lợi ích hợp pháp của nhà đầu tư chứ không chỉ giới hạn bảo đảm ở ưu đãi đầu tư.</w:t>
            </w:r>
          </w:p>
        </w:tc>
        <w:tc>
          <w:tcPr>
            <w:tcW w:w="1280" w:type="dxa"/>
          </w:tcPr>
          <w:p w14:paraId="445D24D6" w14:textId="77777777" w:rsidR="005C5D35" w:rsidRPr="009C2F0D" w:rsidRDefault="005C5D35" w:rsidP="00ED03DD">
            <w:pPr>
              <w:spacing w:after="0" w:line="240" w:lineRule="auto"/>
              <w:jc w:val="both"/>
              <w:rPr>
                <w:rFonts w:ascii="Times New Roman" w:eastAsia="Times New Roman" w:hAnsi="Times New Roman" w:cs="Times New Roman"/>
                <w:sz w:val="24"/>
                <w:szCs w:val="24"/>
                <w:lang w:val="vi-VN"/>
              </w:rPr>
            </w:pPr>
            <w:r w:rsidRPr="009C2F0D">
              <w:rPr>
                <w:rFonts w:ascii="Times New Roman" w:eastAsia="Times New Roman" w:hAnsi="Times New Roman" w:cs="Times New Roman"/>
                <w:sz w:val="24"/>
                <w:szCs w:val="24"/>
                <w:lang w:val="vi-VN"/>
              </w:rPr>
              <w:t>C. Sửa đổi, bổ sung, thay thế, ban hành mới VBQPPL (theo trình tự, thủ tục rút gọn ban hành VBQPPL của Luật Ban hành VBQPPL)</w:t>
            </w:r>
          </w:p>
        </w:tc>
        <w:tc>
          <w:tcPr>
            <w:tcW w:w="1254" w:type="dxa"/>
          </w:tcPr>
          <w:p w14:paraId="445AF4CB"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Bộ Công Thương</w:t>
            </w:r>
          </w:p>
        </w:tc>
        <w:tc>
          <w:tcPr>
            <w:tcW w:w="2289" w:type="dxa"/>
          </w:tcPr>
          <w:p w14:paraId="706DDB6C" w14:textId="77777777" w:rsidR="005C5D35" w:rsidRPr="004C0220" w:rsidRDefault="005C5D35" w:rsidP="00ED03DD">
            <w:pPr>
              <w:spacing w:after="0" w:line="240" w:lineRule="auto"/>
              <w:jc w:val="both"/>
              <w:rPr>
                <w:rFonts w:ascii="Times New Roman" w:eastAsia="Times New Roman" w:hAnsi="Times New Roman" w:cs="Times New Roman"/>
                <w:sz w:val="24"/>
                <w:szCs w:val="24"/>
              </w:rPr>
            </w:pPr>
            <w:r w:rsidRPr="004C0220">
              <w:rPr>
                <w:rFonts w:ascii="Times New Roman" w:eastAsia="Times New Roman" w:hAnsi="Times New Roman" w:cs="Times New Roman"/>
                <w:sz w:val="24"/>
                <w:szCs w:val="24"/>
              </w:rPr>
              <w:t xml:space="preserve">Nhất trí vì: </w:t>
            </w:r>
          </w:p>
          <w:p w14:paraId="4187A99B" w14:textId="77777777" w:rsidR="005C5D35" w:rsidRDefault="005C5D35" w:rsidP="00ED03DD">
            <w:pPr>
              <w:spacing w:after="0" w:line="240" w:lineRule="auto"/>
              <w:jc w:val="both"/>
              <w:rPr>
                <w:rFonts w:ascii="Times New Roman" w:eastAsia="Times New Roman" w:hAnsi="Times New Roman" w:cs="Times New Roman"/>
                <w:sz w:val="24"/>
                <w:szCs w:val="24"/>
              </w:rPr>
            </w:pPr>
            <w:r w:rsidRPr="004C0220">
              <w:rPr>
                <w:rFonts w:ascii="Times New Roman" w:eastAsia="Times New Roman" w:hAnsi="Times New Roman" w:cs="Times New Roman"/>
                <w:sz w:val="24"/>
                <w:szCs w:val="24"/>
              </w:rPr>
              <w:t>Hiện nay Bộ Tài chính đang nghiên cứu để sửa tổng thể Luật Đầu tư và các văn bản hướng dẫn thi hành. (năm 2025-2026).</w:t>
            </w:r>
          </w:p>
          <w:p w14:paraId="0C828464" w14:textId="77777777" w:rsidR="005C5D35" w:rsidRDefault="005C5D35" w:rsidP="00ED03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b/>
                <w:bCs/>
                <w:sz w:val="24"/>
                <w:szCs w:val="24"/>
              </w:rPr>
              <w:t>Theo Công văn số 08-CV/ĐUBTC-PC ngày 22/8/2025, Bộ Tài chính:</w:t>
            </w:r>
          </w:p>
          <w:p w14:paraId="061DA515" w14:textId="77777777" w:rsidR="005C5D35" w:rsidRDefault="005C5D35" w:rsidP="00ED03DD">
            <w:pPr>
              <w:spacing w:after="0" w:line="240" w:lineRule="auto"/>
              <w:jc w:val="both"/>
              <w:rPr>
                <w:rFonts w:ascii="Times New Roman" w:eastAsia="Times New Roman" w:hAnsi="Times New Roman" w:cs="Times New Roman"/>
                <w:sz w:val="24"/>
                <w:szCs w:val="24"/>
              </w:rPr>
            </w:pPr>
          </w:p>
          <w:p w14:paraId="3A52C54F"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Dự</w:t>
            </w:r>
            <w:r w:rsidRPr="00A35EC9">
              <w:rPr>
                <w:rFonts w:ascii="Times New Roman" w:eastAsia="Times New Roman" w:hAnsi="Times New Roman" w:cs="Times New Roman"/>
                <w:sz w:val="24"/>
                <w:szCs w:val="24"/>
                <w:lang w:val="vi-VN"/>
              </w:rPr>
              <w:t xml:space="preserve"> kiến trình Quốc hội tại Kỳ họp tháng 10/2025</w:t>
            </w:r>
          </w:p>
        </w:tc>
        <w:tc>
          <w:tcPr>
            <w:tcW w:w="2694" w:type="dxa"/>
          </w:tcPr>
          <w:p w14:paraId="09CC7B48" w14:textId="77777777" w:rsidR="005C5D35" w:rsidRDefault="005C5D35" w:rsidP="00ED03DD">
            <w:pPr>
              <w:pBdr>
                <w:top w:val="nil"/>
                <w:left w:val="nil"/>
                <w:bottom w:val="nil"/>
                <w:right w:val="nil"/>
                <w:between w:val="nil"/>
              </w:pBdr>
              <w:jc w:val="both"/>
              <w:rPr>
                <w:rFonts w:ascii="Times New Roman" w:eastAsia="Times New Roman" w:hAnsi="Times New Roman" w:cs="Times New Roman"/>
                <w:b/>
                <w:sz w:val="24"/>
                <w:szCs w:val="24"/>
              </w:rPr>
            </w:pPr>
            <w:r w:rsidRPr="00F41238">
              <w:rPr>
                <w:rFonts w:ascii="Times New Roman" w:eastAsia="Times New Roman" w:hAnsi="Times New Roman" w:cs="Times New Roman"/>
                <w:b/>
                <w:sz w:val="24"/>
                <w:szCs w:val="24"/>
                <w:highlight w:val="yellow"/>
              </w:rPr>
              <w:t>Đã xử lý</w:t>
            </w:r>
          </w:p>
          <w:p w14:paraId="5BE4DC8A" w14:textId="47585EAA" w:rsidR="005C5D35" w:rsidRPr="00DD3F9A" w:rsidRDefault="005C5D35" w:rsidP="00ED03DD">
            <w:pPr>
              <w:spacing w:after="0"/>
              <w:jc w:val="both"/>
              <w:rPr>
                <w:rFonts w:ascii="Times New Roman" w:eastAsia="Times New Roman" w:hAnsi="Times New Roman" w:cs="Times New Roman"/>
                <w:b/>
                <w:color w:val="FF0000"/>
                <w:sz w:val="24"/>
                <w:szCs w:val="24"/>
                <w:lang w:val="vi-VN"/>
              </w:rPr>
            </w:pPr>
            <w:r w:rsidRPr="00C400DE">
              <w:rPr>
                <w:rFonts w:ascii="Times New Roman" w:eastAsia="Times New Roman" w:hAnsi="Times New Roman" w:cs="Times New Roman"/>
                <w:b/>
                <w:color w:val="FF0000"/>
                <w:sz w:val="24"/>
                <w:szCs w:val="24"/>
                <w:lang w:val="vi-VN"/>
              </w:rPr>
              <w:t xml:space="preserve">Nội </w:t>
            </w:r>
            <w:r>
              <w:rPr>
                <w:rFonts w:ascii="Times New Roman" w:eastAsia="Times New Roman" w:hAnsi="Times New Roman" w:cs="Times New Roman"/>
                <w:b/>
                <w:color w:val="FF0000"/>
                <w:sz w:val="24"/>
                <w:szCs w:val="24"/>
                <w:lang w:val="vi-VN"/>
              </w:rPr>
              <w:t xml:space="preserve">dung này đã được đưa vào </w:t>
            </w:r>
            <w:r w:rsidRPr="00EB25BE">
              <w:rPr>
                <w:rFonts w:ascii="Times New Roman" w:eastAsia="Times New Roman" w:hAnsi="Times New Roman" w:cs="Times New Roman"/>
                <w:b/>
                <w:color w:val="FF0000"/>
                <w:sz w:val="24"/>
                <w:szCs w:val="24"/>
                <w:lang w:val="vi-VN"/>
              </w:rPr>
              <w:t>Đ</w:t>
            </w:r>
            <w:r>
              <w:rPr>
                <w:rFonts w:ascii="Times New Roman" w:eastAsia="Times New Roman" w:hAnsi="Times New Roman" w:cs="Times New Roman"/>
                <w:b/>
                <w:color w:val="FF0000"/>
                <w:sz w:val="24"/>
                <w:szCs w:val="24"/>
              </w:rPr>
              <w:t>i</w:t>
            </w:r>
            <w:r w:rsidRPr="00EB25BE">
              <w:rPr>
                <w:rFonts w:ascii="Times New Roman" w:eastAsia="Times New Roman" w:hAnsi="Times New Roman" w:cs="Times New Roman"/>
                <w:b/>
                <w:color w:val="FF0000"/>
                <w:sz w:val="24"/>
                <w:szCs w:val="24"/>
              </w:rPr>
              <w:t>ều</w:t>
            </w:r>
            <w:r>
              <w:rPr>
                <w:rFonts w:ascii="Times New Roman" w:eastAsia="Times New Roman" w:hAnsi="Times New Roman" w:cs="Times New Roman"/>
                <w:b/>
                <w:color w:val="FF0000"/>
                <w:sz w:val="24"/>
                <w:szCs w:val="24"/>
              </w:rPr>
              <w:t xml:space="preserve"> 9, 10, 11, 12 </w:t>
            </w:r>
            <w:r w:rsidRPr="00C400DE">
              <w:rPr>
                <w:rFonts w:ascii="Times New Roman" w:eastAsia="Times New Roman" w:hAnsi="Times New Roman" w:cs="Times New Roman"/>
                <w:b/>
                <w:color w:val="FF0000"/>
                <w:sz w:val="24"/>
                <w:szCs w:val="24"/>
                <w:lang w:val="vi-VN"/>
              </w:rPr>
              <w:t xml:space="preserve"> Luật Đầu tư</w:t>
            </w:r>
            <w:r w:rsidR="00C75BAC">
              <w:rPr>
                <w:rFonts w:ascii="Times New Roman" w:eastAsia="Times New Roman" w:hAnsi="Times New Roman" w:cs="Times New Roman"/>
                <w:b/>
                <w:color w:val="FF0000"/>
                <w:sz w:val="24"/>
                <w:szCs w:val="24"/>
              </w:rPr>
              <w:t xml:space="preserve"> </w:t>
            </w:r>
            <w:r w:rsidR="00C75BAC" w:rsidRPr="00C75BAC">
              <w:rPr>
                <w:rFonts w:ascii="Times New Roman" w:eastAsia="Times New Roman" w:hAnsi="Times New Roman" w:cs="Times New Roman"/>
                <w:bCs/>
                <w:sz w:val="24"/>
                <w:szCs w:val="24"/>
              </w:rPr>
              <w:t xml:space="preserve"> </w:t>
            </w:r>
            <w:r w:rsidR="00C75BAC" w:rsidRPr="00C75BAC">
              <w:rPr>
                <w:rFonts w:ascii="Times New Roman" w:eastAsia="Times New Roman" w:hAnsi="Times New Roman" w:cs="Times New Roman"/>
                <w:b/>
                <w:bCs/>
                <w:color w:val="FF0000"/>
                <w:sz w:val="24"/>
                <w:szCs w:val="24"/>
              </w:rPr>
              <w:t>được</w:t>
            </w:r>
            <w:r w:rsidR="00C75BAC" w:rsidRPr="00C75BAC">
              <w:rPr>
                <w:rFonts w:ascii="Times New Roman" w:eastAsia="Times New Roman" w:hAnsi="Times New Roman" w:cs="Times New Roman"/>
                <w:b/>
                <w:color w:val="FF0000"/>
                <w:sz w:val="24"/>
                <w:szCs w:val="24"/>
              </w:rPr>
              <w:t xml:space="preserve"> </w:t>
            </w:r>
            <w:r w:rsidR="00C75BAC" w:rsidRPr="00C75BAC">
              <w:rPr>
                <w:rFonts w:ascii="Times New Roman" w:eastAsia="Times New Roman" w:hAnsi="Times New Roman" w:cs="Times New Roman"/>
                <w:b/>
                <w:bCs/>
                <w:color w:val="FF0000"/>
                <w:sz w:val="24"/>
                <w:szCs w:val="24"/>
              </w:rPr>
              <w:t>thông qua tại Kỳ họp thứ 10</w:t>
            </w:r>
            <w:r w:rsidR="00C75BAC" w:rsidRPr="00C75BAC">
              <w:rPr>
                <w:rFonts w:ascii="Times New Roman" w:eastAsia="Times New Roman" w:hAnsi="Times New Roman" w:cs="Times New Roman"/>
                <w:b/>
                <w:color w:val="FF0000"/>
                <w:sz w:val="24"/>
                <w:szCs w:val="24"/>
              </w:rPr>
              <w:t xml:space="preserve">  </w:t>
            </w:r>
            <w:r w:rsidR="00C75BAC" w:rsidRPr="00C75BAC">
              <w:rPr>
                <w:rFonts w:ascii="Times New Roman" w:eastAsia="Times New Roman" w:hAnsi="Times New Roman" w:cs="Times New Roman"/>
                <w:b/>
                <w:color w:val="FF0000"/>
                <w:sz w:val="24"/>
                <w:szCs w:val="24"/>
                <w:lang w:val="vi-VN"/>
              </w:rPr>
              <w:t xml:space="preserve">Quốc hội </w:t>
            </w:r>
            <w:r w:rsidR="00C75BAC" w:rsidRPr="00C75BAC">
              <w:rPr>
                <w:rFonts w:ascii="Times New Roman" w:eastAsia="Times New Roman" w:hAnsi="Times New Roman" w:cs="Times New Roman"/>
                <w:b/>
                <w:color w:val="FF0000"/>
                <w:sz w:val="24"/>
                <w:szCs w:val="24"/>
              </w:rPr>
              <w:t>khóa XV</w:t>
            </w:r>
            <w:r w:rsidRPr="00C400DE">
              <w:rPr>
                <w:rFonts w:ascii="Times New Roman" w:eastAsia="Times New Roman" w:hAnsi="Times New Roman" w:cs="Times New Roman"/>
                <w:b/>
                <w:color w:val="FF0000"/>
                <w:sz w:val="24"/>
                <w:szCs w:val="24"/>
                <w:lang w:val="vi-VN"/>
              </w:rPr>
              <w:t xml:space="preserve"> </w:t>
            </w:r>
          </w:p>
          <w:p w14:paraId="75ED8CD8" w14:textId="77777777" w:rsidR="005C5D35" w:rsidRPr="00DD3F9A" w:rsidRDefault="005C5D35" w:rsidP="00ED03DD">
            <w:pPr>
              <w:spacing w:after="0"/>
              <w:jc w:val="both"/>
              <w:rPr>
                <w:rFonts w:ascii="Times New Roman" w:hAnsi="Times New Roman" w:cs="Times New Roman"/>
                <w:bCs/>
                <w:color w:val="FF0000"/>
                <w:sz w:val="24"/>
                <w:szCs w:val="24"/>
                <w:lang w:val="vi-VN"/>
              </w:rPr>
            </w:pPr>
            <w:r w:rsidRPr="00DD3F9A">
              <w:rPr>
                <w:rFonts w:ascii="Times New Roman" w:eastAsia="Times New Roman" w:hAnsi="Times New Roman" w:cs="Times New Roman"/>
                <w:b/>
                <w:color w:val="FF0000"/>
                <w:sz w:val="24"/>
                <w:szCs w:val="24"/>
                <w:lang w:val="vi-VN"/>
              </w:rPr>
              <w:t>Sẽ được hướng dẫn cụ thể về nội dung này tại Nghị định</w:t>
            </w:r>
          </w:p>
          <w:p w14:paraId="146847C3" w14:textId="0313A07C" w:rsidR="005C5D35" w:rsidRPr="00A35EC9" w:rsidRDefault="005C5D35" w:rsidP="00ED03DD">
            <w:pPr>
              <w:spacing w:after="0" w:line="240" w:lineRule="auto"/>
              <w:jc w:val="both"/>
              <w:rPr>
                <w:rFonts w:ascii="Times New Roman" w:eastAsia="Times New Roman" w:hAnsi="Times New Roman" w:cs="Times New Roman"/>
                <w:sz w:val="24"/>
                <w:szCs w:val="24"/>
              </w:rPr>
            </w:pPr>
          </w:p>
        </w:tc>
      </w:tr>
      <w:tr w:rsidR="005C5D35" w:rsidRPr="009C2F0D" w14:paraId="4508A511" w14:textId="77777777" w:rsidTr="00ED03DD">
        <w:tc>
          <w:tcPr>
            <w:tcW w:w="702" w:type="dxa"/>
          </w:tcPr>
          <w:p w14:paraId="3DE65420" w14:textId="77777777" w:rsidR="005C5D35" w:rsidRPr="00A35EC9" w:rsidRDefault="005C5D35" w:rsidP="00ED03DD">
            <w:pPr>
              <w:pStyle w:val="ListParagraph"/>
              <w:numPr>
                <w:ilvl w:val="0"/>
                <w:numId w:val="3"/>
              </w:numPr>
              <w:tabs>
                <w:tab w:val="left" w:pos="360"/>
              </w:tabs>
              <w:spacing w:after="0" w:line="240" w:lineRule="auto"/>
              <w:rPr>
                <w:rFonts w:ascii="Times New Roman" w:eastAsia="Times New Roman" w:hAnsi="Times New Roman" w:cs="Times New Roman"/>
                <w:sz w:val="24"/>
                <w:szCs w:val="24"/>
              </w:rPr>
            </w:pPr>
          </w:p>
        </w:tc>
        <w:tc>
          <w:tcPr>
            <w:tcW w:w="1897" w:type="dxa"/>
          </w:tcPr>
          <w:p w14:paraId="483629FD" w14:textId="77777777" w:rsidR="005C5D35" w:rsidRPr="00A35EC9" w:rsidRDefault="005C5D35" w:rsidP="00ED03DD">
            <w:pPr>
              <w:tabs>
                <w:tab w:val="left" w:pos="360"/>
              </w:tabs>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Điểm i khoản 2 Điều 4 Nghị định số 115/2024/NĐ-</w:t>
            </w:r>
            <w:r w:rsidRPr="00A35EC9">
              <w:rPr>
                <w:rFonts w:ascii="Times New Roman" w:eastAsia="Times New Roman" w:hAnsi="Times New Roman" w:cs="Times New Roman"/>
                <w:sz w:val="24"/>
                <w:szCs w:val="24"/>
              </w:rPr>
              <w:lastRenderedPageBreak/>
              <w:t>CP ngày 16/9/2024 của Chính phủ quy định chi tiết một số điều và biện pháp thi hành Luật Đấu thầu về lựa chọn nhà đầu tư thực hiện dự án đầu tư có sử dụng đất</w:t>
            </w:r>
          </w:p>
        </w:tc>
        <w:tc>
          <w:tcPr>
            <w:tcW w:w="3913" w:type="dxa"/>
          </w:tcPr>
          <w:p w14:paraId="60F5AAFF"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lastRenderedPageBreak/>
              <w:t xml:space="preserve">Theo điểm i khoản 2 Điều 4 Nghị định số 115/2024/NĐ-CP quy định "i) Dự án đầu tư xây dựng công trình </w:t>
            </w:r>
            <w:r w:rsidRPr="00A35EC9">
              <w:rPr>
                <w:rFonts w:ascii="Times New Roman" w:eastAsia="Times New Roman" w:hAnsi="Times New Roman" w:cs="Times New Roman"/>
                <w:sz w:val="24"/>
                <w:szCs w:val="24"/>
              </w:rPr>
              <w:lastRenderedPageBreak/>
              <w:t xml:space="preserve">năng lượng thuộc trường hợp phải tổ chức đấu thầu theo quy định của pháp luật về điện lực khi có từ 02 nhà đầu tư trở lên quan tâm cùng đăng ký thực hiện". Để bảo đảm an ninh năng lượng quốc gia, góp phần thúc đẩy mục tiêu tăng trưởng kinh tế cả nước năm 2025 phấn đấu đạt trên mức 8% và tăng trưởng kinh tế giai đoạn 2026-2030 phấn đấu ở mức 2 con số, do đó cần tạo môi trường đầu tư thuận lợi để huy động nguồn lực từ thành phần kinh tế tư nhân đầu tư vào các dự án năng lượng (thủy điện, điện mặt trời, điện gió, điện tích năng, điện sinh khối,...). Đề nghị Bộ Tài chính tham mưu Chính phủ sửa đổi điểm i khoản 2 Điều 4 Nghị định số 115/2024/NĐ-CP đảm bảo theo định hướng của Bộ Chính trị tại khoản 6 mục III Nghị quyết số 68-NQ/TW ngày 04/5/2025 về phát triển kinh tế tư nhân (Nhà nước chủ động có chính sách đặt hàng, đấu thầu hạn chế hoặc chỉ định thầu hoặc có chính sách ưu đãi </w:t>
            </w:r>
            <w:r w:rsidRPr="00A35EC9">
              <w:rPr>
                <w:rFonts w:ascii="Times New Roman" w:eastAsia="Times New Roman" w:hAnsi="Times New Roman" w:cs="Times New Roman"/>
                <w:sz w:val="24"/>
                <w:szCs w:val="24"/>
              </w:rPr>
              <w:lastRenderedPageBreak/>
              <w:t>khuyến khích khu vực kinh tế tư nhân tham gia cùng Nhà nước vào các lĩnh vực chiến lược, các dự án, .....trọng điểm, quan trọng quốc gia (như đường sắt tốc độ cao, ...., hạ tầng năng lượng, hạ tầng số, giao thông xanh, công nghiệp quốc phòng, an ninh...), những nhiệm vụ khẩn cấp, cấp bách)</w:t>
            </w:r>
          </w:p>
        </w:tc>
        <w:tc>
          <w:tcPr>
            <w:tcW w:w="1280" w:type="dxa"/>
          </w:tcPr>
          <w:p w14:paraId="4BADDB8B"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lastRenderedPageBreak/>
              <w:t xml:space="preserve">C. Sửa đổi, bổ sung, thay </w:t>
            </w:r>
            <w:r w:rsidRPr="00A35EC9">
              <w:rPr>
                <w:rFonts w:ascii="Times New Roman" w:eastAsia="Times New Roman" w:hAnsi="Times New Roman" w:cs="Times New Roman"/>
                <w:sz w:val="24"/>
                <w:szCs w:val="24"/>
              </w:rPr>
              <w:lastRenderedPageBreak/>
              <w:t>thế, ban hành mới VBQPPL (theo trình tự, thủ tục rút gọn ban hành VBQPPL của Luật Ban hành VBQPPL)</w:t>
            </w:r>
          </w:p>
        </w:tc>
        <w:tc>
          <w:tcPr>
            <w:tcW w:w="1254" w:type="dxa"/>
          </w:tcPr>
          <w:p w14:paraId="67CC3457"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lastRenderedPageBreak/>
              <w:t>Sở Tư pháp tỉnh Lai Châu</w:t>
            </w:r>
          </w:p>
        </w:tc>
        <w:tc>
          <w:tcPr>
            <w:tcW w:w="2289" w:type="dxa"/>
          </w:tcPr>
          <w:p w14:paraId="2000ED6F" w14:textId="77777777" w:rsidR="005C5D35" w:rsidRDefault="005C5D35" w:rsidP="00ED03DD">
            <w:pPr>
              <w:spacing w:after="0" w:line="240" w:lineRule="auto"/>
              <w:jc w:val="both"/>
              <w:rPr>
                <w:rFonts w:ascii="Times New Roman" w:eastAsia="Times New Roman" w:hAnsi="Times New Roman" w:cs="Times New Roman"/>
                <w:b/>
                <w:bCs/>
                <w:sz w:val="24"/>
                <w:szCs w:val="24"/>
              </w:rPr>
            </w:pPr>
            <w:r w:rsidRPr="004C0220">
              <w:rPr>
                <w:rFonts w:ascii="Times New Roman" w:eastAsia="Times New Roman" w:hAnsi="Times New Roman" w:cs="Times New Roman"/>
                <w:sz w:val="24"/>
                <w:szCs w:val="24"/>
              </w:rPr>
              <w:t>Nhất trí vì:</w:t>
            </w:r>
            <w:r w:rsidRPr="004C0220">
              <w:rPr>
                <w:rFonts w:ascii="Times New Roman" w:eastAsia="Times New Roman" w:hAnsi="Times New Roman" w:cs="Times New Roman"/>
                <w:sz w:val="24"/>
                <w:szCs w:val="24"/>
              </w:rPr>
              <w:br/>
              <w:t xml:space="preserve">Nội dung này đang được sửa đổi tại dự </w:t>
            </w:r>
            <w:r w:rsidRPr="004C0220">
              <w:rPr>
                <w:rFonts w:ascii="Times New Roman" w:eastAsia="Times New Roman" w:hAnsi="Times New Roman" w:cs="Times New Roman"/>
                <w:sz w:val="24"/>
                <w:szCs w:val="24"/>
              </w:rPr>
              <w:lastRenderedPageBreak/>
              <w:t>thảo Nghị định sửa đổi, bổ sung Nghị định số 115/2024/NĐ-CP</w:t>
            </w:r>
          </w:p>
          <w:p w14:paraId="5EA19084" w14:textId="77777777" w:rsidR="005C5D35" w:rsidRDefault="005C5D35" w:rsidP="00ED03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b/>
                <w:bCs/>
                <w:sz w:val="24"/>
                <w:szCs w:val="24"/>
              </w:rPr>
              <w:t>Theo Công văn số 08-CV/ĐUBTC-PC ngày 22/8/2025, Bộ Tài chính:</w:t>
            </w:r>
          </w:p>
          <w:p w14:paraId="773205F2" w14:textId="77777777" w:rsidR="005C5D35" w:rsidRDefault="005C5D35" w:rsidP="00ED03DD">
            <w:pPr>
              <w:spacing w:after="0" w:line="240" w:lineRule="auto"/>
              <w:jc w:val="both"/>
              <w:rPr>
                <w:rFonts w:ascii="Times New Roman" w:eastAsia="Times New Roman" w:hAnsi="Times New Roman" w:cs="Times New Roman"/>
                <w:b/>
                <w:bCs/>
                <w:sz w:val="24"/>
                <w:szCs w:val="24"/>
              </w:rPr>
            </w:pPr>
          </w:p>
          <w:p w14:paraId="551B07A1" w14:textId="77777777" w:rsidR="005C5D35" w:rsidRPr="00A35EC9" w:rsidRDefault="005C5D35" w:rsidP="00ED03DD">
            <w:pPr>
              <w:spacing w:after="0" w:line="240" w:lineRule="auto"/>
              <w:jc w:val="both"/>
              <w:rPr>
                <w:rFonts w:ascii="Times New Roman" w:eastAsia="Times New Roman" w:hAnsi="Times New Roman" w:cs="Times New Roman"/>
                <w:b/>
                <w:bCs/>
                <w:sz w:val="24"/>
                <w:szCs w:val="24"/>
                <w:lang w:val="vi-VN"/>
              </w:rPr>
            </w:pPr>
            <w:r w:rsidRPr="00A35EC9">
              <w:rPr>
                <w:rFonts w:ascii="Times New Roman" w:eastAsia="Times New Roman" w:hAnsi="Times New Roman" w:cs="Times New Roman"/>
                <w:b/>
                <w:bCs/>
                <w:sz w:val="24"/>
                <w:szCs w:val="24"/>
              </w:rPr>
              <w:t>Đã</w:t>
            </w:r>
            <w:r>
              <w:rPr>
                <w:rFonts w:ascii="Times New Roman" w:eastAsia="Times New Roman" w:hAnsi="Times New Roman" w:cs="Times New Roman"/>
                <w:b/>
                <w:bCs/>
                <w:sz w:val="24"/>
                <w:szCs w:val="24"/>
                <w:lang w:val="vi-VN"/>
              </w:rPr>
              <w:t xml:space="preserve"> hoàn thành</w:t>
            </w:r>
          </w:p>
          <w:p w14:paraId="090088ED" w14:textId="77777777" w:rsidR="005C5D35" w:rsidRDefault="005C5D35" w:rsidP="00ED03DD">
            <w:pPr>
              <w:spacing w:after="0" w:line="240" w:lineRule="auto"/>
              <w:jc w:val="both"/>
              <w:rPr>
                <w:rFonts w:ascii="Times New Roman" w:eastAsia="Times New Roman" w:hAnsi="Times New Roman" w:cs="Times New Roman"/>
                <w:sz w:val="24"/>
                <w:szCs w:val="24"/>
              </w:rPr>
            </w:pPr>
            <w:r w:rsidRPr="008A4F99">
              <w:rPr>
                <w:rFonts w:ascii="Times New Roman" w:eastAsia="Times New Roman" w:hAnsi="Times New Roman" w:cs="Times New Roman"/>
                <w:bCs/>
                <w:sz w:val="24"/>
                <w:szCs w:val="24"/>
                <w:lang w:val="vi-VN"/>
              </w:rPr>
              <w:t>Chính phủ đã ban hành</w:t>
            </w:r>
            <w:r w:rsidRPr="00A35EC9">
              <w:rPr>
                <w:rFonts w:ascii="Times New Roman" w:eastAsia="Times New Roman" w:hAnsi="Times New Roman" w:cs="Times New Roman"/>
                <w:sz w:val="24"/>
                <w:szCs w:val="24"/>
              </w:rPr>
              <w:t>Nghị định số 225/2025/NĐ-CP</w:t>
            </w:r>
            <w:r>
              <w:rPr>
                <w:rFonts w:ascii="Times New Roman" w:eastAsia="Times New Roman" w:hAnsi="Times New Roman" w:cs="Times New Roman"/>
                <w:sz w:val="24"/>
                <w:szCs w:val="24"/>
              </w:rPr>
              <w:t>.</w:t>
            </w:r>
          </w:p>
          <w:p w14:paraId="7491B2FA" w14:textId="77777777" w:rsidR="005C5D35" w:rsidRPr="00A35EC9" w:rsidRDefault="005C5D35" w:rsidP="00ED03DD">
            <w:pPr>
              <w:spacing w:after="0" w:line="240" w:lineRule="auto"/>
              <w:jc w:val="both"/>
              <w:rPr>
                <w:rFonts w:ascii="Times New Roman" w:eastAsia="Times New Roman" w:hAnsi="Times New Roman" w:cs="Times New Roman"/>
                <w:b/>
                <w:bCs/>
                <w:sz w:val="24"/>
                <w:szCs w:val="24"/>
                <w:lang w:val="vi-VN"/>
              </w:rPr>
            </w:pPr>
            <w:r w:rsidRPr="00A35EC9">
              <w:rPr>
                <w:rFonts w:ascii="Times New Roman" w:eastAsia="Times New Roman" w:hAnsi="Times New Roman" w:cs="Times New Roman"/>
                <w:sz w:val="24"/>
                <w:szCs w:val="24"/>
              </w:rPr>
              <w:t xml:space="preserve">Điểm d và điểm d Khoản 4 Điều 44a Nghị định 115/2024/NĐ-CP (được sửa đổi, bổ sung tại khoản 16 Điều 2 Nghị định số 225/2025/NĐ-CP) đã quy định cụ thể các trường hợp dự án điện được áp dụng hình thức lựa chọn </w:t>
            </w:r>
            <w:r w:rsidRPr="00A35EC9">
              <w:rPr>
                <w:rFonts w:ascii="Times New Roman" w:eastAsia="Times New Roman" w:hAnsi="Times New Roman" w:cs="Times New Roman"/>
                <w:sz w:val="24"/>
                <w:szCs w:val="24"/>
              </w:rPr>
              <w:lastRenderedPageBreak/>
              <w:t>nhà đầu tư trong trường hợp đặc biệt, bảo đảm thể chế hóa Nghị quyết số 68-NQ/TW và đồng bộ với quy định của pháp luật về điện lực.</w:t>
            </w:r>
          </w:p>
        </w:tc>
        <w:tc>
          <w:tcPr>
            <w:tcW w:w="2694" w:type="dxa"/>
          </w:tcPr>
          <w:p w14:paraId="7AFE87C3" w14:textId="77777777" w:rsidR="005C5D35" w:rsidRPr="001C67FC" w:rsidRDefault="005C5D35" w:rsidP="00ED03DD">
            <w:pPr>
              <w:pBdr>
                <w:top w:val="nil"/>
                <w:left w:val="nil"/>
                <w:bottom w:val="nil"/>
                <w:right w:val="nil"/>
                <w:between w:val="nil"/>
              </w:pBdr>
              <w:jc w:val="both"/>
              <w:rPr>
                <w:rFonts w:ascii="Times New Roman" w:eastAsia="Times New Roman" w:hAnsi="Times New Roman" w:cs="Times New Roman"/>
                <w:b/>
                <w:sz w:val="24"/>
                <w:szCs w:val="24"/>
              </w:rPr>
            </w:pPr>
            <w:r w:rsidRPr="00F41238">
              <w:rPr>
                <w:rFonts w:ascii="Times New Roman" w:eastAsia="Times New Roman" w:hAnsi="Times New Roman" w:cs="Times New Roman"/>
                <w:b/>
                <w:sz w:val="24"/>
                <w:szCs w:val="24"/>
                <w:highlight w:val="yellow"/>
              </w:rPr>
              <w:lastRenderedPageBreak/>
              <w:t>Đã xử lý</w:t>
            </w:r>
          </w:p>
          <w:p w14:paraId="11AB3103" w14:textId="77777777" w:rsidR="005C5D35" w:rsidRPr="00285F21" w:rsidRDefault="005C5D35" w:rsidP="00ED03DD">
            <w:pPr>
              <w:spacing w:after="0" w:line="240" w:lineRule="auto"/>
              <w:jc w:val="both"/>
              <w:rPr>
                <w:rFonts w:ascii="Times New Roman" w:eastAsia="Times New Roman" w:hAnsi="Times New Roman" w:cs="Times New Roman"/>
                <w:sz w:val="24"/>
                <w:szCs w:val="24"/>
                <w:lang w:val="vi-VN"/>
              </w:rPr>
            </w:pPr>
            <w:r w:rsidRPr="008A4F99">
              <w:rPr>
                <w:rFonts w:ascii="Times New Roman" w:eastAsia="Times New Roman" w:hAnsi="Times New Roman" w:cs="Times New Roman"/>
                <w:bCs/>
                <w:sz w:val="24"/>
                <w:szCs w:val="24"/>
                <w:lang w:val="vi-VN"/>
              </w:rPr>
              <w:t xml:space="preserve">Chính phủ đã ban </w:t>
            </w:r>
            <w:r w:rsidRPr="008A4F99">
              <w:rPr>
                <w:rFonts w:ascii="Times New Roman" w:eastAsia="Times New Roman" w:hAnsi="Times New Roman" w:cs="Times New Roman"/>
                <w:bCs/>
                <w:sz w:val="24"/>
                <w:szCs w:val="24"/>
                <w:lang w:val="vi-VN"/>
              </w:rPr>
              <w:lastRenderedPageBreak/>
              <w:t>hành</w:t>
            </w:r>
            <w:r w:rsidRPr="00285F21">
              <w:rPr>
                <w:rFonts w:ascii="Times New Roman" w:eastAsia="Times New Roman" w:hAnsi="Times New Roman" w:cs="Times New Roman"/>
                <w:sz w:val="24"/>
                <w:szCs w:val="24"/>
                <w:lang w:val="vi-VN"/>
              </w:rPr>
              <w:t>Nghị định số 225/2025/NĐ-CP.</w:t>
            </w:r>
          </w:p>
          <w:p w14:paraId="221135DC" w14:textId="6F840C97" w:rsidR="005C5D35" w:rsidRPr="00B42AA9" w:rsidRDefault="005C5D35" w:rsidP="00ED03DD">
            <w:pPr>
              <w:spacing w:after="0" w:line="240" w:lineRule="auto"/>
              <w:jc w:val="both"/>
              <w:rPr>
                <w:rFonts w:ascii="Times New Roman" w:eastAsia="Times New Roman" w:hAnsi="Times New Roman" w:cs="Times New Roman"/>
                <w:sz w:val="24"/>
                <w:szCs w:val="24"/>
              </w:rPr>
            </w:pPr>
            <w:r w:rsidRPr="00285F21">
              <w:rPr>
                <w:rFonts w:ascii="Times New Roman" w:eastAsia="Times New Roman" w:hAnsi="Times New Roman" w:cs="Times New Roman"/>
                <w:sz w:val="24"/>
                <w:szCs w:val="24"/>
                <w:lang w:val="vi-VN"/>
              </w:rPr>
              <w:t>Điểm d và điểm d Khoản 4 Điều 44a Nghị định 115/2024/NĐ-CP (được sửa đổi, bổ sung tại khoản 16 Điều 2 Nghị định số 225/2025/NĐ-CP) đã quy định cụ thể các trường hợp dự án điện được áp dụng hình thức lựa chọn nhà đầu tư trong trường hợp đặc biệt, bảo đảm thể chế hóa Nghị quyết số 68-NQ/TW và đồng bộ với quy định của pháp luật về điện lực.</w:t>
            </w:r>
          </w:p>
        </w:tc>
      </w:tr>
      <w:tr w:rsidR="005C5D35" w:rsidRPr="00A35EC9" w14:paraId="638802D2" w14:textId="77777777" w:rsidTr="00ED03DD">
        <w:tc>
          <w:tcPr>
            <w:tcW w:w="702" w:type="dxa"/>
          </w:tcPr>
          <w:p w14:paraId="77B14CF9" w14:textId="77777777" w:rsidR="005C5D35" w:rsidRPr="00285F21" w:rsidRDefault="005C5D35" w:rsidP="00ED03DD">
            <w:pPr>
              <w:pStyle w:val="ListParagraph"/>
              <w:numPr>
                <w:ilvl w:val="0"/>
                <w:numId w:val="3"/>
              </w:numPr>
              <w:tabs>
                <w:tab w:val="left" w:pos="360"/>
              </w:tabs>
              <w:spacing w:after="0" w:line="240" w:lineRule="auto"/>
              <w:rPr>
                <w:rFonts w:ascii="Times New Roman" w:eastAsia="Times New Roman" w:hAnsi="Times New Roman" w:cs="Times New Roman"/>
                <w:sz w:val="24"/>
                <w:szCs w:val="24"/>
                <w:lang w:val="vi-VN"/>
              </w:rPr>
            </w:pPr>
          </w:p>
        </w:tc>
        <w:tc>
          <w:tcPr>
            <w:tcW w:w="1897" w:type="dxa"/>
          </w:tcPr>
          <w:p w14:paraId="67E2D774" w14:textId="77777777" w:rsidR="005C5D35" w:rsidRPr="009C2F0D" w:rsidRDefault="005C5D35" w:rsidP="00ED03DD">
            <w:pPr>
              <w:tabs>
                <w:tab w:val="left" w:pos="360"/>
              </w:tabs>
              <w:spacing w:after="0" w:line="240" w:lineRule="auto"/>
              <w:jc w:val="both"/>
              <w:rPr>
                <w:rFonts w:ascii="Times New Roman" w:eastAsia="Times New Roman" w:hAnsi="Times New Roman" w:cs="Times New Roman"/>
                <w:sz w:val="24"/>
                <w:szCs w:val="24"/>
                <w:lang w:val="vi-VN"/>
              </w:rPr>
            </w:pPr>
            <w:r w:rsidRPr="009C2F0D">
              <w:rPr>
                <w:rFonts w:ascii="Times New Roman" w:eastAsia="Times New Roman" w:hAnsi="Times New Roman" w:cs="Times New Roman"/>
                <w:sz w:val="24"/>
                <w:szCs w:val="24"/>
                <w:lang w:val="vi-VN"/>
              </w:rPr>
              <w:t>Điều 4 Thông tư liên tịch số 200/2011/TTLT-BTC-BVHTTDL ngày 30/12/2011 của liên Bộ Tài chính - Bộ Văn hoá, Thể thao và Du lịch quy định chế độ chi tiêu tài chính đối với các giải thi đấu thể thao</w:t>
            </w:r>
          </w:p>
        </w:tc>
        <w:tc>
          <w:tcPr>
            <w:tcW w:w="3913" w:type="dxa"/>
          </w:tcPr>
          <w:p w14:paraId="047065AB" w14:textId="77777777" w:rsidR="005C5D35" w:rsidRPr="009C2F0D" w:rsidRDefault="005C5D35" w:rsidP="00ED03DD">
            <w:pPr>
              <w:spacing w:after="0" w:line="240" w:lineRule="auto"/>
              <w:jc w:val="both"/>
              <w:rPr>
                <w:rFonts w:ascii="Times New Roman" w:eastAsia="Times New Roman" w:hAnsi="Times New Roman" w:cs="Times New Roman"/>
                <w:sz w:val="24"/>
                <w:szCs w:val="24"/>
                <w:lang w:val="vi-VN"/>
              </w:rPr>
            </w:pPr>
            <w:r w:rsidRPr="009C2F0D">
              <w:rPr>
                <w:rFonts w:ascii="Times New Roman" w:eastAsia="Times New Roman" w:hAnsi="Times New Roman" w:cs="Times New Roman"/>
                <w:sz w:val="24"/>
                <w:szCs w:val="24"/>
                <w:lang w:val="vi-VN"/>
              </w:rPr>
              <w:t>Các mức chi chế độ bồi dưỡng cho lực lượng phục vụ tổ chức các giải thi đấu thể thao không còn phù hợp với tình hình thực tiễn hiện nay.</w:t>
            </w:r>
          </w:p>
        </w:tc>
        <w:tc>
          <w:tcPr>
            <w:tcW w:w="1280" w:type="dxa"/>
          </w:tcPr>
          <w:p w14:paraId="66F91381" w14:textId="77777777" w:rsidR="005C5D35" w:rsidRPr="009C2F0D" w:rsidRDefault="005C5D35" w:rsidP="00ED03DD">
            <w:pPr>
              <w:spacing w:after="0" w:line="240" w:lineRule="auto"/>
              <w:jc w:val="both"/>
              <w:rPr>
                <w:rFonts w:ascii="Times New Roman" w:eastAsia="Times New Roman" w:hAnsi="Times New Roman" w:cs="Times New Roman"/>
                <w:sz w:val="24"/>
                <w:szCs w:val="24"/>
                <w:lang w:val="vi-VN"/>
              </w:rPr>
            </w:pPr>
            <w:r w:rsidRPr="009C2F0D">
              <w:rPr>
                <w:rFonts w:ascii="Times New Roman" w:eastAsia="Times New Roman" w:hAnsi="Times New Roman" w:cs="Times New Roman"/>
                <w:sz w:val="24"/>
                <w:szCs w:val="24"/>
                <w:lang w:val="vi-VN"/>
              </w:rPr>
              <w:t>C. Sửa đổi, bổ sung, thay thế, ban hành mới VBQPPL (theo trình tự, thủ tục rút gọn ban hành VBQPPL của Luật Ban hành VBQPPL)</w:t>
            </w:r>
          </w:p>
        </w:tc>
        <w:tc>
          <w:tcPr>
            <w:tcW w:w="1254" w:type="dxa"/>
          </w:tcPr>
          <w:p w14:paraId="7C6E3984" w14:textId="77777777" w:rsidR="005C5D35" w:rsidRPr="009C2F0D" w:rsidRDefault="005C5D35" w:rsidP="00ED03DD">
            <w:pPr>
              <w:spacing w:after="0" w:line="240" w:lineRule="auto"/>
              <w:jc w:val="both"/>
              <w:rPr>
                <w:rFonts w:ascii="Times New Roman" w:eastAsia="Times New Roman" w:hAnsi="Times New Roman" w:cs="Times New Roman"/>
                <w:sz w:val="24"/>
                <w:szCs w:val="24"/>
                <w:lang w:val="vi-VN"/>
              </w:rPr>
            </w:pPr>
            <w:r w:rsidRPr="009C2F0D">
              <w:rPr>
                <w:rFonts w:ascii="Times New Roman" w:eastAsia="Times New Roman" w:hAnsi="Times New Roman" w:cs="Times New Roman"/>
                <w:sz w:val="24"/>
                <w:szCs w:val="24"/>
                <w:lang w:val="vi-VN"/>
              </w:rPr>
              <w:t>Sở Tư pháp tỉnh Đắk Lắk</w:t>
            </w:r>
          </w:p>
        </w:tc>
        <w:tc>
          <w:tcPr>
            <w:tcW w:w="2289" w:type="dxa"/>
          </w:tcPr>
          <w:p w14:paraId="2BA16E3F" w14:textId="77777777" w:rsidR="005C5D35" w:rsidRPr="009C2F0D" w:rsidRDefault="005C5D35" w:rsidP="00ED03DD">
            <w:pPr>
              <w:spacing w:after="0" w:line="240" w:lineRule="auto"/>
              <w:jc w:val="both"/>
              <w:rPr>
                <w:rFonts w:ascii="Times New Roman" w:eastAsia="Times New Roman" w:hAnsi="Times New Roman" w:cs="Times New Roman"/>
                <w:sz w:val="24"/>
                <w:szCs w:val="24"/>
                <w:lang w:val="vi-VN"/>
              </w:rPr>
            </w:pPr>
            <w:r w:rsidRPr="009C2F0D">
              <w:rPr>
                <w:rFonts w:ascii="Times New Roman" w:eastAsia="Times New Roman" w:hAnsi="Times New Roman" w:cs="Times New Roman"/>
                <w:sz w:val="24"/>
                <w:szCs w:val="24"/>
                <w:lang w:val="vi-VN"/>
              </w:rPr>
              <w:t>Nhất trí vì:</w:t>
            </w:r>
            <w:r w:rsidRPr="009C2F0D">
              <w:rPr>
                <w:rFonts w:ascii="Times New Roman" w:eastAsia="Times New Roman" w:hAnsi="Times New Roman" w:cs="Times New Roman"/>
                <w:sz w:val="24"/>
                <w:szCs w:val="24"/>
                <w:lang w:val="vi-VN"/>
              </w:rPr>
              <w:br/>
              <w:t>Hiện nay, Bộ Tài chính đang tổng hợp ý kiến của các Bộ, cơ quan, địa phương và hoàn thiện Thông tư trình Bộ trưởng ban hành.</w:t>
            </w:r>
          </w:p>
          <w:p w14:paraId="6B0F32F0" w14:textId="77777777" w:rsidR="005C5D35" w:rsidRPr="009C2F0D" w:rsidRDefault="005C5D35" w:rsidP="00ED03DD">
            <w:pPr>
              <w:spacing w:after="0" w:line="240" w:lineRule="auto"/>
              <w:jc w:val="both"/>
              <w:rPr>
                <w:rFonts w:ascii="Times New Roman" w:eastAsia="Times New Roman" w:hAnsi="Times New Roman" w:cs="Times New Roman"/>
                <w:sz w:val="24"/>
                <w:szCs w:val="24"/>
                <w:lang w:val="vi-VN"/>
              </w:rPr>
            </w:pPr>
            <w:r w:rsidRPr="009C2F0D">
              <w:rPr>
                <w:rFonts w:ascii="Times New Roman" w:eastAsia="Times New Roman" w:hAnsi="Times New Roman"/>
                <w:b/>
                <w:bCs/>
                <w:sz w:val="24"/>
                <w:szCs w:val="24"/>
                <w:lang w:val="vi-VN"/>
              </w:rPr>
              <w:t>Theo Công văn số 08-CV/ĐUBTC-PC ngày 22/8/2025, Bộ Tài chính:</w:t>
            </w:r>
          </w:p>
          <w:p w14:paraId="4122090A" w14:textId="77777777" w:rsidR="005C5D35" w:rsidRPr="00A35EC9" w:rsidRDefault="005C5D35" w:rsidP="00ED03DD">
            <w:pPr>
              <w:spacing w:after="0" w:line="240" w:lineRule="auto"/>
              <w:jc w:val="both"/>
              <w:rPr>
                <w:rFonts w:ascii="Times New Roman" w:eastAsia="Times New Roman" w:hAnsi="Times New Roman" w:cs="Times New Roman"/>
                <w:sz w:val="24"/>
                <w:szCs w:val="24"/>
                <w:lang w:val="vi-VN"/>
              </w:rPr>
            </w:pPr>
            <w:r w:rsidRPr="009C2F0D">
              <w:rPr>
                <w:rFonts w:ascii="Times New Roman" w:eastAsia="Times New Roman" w:hAnsi="Times New Roman" w:cs="Times New Roman"/>
                <w:sz w:val="24"/>
                <w:szCs w:val="24"/>
                <w:lang w:val="vi-VN"/>
              </w:rPr>
              <w:t>Dự kiến sẽ hoàn thành trong năm 2025 (dự kiến ban hành trong tháng</w:t>
            </w:r>
            <w:r w:rsidRPr="00A35EC9">
              <w:rPr>
                <w:rFonts w:ascii="Times New Roman" w:eastAsia="Times New Roman" w:hAnsi="Times New Roman" w:cs="Times New Roman"/>
                <w:sz w:val="24"/>
                <w:szCs w:val="24"/>
                <w:lang w:val="vi-VN"/>
              </w:rPr>
              <w:t xml:space="preserve"> 9</w:t>
            </w:r>
            <w:r w:rsidRPr="009C2F0D">
              <w:rPr>
                <w:rFonts w:ascii="Times New Roman" w:eastAsia="Times New Roman" w:hAnsi="Times New Roman" w:cs="Times New Roman"/>
                <w:sz w:val="24"/>
                <w:szCs w:val="24"/>
                <w:lang w:val="vi-VN"/>
              </w:rPr>
              <w:t>/2025).</w:t>
            </w:r>
          </w:p>
        </w:tc>
        <w:tc>
          <w:tcPr>
            <w:tcW w:w="2694" w:type="dxa"/>
          </w:tcPr>
          <w:p w14:paraId="068A9052" w14:textId="77777777" w:rsidR="005C5D35" w:rsidRPr="001B6814" w:rsidRDefault="005C5D35" w:rsidP="00ED03DD">
            <w:pPr>
              <w:jc w:val="both"/>
              <w:rPr>
                <w:rFonts w:ascii="Times New Roman" w:hAnsi="Times New Roman" w:cs="Times New Roman"/>
                <w:b/>
                <w:sz w:val="24"/>
                <w:szCs w:val="24"/>
              </w:rPr>
            </w:pPr>
            <w:r w:rsidRPr="001B6814">
              <w:rPr>
                <w:rFonts w:ascii="Times New Roman" w:hAnsi="Times New Roman" w:cs="Times New Roman"/>
                <w:b/>
                <w:sz w:val="24"/>
                <w:szCs w:val="24"/>
              </w:rPr>
              <w:t>Chưa xử lý</w:t>
            </w:r>
          </w:p>
          <w:p w14:paraId="73A0FCA7" w14:textId="77777777" w:rsidR="005C5D35" w:rsidRDefault="005C5D35" w:rsidP="00ED03DD">
            <w:pPr>
              <w:spacing w:after="0"/>
              <w:jc w:val="both"/>
              <w:rPr>
                <w:rFonts w:ascii="Times New Roman" w:eastAsia="Times New Roman" w:hAnsi="Times New Roman" w:cs="Times New Roman"/>
                <w:color w:val="FF0000"/>
                <w:sz w:val="24"/>
                <w:szCs w:val="24"/>
                <w:lang w:val="vi-VN"/>
              </w:rPr>
            </w:pPr>
          </w:p>
          <w:p w14:paraId="5B64539B" w14:textId="0D32DEFB" w:rsidR="005C5D35" w:rsidRPr="00653888" w:rsidRDefault="005C5D35" w:rsidP="00ED03DD">
            <w:pPr>
              <w:spacing w:after="0"/>
              <w:jc w:val="both"/>
              <w:rPr>
                <w:rFonts w:ascii="Times New Roman" w:hAnsi="Times New Roman" w:cs="Times New Roman"/>
                <w:bCs/>
                <w:sz w:val="24"/>
                <w:szCs w:val="24"/>
                <w:lang w:val="vi-VN"/>
              </w:rPr>
            </w:pPr>
            <w:r w:rsidRPr="00653888">
              <w:rPr>
                <w:rFonts w:ascii="Times New Roman" w:eastAsia="Times New Roman" w:hAnsi="Times New Roman" w:cs="Times New Roman"/>
                <w:color w:val="FF0000"/>
                <w:sz w:val="24"/>
                <w:szCs w:val="24"/>
                <w:lang w:val="vi-VN"/>
              </w:rPr>
              <w:t>Bộ Tài chính đã có công văn số 17618/BTC-KTN ngày 12/11/2025 lấy ý kiến thống nhất của Bộ Văn hóa, Thể thao và Du lịch để ban hành Thông tư</w:t>
            </w:r>
          </w:p>
          <w:p w14:paraId="0A84E9AB" w14:textId="40ECEF66" w:rsidR="005C5D35" w:rsidRPr="00C92F0C" w:rsidRDefault="005C5D35" w:rsidP="00ED03DD">
            <w:pPr>
              <w:spacing w:after="0" w:line="240" w:lineRule="auto"/>
              <w:jc w:val="both"/>
              <w:rPr>
                <w:rFonts w:ascii="Times New Roman" w:eastAsia="Times New Roman" w:hAnsi="Times New Roman" w:cs="Times New Roman"/>
                <w:sz w:val="24"/>
                <w:szCs w:val="24"/>
                <w:lang w:val="vi-VN"/>
              </w:rPr>
            </w:pPr>
          </w:p>
        </w:tc>
      </w:tr>
      <w:tr w:rsidR="005C5D35" w:rsidRPr="00A35EC9" w14:paraId="3C55AA90" w14:textId="77777777" w:rsidTr="00ED03DD">
        <w:tc>
          <w:tcPr>
            <w:tcW w:w="702" w:type="dxa"/>
          </w:tcPr>
          <w:p w14:paraId="73E10CBA" w14:textId="77777777" w:rsidR="005C5D35" w:rsidRPr="00A35EC9" w:rsidRDefault="005C5D35" w:rsidP="00ED03DD">
            <w:pPr>
              <w:pStyle w:val="ListParagraph"/>
              <w:numPr>
                <w:ilvl w:val="0"/>
                <w:numId w:val="3"/>
              </w:numPr>
              <w:tabs>
                <w:tab w:val="left" w:pos="360"/>
              </w:tabs>
              <w:spacing w:after="0" w:line="240" w:lineRule="auto"/>
              <w:rPr>
                <w:rFonts w:ascii="Times New Roman" w:eastAsia="Times New Roman" w:hAnsi="Times New Roman" w:cs="Times New Roman"/>
                <w:sz w:val="24"/>
                <w:szCs w:val="24"/>
              </w:rPr>
            </w:pPr>
          </w:p>
        </w:tc>
        <w:tc>
          <w:tcPr>
            <w:tcW w:w="1897" w:type="dxa"/>
          </w:tcPr>
          <w:p w14:paraId="1BB21EA1" w14:textId="77777777" w:rsidR="005C5D35" w:rsidRPr="00A35EC9" w:rsidRDefault="005C5D35" w:rsidP="00ED03DD">
            <w:pPr>
              <w:tabs>
                <w:tab w:val="left" w:pos="360"/>
              </w:tabs>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Điều 3 Thông tư 102/2012/TT-BTC ngày 21/6/2012 của Bộ Tài chính quy định về chế độ công tác phí cho cán bộ, công chức nhà nước đi công tác nước ngoài</w:t>
            </w:r>
          </w:p>
        </w:tc>
        <w:tc>
          <w:tcPr>
            <w:tcW w:w="3913" w:type="dxa"/>
          </w:tcPr>
          <w:p w14:paraId="1B4DBF10"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Định mức thuê phòng ngủ, tiền ăn và tiêu vặt, thuê phương tiện đi lại theo phụ lục của Thông tư này (được xây dựng từ năm 2012) đến nay không còn phù hợp, đặc biệt là đối với một số quốc gia có chi phí sinh hoạt đắt đỏ ở châu Âu, Mỹ, Nhật Bản …, gây khó khăn cho người được cử đi công tác.</w:t>
            </w:r>
          </w:p>
        </w:tc>
        <w:tc>
          <w:tcPr>
            <w:tcW w:w="1280" w:type="dxa"/>
          </w:tcPr>
          <w:p w14:paraId="10A7819D"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C. Sửa đổi, bổ sung, thay thế, ban hành mới VBQPPL (theo trình tự, thủ tục rút gọn ban hành VBQPPL của Luật Ban hành VBQPPL)</w:t>
            </w:r>
          </w:p>
        </w:tc>
        <w:tc>
          <w:tcPr>
            <w:tcW w:w="1254" w:type="dxa"/>
          </w:tcPr>
          <w:p w14:paraId="05240B60"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Bộ Nội vụ</w:t>
            </w:r>
          </w:p>
        </w:tc>
        <w:tc>
          <w:tcPr>
            <w:tcW w:w="2289" w:type="dxa"/>
          </w:tcPr>
          <w:p w14:paraId="52D52336" w14:textId="77777777" w:rsidR="005C5D35" w:rsidRDefault="005C5D35" w:rsidP="00ED03DD">
            <w:pPr>
              <w:spacing w:after="0" w:line="240" w:lineRule="auto"/>
              <w:jc w:val="both"/>
              <w:rPr>
                <w:rFonts w:ascii="Times New Roman" w:eastAsia="Times New Roman" w:hAnsi="Times New Roman" w:cs="Times New Roman"/>
                <w:sz w:val="24"/>
                <w:szCs w:val="24"/>
              </w:rPr>
            </w:pPr>
            <w:r w:rsidRPr="004C0220">
              <w:rPr>
                <w:rFonts w:ascii="Times New Roman" w:eastAsia="Times New Roman" w:hAnsi="Times New Roman" w:cs="Times New Roman"/>
                <w:sz w:val="24"/>
                <w:szCs w:val="24"/>
              </w:rPr>
              <w:t>Nhất trí vì:</w:t>
            </w:r>
            <w:r w:rsidRPr="004C0220">
              <w:rPr>
                <w:rFonts w:ascii="Times New Roman" w:eastAsia="Times New Roman" w:hAnsi="Times New Roman" w:cs="Times New Roman"/>
                <w:sz w:val="24"/>
                <w:szCs w:val="24"/>
              </w:rPr>
              <w:br/>
              <w:t>Hiện nay, Bộ Tài chính đã có công văn số 11082/BTC-KTN ngày 21/7/2025 lấy ý kiến các Bộ, ngành địa phương về dự thảo Thông tư thay thế Thông tư số 102/2012/TT-BTC</w:t>
            </w:r>
          </w:p>
          <w:p w14:paraId="55B4B771" w14:textId="77777777" w:rsidR="005C5D35" w:rsidRDefault="005C5D35" w:rsidP="00ED03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b/>
                <w:bCs/>
                <w:sz w:val="24"/>
                <w:szCs w:val="24"/>
              </w:rPr>
              <w:t>Theo Công văn số 08-CV/ĐUBTC-PC ngày 22/8/2025, Bộ Tài chính:</w:t>
            </w:r>
          </w:p>
          <w:p w14:paraId="10EE4850" w14:textId="77777777" w:rsidR="005C5D35" w:rsidRDefault="005C5D35" w:rsidP="00ED03DD">
            <w:pPr>
              <w:spacing w:after="0" w:line="240" w:lineRule="auto"/>
              <w:jc w:val="both"/>
              <w:rPr>
                <w:rFonts w:ascii="Times New Roman" w:eastAsia="Times New Roman" w:hAnsi="Times New Roman" w:cs="Times New Roman"/>
                <w:sz w:val="24"/>
                <w:szCs w:val="24"/>
              </w:rPr>
            </w:pPr>
          </w:p>
          <w:p w14:paraId="2058EBDF"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Dự kiến hoàn thành trong năm 2025 (dự kiến ban hành trong tháng</w:t>
            </w:r>
            <w:r w:rsidRPr="00A35EC9">
              <w:rPr>
                <w:rFonts w:ascii="Times New Roman" w:eastAsia="Times New Roman" w:hAnsi="Times New Roman" w:cs="Times New Roman"/>
                <w:sz w:val="24"/>
                <w:szCs w:val="24"/>
                <w:lang w:val="vi-VN"/>
              </w:rPr>
              <w:t xml:space="preserve"> 10</w:t>
            </w:r>
            <w:r w:rsidRPr="00A35EC9">
              <w:rPr>
                <w:rFonts w:ascii="Times New Roman" w:eastAsia="Times New Roman" w:hAnsi="Times New Roman" w:cs="Times New Roman"/>
                <w:sz w:val="24"/>
                <w:szCs w:val="24"/>
              </w:rPr>
              <w:t>/2025).</w:t>
            </w:r>
          </w:p>
        </w:tc>
        <w:tc>
          <w:tcPr>
            <w:tcW w:w="2694" w:type="dxa"/>
          </w:tcPr>
          <w:p w14:paraId="473AC2B7" w14:textId="77777777" w:rsidR="005C5D35" w:rsidRDefault="005C5D35" w:rsidP="00ED03DD">
            <w:pPr>
              <w:pBdr>
                <w:top w:val="nil"/>
                <w:left w:val="nil"/>
                <w:bottom w:val="nil"/>
                <w:right w:val="nil"/>
                <w:between w:val="nil"/>
              </w:pBdr>
              <w:jc w:val="both"/>
              <w:rPr>
                <w:rFonts w:ascii="Times New Roman" w:eastAsia="Times New Roman" w:hAnsi="Times New Roman" w:cs="Times New Roman"/>
                <w:color w:val="FF0000"/>
                <w:sz w:val="24"/>
                <w:szCs w:val="24"/>
              </w:rPr>
            </w:pPr>
            <w:r w:rsidRPr="001679D4">
              <w:rPr>
                <w:rFonts w:ascii="Times New Roman" w:eastAsia="Times New Roman" w:hAnsi="Times New Roman" w:cs="Times New Roman"/>
                <w:color w:val="FF0000"/>
                <w:sz w:val="24"/>
                <w:szCs w:val="24"/>
              </w:rPr>
              <w:t>-</w:t>
            </w:r>
          </w:p>
          <w:p w14:paraId="0B9D4E63" w14:textId="77777777" w:rsidR="005C5D35" w:rsidRPr="001B6814" w:rsidRDefault="005C5D35" w:rsidP="00ED03DD">
            <w:pPr>
              <w:jc w:val="both"/>
              <w:rPr>
                <w:rFonts w:ascii="Times New Roman" w:hAnsi="Times New Roman" w:cs="Times New Roman"/>
                <w:b/>
                <w:sz w:val="24"/>
                <w:szCs w:val="24"/>
              </w:rPr>
            </w:pPr>
            <w:r w:rsidRPr="001B6814">
              <w:rPr>
                <w:rFonts w:ascii="Times New Roman" w:hAnsi="Times New Roman" w:cs="Times New Roman"/>
                <w:b/>
                <w:sz w:val="24"/>
                <w:szCs w:val="24"/>
              </w:rPr>
              <w:t>Chưa xử lý</w:t>
            </w:r>
          </w:p>
          <w:p w14:paraId="77F2A50B" w14:textId="1D2C4AB5" w:rsidR="005C5D35" w:rsidRPr="001679D4" w:rsidRDefault="005C5D35" w:rsidP="00ED03DD">
            <w:pPr>
              <w:pBdr>
                <w:top w:val="nil"/>
                <w:left w:val="nil"/>
                <w:bottom w:val="nil"/>
                <w:right w:val="nil"/>
                <w:between w:val="nil"/>
              </w:pBdr>
              <w:jc w:val="both"/>
              <w:rPr>
                <w:rFonts w:ascii="Times New Roman" w:eastAsia="Times New Roman" w:hAnsi="Times New Roman" w:cs="Times New Roman"/>
                <w:color w:val="FF0000"/>
                <w:sz w:val="24"/>
                <w:szCs w:val="24"/>
              </w:rPr>
            </w:pPr>
            <w:r w:rsidRPr="001679D4">
              <w:rPr>
                <w:rFonts w:ascii="Times New Roman" w:eastAsia="Times New Roman" w:hAnsi="Times New Roman" w:cs="Times New Roman"/>
                <w:color w:val="FF0000"/>
                <w:sz w:val="24"/>
                <w:szCs w:val="24"/>
              </w:rPr>
              <w:t xml:space="preserve"> Bộ Tài chính đã xây dựng dự thảo Thông tư thay thế Thông tư số 102/2021/TT-BTC gửi lấy ý kiến các Bộ, ngành, địa phương (Cv số 11052/BTC-KTN ngày 21/7/2025).</w:t>
            </w:r>
          </w:p>
          <w:p w14:paraId="32B280A5" w14:textId="555B93F6" w:rsidR="005C5D35" w:rsidRDefault="005C5D35" w:rsidP="00ED03DD">
            <w:pPr>
              <w:spacing w:after="0" w:line="240" w:lineRule="auto"/>
              <w:jc w:val="both"/>
              <w:rPr>
                <w:rFonts w:ascii="Times New Roman" w:eastAsia="Times New Roman" w:hAnsi="Times New Roman" w:cs="Times New Roman"/>
                <w:color w:val="FF0000"/>
                <w:sz w:val="24"/>
                <w:szCs w:val="24"/>
              </w:rPr>
            </w:pPr>
            <w:r w:rsidRPr="001679D4">
              <w:rPr>
                <w:rFonts w:ascii="Times New Roman" w:eastAsia="Times New Roman" w:hAnsi="Times New Roman" w:cs="Times New Roman"/>
                <w:color w:val="FF0000"/>
                <w:sz w:val="24"/>
                <w:szCs w:val="24"/>
              </w:rPr>
              <w:t>- Hiện nay Bộ Tài chính đang hoà</w:t>
            </w:r>
            <w:r>
              <w:rPr>
                <w:rFonts w:ascii="Times New Roman" w:eastAsia="Times New Roman" w:hAnsi="Times New Roman" w:cs="Times New Roman"/>
                <w:color w:val="FF0000"/>
                <w:sz w:val="24"/>
                <w:szCs w:val="24"/>
              </w:rPr>
              <w:t>n chỉnh để ký ban hành Thông tư trong năm 2025.</w:t>
            </w:r>
          </w:p>
          <w:p w14:paraId="37612B04" w14:textId="55CD8CE2" w:rsidR="005C5D35" w:rsidRPr="00A35EC9" w:rsidRDefault="005C5D35" w:rsidP="00ED03DD">
            <w:pPr>
              <w:spacing w:after="0" w:line="240" w:lineRule="auto"/>
              <w:jc w:val="both"/>
              <w:rPr>
                <w:rFonts w:ascii="Times New Roman" w:eastAsia="Times New Roman" w:hAnsi="Times New Roman" w:cs="Times New Roman"/>
                <w:sz w:val="24"/>
                <w:szCs w:val="24"/>
              </w:rPr>
            </w:pPr>
          </w:p>
        </w:tc>
      </w:tr>
      <w:tr w:rsidR="005C5D35" w:rsidRPr="00A35EC9" w14:paraId="22E0A662" w14:textId="77777777" w:rsidTr="00ED03DD">
        <w:tc>
          <w:tcPr>
            <w:tcW w:w="702" w:type="dxa"/>
          </w:tcPr>
          <w:p w14:paraId="3D7D32A0" w14:textId="77777777" w:rsidR="005C5D35" w:rsidRPr="00A35EC9" w:rsidRDefault="005C5D35" w:rsidP="00ED03DD">
            <w:pPr>
              <w:pStyle w:val="ListParagraph"/>
              <w:numPr>
                <w:ilvl w:val="0"/>
                <w:numId w:val="3"/>
              </w:numPr>
              <w:tabs>
                <w:tab w:val="left" w:pos="360"/>
              </w:tabs>
              <w:spacing w:after="0" w:line="240" w:lineRule="auto"/>
              <w:rPr>
                <w:rFonts w:ascii="Times New Roman" w:eastAsia="Times New Roman" w:hAnsi="Times New Roman" w:cs="Times New Roman"/>
                <w:sz w:val="24"/>
                <w:szCs w:val="24"/>
              </w:rPr>
            </w:pPr>
          </w:p>
        </w:tc>
        <w:tc>
          <w:tcPr>
            <w:tcW w:w="1897" w:type="dxa"/>
          </w:tcPr>
          <w:p w14:paraId="070BF593" w14:textId="77777777" w:rsidR="005C5D35" w:rsidRPr="00A35EC9" w:rsidRDefault="005C5D35" w:rsidP="00ED03DD">
            <w:pPr>
              <w:tabs>
                <w:tab w:val="left" w:pos="360"/>
              </w:tabs>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 xml:space="preserve">Điểm b khoản 1 Điều 4 Thông tư số 71/2018/TT-BTC ngày 10/8/2018 của Bộ Tài chính quy </w:t>
            </w:r>
            <w:r w:rsidRPr="00A35EC9">
              <w:rPr>
                <w:rFonts w:ascii="Times New Roman" w:eastAsia="Times New Roman" w:hAnsi="Times New Roman" w:cs="Times New Roman"/>
                <w:sz w:val="24"/>
                <w:szCs w:val="24"/>
              </w:rPr>
              <w:lastRenderedPageBreak/>
              <w:t>định về chế độ tiếp khách nước ngoài vào làm việc tại Việt Nam</w:t>
            </w:r>
          </w:p>
        </w:tc>
        <w:tc>
          <w:tcPr>
            <w:tcW w:w="3913" w:type="dxa"/>
          </w:tcPr>
          <w:p w14:paraId="70D8CCE2"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lastRenderedPageBreak/>
              <w:t xml:space="preserve">Quy định chế độ tiếp khách nước ngoài này chỉ áp dụng cho các đoàn khách đã được cơ quan chủ trì tổ chức đón, tiếp đoàn kiến nghị, quy định trong kế hoạch, đề án đón đoàn, không áp dụng cho các hoạt động </w:t>
            </w:r>
            <w:r w:rsidRPr="00A35EC9">
              <w:rPr>
                <w:rFonts w:ascii="Times New Roman" w:eastAsia="Times New Roman" w:hAnsi="Times New Roman" w:cs="Times New Roman"/>
                <w:sz w:val="24"/>
                <w:szCs w:val="24"/>
              </w:rPr>
              <w:lastRenderedPageBreak/>
              <w:t>đón, tiếp đột xuất, như vậy không linh hoạt và tạo ra những khó khăn nhất định.</w:t>
            </w:r>
          </w:p>
        </w:tc>
        <w:tc>
          <w:tcPr>
            <w:tcW w:w="1280" w:type="dxa"/>
          </w:tcPr>
          <w:p w14:paraId="4838FB0E"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lastRenderedPageBreak/>
              <w:t xml:space="preserve">C. Sửa đổi, bổ sung, thay thế, ban hành mới VBQPPL </w:t>
            </w:r>
            <w:r w:rsidRPr="00A35EC9">
              <w:rPr>
                <w:rFonts w:ascii="Times New Roman" w:eastAsia="Times New Roman" w:hAnsi="Times New Roman" w:cs="Times New Roman"/>
                <w:sz w:val="24"/>
                <w:szCs w:val="24"/>
              </w:rPr>
              <w:lastRenderedPageBreak/>
              <w:t>(theo trình tự, thủ tục rút gọn ban hành VBQPPL của Luật Ban hành VBQPPL)</w:t>
            </w:r>
          </w:p>
        </w:tc>
        <w:tc>
          <w:tcPr>
            <w:tcW w:w="1254" w:type="dxa"/>
          </w:tcPr>
          <w:p w14:paraId="4D0412CA"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lastRenderedPageBreak/>
              <w:t>Bộ Nội vụ</w:t>
            </w:r>
          </w:p>
        </w:tc>
        <w:tc>
          <w:tcPr>
            <w:tcW w:w="2289" w:type="dxa"/>
          </w:tcPr>
          <w:p w14:paraId="3051ACE5" w14:textId="77777777" w:rsidR="005C5D35" w:rsidRDefault="005C5D35" w:rsidP="00ED03DD">
            <w:pPr>
              <w:spacing w:after="0" w:line="240" w:lineRule="auto"/>
              <w:jc w:val="both"/>
              <w:rPr>
                <w:rFonts w:ascii="Times New Roman" w:eastAsia="Times New Roman" w:hAnsi="Times New Roman" w:cs="Times New Roman"/>
                <w:sz w:val="24"/>
                <w:szCs w:val="24"/>
              </w:rPr>
            </w:pPr>
            <w:r w:rsidRPr="004C0220">
              <w:rPr>
                <w:rFonts w:ascii="Times New Roman" w:eastAsia="Times New Roman" w:hAnsi="Times New Roman" w:cs="Times New Roman"/>
                <w:sz w:val="24"/>
                <w:szCs w:val="24"/>
              </w:rPr>
              <w:t>Nhất trí vì:</w:t>
            </w:r>
            <w:r w:rsidRPr="004C0220">
              <w:rPr>
                <w:rFonts w:ascii="Times New Roman" w:eastAsia="Times New Roman" w:hAnsi="Times New Roman" w:cs="Times New Roman"/>
                <w:sz w:val="24"/>
                <w:szCs w:val="24"/>
              </w:rPr>
              <w:br/>
              <w:t>Bộ Tài chính đang xây dựng Thông tư sửa đổi, bổ sung Thông tư 71/2018/TT-BTC.</w:t>
            </w:r>
          </w:p>
          <w:p w14:paraId="48629B0B" w14:textId="77777777" w:rsidR="005C5D35" w:rsidRDefault="005C5D35" w:rsidP="00ED03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b/>
                <w:bCs/>
                <w:sz w:val="24"/>
                <w:szCs w:val="24"/>
              </w:rPr>
              <w:lastRenderedPageBreak/>
              <w:t>Theo Công văn số 08-CV/ĐUBTC-PC ngày 22/8/2025, Bộ Tài chính:</w:t>
            </w:r>
          </w:p>
          <w:p w14:paraId="09E2C446" w14:textId="77777777" w:rsidR="005C5D35" w:rsidRDefault="005C5D35" w:rsidP="00ED03DD">
            <w:pPr>
              <w:spacing w:after="0" w:line="240" w:lineRule="auto"/>
              <w:jc w:val="both"/>
              <w:rPr>
                <w:rFonts w:ascii="Times New Roman" w:eastAsia="Times New Roman" w:hAnsi="Times New Roman" w:cs="Times New Roman"/>
                <w:sz w:val="24"/>
                <w:szCs w:val="24"/>
              </w:rPr>
            </w:pPr>
          </w:p>
          <w:p w14:paraId="5B906BA6"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Dự kiến hoàn thành trong năm 2025 (dự kiến ban hành trong tháng</w:t>
            </w:r>
            <w:r w:rsidRPr="00A35EC9">
              <w:rPr>
                <w:rFonts w:ascii="Times New Roman" w:eastAsia="Times New Roman" w:hAnsi="Times New Roman" w:cs="Times New Roman"/>
                <w:sz w:val="24"/>
                <w:szCs w:val="24"/>
                <w:lang w:val="vi-VN"/>
              </w:rPr>
              <w:t xml:space="preserve"> 1</w:t>
            </w:r>
            <w:r w:rsidRPr="00A35EC9">
              <w:rPr>
                <w:rFonts w:ascii="Times New Roman" w:eastAsia="Times New Roman" w:hAnsi="Times New Roman" w:cs="Times New Roman"/>
                <w:sz w:val="24"/>
                <w:szCs w:val="24"/>
              </w:rPr>
              <w:t>2/2025).</w:t>
            </w:r>
          </w:p>
        </w:tc>
        <w:tc>
          <w:tcPr>
            <w:tcW w:w="2694" w:type="dxa"/>
          </w:tcPr>
          <w:p w14:paraId="06CC05A3" w14:textId="77777777" w:rsidR="005C5D35" w:rsidRPr="001B6814" w:rsidRDefault="005C5D35" w:rsidP="00ED03DD">
            <w:pPr>
              <w:jc w:val="both"/>
              <w:rPr>
                <w:rFonts w:ascii="Times New Roman" w:hAnsi="Times New Roman" w:cs="Times New Roman"/>
                <w:b/>
                <w:sz w:val="24"/>
                <w:szCs w:val="24"/>
              </w:rPr>
            </w:pPr>
            <w:r w:rsidRPr="001B6814">
              <w:rPr>
                <w:rFonts w:ascii="Times New Roman" w:hAnsi="Times New Roman" w:cs="Times New Roman"/>
                <w:b/>
                <w:sz w:val="24"/>
                <w:szCs w:val="24"/>
              </w:rPr>
              <w:lastRenderedPageBreak/>
              <w:t>Chưa xử lý</w:t>
            </w:r>
          </w:p>
          <w:p w14:paraId="7689FD76" w14:textId="77777777" w:rsidR="005C5D35" w:rsidRDefault="005C5D35" w:rsidP="00ED03DD">
            <w:pPr>
              <w:spacing w:after="0" w:line="240" w:lineRule="auto"/>
              <w:jc w:val="both"/>
              <w:rPr>
                <w:rFonts w:ascii="Times New Roman" w:eastAsia="Times New Roman" w:hAnsi="Times New Roman" w:cs="Times New Roman"/>
                <w:color w:val="FF0000"/>
                <w:sz w:val="24"/>
                <w:szCs w:val="24"/>
              </w:rPr>
            </w:pPr>
            <w:r w:rsidRPr="001679D4">
              <w:rPr>
                <w:rFonts w:ascii="Times New Roman" w:eastAsia="Times New Roman" w:hAnsi="Times New Roman" w:cs="Times New Roman"/>
                <w:color w:val="FF0000"/>
                <w:sz w:val="24"/>
                <w:szCs w:val="24"/>
              </w:rPr>
              <w:t xml:space="preserve">Bộ Tài chính đã xây dựng dự thảo Thông tư sửa đổi, bổ sung Thông tư số 71/2018/TT-BTC </w:t>
            </w:r>
            <w:r w:rsidRPr="001679D4">
              <w:rPr>
                <w:rFonts w:ascii="Times New Roman" w:eastAsia="Times New Roman" w:hAnsi="Times New Roman" w:cs="Times New Roman"/>
                <w:color w:val="FF0000"/>
                <w:sz w:val="24"/>
                <w:szCs w:val="24"/>
              </w:rPr>
              <w:lastRenderedPageBreak/>
              <w:t>gửi lấy ý kiến các Bộ, ngành, địa phương (Cv số 13378/BTC-KTN ngày 28/8/2025).</w:t>
            </w:r>
          </w:p>
          <w:p w14:paraId="4E7E9E50" w14:textId="7FD75CD8" w:rsidR="005C5D35" w:rsidRPr="00A35EC9" w:rsidRDefault="005C5D35" w:rsidP="00ED03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Dự kiến ban hành trong năm 2025.</w:t>
            </w:r>
          </w:p>
        </w:tc>
      </w:tr>
      <w:tr w:rsidR="005C5D35" w:rsidRPr="00A35EC9" w14:paraId="24B8D99D" w14:textId="77777777" w:rsidTr="00ED03DD">
        <w:tc>
          <w:tcPr>
            <w:tcW w:w="702" w:type="dxa"/>
          </w:tcPr>
          <w:p w14:paraId="1F5BBF51" w14:textId="77777777" w:rsidR="005C5D35" w:rsidRPr="00A35EC9" w:rsidRDefault="005C5D35" w:rsidP="00ED03DD">
            <w:pPr>
              <w:pStyle w:val="ListParagraph"/>
              <w:numPr>
                <w:ilvl w:val="0"/>
                <w:numId w:val="3"/>
              </w:numPr>
              <w:tabs>
                <w:tab w:val="left" w:pos="360"/>
              </w:tabs>
              <w:spacing w:after="0" w:line="240" w:lineRule="auto"/>
              <w:rPr>
                <w:rFonts w:ascii="Times New Roman" w:eastAsia="Times New Roman" w:hAnsi="Times New Roman" w:cs="Times New Roman"/>
                <w:sz w:val="24"/>
                <w:szCs w:val="24"/>
              </w:rPr>
            </w:pPr>
          </w:p>
        </w:tc>
        <w:tc>
          <w:tcPr>
            <w:tcW w:w="1897" w:type="dxa"/>
          </w:tcPr>
          <w:p w14:paraId="1DC7455E" w14:textId="77777777" w:rsidR="005C5D35" w:rsidRPr="00A35EC9" w:rsidRDefault="005C5D35" w:rsidP="00ED03DD">
            <w:pPr>
              <w:tabs>
                <w:tab w:val="left" w:pos="360"/>
              </w:tabs>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Điều 11 Thông tư số 71/2018/TT-BTC ngày 10/8/2018 của Bộ Tài chính quy định về chế độ tiếp khách nước ngoài vào làm việc tại Việt Nam</w:t>
            </w:r>
          </w:p>
        </w:tc>
        <w:tc>
          <w:tcPr>
            <w:tcW w:w="3913" w:type="dxa"/>
          </w:tcPr>
          <w:p w14:paraId="00BCF0CF"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Định mức chi dịch thuật ở mức thấp, chưa phù hợp với giá cả thị trường hiện nay</w:t>
            </w:r>
          </w:p>
        </w:tc>
        <w:tc>
          <w:tcPr>
            <w:tcW w:w="1280" w:type="dxa"/>
          </w:tcPr>
          <w:p w14:paraId="6B6ED784"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C. Sửa đổi, bổ sung, thay thế, ban hành mới VBQPPL (theo trình tự, thủ tục rút gọn ban hành VBQPPL của Luật Ban hành VBQPPL)</w:t>
            </w:r>
          </w:p>
        </w:tc>
        <w:tc>
          <w:tcPr>
            <w:tcW w:w="1254" w:type="dxa"/>
          </w:tcPr>
          <w:p w14:paraId="164EC424"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Bộ Nội vụ</w:t>
            </w:r>
          </w:p>
        </w:tc>
        <w:tc>
          <w:tcPr>
            <w:tcW w:w="2289" w:type="dxa"/>
          </w:tcPr>
          <w:p w14:paraId="66C7485B" w14:textId="77777777" w:rsidR="005C5D35" w:rsidRDefault="005C5D35" w:rsidP="00ED03DD">
            <w:pPr>
              <w:spacing w:after="0" w:line="240" w:lineRule="auto"/>
              <w:jc w:val="both"/>
              <w:rPr>
                <w:rFonts w:ascii="Times New Roman" w:eastAsia="Times New Roman" w:hAnsi="Times New Roman" w:cs="Times New Roman"/>
                <w:sz w:val="24"/>
                <w:szCs w:val="24"/>
              </w:rPr>
            </w:pPr>
            <w:r w:rsidRPr="004C0220">
              <w:rPr>
                <w:rFonts w:ascii="Times New Roman" w:eastAsia="Times New Roman" w:hAnsi="Times New Roman" w:cs="Times New Roman"/>
                <w:sz w:val="24"/>
                <w:szCs w:val="24"/>
              </w:rPr>
              <w:t>Nhất trí vì:</w:t>
            </w:r>
            <w:r w:rsidRPr="004C0220">
              <w:rPr>
                <w:rFonts w:ascii="Times New Roman" w:eastAsia="Times New Roman" w:hAnsi="Times New Roman" w:cs="Times New Roman"/>
                <w:sz w:val="24"/>
                <w:szCs w:val="24"/>
              </w:rPr>
              <w:br/>
              <w:t>Bộ Tài chính đang xây dựng Thông tư sửa đổi, bổ sung Thông tư 71/2018/TT-BTC.</w:t>
            </w:r>
          </w:p>
          <w:p w14:paraId="062FBC81" w14:textId="77777777" w:rsidR="005C5D35" w:rsidRDefault="005C5D35" w:rsidP="00ED03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b/>
                <w:bCs/>
                <w:sz w:val="24"/>
                <w:szCs w:val="24"/>
              </w:rPr>
              <w:t>Theo Công văn số 08-CV/ĐUBTC-PC ngày 22/8/2025, Bộ Tài chính:</w:t>
            </w:r>
          </w:p>
          <w:p w14:paraId="705F547C" w14:textId="77777777" w:rsidR="005C5D35" w:rsidRDefault="005C5D35" w:rsidP="00ED03DD">
            <w:pPr>
              <w:spacing w:after="0" w:line="240" w:lineRule="auto"/>
              <w:jc w:val="both"/>
              <w:rPr>
                <w:rFonts w:ascii="Times New Roman" w:eastAsia="Times New Roman" w:hAnsi="Times New Roman" w:cs="Times New Roman"/>
                <w:sz w:val="24"/>
                <w:szCs w:val="24"/>
              </w:rPr>
            </w:pPr>
          </w:p>
          <w:p w14:paraId="14391F06"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Dự kiến hoàn thành trong năm 2025 (dự kiến ban hành trong tháng</w:t>
            </w:r>
            <w:r w:rsidRPr="00A35EC9">
              <w:rPr>
                <w:rFonts w:ascii="Times New Roman" w:eastAsia="Times New Roman" w:hAnsi="Times New Roman" w:cs="Times New Roman"/>
                <w:sz w:val="24"/>
                <w:szCs w:val="24"/>
                <w:lang w:val="vi-VN"/>
              </w:rPr>
              <w:t xml:space="preserve"> 1</w:t>
            </w:r>
            <w:r w:rsidRPr="00A35EC9">
              <w:rPr>
                <w:rFonts w:ascii="Times New Roman" w:eastAsia="Times New Roman" w:hAnsi="Times New Roman" w:cs="Times New Roman"/>
                <w:sz w:val="24"/>
                <w:szCs w:val="24"/>
              </w:rPr>
              <w:t>2/2025).</w:t>
            </w:r>
          </w:p>
        </w:tc>
        <w:tc>
          <w:tcPr>
            <w:tcW w:w="2694" w:type="dxa"/>
          </w:tcPr>
          <w:p w14:paraId="650CC3D8" w14:textId="77777777" w:rsidR="005C5D35" w:rsidRPr="001B6814" w:rsidRDefault="005C5D35" w:rsidP="00ED03DD">
            <w:pPr>
              <w:jc w:val="both"/>
              <w:rPr>
                <w:rFonts w:ascii="Times New Roman" w:hAnsi="Times New Roman" w:cs="Times New Roman"/>
                <w:b/>
                <w:sz w:val="24"/>
                <w:szCs w:val="24"/>
              </w:rPr>
            </w:pPr>
            <w:r w:rsidRPr="001B6814">
              <w:rPr>
                <w:rFonts w:ascii="Times New Roman" w:hAnsi="Times New Roman" w:cs="Times New Roman"/>
                <w:b/>
                <w:sz w:val="24"/>
                <w:szCs w:val="24"/>
              </w:rPr>
              <w:t>Chưa xử lý</w:t>
            </w:r>
          </w:p>
          <w:p w14:paraId="46DF81FA" w14:textId="77777777" w:rsidR="005C5D35" w:rsidRDefault="005C5D35" w:rsidP="00ED03DD">
            <w:pPr>
              <w:spacing w:after="0" w:line="240" w:lineRule="auto"/>
              <w:jc w:val="both"/>
              <w:rPr>
                <w:rFonts w:ascii="Times New Roman" w:eastAsia="Times New Roman" w:hAnsi="Times New Roman" w:cs="Times New Roman"/>
                <w:color w:val="FF0000"/>
                <w:sz w:val="24"/>
                <w:szCs w:val="24"/>
              </w:rPr>
            </w:pPr>
            <w:r w:rsidRPr="001679D4">
              <w:rPr>
                <w:rFonts w:ascii="Times New Roman" w:eastAsia="Times New Roman" w:hAnsi="Times New Roman" w:cs="Times New Roman"/>
                <w:color w:val="FF0000"/>
                <w:sz w:val="24"/>
                <w:szCs w:val="24"/>
              </w:rPr>
              <w:t>Bộ Tài chính đã xây dựng dự thảo Thông tư sửa đổi, bổ sung Thông tư số 71/2018/TT-BTC gửi lấy ý kiến các Bộ, ngành, địa phương (Cv số 13378/BTC-KTN ngày 28/8/2025).</w:t>
            </w:r>
          </w:p>
          <w:p w14:paraId="6E67D3F6" w14:textId="4A007D3D" w:rsidR="005C5D35" w:rsidRPr="00A35EC9" w:rsidRDefault="005C5D35" w:rsidP="00ED03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Dự kiến ban hành trong năm 2025.</w:t>
            </w:r>
          </w:p>
        </w:tc>
      </w:tr>
      <w:tr w:rsidR="005C5D35" w:rsidRPr="00A35EC9" w14:paraId="1141FB10" w14:textId="77777777" w:rsidTr="00ED03DD">
        <w:tc>
          <w:tcPr>
            <w:tcW w:w="702" w:type="dxa"/>
          </w:tcPr>
          <w:p w14:paraId="6281331A" w14:textId="77777777" w:rsidR="005C5D35" w:rsidRPr="00A35EC9" w:rsidRDefault="005C5D35" w:rsidP="00ED03DD">
            <w:pPr>
              <w:pStyle w:val="ListParagraph"/>
              <w:numPr>
                <w:ilvl w:val="0"/>
                <w:numId w:val="3"/>
              </w:numPr>
              <w:tabs>
                <w:tab w:val="left" w:pos="360"/>
              </w:tabs>
              <w:spacing w:after="0" w:line="240" w:lineRule="auto"/>
              <w:rPr>
                <w:rFonts w:ascii="Times New Roman" w:eastAsia="Times New Roman" w:hAnsi="Times New Roman" w:cs="Times New Roman"/>
                <w:sz w:val="24"/>
                <w:szCs w:val="24"/>
              </w:rPr>
            </w:pPr>
          </w:p>
        </w:tc>
        <w:tc>
          <w:tcPr>
            <w:tcW w:w="1897" w:type="dxa"/>
          </w:tcPr>
          <w:p w14:paraId="119248D6" w14:textId="77777777" w:rsidR="005C5D35" w:rsidRPr="00A35EC9" w:rsidRDefault="005C5D35" w:rsidP="00ED03DD">
            <w:pPr>
              <w:tabs>
                <w:tab w:val="left" w:pos="360"/>
              </w:tabs>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Khoản 2 Điều 12 Thông tư số 71/2018/TT- BTC ngày 10/8/2018 của Bộ Tài chính quy định về chế độ tiếp khách nước ngoài vào làm việc tại Việt Nam</w:t>
            </w:r>
          </w:p>
        </w:tc>
        <w:tc>
          <w:tcPr>
            <w:tcW w:w="3913" w:type="dxa"/>
          </w:tcPr>
          <w:p w14:paraId="3400EBCC"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Không quy định mức chi tặng phẩm đối với đoàn khách hạng C, do vậy không đảm bảo các yêu cầu đối ngoại thông thường hoặc theo thông lệ ngoại giao quốc tế.</w:t>
            </w:r>
          </w:p>
        </w:tc>
        <w:tc>
          <w:tcPr>
            <w:tcW w:w="1280" w:type="dxa"/>
          </w:tcPr>
          <w:p w14:paraId="2262B17A"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C. Sửa đổi, bổ sung, thay thế, ban hành mới VBQPPL (theo trình tự, thủ tục rút gọn ban hành VBQPPL của Luật Ban hành VBQPPL)</w:t>
            </w:r>
          </w:p>
        </w:tc>
        <w:tc>
          <w:tcPr>
            <w:tcW w:w="1254" w:type="dxa"/>
          </w:tcPr>
          <w:p w14:paraId="3F3F49EC"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Bộ Nội vụ</w:t>
            </w:r>
          </w:p>
        </w:tc>
        <w:tc>
          <w:tcPr>
            <w:tcW w:w="2289" w:type="dxa"/>
          </w:tcPr>
          <w:p w14:paraId="7A03A9D7" w14:textId="77777777" w:rsidR="005C5D35" w:rsidRDefault="005C5D35" w:rsidP="00ED03DD">
            <w:pPr>
              <w:spacing w:after="0" w:line="240" w:lineRule="auto"/>
              <w:jc w:val="both"/>
              <w:rPr>
                <w:rFonts w:ascii="Times New Roman" w:eastAsia="Times New Roman" w:hAnsi="Times New Roman" w:cs="Times New Roman"/>
                <w:sz w:val="24"/>
                <w:szCs w:val="24"/>
              </w:rPr>
            </w:pPr>
          </w:p>
          <w:p w14:paraId="79978567" w14:textId="77777777" w:rsidR="005C5D35" w:rsidRDefault="005C5D35" w:rsidP="00ED03DD">
            <w:pPr>
              <w:spacing w:after="0" w:line="240" w:lineRule="auto"/>
              <w:jc w:val="both"/>
              <w:rPr>
                <w:rFonts w:ascii="Times New Roman" w:eastAsia="Times New Roman" w:hAnsi="Times New Roman" w:cs="Times New Roman"/>
                <w:sz w:val="24"/>
                <w:szCs w:val="24"/>
              </w:rPr>
            </w:pPr>
            <w:r w:rsidRPr="004C0220">
              <w:rPr>
                <w:rFonts w:ascii="Times New Roman" w:eastAsia="Times New Roman" w:hAnsi="Times New Roman" w:cs="Times New Roman"/>
                <w:sz w:val="24"/>
                <w:szCs w:val="24"/>
              </w:rPr>
              <w:t>Nhất trí vì:</w:t>
            </w:r>
            <w:r w:rsidRPr="004C0220">
              <w:rPr>
                <w:rFonts w:ascii="Times New Roman" w:eastAsia="Times New Roman" w:hAnsi="Times New Roman" w:cs="Times New Roman"/>
                <w:sz w:val="24"/>
                <w:szCs w:val="24"/>
              </w:rPr>
              <w:br/>
              <w:t>Bộ Tài chính đang xây dựng Thông tư sửa đổi, bổ sung Thông tư 71/2018/TT-BTC.</w:t>
            </w:r>
          </w:p>
          <w:p w14:paraId="44E5BAA0" w14:textId="77777777" w:rsidR="005C5D35" w:rsidRDefault="005C5D35" w:rsidP="00ED03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b/>
                <w:bCs/>
                <w:sz w:val="24"/>
                <w:szCs w:val="24"/>
              </w:rPr>
              <w:t>Theo Công văn số 08-CV/ĐUBTC-PC ngày 22/8/2025, Bộ Tài chính:</w:t>
            </w:r>
          </w:p>
          <w:p w14:paraId="3C356FDB" w14:textId="77777777" w:rsidR="005C5D35" w:rsidRDefault="005C5D35" w:rsidP="00ED03DD">
            <w:pPr>
              <w:spacing w:after="0" w:line="240" w:lineRule="auto"/>
              <w:jc w:val="both"/>
              <w:rPr>
                <w:rFonts w:ascii="Times New Roman" w:eastAsia="Times New Roman" w:hAnsi="Times New Roman" w:cs="Times New Roman"/>
                <w:sz w:val="24"/>
                <w:szCs w:val="24"/>
              </w:rPr>
            </w:pPr>
          </w:p>
          <w:p w14:paraId="6910F554"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Dự kiến hoàn thành trong năm 2025 (dự kiến ban hành trong tháng</w:t>
            </w:r>
            <w:r w:rsidRPr="00A35EC9">
              <w:rPr>
                <w:rFonts w:ascii="Times New Roman" w:eastAsia="Times New Roman" w:hAnsi="Times New Roman" w:cs="Times New Roman"/>
                <w:sz w:val="24"/>
                <w:szCs w:val="24"/>
                <w:lang w:val="vi-VN"/>
              </w:rPr>
              <w:t xml:space="preserve"> 1</w:t>
            </w:r>
            <w:r w:rsidRPr="00A35EC9">
              <w:rPr>
                <w:rFonts w:ascii="Times New Roman" w:eastAsia="Times New Roman" w:hAnsi="Times New Roman" w:cs="Times New Roman"/>
                <w:sz w:val="24"/>
                <w:szCs w:val="24"/>
              </w:rPr>
              <w:t>2/2025).</w:t>
            </w:r>
          </w:p>
        </w:tc>
        <w:tc>
          <w:tcPr>
            <w:tcW w:w="2694" w:type="dxa"/>
          </w:tcPr>
          <w:p w14:paraId="103FC2E9" w14:textId="77777777" w:rsidR="005C5D35" w:rsidRPr="001B6814" w:rsidRDefault="005C5D35" w:rsidP="00ED03DD">
            <w:pPr>
              <w:jc w:val="both"/>
              <w:rPr>
                <w:rFonts w:ascii="Times New Roman" w:hAnsi="Times New Roman" w:cs="Times New Roman"/>
                <w:b/>
                <w:sz w:val="24"/>
                <w:szCs w:val="24"/>
              </w:rPr>
            </w:pPr>
            <w:r w:rsidRPr="001B6814">
              <w:rPr>
                <w:rFonts w:ascii="Times New Roman" w:hAnsi="Times New Roman" w:cs="Times New Roman"/>
                <w:b/>
                <w:sz w:val="24"/>
                <w:szCs w:val="24"/>
              </w:rPr>
              <w:t>Chưa xử lý</w:t>
            </w:r>
          </w:p>
          <w:p w14:paraId="055984D3" w14:textId="77777777" w:rsidR="005C5D35" w:rsidRDefault="005C5D35" w:rsidP="00ED03DD">
            <w:pPr>
              <w:spacing w:after="0" w:line="240" w:lineRule="auto"/>
              <w:jc w:val="both"/>
              <w:rPr>
                <w:rFonts w:ascii="Times New Roman" w:eastAsia="Times New Roman" w:hAnsi="Times New Roman" w:cs="Times New Roman"/>
                <w:color w:val="FF0000"/>
                <w:sz w:val="24"/>
                <w:szCs w:val="24"/>
              </w:rPr>
            </w:pPr>
            <w:r w:rsidRPr="001679D4">
              <w:rPr>
                <w:rFonts w:ascii="Times New Roman" w:eastAsia="Times New Roman" w:hAnsi="Times New Roman" w:cs="Times New Roman"/>
                <w:color w:val="FF0000"/>
                <w:sz w:val="24"/>
                <w:szCs w:val="24"/>
              </w:rPr>
              <w:t>Bộ Tài chính đã xây dựng dự thảo Thông tư sửa đổi, bổ sung Thông tư số 71/2018/TT-BTC gửi lấy ý kiến các Bộ, ngành, địa phương (Cv số 13378/BTC-KTN ngày 28/8/2025).</w:t>
            </w:r>
          </w:p>
          <w:p w14:paraId="4AA09060" w14:textId="564948AD" w:rsidR="005C5D35" w:rsidRPr="00A35EC9" w:rsidRDefault="005C5D35" w:rsidP="00ED03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Dự kiến ban hành trong năm 2025.</w:t>
            </w:r>
          </w:p>
        </w:tc>
      </w:tr>
      <w:tr w:rsidR="005C5D35" w:rsidRPr="009C2F0D" w14:paraId="0F044C8C" w14:textId="77777777" w:rsidTr="00ED03DD">
        <w:tc>
          <w:tcPr>
            <w:tcW w:w="702" w:type="dxa"/>
          </w:tcPr>
          <w:p w14:paraId="2B493E53" w14:textId="77777777" w:rsidR="005C5D35" w:rsidRPr="00A35EC9" w:rsidRDefault="005C5D35" w:rsidP="00ED03DD">
            <w:pPr>
              <w:pStyle w:val="ListParagraph"/>
              <w:numPr>
                <w:ilvl w:val="0"/>
                <w:numId w:val="3"/>
              </w:numPr>
              <w:tabs>
                <w:tab w:val="left" w:pos="360"/>
              </w:tabs>
              <w:spacing w:after="0" w:line="240" w:lineRule="auto"/>
              <w:rPr>
                <w:rFonts w:ascii="Times New Roman" w:eastAsia="Times New Roman" w:hAnsi="Times New Roman" w:cs="Times New Roman"/>
                <w:sz w:val="24"/>
                <w:szCs w:val="24"/>
              </w:rPr>
            </w:pPr>
          </w:p>
        </w:tc>
        <w:tc>
          <w:tcPr>
            <w:tcW w:w="1897" w:type="dxa"/>
          </w:tcPr>
          <w:p w14:paraId="33E8C1C2" w14:textId="77777777" w:rsidR="005C5D35" w:rsidRPr="00A35EC9" w:rsidRDefault="005C5D35" w:rsidP="00ED03DD">
            <w:pPr>
              <w:tabs>
                <w:tab w:val="left" w:pos="360"/>
              </w:tabs>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t xml:space="preserve">Khoản 4 vào Điều 41 Nghị định 31/2021/NĐ-CP quy định chi tiết và hướng dẫn thi hành một số điều của Luật Đầu tư, có hiệu lực từ </w:t>
            </w:r>
            <w:r w:rsidRPr="00A35EC9">
              <w:rPr>
                <w:rFonts w:ascii="Times New Roman" w:eastAsia="Times New Roman" w:hAnsi="Times New Roman" w:cs="Times New Roman"/>
                <w:sz w:val="24"/>
                <w:szCs w:val="24"/>
              </w:rPr>
              <w:lastRenderedPageBreak/>
              <w:t>ngày 26 tháng 3 năm 2021.</w:t>
            </w:r>
          </w:p>
        </w:tc>
        <w:tc>
          <w:tcPr>
            <w:tcW w:w="3913" w:type="dxa"/>
          </w:tcPr>
          <w:p w14:paraId="035DED85"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lastRenderedPageBreak/>
              <w:t xml:space="preserve">VƯỚNG MẮC LIÊN QUAN ĐẾN THAY ĐỔI ĐỊA GIỚI HÀNH CHÍNH Việc thay đổi địa giới hành chính tại Việt Nam kéo theo yêu cầu điều chỉnh thông tin trên các Giấy chứng nhận đăng ký đầu tư (CNĐKĐT), Giấy chứng nhận đăng ký doanh nghiệp (CNĐKDN) và Giấy chứng nhận đăng ký hoạt động chi </w:t>
            </w:r>
            <w:r w:rsidRPr="00A35EC9">
              <w:rPr>
                <w:rFonts w:ascii="Times New Roman" w:eastAsia="Times New Roman" w:hAnsi="Times New Roman" w:cs="Times New Roman"/>
                <w:sz w:val="24"/>
                <w:szCs w:val="24"/>
              </w:rPr>
              <w:lastRenderedPageBreak/>
              <w:t xml:space="preserve">nhánh (CNĐKHĐCN). Mặc dù, Chính phủ, Bộ ngành đã quy định rằng doanh nghiệp không phải đều chỉnh các giấy tờ, song do đặc thù ngành sản xuất, kinh doanh, chúng tôi cần đảm bảo sự đồng bộ thông tin trên các giấy tờ này để phục vụ việc xuất hóa đơn của nhà cung cấp cho chúng tôi, cho khách hàng, đối tác thương mại cũng như các cơ quan kiểm tra của nước nhập khẩu. Tuy nhiên, việc chuẩn bị đầy đủ hồ sơ điều chỉnh, bao gồm quyết định của chủ sở hữu, báo cáo tình hình hoạt động dự án,… gây mất rất nhiều thời gian của doanh nghiệp (ít nhất 2 tháng) dẫn đến doanh nghiệp không kịp cung cấp giấy tờ để nhà cung cấp xuất hóa đơn cho chúng tôi; xuất hóa đơn cho khách hàng, đối tác thương mại hay chứng minh với các cơ quan kiểm tra của nước nhập khẩu, việc sản xuất kinh doanh sẽ bị ảnh hưởng. Chúng tôi cho rằng, trong trường hợp này, việc nộp quyết định của chủ sở hữu và </w:t>
            </w:r>
            <w:r w:rsidRPr="00A35EC9">
              <w:rPr>
                <w:rFonts w:ascii="Times New Roman" w:eastAsia="Times New Roman" w:hAnsi="Times New Roman" w:cs="Times New Roman"/>
                <w:sz w:val="24"/>
                <w:szCs w:val="24"/>
              </w:rPr>
              <w:lastRenderedPageBreak/>
              <w:t>báo cáo tình hình hoạt động dự án là không cần thiết. Vì vậy, để tạo điều kiện thuận lợi cho doanh nghiệp, chúng tôi kính đề nghị quý Cơ quan xem xét bổ sung khoản 4 vào Điều 41 Nghị định 31/2021/NĐ-CP với nội dung như sau: “4. Trong trường hợp thay đổi địa giới hành chính, nhà đầu tư nộp văn bản đề nghị cấp lại Giấy chứng nhận đăng ký đầu tư cho cơ quan đăng ký đầu tư để được cấp lại trong thời hạn 03 ngày làm việc kể từ ngày cơ quan đăng ký đầu tư nhận được văn bản đề nghị. Đồng thời, nhà đầu tư nộp thông báo về việc bổ sung, cập nhật thông tin đăng ký doanh nghiệp theo Điều 63, Nghị định 01/2021/NĐ-CP về đăng ký doanh nghiệp cho cơ quan đăng ký doanh nghiệp để đồng bộ thông tin.”</w:t>
            </w:r>
          </w:p>
        </w:tc>
        <w:tc>
          <w:tcPr>
            <w:tcW w:w="1280" w:type="dxa"/>
          </w:tcPr>
          <w:p w14:paraId="456DCA14"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lastRenderedPageBreak/>
              <w:t xml:space="preserve">C. Sửa đổi, bổ sung, thay thế, ban hành mới VBQPPL (theo trình tự, thủ tục rút gọn </w:t>
            </w:r>
            <w:r w:rsidRPr="00A35EC9">
              <w:rPr>
                <w:rFonts w:ascii="Times New Roman" w:eastAsia="Times New Roman" w:hAnsi="Times New Roman" w:cs="Times New Roman"/>
                <w:sz w:val="24"/>
                <w:szCs w:val="24"/>
              </w:rPr>
              <w:lastRenderedPageBreak/>
              <w:t>ban hành VBQPPL của Luật Ban hành VBQPPL)</w:t>
            </w:r>
          </w:p>
        </w:tc>
        <w:tc>
          <w:tcPr>
            <w:tcW w:w="1254" w:type="dxa"/>
          </w:tcPr>
          <w:p w14:paraId="1FEE350A" w14:textId="77777777" w:rsidR="005C5D35" w:rsidRPr="00A35EC9" w:rsidRDefault="005C5D35" w:rsidP="00ED03DD">
            <w:pPr>
              <w:spacing w:after="0" w:line="240" w:lineRule="auto"/>
              <w:jc w:val="both"/>
              <w:rPr>
                <w:rFonts w:ascii="Times New Roman" w:eastAsia="Times New Roman" w:hAnsi="Times New Roman" w:cs="Times New Roman"/>
                <w:sz w:val="24"/>
                <w:szCs w:val="24"/>
              </w:rPr>
            </w:pPr>
            <w:r w:rsidRPr="00A35EC9">
              <w:rPr>
                <w:rFonts w:ascii="Times New Roman" w:eastAsia="Times New Roman" w:hAnsi="Times New Roman" w:cs="Times New Roman"/>
                <w:sz w:val="24"/>
                <w:szCs w:val="24"/>
              </w:rPr>
              <w:lastRenderedPageBreak/>
              <w:t>Công ty TNHH Canon Việt Nam</w:t>
            </w:r>
          </w:p>
        </w:tc>
        <w:tc>
          <w:tcPr>
            <w:tcW w:w="2289" w:type="dxa"/>
          </w:tcPr>
          <w:p w14:paraId="107576F6" w14:textId="77777777" w:rsidR="005C5D35" w:rsidRPr="004C0220" w:rsidRDefault="005C5D35" w:rsidP="00ED03DD">
            <w:pPr>
              <w:spacing w:after="0" w:line="240" w:lineRule="auto"/>
              <w:jc w:val="both"/>
              <w:rPr>
                <w:rFonts w:ascii="Times New Roman" w:eastAsia="Times New Roman" w:hAnsi="Times New Roman" w:cs="Times New Roman"/>
                <w:sz w:val="24"/>
                <w:szCs w:val="24"/>
              </w:rPr>
            </w:pPr>
            <w:r w:rsidRPr="004C0220">
              <w:rPr>
                <w:rFonts w:ascii="Times New Roman" w:eastAsia="Times New Roman" w:hAnsi="Times New Roman" w:cs="Times New Roman"/>
                <w:sz w:val="24"/>
                <w:szCs w:val="24"/>
              </w:rPr>
              <w:t xml:space="preserve">Nhất trí vì: </w:t>
            </w:r>
          </w:p>
          <w:p w14:paraId="056162EF" w14:textId="77777777" w:rsidR="005C5D35" w:rsidRDefault="005C5D35" w:rsidP="00ED03DD">
            <w:pPr>
              <w:spacing w:after="0" w:line="240" w:lineRule="auto"/>
              <w:jc w:val="both"/>
              <w:rPr>
                <w:rFonts w:ascii="Times New Roman" w:eastAsia="Times New Roman" w:hAnsi="Times New Roman" w:cs="Times New Roman"/>
                <w:sz w:val="24"/>
                <w:szCs w:val="24"/>
              </w:rPr>
            </w:pPr>
            <w:r w:rsidRPr="004C0220">
              <w:rPr>
                <w:rFonts w:ascii="Times New Roman" w:eastAsia="Times New Roman" w:hAnsi="Times New Roman" w:cs="Times New Roman"/>
                <w:sz w:val="24"/>
                <w:szCs w:val="24"/>
              </w:rPr>
              <w:t>Hiện nay Bộ Tài chính đang nghiên cứu để sửa tổng thể Luật Đầu tư và các văn bản hướng dẫn thi hành. (năm 2025-2026).</w:t>
            </w:r>
          </w:p>
          <w:p w14:paraId="041D1AB5" w14:textId="77777777" w:rsidR="005C5D35" w:rsidRDefault="005C5D35" w:rsidP="00ED03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b/>
                <w:bCs/>
                <w:sz w:val="24"/>
                <w:szCs w:val="24"/>
              </w:rPr>
              <w:t xml:space="preserve">Theo Công văn số </w:t>
            </w:r>
            <w:r>
              <w:rPr>
                <w:rFonts w:ascii="Times New Roman" w:eastAsia="Times New Roman" w:hAnsi="Times New Roman"/>
                <w:b/>
                <w:bCs/>
                <w:sz w:val="24"/>
                <w:szCs w:val="24"/>
              </w:rPr>
              <w:lastRenderedPageBreak/>
              <w:t>08-CV/ĐUBTC-PC ngày 22/8/2025, Bộ Tài chính:</w:t>
            </w:r>
          </w:p>
          <w:p w14:paraId="6B9647DA" w14:textId="77777777" w:rsidR="005C5D35" w:rsidRDefault="005C5D35" w:rsidP="00ED03DD">
            <w:pPr>
              <w:spacing w:after="0" w:line="240" w:lineRule="auto"/>
              <w:jc w:val="both"/>
              <w:rPr>
                <w:rFonts w:ascii="Times New Roman" w:eastAsia="Times New Roman" w:hAnsi="Times New Roman" w:cs="Times New Roman"/>
                <w:sz w:val="24"/>
                <w:szCs w:val="24"/>
              </w:rPr>
            </w:pPr>
          </w:p>
          <w:p w14:paraId="7F4F5593" w14:textId="77777777" w:rsidR="005C5D35" w:rsidRPr="00A35EC9" w:rsidRDefault="005C5D35" w:rsidP="00ED03DD">
            <w:pPr>
              <w:spacing w:after="0" w:line="240" w:lineRule="auto"/>
              <w:jc w:val="both"/>
              <w:rPr>
                <w:rFonts w:ascii="Times New Roman" w:eastAsia="Times New Roman" w:hAnsi="Times New Roman" w:cs="Times New Roman"/>
                <w:sz w:val="24"/>
                <w:szCs w:val="24"/>
                <w:lang w:val="vi-VN"/>
              </w:rPr>
            </w:pPr>
            <w:r w:rsidRPr="00A35EC9">
              <w:rPr>
                <w:rFonts w:ascii="Times New Roman" w:eastAsia="Times New Roman" w:hAnsi="Times New Roman" w:cs="Times New Roman"/>
                <w:sz w:val="24"/>
                <w:szCs w:val="24"/>
              </w:rPr>
              <w:t>Dự</w:t>
            </w:r>
            <w:r w:rsidRPr="00A35EC9">
              <w:rPr>
                <w:rFonts w:ascii="Times New Roman" w:eastAsia="Times New Roman" w:hAnsi="Times New Roman" w:cs="Times New Roman"/>
                <w:sz w:val="24"/>
                <w:szCs w:val="24"/>
                <w:lang w:val="vi-VN"/>
              </w:rPr>
              <w:t xml:space="preserve"> kiến trình Quốc hội tại Kỳ họp tháng 10/2025</w:t>
            </w:r>
          </w:p>
        </w:tc>
        <w:tc>
          <w:tcPr>
            <w:tcW w:w="2694" w:type="dxa"/>
          </w:tcPr>
          <w:p w14:paraId="793CA3CE" w14:textId="77777777" w:rsidR="005C5D35" w:rsidRPr="001C67FC" w:rsidRDefault="005C5D35" w:rsidP="00ED03DD">
            <w:pPr>
              <w:pBdr>
                <w:top w:val="nil"/>
                <w:left w:val="nil"/>
                <w:bottom w:val="nil"/>
                <w:right w:val="nil"/>
                <w:between w:val="nil"/>
              </w:pBdr>
              <w:jc w:val="both"/>
              <w:rPr>
                <w:rFonts w:ascii="Times New Roman" w:eastAsia="Times New Roman" w:hAnsi="Times New Roman" w:cs="Times New Roman"/>
                <w:b/>
                <w:sz w:val="24"/>
                <w:szCs w:val="24"/>
              </w:rPr>
            </w:pPr>
            <w:r w:rsidRPr="00F41238">
              <w:rPr>
                <w:rFonts w:ascii="Times New Roman" w:eastAsia="Times New Roman" w:hAnsi="Times New Roman" w:cs="Times New Roman"/>
                <w:b/>
                <w:sz w:val="24"/>
                <w:szCs w:val="24"/>
                <w:highlight w:val="yellow"/>
              </w:rPr>
              <w:lastRenderedPageBreak/>
              <w:t>Đã xử lý</w:t>
            </w:r>
          </w:p>
          <w:p w14:paraId="26651D3C" w14:textId="77777777" w:rsidR="005C5D35" w:rsidRPr="00653888" w:rsidRDefault="005C5D35" w:rsidP="00ED03DD">
            <w:pPr>
              <w:spacing w:after="0"/>
              <w:jc w:val="both"/>
              <w:rPr>
                <w:rFonts w:ascii="Times New Roman" w:hAnsi="Times New Roman" w:cs="Times New Roman"/>
                <w:b/>
                <w:bCs/>
                <w:sz w:val="24"/>
                <w:szCs w:val="24"/>
                <w:lang w:val="vi-VN"/>
              </w:rPr>
            </w:pPr>
            <w:r w:rsidRPr="00653888">
              <w:rPr>
                <w:rFonts w:ascii="Times New Roman" w:hAnsi="Times New Roman" w:cs="Times New Roman"/>
                <w:b/>
                <w:bCs/>
                <w:sz w:val="24"/>
                <w:szCs w:val="24"/>
                <w:lang w:val="vi-VN"/>
              </w:rPr>
              <w:t xml:space="preserve">Khoản 5, khoản 16 Điều 1 Nghị định số 239/2025/NĐ-CP ngày 3/9/2025 sửa đổi, bổ sung một số điều của Nghị định số </w:t>
            </w:r>
            <w:r w:rsidRPr="00653888">
              <w:rPr>
                <w:rFonts w:ascii="Times New Roman" w:eastAsia="Times New Roman" w:hAnsi="Times New Roman" w:cs="Times New Roman"/>
                <w:b/>
                <w:sz w:val="24"/>
                <w:szCs w:val="24"/>
                <w:lang w:val="vi-VN"/>
              </w:rPr>
              <w:t xml:space="preserve">31/2021/NĐ-CP quy </w:t>
            </w:r>
            <w:r w:rsidRPr="00653888">
              <w:rPr>
                <w:rFonts w:ascii="Times New Roman" w:eastAsia="Times New Roman" w:hAnsi="Times New Roman" w:cs="Times New Roman"/>
                <w:b/>
                <w:sz w:val="24"/>
                <w:szCs w:val="24"/>
                <w:lang w:val="vi-VN"/>
              </w:rPr>
              <w:lastRenderedPageBreak/>
              <w:t>định chi tiết và hướng dẫn thi hành một số điều của Luật Đầu tư, có hiệu lực từ ngày 26 tháng 3 năm 2021.</w:t>
            </w:r>
          </w:p>
          <w:p w14:paraId="2192F173" w14:textId="5C1709FB" w:rsidR="005C5D35" w:rsidRPr="00F41EEC" w:rsidRDefault="005C5D35" w:rsidP="00ED03DD">
            <w:pPr>
              <w:spacing w:after="0" w:line="240" w:lineRule="auto"/>
              <w:jc w:val="both"/>
              <w:rPr>
                <w:rFonts w:ascii="Times New Roman" w:eastAsia="Times New Roman" w:hAnsi="Times New Roman" w:cs="Times New Roman"/>
                <w:sz w:val="24"/>
                <w:szCs w:val="24"/>
                <w:lang w:val="vi-VN"/>
              </w:rPr>
            </w:pPr>
          </w:p>
        </w:tc>
      </w:tr>
      <w:tr w:rsidR="005C5D35" w:rsidRPr="009C2F0D" w14:paraId="5AEEA5E6" w14:textId="77777777" w:rsidTr="00ED03DD">
        <w:tc>
          <w:tcPr>
            <w:tcW w:w="702" w:type="dxa"/>
          </w:tcPr>
          <w:p w14:paraId="32F94072" w14:textId="77777777" w:rsidR="005C5D35" w:rsidRPr="00F41EEC" w:rsidRDefault="005C5D35" w:rsidP="00ED03DD">
            <w:pPr>
              <w:pStyle w:val="ListParagraph"/>
              <w:numPr>
                <w:ilvl w:val="0"/>
                <w:numId w:val="3"/>
              </w:numPr>
              <w:tabs>
                <w:tab w:val="left" w:pos="360"/>
              </w:tabs>
              <w:spacing w:after="0" w:line="240" w:lineRule="auto"/>
              <w:rPr>
                <w:rFonts w:ascii="Times New Roman" w:eastAsia="Times New Roman" w:hAnsi="Times New Roman" w:cs="Times New Roman"/>
                <w:sz w:val="24"/>
                <w:szCs w:val="24"/>
                <w:lang w:val="vi-VN"/>
              </w:rPr>
            </w:pPr>
          </w:p>
        </w:tc>
        <w:tc>
          <w:tcPr>
            <w:tcW w:w="1897" w:type="dxa"/>
          </w:tcPr>
          <w:p w14:paraId="1F2A27FD" w14:textId="77777777" w:rsidR="005C5D35" w:rsidRPr="009C2F0D" w:rsidRDefault="005C5D35" w:rsidP="00ED03DD">
            <w:pPr>
              <w:tabs>
                <w:tab w:val="left" w:pos="360"/>
              </w:tabs>
              <w:spacing w:after="0" w:line="240" w:lineRule="auto"/>
              <w:jc w:val="both"/>
              <w:rPr>
                <w:rFonts w:ascii="Times New Roman" w:eastAsia="Times New Roman" w:hAnsi="Times New Roman" w:cs="Times New Roman"/>
                <w:sz w:val="24"/>
                <w:szCs w:val="24"/>
                <w:lang w:val="vi-VN"/>
              </w:rPr>
            </w:pPr>
            <w:r w:rsidRPr="009C2F0D">
              <w:rPr>
                <w:rFonts w:ascii="Times New Roman" w:eastAsia="Times New Roman" w:hAnsi="Times New Roman" w:cs="Times New Roman"/>
                <w:sz w:val="24"/>
                <w:szCs w:val="24"/>
                <w:lang w:val="vi-VN"/>
              </w:rPr>
              <w:t xml:space="preserve">Luật Đầu tư 2020 - Điểm a khoản 1 Điều 33 Luật Đầu tư năm 2020. - Điểm đ </w:t>
            </w:r>
            <w:r w:rsidRPr="009C2F0D">
              <w:rPr>
                <w:rFonts w:ascii="Times New Roman" w:eastAsia="Times New Roman" w:hAnsi="Times New Roman" w:cs="Times New Roman"/>
                <w:sz w:val="24"/>
                <w:szCs w:val="24"/>
                <w:lang w:val="vi-VN"/>
              </w:rPr>
              <w:lastRenderedPageBreak/>
              <w:t>khoản 1, điểm b khoản 2, điểm b khoản 4 Điều 33; khoản 4 Điều 40, điểm b khoản 4 Điều 41; khoản 3 Điều 44; khoản 7 Điều 77.</w:t>
            </w:r>
          </w:p>
        </w:tc>
        <w:tc>
          <w:tcPr>
            <w:tcW w:w="3913" w:type="dxa"/>
          </w:tcPr>
          <w:p w14:paraId="2F4CCED5" w14:textId="77777777" w:rsidR="005C5D35" w:rsidRPr="009C2F0D" w:rsidRDefault="005C5D35" w:rsidP="00ED03DD">
            <w:pPr>
              <w:spacing w:after="0" w:line="240" w:lineRule="auto"/>
              <w:jc w:val="both"/>
              <w:rPr>
                <w:rFonts w:ascii="Times New Roman" w:eastAsia="Times New Roman" w:hAnsi="Times New Roman" w:cs="Times New Roman"/>
                <w:sz w:val="24"/>
                <w:szCs w:val="24"/>
                <w:lang w:val="vi-VN"/>
              </w:rPr>
            </w:pPr>
            <w:r w:rsidRPr="009C2F0D">
              <w:rPr>
                <w:rFonts w:ascii="Times New Roman" w:eastAsia="Times New Roman" w:hAnsi="Times New Roman" w:cs="Times New Roman"/>
                <w:sz w:val="24"/>
                <w:szCs w:val="24"/>
                <w:lang w:val="vi-VN"/>
              </w:rPr>
              <w:lastRenderedPageBreak/>
              <w:t xml:space="preserve">- Các điều khoản này chưa có quy định rõ, cụ thể về thẩm quyền chấp thuận, phê duyệt chủ trương đầu tư, thực hiện dự án trên biển, mới chủ yếu trên đất liền dẫn đến nhiều vướng </w:t>
            </w:r>
            <w:r w:rsidRPr="009C2F0D">
              <w:rPr>
                <w:rFonts w:ascii="Times New Roman" w:eastAsia="Times New Roman" w:hAnsi="Times New Roman" w:cs="Times New Roman"/>
                <w:sz w:val="24"/>
                <w:szCs w:val="24"/>
                <w:lang w:val="vi-VN"/>
              </w:rPr>
              <w:lastRenderedPageBreak/>
              <w:t>mắc, khó khăn khi Nhà đầu tư có nhu cầu sử dụng khu vực biển để khai thác, sử dụng tài nguyên biển đối với các dự án xây dựng cảng biển (khu vực xây dựng cầu cảng, vùng quay trở tàu, knước trước bến; luồng hàng hải chuyên dung); triển khai các dự án điện gió (lắp dựng trụ tuabin, cáp điện); khai thác khoáng sản trên biển; dự án nuôi trồng thủy sản trên biển.v.v.</w:t>
            </w:r>
          </w:p>
        </w:tc>
        <w:tc>
          <w:tcPr>
            <w:tcW w:w="1280" w:type="dxa"/>
          </w:tcPr>
          <w:p w14:paraId="30A78484" w14:textId="77777777" w:rsidR="005C5D35" w:rsidRPr="009C2F0D" w:rsidRDefault="005C5D35" w:rsidP="00ED03DD">
            <w:pPr>
              <w:spacing w:after="0" w:line="240" w:lineRule="auto"/>
              <w:jc w:val="both"/>
              <w:rPr>
                <w:rFonts w:ascii="Times New Roman" w:eastAsia="Times New Roman" w:hAnsi="Times New Roman" w:cs="Times New Roman"/>
                <w:sz w:val="24"/>
                <w:szCs w:val="24"/>
                <w:lang w:val="vi-VN"/>
              </w:rPr>
            </w:pPr>
            <w:r w:rsidRPr="009C2F0D">
              <w:rPr>
                <w:rFonts w:ascii="Times New Roman" w:eastAsia="Times New Roman" w:hAnsi="Times New Roman" w:cs="Times New Roman"/>
                <w:sz w:val="24"/>
                <w:szCs w:val="24"/>
                <w:lang w:val="vi-VN"/>
              </w:rPr>
              <w:lastRenderedPageBreak/>
              <w:t xml:space="preserve">C. Sửa đổi, bổ sung, thay thế, ban hành mới </w:t>
            </w:r>
            <w:r w:rsidRPr="009C2F0D">
              <w:rPr>
                <w:rFonts w:ascii="Times New Roman" w:eastAsia="Times New Roman" w:hAnsi="Times New Roman" w:cs="Times New Roman"/>
                <w:sz w:val="24"/>
                <w:szCs w:val="24"/>
                <w:lang w:val="vi-VN"/>
              </w:rPr>
              <w:lastRenderedPageBreak/>
              <w:t>VBQPPL (theo trình tự, thủ tục rút gọn ban hành VBQPPL của Luật Ban hành VBQPPL)</w:t>
            </w:r>
          </w:p>
        </w:tc>
        <w:tc>
          <w:tcPr>
            <w:tcW w:w="1254" w:type="dxa"/>
          </w:tcPr>
          <w:p w14:paraId="25938C34" w14:textId="77777777" w:rsidR="005C5D35" w:rsidRPr="009C2F0D" w:rsidRDefault="005C5D35" w:rsidP="00ED03DD">
            <w:pPr>
              <w:spacing w:after="0" w:line="240" w:lineRule="auto"/>
              <w:jc w:val="both"/>
              <w:rPr>
                <w:rFonts w:ascii="Times New Roman" w:eastAsia="Times New Roman" w:hAnsi="Times New Roman" w:cs="Times New Roman"/>
                <w:sz w:val="24"/>
                <w:szCs w:val="24"/>
                <w:lang w:val="vi-VN"/>
              </w:rPr>
            </w:pPr>
            <w:r w:rsidRPr="009C2F0D">
              <w:rPr>
                <w:rFonts w:ascii="Times New Roman" w:eastAsia="Times New Roman" w:hAnsi="Times New Roman" w:cs="Times New Roman"/>
                <w:sz w:val="24"/>
                <w:szCs w:val="24"/>
                <w:lang w:val="vi-VN"/>
              </w:rPr>
              <w:lastRenderedPageBreak/>
              <w:t>Bộ Nông nghiệp và Môi trường</w:t>
            </w:r>
          </w:p>
        </w:tc>
        <w:tc>
          <w:tcPr>
            <w:tcW w:w="2289" w:type="dxa"/>
          </w:tcPr>
          <w:p w14:paraId="28766EF9" w14:textId="77777777" w:rsidR="005C5D35" w:rsidRPr="009C2F0D" w:rsidRDefault="005C5D35" w:rsidP="00ED03DD">
            <w:pPr>
              <w:spacing w:after="0" w:line="240" w:lineRule="auto"/>
              <w:jc w:val="both"/>
              <w:rPr>
                <w:rFonts w:ascii="Times New Roman" w:eastAsia="Times New Roman" w:hAnsi="Times New Roman" w:cs="Times New Roman"/>
                <w:sz w:val="24"/>
                <w:szCs w:val="24"/>
                <w:lang w:val="vi-VN"/>
              </w:rPr>
            </w:pPr>
            <w:r w:rsidRPr="009C2F0D">
              <w:rPr>
                <w:rFonts w:ascii="Times New Roman" w:eastAsia="Times New Roman" w:hAnsi="Times New Roman" w:cs="Times New Roman"/>
                <w:sz w:val="24"/>
                <w:szCs w:val="24"/>
                <w:lang w:val="vi-VN"/>
              </w:rPr>
              <w:t xml:space="preserve">Nhất trí vì: </w:t>
            </w:r>
          </w:p>
          <w:p w14:paraId="628C1641" w14:textId="77777777" w:rsidR="005C5D35" w:rsidRPr="009C2F0D" w:rsidRDefault="005C5D35" w:rsidP="00ED03DD">
            <w:pPr>
              <w:spacing w:after="0" w:line="240" w:lineRule="auto"/>
              <w:jc w:val="both"/>
              <w:rPr>
                <w:rFonts w:ascii="Times New Roman" w:eastAsia="Times New Roman" w:hAnsi="Times New Roman" w:cs="Times New Roman"/>
                <w:sz w:val="24"/>
                <w:szCs w:val="24"/>
                <w:lang w:val="vi-VN"/>
              </w:rPr>
            </w:pPr>
            <w:r w:rsidRPr="009C2F0D">
              <w:rPr>
                <w:rFonts w:ascii="Times New Roman" w:eastAsia="Times New Roman" w:hAnsi="Times New Roman" w:cs="Times New Roman"/>
                <w:sz w:val="24"/>
                <w:szCs w:val="24"/>
                <w:lang w:val="vi-VN"/>
              </w:rPr>
              <w:t xml:space="preserve">Hiện nay Bộ Tài chính đang nghiên cứu để sửa tổng thể Luật Đầu tư và các </w:t>
            </w:r>
            <w:r w:rsidRPr="009C2F0D">
              <w:rPr>
                <w:rFonts w:ascii="Times New Roman" w:eastAsia="Times New Roman" w:hAnsi="Times New Roman" w:cs="Times New Roman"/>
                <w:sz w:val="24"/>
                <w:szCs w:val="24"/>
                <w:lang w:val="vi-VN"/>
              </w:rPr>
              <w:lastRenderedPageBreak/>
              <w:t>văn bản hướng dẫn thi hành. (năm 2025-2026).\</w:t>
            </w:r>
          </w:p>
          <w:p w14:paraId="333EA69D" w14:textId="77777777" w:rsidR="005C5D35" w:rsidRPr="009C2F0D" w:rsidRDefault="005C5D35" w:rsidP="00ED03DD">
            <w:pPr>
              <w:spacing w:after="0" w:line="240" w:lineRule="auto"/>
              <w:jc w:val="both"/>
              <w:rPr>
                <w:rFonts w:ascii="Times New Roman" w:eastAsia="Times New Roman" w:hAnsi="Times New Roman" w:cs="Times New Roman"/>
                <w:sz w:val="24"/>
                <w:szCs w:val="24"/>
                <w:lang w:val="vi-VN"/>
              </w:rPr>
            </w:pPr>
            <w:r w:rsidRPr="009C2F0D">
              <w:rPr>
                <w:rFonts w:ascii="Times New Roman" w:eastAsia="Times New Roman" w:hAnsi="Times New Roman"/>
                <w:b/>
                <w:bCs/>
                <w:sz w:val="24"/>
                <w:szCs w:val="24"/>
                <w:lang w:val="vi-VN"/>
              </w:rPr>
              <w:t>Theo Công văn số 08-CV/ĐUBTC-PC ngày 22/8/2025, Bộ Tài chính:</w:t>
            </w:r>
          </w:p>
          <w:p w14:paraId="058A9733" w14:textId="77777777" w:rsidR="005C5D35" w:rsidRPr="009C2F0D" w:rsidRDefault="005C5D35" w:rsidP="00ED03DD">
            <w:pPr>
              <w:spacing w:after="0" w:line="240" w:lineRule="auto"/>
              <w:jc w:val="both"/>
              <w:rPr>
                <w:rFonts w:ascii="Times New Roman" w:eastAsia="Times New Roman" w:hAnsi="Times New Roman" w:cs="Times New Roman"/>
                <w:sz w:val="24"/>
                <w:szCs w:val="24"/>
                <w:lang w:val="vi-VN"/>
              </w:rPr>
            </w:pPr>
            <w:r w:rsidRPr="009C2F0D">
              <w:rPr>
                <w:rFonts w:ascii="Times New Roman" w:eastAsia="Times New Roman" w:hAnsi="Times New Roman" w:cs="Times New Roman"/>
                <w:sz w:val="24"/>
                <w:szCs w:val="24"/>
                <w:lang w:val="vi-VN"/>
              </w:rPr>
              <w:t>quy định về diện dự án phải thực hiện thủ tục chấp thuận CTĐT sẽ được nghiên cứu, quy định rõ tại Luật Đầu tư (thay thế)</w:t>
            </w:r>
          </w:p>
        </w:tc>
        <w:tc>
          <w:tcPr>
            <w:tcW w:w="2694" w:type="dxa"/>
          </w:tcPr>
          <w:p w14:paraId="78C6DF1E" w14:textId="77777777" w:rsidR="005C5D35" w:rsidRPr="001C67FC" w:rsidRDefault="005C5D35" w:rsidP="00ED03DD">
            <w:pPr>
              <w:pBdr>
                <w:top w:val="nil"/>
                <w:left w:val="nil"/>
                <w:bottom w:val="nil"/>
                <w:right w:val="nil"/>
                <w:between w:val="nil"/>
              </w:pBdr>
              <w:jc w:val="both"/>
              <w:rPr>
                <w:rFonts w:ascii="Times New Roman" w:eastAsia="Times New Roman" w:hAnsi="Times New Roman" w:cs="Times New Roman"/>
                <w:b/>
                <w:sz w:val="24"/>
                <w:szCs w:val="24"/>
              </w:rPr>
            </w:pPr>
            <w:r w:rsidRPr="00F41238">
              <w:rPr>
                <w:rFonts w:ascii="Times New Roman" w:eastAsia="Times New Roman" w:hAnsi="Times New Roman" w:cs="Times New Roman"/>
                <w:b/>
                <w:sz w:val="24"/>
                <w:szCs w:val="24"/>
                <w:highlight w:val="yellow"/>
              </w:rPr>
              <w:lastRenderedPageBreak/>
              <w:t>Đã xử lý</w:t>
            </w:r>
          </w:p>
          <w:p w14:paraId="006A822E" w14:textId="77777777" w:rsidR="005C5D35" w:rsidRPr="00592602" w:rsidRDefault="005C5D35" w:rsidP="00ED03DD">
            <w:pPr>
              <w:spacing w:after="0" w:line="240" w:lineRule="auto"/>
              <w:jc w:val="both"/>
              <w:rPr>
                <w:rFonts w:ascii="Times New Roman" w:eastAsia="Times New Roman" w:hAnsi="Times New Roman" w:cs="Times New Roman"/>
                <w:bCs/>
                <w:sz w:val="24"/>
                <w:szCs w:val="24"/>
              </w:rPr>
            </w:pPr>
            <w:r w:rsidRPr="00592602">
              <w:rPr>
                <w:rFonts w:ascii="Times New Roman" w:eastAsia="Times New Roman" w:hAnsi="Times New Roman" w:cs="Times New Roman"/>
                <w:bCs/>
                <w:sz w:val="24"/>
                <w:szCs w:val="24"/>
              </w:rPr>
              <w:t xml:space="preserve">Ngày 11/12/2025, Quốc hội đã ban hành Luật Đầu tư </w:t>
            </w:r>
          </w:p>
          <w:p w14:paraId="1110D0FE" w14:textId="77777777" w:rsidR="005C5D35" w:rsidRPr="00653888" w:rsidRDefault="005C5D35" w:rsidP="00ED03DD">
            <w:pPr>
              <w:spacing w:after="0" w:line="240" w:lineRule="auto"/>
              <w:jc w:val="both"/>
              <w:rPr>
                <w:rFonts w:ascii="Times New Roman" w:eastAsia="Times New Roman" w:hAnsi="Times New Roman" w:cs="Times New Roman"/>
                <w:sz w:val="24"/>
                <w:szCs w:val="24"/>
                <w:lang w:val="vi-VN"/>
              </w:rPr>
            </w:pPr>
          </w:p>
          <w:p w14:paraId="4D2E4F2E" w14:textId="0942C94A" w:rsidR="005C5D35" w:rsidRPr="00DD3F9A" w:rsidRDefault="005C5D35" w:rsidP="00ED03DD">
            <w:pPr>
              <w:spacing w:after="0"/>
              <w:jc w:val="both"/>
              <w:rPr>
                <w:rFonts w:ascii="Times New Roman" w:eastAsia="Times New Roman" w:hAnsi="Times New Roman" w:cs="Times New Roman"/>
                <w:b/>
                <w:color w:val="FF0000"/>
                <w:sz w:val="24"/>
                <w:szCs w:val="24"/>
                <w:lang w:val="vi-VN"/>
              </w:rPr>
            </w:pPr>
            <w:r w:rsidRPr="00C400DE">
              <w:rPr>
                <w:rFonts w:ascii="Times New Roman" w:eastAsia="Times New Roman" w:hAnsi="Times New Roman" w:cs="Times New Roman"/>
                <w:b/>
                <w:color w:val="FF0000"/>
                <w:sz w:val="24"/>
                <w:szCs w:val="24"/>
                <w:lang w:val="vi-VN"/>
              </w:rPr>
              <w:t xml:space="preserve">Nội </w:t>
            </w:r>
            <w:r>
              <w:rPr>
                <w:rFonts w:ascii="Times New Roman" w:eastAsia="Times New Roman" w:hAnsi="Times New Roman" w:cs="Times New Roman"/>
                <w:b/>
                <w:color w:val="FF0000"/>
                <w:sz w:val="24"/>
                <w:szCs w:val="24"/>
                <w:lang w:val="vi-VN"/>
              </w:rPr>
              <w:t xml:space="preserve">dung này đã được đưa vào </w:t>
            </w:r>
            <w:r w:rsidRPr="00653888">
              <w:rPr>
                <w:rFonts w:ascii="Times New Roman" w:eastAsia="Times New Roman" w:hAnsi="Times New Roman" w:cs="Times New Roman"/>
                <w:b/>
                <w:color w:val="FF0000"/>
                <w:sz w:val="24"/>
                <w:szCs w:val="24"/>
                <w:lang w:val="vi-VN"/>
              </w:rPr>
              <w:t xml:space="preserve">khoản 10 </w:t>
            </w:r>
            <w:r w:rsidRPr="00EB25BE">
              <w:rPr>
                <w:rFonts w:ascii="Times New Roman" w:eastAsia="Times New Roman" w:hAnsi="Times New Roman" w:cs="Times New Roman"/>
                <w:b/>
                <w:color w:val="FF0000"/>
                <w:sz w:val="24"/>
                <w:szCs w:val="24"/>
                <w:lang w:val="vi-VN"/>
              </w:rPr>
              <w:t>Đ</w:t>
            </w:r>
            <w:r w:rsidRPr="00653888">
              <w:rPr>
                <w:rFonts w:ascii="Times New Roman" w:eastAsia="Times New Roman" w:hAnsi="Times New Roman" w:cs="Times New Roman"/>
                <w:b/>
                <w:color w:val="FF0000"/>
                <w:sz w:val="24"/>
                <w:szCs w:val="24"/>
                <w:lang w:val="vi-VN"/>
              </w:rPr>
              <w:t xml:space="preserve">iều 24 </w:t>
            </w:r>
            <w:r w:rsidRPr="00C400DE">
              <w:rPr>
                <w:rFonts w:ascii="Times New Roman" w:eastAsia="Times New Roman" w:hAnsi="Times New Roman" w:cs="Times New Roman"/>
                <w:b/>
                <w:color w:val="FF0000"/>
                <w:sz w:val="24"/>
                <w:szCs w:val="24"/>
                <w:lang w:val="vi-VN"/>
              </w:rPr>
              <w:t xml:space="preserve"> Luật Đầu tư </w:t>
            </w:r>
            <w:r w:rsidR="00C75BAC" w:rsidRPr="00C75BAC">
              <w:rPr>
                <w:rFonts w:ascii="Times New Roman" w:eastAsia="Times New Roman" w:hAnsi="Times New Roman" w:cs="Times New Roman"/>
                <w:bCs/>
                <w:sz w:val="24"/>
                <w:szCs w:val="24"/>
              </w:rPr>
              <w:t xml:space="preserve"> </w:t>
            </w:r>
            <w:r w:rsidR="00C75BAC" w:rsidRPr="00C75BAC">
              <w:rPr>
                <w:rFonts w:ascii="Times New Roman" w:eastAsia="Times New Roman" w:hAnsi="Times New Roman" w:cs="Times New Roman"/>
                <w:b/>
                <w:bCs/>
                <w:color w:val="FF0000"/>
                <w:sz w:val="24"/>
                <w:szCs w:val="24"/>
              </w:rPr>
              <w:t>được</w:t>
            </w:r>
            <w:r w:rsidR="00C75BAC" w:rsidRPr="00C75BAC">
              <w:rPr>
                <w:rFonts w:ascii="Times New Roman" w:eastAsia="Times New Roman" w:hAnsi="Times New Roman" w:cs="Times New Roman"/>
                <w:b/>
                <w:color w:val="FF0000"/>
                <w:sz w:val="24"/>
                <w:szCs w:val="24"/>
              </w:rPr>
              <w:t xml:space="preserve"> </w:t>
            </w:r>
            <w:r w:rsidR="00C75BAC" w:rsidRPr="00C75BAC">
              <w:rPr>
                <w:rFonts w:ascii="Times New Roman" w:eastAsia="Times New Roman" w:hAnsi="Times New Roman" w:cs="Times New Roman"/>
                <w:b/>
                <w:bCs/>
                <w:color w:val="FF0000"/>
                <w:sz w:val="24"/>
                <w:szCs w:val="24"/>
              </w:rPr>
              <w:t>thông qua tại Kỳ họp thứ 10</w:t>
            </w:r>
            <w:r w:rsidR="00C75BAC" w:rsidRPr="00C75BAC">
              <w:rPr>
                <w:rFonts w:ascii="Times New Roman" w:eastAsia="Times New Roman" w:hAnsi="Times New Roman" w:cs="Times New Roman"/>
                <w:b/>
                <w:color w:val="FF0000"/>
                <w:sz w:val="24"/>
                <w:szCs w:val="24"/>
              </w:rPr>
              <w:t xml:space="preserve">  </w:t>
            </w:r>
            <w:r w:rsidR="00C75BAC" w:rsidRPr="00C75BAC">
              <w:rPr>
                <w:rFonts w:ascii="Times New Roman" w:eastAsia="Times New Roman" w:hAnsi="Times New Roman" w:cs="Times New Roman"/>
                <w:b/>
                <w:color w:val="FF0000"/>
                <w:sz w:val="24"/>
                <w:szCs w:val="24"/>
                <w:lang w:val="vi-VN"/>
              </w:rPr>
              <w:t xml:space="preserve">Quốc hội </w:t>
            </w:r>
            <w:r w:rsidR="00C75BAC" w:rsidRPr="00C75BAC">
              <w:rPr>
                <w:rFonts w:ascii="Times New Roman" w:eastAsia="Times New Roman" w:hAnsi="Times New Roman" w:cs="Times New Roman"/>
                <w:b/>
                <w:color w:val="FF0000"/>
                <w:sz w:val="24"/>
                <w:szCs w:val="24"/>
              </w:rPr>
              <w:t>khóa XV</w:t>
            </w:r>
          </w:p>
          <w:p w14:paraId="30D741EA" w14:textId="2F24AD15" w:rsidR="005C5D35" w:rsidRPr="009C2F0D" w:rsidRDefault="005C5D35" w:rsidP="00ED03DD">
            <w:pPr>
              <w:spacing w:after="0" w:line="240" w:lineRule="auto"/>
              <w:jc w:val="both"/>
              <w:rPr>
                <w:rFonts w:ascii="Times New Roman" w:eastAsia="Times New Roman" w:hAnsi="Times New Roman" w:cs="Times New Roman"/>
                <w:sz w:val="24"/>
                <w:szCs w:val="24"/>
                <w:lang w:val="vi-VN"/>
              </w:rPr>
            </w:pPr>
          </w:p>
        </w:tc>
      </w:tr>
      <w:tr w:rsidR="005C5D35" w:rsidRPr="009C2F0D" w14:paraId="47B55881" w14:textId="77777777" w:rsidTr="00ED03DD">
        <w:tc>
          <w:tcPr>
            <w:tcW w:w="702" w:type="dxa"/>
          </w:tcPr>
          <w:p w14:paraId="105F5AF9" w14:textId="77777777" w:rsidR="005C5D35" w:rsidRPr="009C2F0D" w:rsidRDefault="005C5D35" w:rsidP="00ED03DD">
            <w:pPr>
              <w:pStyle w:val="ListParagraph"/>
              <w:numPr>
                <w:ilvl w:val="0"/>
                <w:numId w:val="3"/>
              </w:numPr>
              <w:tabs>
                <w:tab w:val="left" w:pos="360"/>
              </w:tabs>
              <w:spacing w:after="0" w:line="240" w:lineRule="auto"/>
              <w:rPr>
                <w:rFonts w:ascii="Times New Roman" w:eastAsia="Times New Roman" w:hAnsi="Times New Roman" w:cs="Times New Roman"/>
                <w:sz w:val="24"/>
                <w:szCs w:val="24"/>
                <w:lang w:val="vi-VN"/>
              </w:rPr>
            </w:pPr>
          </w:p>
        </w:tc>
        <w:tc>
          <w:tcPr>
            <w:tcW w:w="1897" w:type="dxa"/>
          </w:tcPr>
          <w:p w14:paraId="3531C3F2" w14:textId="77777777" w:rsidR="005C5D35" w:rsidRPr="009C2F0D" w:rsidRDefault="005C5D35" w:rsidP="00ED03DD">
            <w:pPr>
              <w:tabs>
                <w:tab w:val="left" w:pos="360"/>
              </w:tabs>
              <w:spacing w:after="0" w:line="240" w:lineRule="auto"/>
              <w:jc w:val="both"/>
              <w:rPr>
                <w:rFonts w:ascii="Times New Roman" w:eastAsia="Times New Roman" w:hAnsi="Times New Roman" w:cs="Times New Roman"/>
                <w:sz w:val="24"/>
                <w:szCs w:val="24"/>
                <w:lang w:val="vi-VN"/>
              </w:rPr>
            </w:pPr>
            <w:r w:rsidRPr="009C2F0D">
              <w:rPr>
                <w:rFonts w:ascii="Times New Roman" w:eastAsia="Times New Roman" w:hAnsi="Times New Roman" w:cs="Times New Roman"/>
                <w:sz w:val="24"/>
                <w:szCs w:val="24"/>
                <w:lang w:val="vi-VN"/>
              </w:rPr>
              <w:t>Luật Quản lý thuế năm 2019 chưa có quy định pháp luật</w:t>
            </w:r>
          </w:p>
        </w:tc>
        <w:tc>
          <w:tcPr>
            <w:tcW w:w="3913" w:type="dxa"/>
          </w:tcPr>
          <w:p w14:paraId="5136EB50" w14:textId="77777777" w:rsidR="005C5D35" w:rsidRPr="009C2F0D" w:rsidRDefault="005C5D35" w:rsidP="00ED03DD">
            <w:pPr>
              <w:spacing w:after="0" w:line="240" w:lineRule="auto"/>
              <w:jc w:val="both"/>
              <w:rPr>
                <w:rFonts w:ascii="Times New Roman" w:eastAsia="Times New Roman" w:hAnsi="Times New Roman" w:cs="Times New Roman"/>
                <w:sz w:val="24"/>
                <w:szCs w:val="24"/>
                <w:lang w:val="vi-VN"/>
              </w:rPr>
            </w:pPr>
            <w:r w:rsidRPr="009C2F0D">
              <w:rPr>
                <w:rFonts w:ascii="Times New Roman" w:eastAsia="Times New Roman" w:hAnsi="Times New Roman" w:cs="Times New Roman"/>
                <w:sz w:val="24"/>
                <w:szCs w:val="24"/>
                <w:lang w:val="vi-VN"/>
              </w:rPr>
              <w:t xml:space="preserve">Luật Biển Việt Nam năm 2012 và Nghị định số 11/2021/NĐ-CP ngày 10/2/2021 quy định việc giao các khu vực biển nhất định cho tổ chức, cá nhân khai thác, sử dụng tài nguyên biển (sửa đổi, bổ sung tại Nghị định số 65/2025/NĐ-CP ngày 12/3/2025) quy định việc thu tiền sử dụng khu vực biển khi tổ chức, cá nhân được giao khu vực biển để khai thác, sử dụng. Do vậy, đề nghị nghiên cứu, bổ </w:t>
            </w:r>
            <w:r w:rsidRPr="009C2F0D">
              <w:rPr>
                <w:rFonts w:ascii="Times New Roman" w:eastAsia="Times New Roman" w:hAnsi="Times New Roman" w:cs="Times New Roman"/>
                <w:sz w:val="24"/>
                <w:szCs w:val="24"/>
                <w:lang w:val="vi-VN"/>
              </w:rPr>
              <w:lastRenderedPageBreak/>
              <w:t>sung tiền sử dụng khu vực biển là một khoản thuế hoặc là một trong các khoản thu khác thuộc ngân sách nhà nước do cơ quan quản lý thuế quản lý thu (Luật Quản lý thuế năm 2019 chưa quy định nội dung này).</w:t>
            </w:r>
          </w:p>
        </w:tc>
        <w:tc>
          <w:tcPr>
            <w:tcW w:w="1280" w:type="dxa"/>
          </w:tcPr>
          <w:p w14:paraId="42EE3215" w14:textId="77777777" w:rsidR="005C5D35" w:rsidRPr="009C2F0D" w:rsidRDefault="005C5D35" w:rsidP="00ED03DD">
            <w:pPr>
              <w:spacing w:after="0" w:line="240" w:lineRule="auto"/>
              <w:jc w:val="both"/>
              <w:rPr>
                <w:rFonts w:ascii="Times New Roman" w:eastAsia="Times New Roman" w:hAnsi="Times New Roman" w:cs="Times New Roman"/>
                <w:sz w:val="24"/>
                <w:szCs w:val="24"/>
                <w:lang w:val="vi-VN"/>
              </w:rPr>
            </w:pPr>
            <w:r w:rsidRPr="009C2F0D">
              <w:rPr>
                <w:rFonts w:ascii="Times New Roman" w:eastAsia="Times New Roman" w:hAnsi="Times New Roman" w:cs="Times New Roman"/>
                <w:sz w:val="24"/>
                <w:szCs w:val="24"/>
                <w:lang w:val="vi-VN"/>
              </w:rPr>
              <w:lastRenderedPageBreak/>
              <w:t xml:space="preserve">C. Sửa đổi, bổ sung, thay thế, ban hành mới VBQPPL (theo trình tự, thủ tục rút gọn ban hành VBQPPL </w:t>
            </w:r>
            <w:r w:rsidRPr="009C2F0D">
              <w:rPr>
                <w:rFonts w:ascii="Times New Roman" w:eastAsia="Times New Roman" w:hAnsi="Times New Roman" w:cs="Times New Roman"/>
                <w:sz w:val="24"/>
                <w:szCs w:val="24"/>
                <w:lang w:val="vi-VN"/>
              </w:rPr>
              <w:lastRenderedPageBreak/>
              <w:t>của Luật Ban hành VBQPPL)</w:t>
            </w:r>
          </w:p>
        </w:tc>
        <w:tc>
          <w:tcPr>
            <w:tcW w:w="1254" w:type="dxa"/>
          </w:tcPr>
          <w:p w14:paraId="4704172F" w14:textId="77777777" w:rsidR="005C5D35" w:rsidRPr="009C2F0D" w:rsidRDefault="005C5D35" w:rsidP="00ED03DD">
            <w:pPr>
              <w:spacing w:after="0" w:line="240" w:lineRule="auto"/>
              <w:jc w:val="both"/>
              <w:rPr>
                <w:rFonts w:ascii="Times New Roman" w:eastAsia="Times New Roman" w:hAnsi="Times New Roman" w:cs="Times New Roman"/>
                <w:sz w:val="24"/>
                <w:szCs w:val="24"/>
                <w:lang w:val="vi-VN"/>
              </w:rPr>
            </w:pPr>
            <w:r w:rsidRPr="009C2F0D">
              <w:rPr>
                <w:rFonts w:ascii="Times New Roman" w:eastAsia="Times New Roman" w:hAnsi="Times New Roman" w:cs="Times New Roman"/>
                <w:sz w:val="24"/>
                <w:szCs w:val="24"/>
                <w:lang w:val="vi-VN"/>
              </w:rPr>
              <w:lastRenderedPageBreak/>
              <w:t>Bộ Nông nghiệp và Môi trường</w:t>
            </w:r>
          </w:p>
        </w:tc>
        <w:tc>
          <w:tcPr>
            <w:tcW w:w="2289" w:type="dxa"/>
          </w:tcPr>
          <w:p w14:paraId="02FA51D3" w14:textId="77777777" w:rsidR="005C5D35" w:rsidRPr="009C2F0D" w:rsidRDefault="005C5D35" w:rsidP="00ED03DD">
            <w:pPr>
              <w:spacing w:after="0" w:line="240" w:lineRule="auto"/>
              <w:jc w:val="both"/>
              <w:rPr>
                <w:rFonts w:ascii="Times New Roman" w:eastAsia="Times New Roman" w:hAnsi="Times New Roman" w:cs="Times New Roman"/>
                <w:sz w:val="24"/>
                <w:szCs w:val="24"/>
                <w:lang w:val="vi-VN"/>
              </w:rPr>
            </w:pPr>
            <w:r w:rsidRPr="009C2F0D">
              <w:rPr>
                <w:rFonts w:ascii="Times New Roman" w:eastAsia="Times New Roman" w:hAnsi="Times New Roman" w:cs="Times New Roman"/>
                <w:sz w:val="24"/>
                <w:szCs w:val="24"/>
                <w:lang w:val="vi-VN"/>
              </w:rPr>
              <w:t>Nhất trí vì:</w:t>
            </w:r>
          </w:p>
          <w:p w14:paraId="5821C6C5" w14:textId="77777777" w:rsidR="005C5D35" w:rsidRPr="009C2F0D" w:rsidRDefault="005C5D35" w:rsidP="00ED03DD">
            <w:pPr>
              <w:spacing w:after="0" w:line="240" w:lineRule="auto"/>
              <w:jc w:val="both"/>
              <w:rPr>
                <w:rFonts w:ascii="Times New Roman" w:eastAsia="Times New Roman" w:hAnsi="Times New Roman" w:cs="Times New Roman"/>
                <w:sz w:val="24"/>
                <w:szCs w:val="24"/>
                <w:lang w:val="vi-VN"/>
              </w:rPr>
            </w:pPr>
            <w:r w:rsidRPr="009C2F0D">
              <w:rPr>
                <w:rFonts w:ascii="Times New Roman" w:eastAsia="Times New Roman" w:hAnsi="Times New Roman" w:cs="Times New Roman"/>
                <w:sz w:val="24"/>
                <w:szCs w:val="24"/>
                <w:lang w:val="vi-VN"/>
              </w:rPr>
              <w:t>Bộ Tài chính đang xây dựng Dự án Luật Quản lý thuế (thay thế) (dự kiến trình Quốc hội tại Kỳ họp tháng 10/2025).</w:t>
            </w:r>
          </w:p>
          <w:p w14:paraId="22D35979" w14:textId="77777777" w:rsidR="005C5D35" w:rsidRPr="009C2F0D" w:rsidRDefault="005C5D35" w:rsidP="00ED03DD">
            <w:pPr>
              <w:spacing w:after="0" w:line="240" w:lineRule="auto"/>
              <w:jc w:val="both"/>
              <w:rPr>
                <w:rFonts w:ascii="Times New Roman" w:eastAsia="Times New Roman" w:hAnsi="Times New Roman" w:cs="Times New Roman"/>
                <w:sz w:val="24"/>
                <w:szCs w:val="24"/>
                <w:lang w:val="vi-VN"/>
              </w:rPr>
            </w:pPr>
            <w:r w:rsidRPr="009C2F0D">
              <w:rPr>
                <w:rFonts w:ascii="Times New Roman" w:eastAsia="Times New Roman" w:hAnsi="Times New Roman"/>
                <w:b/>
                <w:bCs/>
                <w:sz w:val="24"/>
                <w:szCs w:val="24"/>
                <w:lang w:val="vi-VN"/>
              </w:rPr>
              <w:t>Theo Công văn số 08-CV/ĐUBTC-PC ngày 22/8/2025, Bộ Tài chính:</w:t>
            </w:r>
          </w:p>
          <w:p w14:paraId="211C42A3" w14:textId="77777777" w:rsidR="005C5D35" w:rsidRPr="009C2F0D" w:rsidRDefault="005C5D35" w:rsidP="00ED03DD">
            <w:pPr>
              <w:spacing w:after="0" w:line="240" w:lineRule="auto"/>
              <w:jc w:val="both"/>
              <w:rPr>
                <w:rFonts w:ascii="Times New Roman" w:eastAsia="Times New Roman" w:hAnsi="Times New Roman" w:cs="Times New Roman"/>
                <w:sz w:val="24"/>
                <w:szCs w:val="24"/>
                <w:lang w:val="vi-VN"/>
              </w:rPr>
            </w:pPr>
          </w:p>
          <w:p w14:paraId="54352C39" w14:textId="77777777" w:rsidR="005C5D35" w:rsidRPr="009C2F0D" w:rsidRDefault="005C5D35" w:rsidP="00ED03DD">
            <w:pPr>
              <w:spacing w:after="0" w:line="240" w:lineRule="auto"/>
              <w:jc w:val="both"/>
              <w:rPr>
                <w:rFonts w:ascii="Times New Roman" w:eastAsia="Times New Roman" w:hAnsi="Times New Roman" w:cs="Times New Roman"/>
                <w:sz w:val="24"/>
                <w:szCs w:val="24"/>
                <w:lang w:val="vi-VN"/>
              </w:rPr>
            </w:pPr>
            <w:r w:rsidRPr="009C2F0D">
              <w:rPr>
                <w:rFonts w:ascii="Times New Roman" w:eastAsia="Times New Roman" w:hAnsi="Times New Roman" w:cs="Times New Roman"/>
                <w:sz w:val="24"/>
                <w:szCs w:val="24"/>
                <w:lang w:val="vi-VN"/>
              </w:rPr>
              <w:t>Dự</w:t>
            </w:r>
            <w:r w:rsidRPr="00A35EC9">
              <w:rPr>
                <w:rFonts w:ascii="Times New Roman" w:eastAsia="Times New Roman" w:hAnsi="Times New Roman" w:cs="Times New Roman"/>
                <w:sz w:val="24"/>
                <w:szCs w:val="24"/>
                <w:lang w:val="vi-VN"/>
              </w:rPr>
              <w:t xml:space="preserve"> kiến trình Quốc hội tại Kỳ họp tháng 10/2025</w:t>
            </w:r>
          </w:p>
        </w:tc>
        <w:tc>
          <w:tcPr>
            <w:tcW w:w="2694" w:type="dxa"/>
          </w:tcPr>
          <w:p w14:paraId="310F1339" w14:textId="77777777" w:rsidR="005C5D35" w:rsidRPr="00592602" w:rsidRDefault="005C5D35" w:rsidP="00ED03DD">
            <w:pPr>
              <w:spacing w:after="0" w:line="240" w:lineRule="auto"/>
              <w:jc w:val="both"/>
              <w:rPr>
                <w:rFonts w:ascii="Times New Roman" w:eastAsia="Times New Roman" w:hAnsi="Times New Roman" w:cs="Times New Roman"/>
                <w:b/>
                <w:bCs/>
                <w:sz w:val="24"/>
                <w:szCs w:val="24"/>
              </w:rPr>
            </w:pPr>
            <w:r w:rsidRPr="00592602">
              <w:rPr>
                <w:rFonts w:ascii="Times New Roman" w:eastAsia="Times New Roman" w:hAnsi="Times New Roman" w:cs="Times New Roman"/>
                <w:b/>
                <w:bCs/>
                <w:sz w:val="24"/>
                <w:szCs w:val="24"/>
                <w:highlight w:val="yellow"/>
              </w:rPr>
              <w:lastRenderedPageBreak/>
              <w:t>Đã xử lý</w:t>
            </w:r>
          </w:p>
          <w:p w14:paraId="716E0D99" w14:textId="77777777" w:rsidR="005C5D35" w:rsidRPr="00A00F24" w:rsidRDefault="005C5D35" w:rsidP="00ED03DD">
            <w:pPr>
              <w:spacing w:after="0"/>
              <w:jc w:val="both"/>
              <w:rPr>
                <w:rFonts w:ascii="Times New Roman" w:eastAsia="Times New Roman" w:hAnsi="Times New Roman" w:cs="Times New Roman"/>
                <w:b/>
                <w:sz w:val="24"/>
                <w:szCs w:val="24"/>
                <w:lang w:val="vi-VN"/>
              </w:rPr>
            </w:pPr>
          </w:p>
          <w:p w14:paraId="260C9B8C" w14:textId="252CAF36" w:rsidR="005C5D35" w:rsidRPr="00A00F24" w:rsidRDefault="005C5D35" w:rsidP="00ED03DD">
            <w:pPr>
              <w:spacing w:after="0"/>
              <w:jc w:val="both"/>
              <w:rPr>
                <w:rFonts w:ascii="Times New Roman" w:hAnsi="Times New Roman" w:cs="Times New Roman"/>
                <w:bCs/>
                <w:color w:val="FF0000"/>
                <w:sz w:val="24"/>
                <w:szCs w:val="24"/>
                <w:lang w:val="vi-VN"/>
              </w:rPr>
            </w:pPr>
            <w:r w:rsidRPr="00A00F24">
              <w:rPr>
                <w:rFonts w:ascii="Times New Roman" w:eastAsia="Times New Roman" w:hAnsi="Times New Roman" w:cs="Times New Roman"/>
                <w:b/>
                <w:color w:val="FF0000"/>
                <w:sz w:val="24"/>
                <w:szCs w:val="24"/>
                <w:lang w:val="vi-VN"/>
              </w:rPr>
              <w:t xml:space="preserve">Nội dung này nghiên cứu, tiếp thu tại điểm b khoản 1 Điều 38 Luật Quản lý thuế (sửa đổi) </w:t>
            </w:r>
            <w:r w:rsidR="00C75BAC" w:rsidRPr="00C75BAC">
              <w:rPr>
                <w:rFonts w:ascii="Times New Roman" w:eastAsia="Times New Roman" w:hAnsi="Times New Roman" w:cs="Times New Roman"/>
                <w:bCs/>
                <w:sz w:val="24"/>
                <w:szCs w:val="24"/>
              </w:rPr>
              <w:t xml:space="preserve"> </w:t>
            </w:r>
            <w:r w:rsidR="00C75BAC" w:rsidRPr="00C75BAC">
              <w:rPr>
                <w:rFonts w:ascii="Times New Roman" w:eastAsia="Times New Roman" w:hAnsi="Times New Roman" w:cs="Times New Roman"/>
                <w:b/>
                <w:bCs/>
                <w:color w:val="FF0000"/>
                <w:sz w:val="24"/>
                <w:szCs w:val="24"/>
              </w:rPr>
              <w:t>được</w:t>
            </w:r>
            <w:r w:rsidR="00C75BAC" w:rsidRPr="00C75BAC">
              <w:rPr>
                <w:rFonts w:ascii="Times New Roman" w:eastAsia="Times New Roman" w:hAnsi="Times New Roman" w:cs="Times New Roman"/>
                <w:b/>
                <w:color w:val="FF0000"/>
                <w:sz w:val="24"/>
                <w:szCs w:val="24"/>
              </w:rPr>
              <w:t xml:space="preserve"> </w:t>
            </w:r>
            <w:r w:rsidR="00C75BAC" w:rsidRPr="00C75BAC">
              <w:rPr>
                <w:rFonts w:ascii="Times New Roman" w:eastAsia="Times New Roman" w:hAnsi="Times New Roman" w:cs="Times New Roman"/>
                <w:b/>
                <w:bCs/>
                <w:color w:val="FF0000"/>
                <w:sz w:val="24"/>
                <w:szCs w:val="24"/>
              </w:rPr>
              <w:t>thông qua tại Kỳ họp thứ 10</w:t>
            </w:r>
            <w:r w:rsidR="00C75BAC" w:rsidRPr="00C75BAC">
              <w:rPr>
                <w:rFonts w:ascii="Times New Roman" w:eastAsia="Times New Roman" w:hAnsi="Times New Roman" w:cs="Times New Roman"/>
                <w:b/>
                <w:color w:val="FF0000"/>
                <w:sz w:val="24"/>
                <w:szCs w:val="24"/>
              </w:rPr>
              <w:t xml:space="preserve">  </w:t>
            </w:r>
            <w:r w:rsidR="00C75BAC" w:rsidRPr="00C75BAC">
              <w:rPr>
                <w:rFonts w:ascii="Times New Roman" w:eastAsia="Times New Roman" w:hAnsi="Times New Roman" w:cs="Times New Roman"/>
                <w:b/>
                <w:color w:val="FF0000"/>
                <w:sz w:val="24"/>
                <w:szCs w:val="24"/>
                <w:lang w:val="vi-VN"/>
              </w:rPr>
              <w:t xml:space="preserve">Quốc hội </w:t>
            </w:r>
            <w:r w:rsidR="00C75BAC" w:rsidRPr="00C75BAC">
              <w:rPr>
                <w:rFonts w:ascii="Times New Roman" w:eastAsia="Times New Roman" w:hAnsi="Times New Roman" w:cs="Times New Roman"/>
                <w:b/>
                <w:color w:val="FF0000"/>
                <w:sz w:val="24"/>
                <w:szCs w:val="24"/>
              </w:rPr>
              <w:t>khóa XV</w:t>
            </w:r>
          </w:p>
          <w:p w14:paraId="16EE6BB7" w14:textId="7177550F" w:rsidR="005C5D35" w:rsidRPr="009C2F0D" w:rsidRDefault="005C5D35" w:rsidP="00ED03DD">
            <w:pPr>
              <w:spacing w:after="0" w:line="240" w:lineRule="auto"/>
              <w:jc w:val="both"/>
              <w:rPr>
                <w:rFonts w:ascii="Times New Roman" w:eastAsia="Times New Roman" w:hAnsi="Times New Roman" w:cs="Times New Roman"/>
                <w:sz w:val="24"/>
                <w:szCs w:val="24"/>
                <w:lang w:val="vi-VN"/>
              </w:rPr>
            </w:pPr>
          </w:p>
        </w:tc>
      </w:tr>
      <w:tr w:rsidR="005C5D35" w:rsidRPr="009C2F0D" w14:paraId="7247E843" w14:textId="77777777" w:rsidTr="00ED03DD">
        <w:tc>
          <w:tcPr>
            <w:tcW w:w="702" w:type="dxa"/>
          </w:tcPr>
          <w:p w14:paraId="13112C8D" w14:textId="77777777" w:rsidR="005C5D35" w:rsidRPr="009C2F0D" w:rsidRDefault="005C5D35" w:rsidP="00ED03DD">
            <w:pPr>
              <w:pStyle w:val="ListParagraph"/>
              <w:numPr>
                <w:ilvl w:val="0"/>
                <w:numId w:val="3"/>
              </w:numPr>
              <w:tabs>
                <w:tab w:val="left" w:pos="360"/>
              </w:tabs>
              <w:spacing w:after="0" w:line="240" w:lineRule="auto"/>
              <w:rPr>
                <w:rFonts w:ascii="Times New Roman" w:eastAsia="Times New Roman" w:hAnsi="Times New Roman" w:cs="Times New Roman"/>
                <w:sz w:val="24"/>
                <w:szCs w:val="24"/>
                <w:lang w:val="vi-VN"/>
              </w:rPr>
            </w:pPr>
          </w:p>
        </w:tc>
        <w:tc>
          <w:tcPr>
            <w:tcW w:w="1897" w:type="dxa"/>
          </w:tcPr>
          <w:p w14:paraId="14E6CEFA" w14:textId="77777777" w:rsidR="005C5D35" w:rsidRPr="009C2F0D" w:rsidRDefault="005C5D35" w:rsidP="00ED03DD">
            <w:pPr>
              <w:tabs>
                <w:tab w:val="left" w:pos="360"/>
              </w:tabs>
              <w:spacing w:after="0" w:line="240" w:lineRule="auto"/>
              <w:jc w:val="both"/>
              <w:rPr>
                <w:rFonts w:ascii="Times New Roman" w:eastAsia="Times New Roman" w:hAnsi="Times New Roman" w:cs="Times New Roman"/>
                <w:sz w:val="24"/>
                <w:szCs w:val="24"/>
                <w:lang w:val="vi-VN"/>
              </w:rPr>
            </w:pPr>
            <w:r w:rsidRPr="009C2F0D">
              <w:rPr>
                <w:rFonts w:ascii="Times New Roman" w:eastAsia="Times New Roman" w:hAnsi="Times New Roman" w:cs="Times New Roman"/>
                <w:sz w:val="24"/>
                <w:szCs w:val="24"/>
                <w:lang w:val="vi-VN"/>
              </w:rPr>
              <w:t>Điểm d khoản 2 Điều 31; điểm c khoản 7 Điều 32, điểm b khoản 3 Điều 36 của Nghị định số 31/2021/NĐ-CP ngày 26 tháng 3 năm 2021 của Chính phủ quy định chi tiết và hướng dẫn thi hành một số điều của Luật Đầu tư 2020.</w:t>
            </w:r>
          </w:p>
        </w:tc>
        <w:tc>
          <w:tcPr>
            <w:tcW w:w="3913" w:type="dxa"/>
          </w:tcPr>
          <w:p w14:paraId="759F17AC" w14:textId="77777777" w:rsidR="005C5D35" w:rsidRPr="009C2F0D" w:rsidRDefault="005C5D35" w:rsidP="00ED03DD">
            <w:pPr>
              <w:spacing w:after="0" w:line="240" w:lineRule="auto"/>
              <w:jc w:val="both"/>
              <w:rPr>
                <w:rFonts w:ascii="Times New Roman" w:eastAsia="Times New Roman" w:hAnsi="Times New Roman" w:cs="Times New Roman"/>
                <w:sz w:val="24"/>
                <w:szCs w:val="24"/>
                <w:lang w:val="vi-VN"/>
              </w:rPr>
            </w:pPr>
            <w:r w:rsidRPr="009C2F0D">
              <w:rPr>
                <w:rFonts w:ascii="Times New Roman" w:eastAsia="Times New Roman" w:hAnsi="Times New Roman" w:cs="Times New Roman"/>
                <w:sz w:val="24"/>
                <w:szCs w:val="24"/>
                <w:lang w:val="vi-VN"/>
              </w:rPr>
              <w:t xml:space="preserve">- Đối với các dự án đầu tư trên biển (nuôi trồng thủy sản, điện gió ngoài khơi,...) chưa thể xác định rõ địa điểm dự kiến thực hiện dự án đầu tư (tổ chức, cá nhân phải được giao khu vực biển, mà muốn được giao khu vực biển thì tổ chức, cá nhân phải lập hồ sơ đề nghị giao khu vực biển trong đó có thành phần hồ sơ là văn bản phê duyệt chủ trương đầu tư, Giấy chứng nhận đăng ký đầu tư). Quy định nêu trên của pháp luật về đầu tư sẽ gây khó khăn rất lớn cho người dân, doanh nghiệp có nhu cầu thực hiện các dự án đầu tư trên biển (ở nhiều địa phương như Quảng Ninh, Khánh Hòa,... người dân, doanh nghiệp đã phản ánh về tình trạng các cơ quan quản lý nhà nước về cấp phép đầu tư </w:t>
            </w:r>
            <w:r w:rsidRPr="009C2F0D">
              <w:rPr>
                <w:rFonts w:ascii="Times New Roman" w:eastAsia="Times New Roman" w:hAnsi="Times New Roman" w:cs="Times New Roman"/>
                <w:sz w:val="24"/>
                <w:szCs w:val="24"/>
                <w:lang w:val="vi-VN"/>
              </w:rPr>
              <w:lastRenderedPageBreak/>
              <w:t>yêu cầu văn bản xác định địa điểm khu vực biển trước) và đây là “điểm nghẽn” phải sớm khắc phục ngay tránh tình trạng “con gà, quả trứng” khi người dân, doanh nghiệp muốn thực hiện các dự án đầu tư trên biển phải được cấp chủ trương đầu tư, giấy chứng nhận đăng ký đầu tư trước; nhưng chỉ khi nào tổ chức, cá nhân được cấp chủ trương đầu tư, giấy chứng nhận đăng ký đầu tư và phải lập hồ sơ đề nghị giao khu vực biển mới có có địa điểm khu vực biển để lập hồ sơ đề nghị cấp chủ trương đầu tư, cấp giấy chứng nhận đăng ký đầu tư.</w:t>
            </w:r>
          </w:p>
        </w:tc>
        <w:tc>
          <w:tcPr>
            <w:tcW w:w="1280" w:type="dxa"/>
          </w:tcPr>
          <w:p w14:paraId="735C0CEE" w14:textId="77777777" w:rsidR="005C5D35" w:rsidRPr="009C2F0D" w:rsidRDefault="005C5D35" w:rsidP="00ED03DD">
            <w:pPr>
              <w:spacing w:after="0" w:line="240" w:lineRule="auto"/>
              <w:jc w:val="both"/>
              <w:rPr>
                <w:rFonts w:ascii="Times New Roman" w:eastAsia="Times New Roman" w:hAnsi="Times New Roman" w:cs="Times New Roman"/>
                <w:sz w:val="24"/>
                <w:szCs w:val="24"/>
                <w:lang w:val="vi-VN"/>
              </w:rPr>
            </w:pPr>
            <w:r w:rsidRPr="009C2F0D">
              <w:rPr>
                <w:rFonts w:ascii="Times New Roman" w:eastAsia="Times New Roman" w:hAnsi="Times New Roman" w:cs="Times New Roman"/>
                <w:sz w:val="24"/>
                <w:szCs w:val="24"/>
                <w:lang w:val="vi-VN"/>
              </w:rPr>
              <w:lastRenderedPageBreak/>
              <w:t>C. Sửa đổi, bổ sung, thay thế, ban hành mới VBQPPL (theo trình tự, thủ tục rút gọn ban hành VBQPPL của Luật Ban hành VBQPPL)</w:t>
            </w:r>
          </w:p>
        </w:tc>
        <w:tc>
          <w:tcPr>
            <w:tcW w:w="1254" w:type="dxa"/>
          </w:tcPr>
          <w:p w14:paraId="2D68F295" w14:textId="77777777" w:rsidR="005C5D35" w:rsidRPr="009C2F0D" w:rsidRDefault="005C5D35" w:rsidP="00ED03DD">
            <w:pPr>
              <w:spacing w:after="0" w:line="240" w:lineRule="auto"/>
              <w:jc w:val="both"/>
              <w:rPr>
                <w:rFonts w:ascii="Times New Roman" w:eastAsia="Times New Roman" w:hAnsi="Times New Roman" w:cs="Times New Roman"/>
                <w:sz w:val="24"/>
                <w:szCs w:val="24"/>
                <w:lang w:val="vi-VN"/>
              </w:rPr>
            </w:pPr>
            <w:r w:rsidRPr="009C2F0D">
              <w:rPr>
                <w:rFonts w:ascii="Times New Roman" w:eastAsia="Times New Roman" w:hAnsi="Times New Roman" w:cs="Times New Roman"/>
                <w:sz w:val="24"/>
                <w:szCs w:val="24"/>
                <w:lang w:val="vi-VN"/>
              </w:rPr>
              <w:t>Bộ Nông nghiệp và Môi trường</w:t>
            </w:r>
          </w:p>
        </w:tc>
        <w:tc>
          <w:tcPr>
            <w:tcW w:w="2289" w:type="dxa"/>
          </w:tcPr>
          <w:p w14:paraId="2E2F1C2A" w14:textId="77777777" w:rsidR="005C5D35" w:rsidRPr="009C2F0D" w:rsidRDefault="005C5D35" w:rsidP="00ED03DD">
            <w:pPr>
              <w:spacing w:after="0" w:line="240" w:lineRule="auto"/>
              <w:jc w:val="both"/>
              <w:rPr>
                <w:rFonts w:ascii="Times New Roman" w:eastAsia="Times New Roman" w:hAnsi="Times New Roman" w:cs="Times New Roman"/>
                <w:sz w:val="24"/>
                <w:szCs w:val="24"/>
                <w:lang w:val="vi-VN"/>
              </w:rPr>
            </w:pPr>
            <w:r w:rsidRPr="009C2F0D">
              <w:rPr>
                <w:rFonts w:ascii="Times New Roman" w:eastAsia="Times New Roman" w:hAnsi="Times New Roman" w:cs="Times New Roman"/>
                <w:sz w:val="24"/>
                <w:szCs w:val="24"/>
                <w:lang w:val="vi-VN"/>
              </w:rPr>
              <w:t xml:space="preserve">Nhất trí vì: </w:t>
            </w:r>
          </w:p>
          <w:p w14:paraId="60584F86" w14:textId="77777777" w:rsidR="005C5D35" w:rsidRPr="009C2F0D" w:rsidRDefault="005C5D35" w:rsidP="00ED03DD">
            <w:pPr>
              <w:spacing w:after="0" w:line="240" w:lineRule="auto"/>
              <w:jc w:val="both"/>
              <w:rPr>
                <w:rFonts w:ascii="Times New Roman" w:eastAsia="Times New Roman" w:hAnsi="Times New Roman" w:cs="Times New Roman"/>
                <w:sz w:val="24"/>
                <w:szCs w:val="24"/>
                <w:lang w:val="vi-VN"/>
              </w:rPr>
            </w:pPr>
            <w:r w:rsidRPr="009C2F0D">
              <w:rPr>
                <w:rFonts w:ascii="Times New Roman" w:eastAsia="Times New Roman" w:hAnsi="Times New Roman" w:cs="Times New Roman"/>
                <w:sz w:val="24"/>
                <w:szCs w:val="24"/>
                <w:lang w:val="vi-VN"/>
              </w:rPr>
              <w:t>Hiện nay Bộ Tài chính đang nghiên cứu để sửa tổng thể Luật Đầu tư và các văn bản hướng dẫn thi hành. (năm 2025-2026).</w:t>
            </w:r>
          </w:p>
          <w:p w14:paraId="36EFA078" w14:textId="77777777" w:rsidR="005C5D35" w:rsidRPr="009C2F0D" w:rsidRDefault="005C5D35" w:rsidP="00ED03DD">
            <w:pPr>
              <w:spacing w:after="0" w:line="240" w:lineRule="auto"/>
              <w:jc w:val="both"/>
              <w:rPr>
                <w:rFonts w:ascii="Times New Roman" w:eastAsia="Times New Roman" w:hAnsi="Times New Roman" w:cs="Times New Roman"/>
                <w:sz w:val="24"/>
                <w:szCs w:val="24"/>
                <w:lang w:val="vi-VN"/>
              </w:rPr>
            </w:pPr>
            <w:r w:rsidRPr="009C2F0D">
              <w:rPr>
                <w:rFonts w:ascii="Times New Roman" w:eastAsia="Times New Roman" w:hAnsi="Times New Roman"/>
                <w:b/>
                <w:bCs/>
                <w:sz w:val="24"/>
                <w:szCs w:val="24"/>
                <w:lang w:val="vi-VN"/>
              </w:rPr>
              <w:t>Theo Công văn số 08-CV/ĐUBTC-PC ngày 22/8/2025, Bộ Tài chính:</w:t>
            </w:r>
          </w:p>
          <w:p w14:paraId="21EBFECD" w14:textId="77777777" w:rsidR="005C5D35" w:rsidRPr="009C2F0D" w:rsidRDefault="005C5D35" w:rsidP="00ED03DD">
            <w:pPr>
              <w:spacing w:after="0" w:line="240" w:lineRule="auto"/>
              <w:jc w:val="both"/>
              <w:rPr>
                <w:rFonts w:ascii="Times New Roman" w:eastAsia="Times New Roman" w:hAnsi="Times New Roman" w:cs="Times New Roman"/>
                <w:sz w:val="24"/>
                <w:szCs w:val="24"/>
                <w:lang w:val="vi-VN"/>
              </w:rPr>
            </w:pPr>
            <w:r w:rsidRPr="009C2F0D">
              <w:rPr>
                <w:rFonts w:ascii="Times New Roman" w:eastAsia="Times New Roman" w:hAnsi="Times New Roman" w:cs="Times New Roman"/>
                <w:sz w:val="24"/>
                <w:szCs w:val="24"/>
                <w:lang w:val="vi-VN"/>
              </w:rPr>
              <w:t>quy định về diện dự án phải thực hiện thủ tục chấp thuận CTĐT sẽ được nghiên cứu, quy định rõ tại Luật Đầu tư (thay thế)</w:t>
            </w:r>
          </w:p>
        </w:tc>
        <w:tc>
          <w:tcPr>
            <w:tcW w:w="2694" w:type="dxa"/>
          </w:tcPr>
          <w:p w14:paraId="47E1FC81" w14:textId="77777777" w:rsidR="005C5D35" w:rsidRPr="00592602" w:rsidRDefault="005C5D35" w:rsidP="00ED03DD">
            <w:pPr>
              <w:spacing w:after="0" w:line="240" w:lineRule="auto"/>
              <w:jc w:val="both"/>
              <w:rPr>
                <w:rFonts w:ascii="Times New Roman" w:eastAsia="Times New Roman" w:hAnsi="Times New Roman" w:cs="Times New Roman"/>
                <w:b/>
                <w:bCs/>
                <w:sz w:val="24"/>
                <w:szCs w:val="24"/>
              </w:rPr>
            </w:pPr>
            <w:r w:rsidRPr="00592602">
              <w:rPr>
                <w:rFonts w:ascii="Times New Roman" w:eastAsia="Times New Roman" w:hAnsi="Times New Roman" w:cs="Times New Roman"/>
                <w:b/>
                <w:bCs/>
                <w:sz w:val="24"/>
                <w:szCs w:val="24"/>
                <w:highlight w:val="yellow"/>
              </w:rPr>
              <w:t>Đã xử lý</w:t>
            </w:r>
          </w:p>
          <w:p w14:paraId="3D8D5325" w14:textId="7B989FCA" w:rsidR="005C5D35" w:rsidRPr="00DD3F9A" w:rsidRDefault="005C5D35" w:rsidP="00ED03DD">
            <w:pPr>
              <w:spacing w:after="0"/>
              <w:jc w:val="both"/>
              <w:rPr>
                <w:rFonts w:ascii="Times New Roman" w:eastAsia="Times New Roman" w:hAnsi="Times New Roman" w:cs="Times New Roman"/>
                <w:b/>
                <w:color w:val="FF0000"/>
                <w:sz w:val="24"/>
                <w:szCs w:val="24"/>
                <w:lang w:val="vi-VN"/>
              </w:rPr>
            </w:pPr>
            <w:r w:rsidRPr="00C400DE">
              <w:rPr>
                <w:rFonts w:ascii="Times New Roman" w:eastAsia="Times New Roman" w:hAnsi="Times New Roman" w:cs="Times New Roman"/>
                <w:b/>
                <w:color w:val="FF0000"/>
                <w:sz w:val="24"/>
                <w:szCs w:val="24"/>
                <w:lang w:val="vi-VN"/>
              </w:rPr>
              <w:t xml:space="preserve">Nội </w:t>
            </w:r>
            <w:r>
              <w:rPr>
                <w:rFonts w:ascii="Times New Roman" w:eastAsia="Times New Roman" w:hAnsi="Times New Roman" w:cs="Times New Roman"/>
                <w:b/>
                <w:color w:val="FF0000"/>
                <w:sz w:val="24"/>
                <w:szCs w:val="24"/>
                <w:lang w:val="vi-VN"/>
              </w:rPr>
              <w:t xml:space="preserve">dung này đã được đưa vào </w:t>
            </w:r>
            <w:r w:rsidRPr="007C560D">
              <w:rPr>
                <w:rFonts w:ascii="Times New Roman" w:eastAsia="Times New Roman" w:hAnsi="Times New Roman" w:cs="Times New Roman"/>
                <w:b/>
                <w:color w:val="FF0000"/>
                <w:sz w:val="24"/>
                <w:szCs w:val="24"/>
                <w:lang w:val="vi-VN"/>
              </w:rPr>
              <w:t xml:space="preserve">khoản 10 </w:t>
            </w:r>
            <w:r w:rsidRPr="00EB25BE">
              <w:rPr>
                <w:rFonts w:ascii="Times New Roman" w:eastAsia="Times New Roman" w:hAnsi="Times New Roman" w:cs="Times New Roman"/>
                <w:b/>
                <w:color w:val="FF0000"/>
                <w:sz w:val="24"/>
                <w:szCs w:val="24"/>
                <w:lang w:val="vi-VN"/>
              </w:rPr>
              <w:t>Đ</w:t>
            </w:r>
            <w:r w:rsidRPr="007C560D">
              <w:rPr>
                <w:rFonts w:ascii="Times New Roman" w:eastAsia="Times New Roman" w:hAnsi="Times New Roman" w:cs="Times New Roman"/>
                <w:b/>
                <w:color w:val="FF0000"/>
                <w:sz w:val="24"/>
                <w:szCs w:val="24"/>
                <w:lang w:val="vi-VN"/>
              </w:rPr>
              <w:t xml:space="preserve">iều 24 </w:t>
            </w:r>
            <w:r w:rsidRPr="00C400DE">
              <w:rPr>
                <w:rFonts w:ascii="Times New Roman" w:eastAsia="Times New Roman" w:hAnsi="Times New Roman" w:cs="Times New Roman"/>
                <w:b/>
                <w:color w:val="FF0000"/>
                <w:sz w:val="24"/>
                <w:szCs w:val="24"/>
                <w:lang w:val="vi-VN"/>
              </w:rPr>
              <w:t xml:space="preserve"> Luật Đầu tư </w:t>
            </w:r>
            <w:r w:rsidR="00C75BAC" w:rsidRPr="00C75BAC">
              <w:rPr>
                <w:rFonts w:ascii="Times New Roman" w:eastAsia="Times New Roman" w:hAnsi="Times New Roman" w:cs="Times New Roman"/>
                <w:bCs/>
                <w:sz w:val="24"/>
                <w:szCs w:val="24"/>
              </w:rPr>
              <w:t xml:space="preserve"> </w:t>
            </w:r>
            <w:r w:rsidR="00C75BAC" w:rsidRPr="00C75BAC">
              <w:rPr>
                <w:rFonts w:ascii="Times New Roman" w:eastAsia="Times New Roman" w:hAnsi="Times New Roman" w:cs="Times New Roman"/>
                <w:b/>
                <w:bCs/>
                <w:color w:val="FF0000"/>
                <w:sz w:val="24"/>
                <w:szCs w:val="24"/>
              </w:rPr>
              <w:t>được</w:t>
            </w:r>
            <w:r w:rsidR="00C75BAC" w:rsidRPr="00C75BAC">
              <w:rPr>
                <w:rFonts w:ascii="Times New Roman" w:eastAsia="Times New Roman" w:hAnsi="Times New Roman" w:cs="Times New Roman"/>
                <w:b/>
                <w:color w:val="FF0000"/>
                <w:sz w:val="24"/>
                <w:szCs w:val="24"/>
              </w:rPr>
              <w:t xml:space="preserve"> </w:t>
            </w:r>
            <w:r w:rsidR="00C75BAC" w:rsidRPr="00C75BAC">
              <w:rPr>
                <w:rFonts w:ascii="Times New Roman" w:eastAsia="Times New Roman" w:hAnsi="Times New Roman" w:cs="Times New Roman"/>
                <w:b/>
                <w:bCs/>
                <w:color w:val="FF0000"/>
                <w:sz w:val="24"/>
                <w:szCs w:val="24"/>
              </w:rPr>
              <w:t>thông qua tại Kỳ họp thứ 10</w:t>
            </w:r>
            <w:r w:rsidR="00C75BAC" w:rsidRPr="00C75BAC">
              <w:rPr>
                <w:rFonts w:ascii="Times New Roman" w:eastAsia="Times New Roman" w:hAnsi="Times New Roman" w:cs="Times New Roman"/>
                <w:b/>
                <w:color w:val="FF0000"/>
                <w:sz w:val="24"/>
                <w:szCs w:val="24"/>
              </w:rPr>
              <w:t xml:space="preserve">  </w:t>
            </w:r>
            <w:r w:rsidR="00C75BAC" w:rsidRPr="00C75BAC">
              <w:rPr>
                <w:rFonts w:ascii="Times New Roman" w:eastAsia="Times New Roman" w:hAnsi="Times New Roman" w:cs="Times New Roman"/>
                <w:b/>
                <w:color w:val="FF0000"/>
                <w:sz w:val="24"/>
                <w:szCs w:val="24"/>
                <w:lang w:val="vi-VN"/>
              </w:rPr>
              <w:t xml:space="preserve">Quốc hội </w:t>
            </w:r>
            <w:r w:rsidR="00C75BAC" w:rsidRPr="00C75BAC">
              <w:rPr>
                <w:rFonts w:ascii="Times New Roman" w:eastAsia="Times New Roman" w:hAnsi="Times New Roman" w:cs="Times New Roman"/>
                <w:b/>
                <w:color w:val="FF0000"/>
                <w:sz w:val="24"/>
                <w:szCs w:val="24"/>
              </w:rPr>
              <w:t>khóa XV</w:t>
            </w:r>
          </w:p>
          <w:p w14:paraId="759AC4D4" w14:textId="472C5F98" w:rsidR="005C5D35" w:rsidRPr="009C2F0D" w:rsidRDefault="005C5D35" w:rsidP="00ED03DD">
            <w:pPr>
              <w:spacing w:after="0" w:line="240" w:lineRule="auto"/>
              <w:jc w:val="both"/>
              <w:rPr>
                <w:rFonts w:ascii="Times New Roman" w:eastAsia="Times New Roman" w:hAnsi="Times New Roman" w:cs="Times New Roman"/>
                <w:sz w:val="24"/>
                <w:szCs w:val="24"/>
                <w:lang w:val="vi-VN"/>
              </w:rPr>
            </w:pPr>
          </w:p>
        </w:tc>
      </w:tr>
    </w:tbl>
    <w:p w14:paraId="4BA6402F" w14:textId="5F10299A" w:rsidR="00500304" w:rsidRPr="009C2F0D" w:rsidRDefault="00ED03DD" w:rsidP="00872CFC">
      <w:pPr>
        <w:spacing w:after="0"/>
        <w:ind w:firstLine="397"/>
        <w:jc w:val="both"/>
        <w:rPr>
          <w:rFonts w:ascii="Times New Roman" w:hAnsi="Times New Roman" w:cs="Times New Roman"/>
          <w:sz w:val="24"/>
          <w:szCs w:val="24"/>
          <w:lang w:val="vi-VN"/>
        </w:rPr>
      </w:pPr>
      <w:r>
        <w:rPr>
          <w:rFonts w:ascii="Times New Roman" w:hAnsi="Times New Roman" w:cs="Times New Roman"/>
          <w:sz w:val="24"/>
          <w:szCs w:val="24"/>
          <w:lang w:val="vi-VN"/>
        </w:rPr>
        <w:br w:type="textWrapping" w:clear="all"/>
      </w:r>
    </w:p>
    <w:sectPr w:rsidR="00500304" w:rsidRPr="009C2F0D" w:rsidSect="003778F8">
      <w:headerReference w:type="default" r:id="rId8"/>
      <w:pgSz w:w="16838" w:h="11906" w:orient="landscape" w:code="9"/>
      <w:pgMar w:top="1134" w:right="1134"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CBE2E" w14:textId="77777777" w:rsidR="00D02A0B" w:rsidRDefault="00D02A0B" w:rsidP="004A0BDF">
      <w:pPr>
        <w:spacing w:after="0" w:line="240" w:lineRule="auto"/>
      </w:pPr>
      <w:r>
        <w:separator/>
      </w:r>
    </w:p>
  </w:endnote>
  <w:endnote w:type="continuationSeparator" w:id="0">
    <w:p w14:paraId="567C3CAD" w14:textId="77777777" w:rsidR="00D02A0B" w:rsidRDefault="00D02A0B" w:rsidP="004A0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20002A87" w:usb1="80000000" w:usb2="00000008" w:usb3="00000000" w:csb0="000001FF" w:csb1="00000000"/>
  </w:font>
  <w:font w:name="&quot;Times New Roman&quo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BD686" w14:textId="77777777" w:rsidR="00D02A0B" w:rsidRDefault="00D02A0B" w:rsidP="004A0BDF">
      <w:pPr>
        <w:spacing w:after="0" w:line="240" w:lineRule="auto"/>
      </w:pPr>
      <w:r>
        <w:separator/>
      </w:r>
    </w:p>
  </w:footnote>
  <w:footnote w:type="continuationSeparator" w:id="0">
    <w:p w14:paraId="76949301" w14:textId="77777777" w:rsidR="00D02A0B" w:rsidRDefault="00D02A0B" w:rsidP="004A0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382885"/>
      <w:docPartObj>
        <w:docPartGallery w:val="Page Numbers (Top of Page)"/>
        <w:docPartUnique/>
      </w:docPartObj>
    </w:sdtPr>
    <w:sdtEndPr>
      <w:rPr>
        <w:rFonts w:ascii="Times New Roman" w:hAnsi="Times New Roman" w:cs="Times New Roman"/>
        <w:noProof/>
        <w:sz w:val="24"/>
        <w:szCs w:val="24"/>
      </w:rPr>
    </w:sdtEndPr>
    <w:sdtContent>
      <w:p w14:paraId="691F3DFF" w14:textId="73A3096D" w:rsidR="0048082F" w:rsidRPr="004A0BDF" w:rsidRDefault="005654CA">
        <w:pPr>
          <w:pStyle w:val="Header"/>
          <w:jc w:val="center"/>
          <w:rPr>
            <w:rFonts w:ascii="Times New Roman" w:hAnsi="Times New Roman" w:cs="Times New Roman"/>
            <w:sz w:val="24"/>
            <w:szCs w:val="24"/>
          </w:rPr>
        </w:pPr>
        <w:r w:rsidRPr="004A0BDF">
          <w:rPr>
            <w:rFonts w:ascii="Times New Roman" w:hAnsi="Times New Roman" w:cs="Times New Roman"/>
            <w:sz w:val="24"/>
            <w:szCs w:val="24"/>
          </w:rPr>
          <w:fldChar w:fldCharType="begin"/>
        </w:r>
        <w:r w:rsidR="0048082F" w:rsidRPr="004A0BDF">
          <w:rPr>
            <w:rFonts w:ascii="Times New Roman" w:hAnsi="Times New Roman" w:cs="Times New Roman"/>
            <w:sz w:val="24"/>
            <w:szCs w:val="24"/>
          </w:rPr>
          <w:instrText xml:space="preserve"> PAGE   \* MERGEFORMAT </w:instrText>
        </w:r>
        <w:r w:rsidRPr="004A0BDF">
          <w:rPr>
            <w:rFonts w:ascii="Times New Roman" w:hAnsi="Times New Roman" w:cs="Times New Roman"/>
            <w:sz w:val="24"/>
            <w:szCs w:val="24"/>
          </w:rPr>
          <w:fldChar w:fldCharType="separate"/>
        </w:r>
        <w:r w:rsidR="005C5D35">
          <w:rPr>
            <w:rFonts w:ascii="Times New Roman" w:hAnsi="Times New Roman" w:cs="Times New Roman"/>
            <w:noProof/>
            <w:sz w:val="24"/>
            <w:szCs w:val="24"/>
          </w:rPr>
          <w:t>41</w:t>
        </w:r>
        <w:r w:rsidRPr="004A0BDF">
          <w:rPr>
            <w:rFonts w:ascii="Times New Roman" w:hAnsi="Times New Roman" w:cs="Times New Roman"/>
            <w:noProof/>
            <w:sz w:val="24"/>
            <w:szCs w:val="24"/>
          </w:rPr>
          <w:fldChar w:fldCharType="end"/>
        </w:r>
      </w:p>
    </w:sdtContent>
  </w:sdt>
  <w:p w14:paraId="6E9A598B" w14:textId="77777777" w:rsidR="0048082F" w:rsidRDefault="00480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02E1"/>
    <w:multiLevelType w:val="hybridMultilevel"/>
    <w:tmpl w:val="1F903ACA"/>
    <w:lvl w:ilvl="0" w:tplc="0409000F">
      <w:start w:val="1"/>
      <w:numFmt w:val="decimal"/>
      <w:lvlText w:val="%1."/>
      <w:lvlJc w:val="left"/>
      <w:pPr>
        <w:ind w:left="50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90CF7"/>
    <w:multiLevelType w:val="hybridMultilevel"/>
    <w:tmpl w:val="D1F2E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834D50"/>
    <w:multiLevelType w:val="hybridMultilevel"/>
    <w:tmpl w:val="67802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462876"/>
    <w:multiLevelType w:val="hybridMultilevel"/>
    <w:tmpl w:val="A06CDF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5095265">
    <w:abstractNumId w:val="2"/>
  </w:num>
  <w:num w:numId="2" w16cid:durableId="1531340970">
    <w:abstractNumId w:val="1"/>
  </w:num>
  <w:num w:numId="3" w16cid:durableId="702021665">
    <w:abstractNumId w:val="0"/>
  </w:num>
  <w:num w:numId="4" w16cid:durableId="841702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0F5A"/>
    <w:rsid w:val="000059FC"/>
    <w:rsid w:val="00021EE3"/>
    <w:rsid w:val="0002406F"/>
    <w:rsid w:val="0003480D"/>
    <w:rsid w:val="0004709A"/>
    <w:rsid w:val="00050C01"/>
    <w:rsid w:val="0005105D"/>
    <w:rsid w:val="00054F21"/>
    <w:rsid w:val="00056A77"/>
    <w:rsid w:val="00056BFD"/>
    <w:rsid w:val="00056FA8"/>
    <w:rsid w:val="00061E31"/>
    <w:rsid w:val="00070502"/>
    <w:rsid w:val="00076A61"/>
    <w:rsid w:val="00077573"/>
    <w:rsid w:val="00090D81"/>
    <w:rsid w:val="00094E34"/>
    <w:rsid w:val="000968D0"/>
    <w:rsid w:val="000A073C"/>
    <w:rsid w:val="000A241F"/>
    <w:rsid w:val="000A391D"/>
    <w:rsid w:val="000C7DB8"/>
    <w:rsid w:val="000D21B5"/>
    <w:rsid w:val="000D5BFE"/>
    <w:rsid w:val="000D6C31"/>
    <w:rsid w:val="000E1925"/>
    <w:rsid w:val="000E4098"/>
    <w:rsid w:val="000F1798"/>
    <w:rsid w:val="000F412D"/>
    <w:rsid w:val="000F6E13"/>
    <w:rsid w:val="0010390E"/>
    <w:rsid w:val="00104314"/>
    <w:rsid w:val="001231C6"/>
    <w:rsid w:val="00142A88"/>
    <w:rsid w:val="00147D08"/>
    <w:rsid w:val="00164C34"/>
    <w:rsid w:val="00166FFB"/>
    <w:rsid w:val="001705C1"/>
    <w:rsid w:val="00186C7D"/>
    <w:rsid w:val="001914DD"/>
    <w:rsid w:val="00192DED"/>
    <w:rsid w:val="00193A39"/>
    <w:rsid w:val="001A35FB"/>
    <w:rsid w:val="001D05D5"/>
    <w:rsid w:val="001D105F"/>
    <w:rsid w:val="001D2B61"/>
    <w:rsid w:val="001D5F6C"/>
    <w:rsid w:val="001E4DCA"/>
    <w:rsid w:val="001F125D"/>
    <w:rsid w:val="001F2EF4"/>
    <w:rsid w:val="001F560A"/>
    <w:rsid w:val="001F7AB9"/>
    <w:rsid w:val="00200193"/>
    <w:rsid w:val="00206B51"/>
    <w:rsid w:val="00210107"/>
    <w:rsid w:val="00221426"/>
    <w:rsid w:val="002218B1"/>
    <w:rsid w:val="002242B6"/>
    <w:rsid w:val="00224AC2"/>
    <w:rsid w:val="00231831"/>
    <w:rsid w:val="002320E8"/>
    <w:rsid w:val="0023349D"/>
    <w:rsid w:val="00250023"/>
    <w:rsid w:val="00263AE5"/>
    <w:rsid w:val="00266D70"/>
    <w:rsid w:val="00266F68"/>
    <w:rsid w:val="002673DD"/>
    <w:rsid w:val="00273B97"/>
    <w:rsid w:val="00274168"/>
    <w:rsid w:val="0028260F"/>
    <w:rsid w:val="00285F21"/>
    <w:rsid w:val="002939BF"/>
    <w:rsid w:val="002B2722"/>
    <w:rsid w:val="002C16CA"/>
    <w:rsid w:val="002C33BE"/>
    <w:rsid w:val="002C5721"/>
    <w:rsid w:val="002C6865"/>
    <w:rsid w:val="002D1248"/>
    <w:rsid w:val="002D2A6F"/>
    <w:rsid w:val="002D3E4A"/>
    <w:rsid w:val="002D3F77"/>
    <w:rsid w:val="002D453B"/>
    <w:rsid w:val="002E161D"/>
    <w:rsid w:val="002E444B"/>
    <w:rsid w:val="002E46C7"/>
    <w:rsid w:val="002F5FB7"/>
    <w:rsid w:val="003017D4"/>
    <w:rsid w:val="00303081"/>
    <w:rsid w:val="00303673"/>
    <w:rsid w:val="00313CA7"/>
    <w:rsid w:val="00320B25"/>
    <w:rsid w:val="00321F92"/>
    <w:rsid w:val="00322049"/>
    <w:rsid w:val="0032574B"/>
    <w:rsid w:val="0032643C"/>
    <w:rsid w:val="00331806"/>
    <w:rsid w:val="003362E4"/>
    <w:rsid w:val="00337EF0"/>
    <w:rsid w:val="00340494"/>
    <w:rsid w:val="0035281F"/>
    <w:rsid w:val="003530DA"/>
    <w:rsid w:val="00360F82"/>
    <w:rsid w:val="00362402"/>
    <w:rsid w:val="003706FE"/>
    <w:rsid w:val="003778F8"/>
    <w:rsid w:val="00382E14"/>
    <w:rsid w:val="0038461D"/>
    <w:rsid w:val="00390986"/>
    <w:rsid w:val="003A1330"/>
    <w:rsid w:val="003A46F5"/>
    <w:rsid w:val="003A6FC2"/>
    <w:rsid w:val="003B6563"/>
    <w:rsid w:val="003D22A1"/>
    <w:rsid w:val="003D474C"/>
    <w:rsid w:val="003E40A6"/>
    <w:rsid w:val="003E7AFE"/>
    <w:rsid w:val="003F012E"/>
    <w:rsid w:val="003F472E"/>
    <w:rsid w:val="003F487B"/>
    <w:rsid w:val="003F5B42"/>
    <w:rsid w:val="00412331"/>
    <w:rsid w:val="00421BCB"/>
    <w:rsid w:val="00425E8F"/>
    <w:rsid w:val="00433522"/>
    <w:rsid w:val="004345C8"/>
    <w:rsid w:val="00435B10"/>
    <w:rsid w:val="00436B6E"/>
    <w:rsid w:val="00440BF4"/>
    <w:rsid w:val="0044272D"/>
    <w:rsid w:val="00446556"/>
    <w:rsid w:val="00453A59"/>
    <w:rsid w:val="00466B83"/>
    <w:rsid w:val="00467DAB"/>
    <w:rsid w:val="00474535"/>
    <w:rsid w:val="00475742"/>
    <w:rsid w:val="004760C9"/>
    <w:rsid w:val="00477078"/>
    <w:rsid w:val="0048082F"/>
    <w:rsid w:val="00486637"/>
    <w:rsid w:val="004A0BDF"/>
    <w:rsid w:val="004A6DEA"/>
    <w:rsid w:val="004B1697"/>
    <w:rsid w:val="004C0154"/>
    <w:rsid w:val="004C0220"/>
    <w:rsid w:val="004C0660"/>
    <w:rsid w:val="004C25A7"/>
    <w:rsid w:val="004C5312"/>
    <w:rsid w:val="004D5F7B"/>
    <w:rsid w:val="004F4E6F"/>
    <w:rsid w:val="004F67C0"/>
    <w:rsid w:val="00500304"/>
    <w:rsid w:val="005024E5"/>
    <w:rsid w:val="00512850"/>
    <w:rsid w:val="0052747C"/>
    <w:rsid w:val="0053025E"/>
    <w:rsid w:val="00530425"/>
    <w:rsid w:val="00531A11"/>
    <w:rsid w:val="005344AE"/>
    <w:rsid w:val="005460B4"/>
    <w:rsid w:val="005466C8"/>
    <w:rsid w:val="0055526D"/>
    <w:rsid w:val="005648B0"/>
    <w:rsid w:val="005654CA"/>
    <w:rsid w:val="005657A6"/>
    <w:rsid w:val="005665AF"/>
    <w:rsid w:val="0058437A"/>
    <w:rsid w:val="00587A1C"/>
    <w:rsid w:val="00591DF8"/>
    <w:rsid w:val="00594996"/>
    <w:rsid w:val="005A786C"/>
    <w:rsid w:val="005C2D4D"/>
    <w:rsid w:val="005C5D35"/>
    <w:rsid w:val="005D3C66"/>
    <w:rsid w:val="005D5D21"/>
    <w:rsid w:val="005F64E6"/>
    <w:rsid w:val="005F7BB4"/>
    <w:rsid w:val="00601E0E"/>
    <w:rsid w:val="00602D4A"/>
    <w:rsid w:val="00603202"/>
    <w:rsid w:val="006049F2"/>
    <w:rsid w:val="006073F9"/>
    <w:rsid w:val="00607ADB"/>
    <w:rsid w:val="00610286"/>
    <w:rsid w:val="00620CE4"/>
    <w:rsid w:val="00624C1D"/>
    <w:rsid w:val="00632364"/>
    <w:rsid w:val="0063480E"/>
    <w:rsid w:val="0063716C"/>
    <w:rsid w:val="00642DEA"/>
    <w:rsid w:val="00646288"/>
    <w:rsid w:val="00655BA5"/>
    <w:rsid w:val="006649C2"/>
    <w:rsid w:val="006666F4"/>
    <w:rsid w:val="00672B95"/>
    <w:rsid w:val="00677CE2"/>
    <w:rsid w:val="0069063B"/>
    <w:rsid w:val="00696566"/>
    <w:rsid w:val="006A086E"/>
    <w:rsid w:val="006A1B16"/>
    <w:rsid w:val="006A26DF"/>
    <w:rsid w:val="006B44E6"/>
    <w:rsid w:val="006B5D91"/>
    <w:rsid w:val="006C4278"/>
    <w:rsid w:val="006C4D19"/>
    <w:rsid w:val="006C623D"/>
    <w:rsid w:val="006C7F78"/>
    <w:rsid w:val="006D7161"/>
    <w:rsid w:val="006E42E8"/>
    <w:rsid w:val="007113FD"/>
    <w:rsid w:val="007247C7"/>
    <w:rsid w:val="00736BEF"/>
    <w:rsid w:val="00740230"/>
    <w:rsid w:val="007450D0"/>
    <w:rsid w:val="00746BC5"/>
    <w:rsid w:val="0075096B"/>
    <w:rsid w:val="00760FD8"/>
    <w:rsid w:val="007751FA"/>
    <w:rsid w:val="007772F9"/>
    <w:rsid w:val="00787AB6"/>
    <w:rsid w:val="007B00E7"/>
    <w:rsid w:val="007C24AA"/>
    <w:rsid w:val="007E2C67"/>
    <w:rsid w:val="007E55DB"/>
    <w:rsid w:val="007F08E6"/>
    <w:rsid w:val="007F1A65"/>
    <w:rsid w:val="007F2126"/>
    <w:rsid w:val="007F6734"/>
    <w:rsid w:val="00810B1A"/>
    <w:rsid w:val="00816613"/>
    <w:rsid w:val="00820D7C"/>
    <w:rsid w:val="00825A06"/>
    <w:rsid w:val="00831494"/>
    <w:rsid w:val="00832BF5"/>
    <w:rsid w:val="008346AA"/>
    <w:rsid w:val="0083604C"/>
    <w:rsid w:val="00844FB1"/>
    <w:rsid w:val="00845D45"/>
    <w:rsid w:val="008517D2"/>
    <w:rsid w:val="00855C1C"/>
    <w:rsid w:val="00861264"/>
    <w:rsid w:val="0086170C"/>
    <w:rsid w:val="00863F3E"/>
    <w:rsid w:val="00870490"/>
    <w:rsid w:val="00872CFC"/>
    <w:rsid w:val="00874ADD"/>
    <w:rsid w:val="00885463"/>
    <w:rsid w:val="0089201E"/>
    <w:rsid w:val="008943AB"/>
    <w:rsid w:val="008975EE"/>
    <w:rsid w:val="008A4F99"/>
    <w:rsid w:val="008B68E9"/>
    <w:rsid w:val="008C20FE"/>
    <w:rsid w:val="008C280D"/>
    <w:rsid w:val="008C7896"/>
    <w:rsid w:val="008E0F5A"/>
    <w:rsid w:val="008E3B5C"/>
    <w:rsid w:val="008E7089"/>
    <w:rsid w:val="008F0367"/>
    <w:rsid w:val="008F23EA"/>
    <w:rsid w:val="008F5862"/>
    <w:rsid w:val="00900028"/>
    <w:rsid w:val="00905292"/>
    <w:rsid w:val="00905948"/>
    <w:rsid w:val="00906754"/>
    <w:rsid w:val="00906D57"/>
    <w:rsid w:val="00910A28"/>
    <w:rsid w:val="00910B86"/>
    <w:rsid w:val="00910F44"/>
    <w:rsid w:val="00923E5C"/>
    <w:rsid w:val="00925623"/>
    <w:rsid w:val="00934400"/>
    <w:rsid w:val="009477B1"/>
    <w:rsid w:val="00947862"/>
    <w:rsid w:val="00954624"/>
    <w:rsid w:val="009702AD"/>
    <w:rsid w:val="00970F53"/>
    <w:rsid w:val="00973DA8"/>
    <w:rsid w:val="00974A2B"/>
    <w:rsid w:val="00977FA5"/>
    <w:rsid w:val="00993D04"/>
    <w:rsid w:val="009A07DE"/>
    <w:rsid w:val="009B0206"/>
    <w:rsid w:val="009B6A3E"/>
    <w:rsid w:val="009C2F0D"/>
    <w:rsid w:val="009C4BDD"/>
    <w:rsid w:val="009D1C07"/>
    <w:rsid w:val="009E6D0A"/>
    <w:rsid w:val="009F03EF"/>
    <w:rsid w:val="00A0334A"/>
    <w:rsid w:val="00A071D1"/>
    <w:rsid w:val="00A2674D"/>
    <w:rsid w:val="00A27DA7"/>
    <w:rsid w:val="00A30E17"/>
    <w:rsid w:val="00A35EC9"/>
    <w:rsid w:val="00A44430"/>
    <w:rsid w:val="00A47CC5"/>
    <w:rsid w:val="00A55F5B"/>
    <w:rsid w:val="00A74F4F"/>
    <w:rsid w:val="00A77723"/>
    <w:rsid w:val="00A81D60"/>
    <w:rsid w:val="00A832D0"/>
    <w:rsid w:val="00A9407B"/>
    <w:rsid w:val="00AA1E74"/>
    <w:rsid w:val="00AA5C5E"/>
    <w:rsid w:val="00AA6E21"/>
    <w:rsid w:val="00AB32A5"/>
    <w:rsid w:val="00AC7DA0"/>
    <w:rsid w:val="00AE1F35"/>
    <w:rsid w:val="00B1668C"/>
    <w:rsid w:val="00B16E78"/>
    <w:rsid w:val="00B40EA0"/>
    <w:rsid w:val="00B42AA9"/>
    <w:rsid w:val="00B46D7D"/>
    <w:rsid w:val="00B47587"/>
    <w:rsid w:val="00B47D91"/>
    <w:rsid w:val="00B5542A"/>
    <w:rsid w:val="00B568DC"/>
    <w:rsid w:val="00B56D1E"/>
    <w:rsid w:val="00B570E1"/>
    <w:rsid w:val="00B57EDC"/>
    <w:rsid w:val="00B6162C"/>
    <w:rsid w:val="00B62112"/>
    <w:rsid w:val="00B63028"/>
    <w:rsid w:val="00B65193"/>
    <w:rsid w:val="00B660C2"/>
    <w:rsid w:val="00B70EEA"/>
    <w:rsid w:val="00B72276"/>
    <w:rsid w:val="00BA0490"/>
    <w:rsid w:val="00BA4C3D"/>
    <w:rsid w:val="00BB25AE"/>
    <w:rsid w:val="00BC7929"/>
    <w:rsid w:val="00BD1159"/>
    <w:rsid w:val="00BE042C"/>
    <w:rsid w:val="00BE68F7"/>
    <w:rsid w:val="00BE6947"/>
    <w:rsid w:val="00BF7D3B"/>
    <w:rsid w:val="00BF7EDD"/>
    <w:rsid w:val="00C024AA"/>
    <w:rsid w:val="00C05D5D"/>
    <w:rsid w:val="00C0768C"/>
    <w:rsid w:val="00C123E1"/>
    <w:rsid w:val="00C1349E"/>
    <w:rsid w:val="00C2463E"/>
    <w:rsid w:val="00C252F5"/>
    <w:rsid w:val="00C47050"/>
    <w:rsid w:val="00C6056C"/>
    <w:rsid w:val="00C663B2"/>
    <w:rsid w:val="00C7070D"/>
    <w:rsid w:val="00C75BAC"/>
    <w:rsid w:val="00C75EF0"/>
    <w:rsid w:val="00C77152"/>
    <w:rsid w:val="00C81E07"/>
    <w:rsid w:val="00C92B16"/>
    <w:rsid w:val="00C92F0C"/>
    <w:rsid w:val="00C9653C"/>
    <w:rsid w:val="00C969A4"/>
    <w:rsid w:val="00CA03FD"/>
    <w:rsid w:val="00CB06AA"/>
    <w:rsid w:val="00CC3374"/>
    <w:rsid w:val="00CD1B56"/>
    <w:rsid w:val="00CE0971"/>
    <w:rsid w:val="00CE1B5B"/>
    <w:rsid w:val="00CE6519"/>
    <w:rsid w:val="00CF49C1"/>
    <w:rsid w:val="00D02A0B"/>
    <w:rsid w:val="00D10787"/>
    <w:rsid w:val="00D134F5"/>
    <w:rsid w:val="00D20A0B"/>
    <w:rsid w:val="00D20C56"/>
    <w:rsid w:val="00D24706"/>
    <w:rsid w:val="00D30738"/>
    <w:rsid w:val="00D34C1B"/>
    <w:rsid w:val="00D55B2E"/>
    <w:rsid w:val="00D67D11"/>
    <w:rsid w:val="00D82EDA"/>
    <w:rsid w:val="00D83C72"/>
    <w:rsid w:val="00D923F6"/>
    <w:rsid w:val="00D95D71"/>
    <w:rsid w:val="00D95E9F"/>
    <w:rsid w:val="00DA11F5"/>
    <w:rsid w:val="00DB5952"/>
    <w:rsid w:val="00DB7600"/>
    <w:rsid w:val="00DC56BA"/>
    <w:rsid w:val="00DC6690"/>
    <w:rsid w:val="00DC7576"/>
    <w:rsid w:val="00DD7949"/>
    <w:rsid w:val="00DE05DB"/>
    <w:rsid w:val="00DF4143"/>
    <w:rsid w:val="00E04A7D"/>
    <w:rsid w:val="00E2381B"/>
    <w:rsid w:val="00E35077"/>
    <w:rsid w:val="00E43262"/>
    <w:rsid w:val="00E55642"/>
    <w:rsid w:val="00E67367"/>
    <w:rsid w:val="00E731E6"/>
    <w:rsid w:val="00E844F1"/>
    <w:rsid w:val="00E954B9"/>
    <w:rsid w:val="00E9563F"/>
    <w:rsid w:val="00EA3661"/>
    <w:rsid w:val="00EB0808"/>
    <w:rsid w:val="00EB169E"/>
    <w:rsid w:val="00EB46F4"/>
    <w:rsid w:val="00EC45A6"/>
    <w:rsid w:val="00ED03DD"/>
    <w:rsid w:val="00ED54BC"/>
    <w:rsid w:val="00EE2AF6"/>
    <w:rsid w:val="00EE7C91"/>
    <w:rsid w:val="00EF3B97"/>
    <w:rsid w:val="00F0559D"/>
    <w:rsid w:val="00F20AC0"/>
    <w:rsid w:val="00F30CB6"/>
    <w:rsid w:val="00F340AC"/>
    <w:rsid w:val="00F35AE4"/>
    <w:rsid w:val="00F41EEC"/>
    <w:rsid w:val="00F50605"/>
    <w:rsid w:val="00F548B1"/>
    <w:rsid w:val="00F55A3A"/>
    <w:rsid w:val="00F61EDD"/>
    <w:rsid w:val="00F67688"/>
    <w:rsid w:val="00F73551"/>
    <w:rsid w:val="00F85516"/>
    <w:rsid w:val="00F9480C"/>
    <w:rsid w:val="00FA24D7"/>
    <w:rsid w:val="00FA320C"/>
    <w:rsid w:val="00FA3B0A"/>
    <w:rsid w:val="00FB4E5F"/>
    <w:rsid w:val="00FC3962"/>
    <w:rsid w:val="00FC61F4"/>
    <w:rsid w:val="00FD0F49"/>
    <w:rsid w:val="00FD15F7"/>
    <w:rsid w:val="00FD2E69"/>
    <w:rsid w:val="00FE53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6B8BEF"/>
  <w15:docId w15:val="{6A7AF577-2307-4A27-BD9A-08CA4BC2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C5D35"/>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6C31"/>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0D6C31"/>
    <w:rPr>
      <w:b/>
      <w:bCs/>
    </w:rPr>
  </w:style>
  <w:style w:type="character" w:styleId="Emphasis">
    <w:name w:val="Emphasis"/>
    <w:basedOn w:val="DefaultParagraphFont"/>
    <w:uiPriority w:val="20"/>
    <w:qFormat/>
    <w:rsid w:val="000D6C31"/>
    <w:rPr>
      <w:i/>
      <w:iCs/>
    </w:rPr>
  </w:style>
  <w:style w:type="paragraph" w:styleId="Footer">
    <w:name w:val="footer"/>
    <w:basedOn w:val="Normal"/>
    <w:link w:val="FooterChar"/>
    <w:rsid w:val="000D6C31"/>
    <w:pPr>
      <w:tabs>
        <w:tab w:val="center" w:pos="4320"/>
        <w:tab w:val="right" w:pos="8640"/>
      </w:tabs>
      <w:spacing w:after="0" w:line="240" w:lineRule="auto"/>
    </w:pPr>
    <w:rPr>
      <w:rFonts w:ascii="Times New Roman" w:eastAsia="Times New Roman" w:hAnsi="Times New Roman" w:cs="Times New Roman"/>
      <w:sz w:val="28"/>
      <w:szCs w:val="24"/>
    </w:rPr>
  </w:style>
  <w:style w:type="character" w:customStyle="1" w:styleId="FooterChar">
    <w:name w:val="Footer Char"/>
    <w:basedOn w:val="DefaultParagraphFont"/>
    <w:link w:val="Footer"/>
    <w:rsid w:val="000D6C31"/>
    <w:rPr>
      <w:rFonts w:ascii="Times New Roman" w:eastAsia="Times New Roman" w:hAnsi="Times New Roman" w:cs="Times New Roman"/>
      <w:sz w:val="28"/>
      <w:szCs w:val="24"/>
    </w:rPr>
  </w:style>
  <w:style w:type="paragraph" w:styleId="Header">
    <w:name w:val="header"/>
    <w:basedOn w:val="Normal"/>
    <w:link w:val="HeaderChar"/>
    <w:uiPriority w:val="99"/>
    <w:unhideWhenUsed/>
    <w:rsid w:val="004A0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BDF"/>
    <w:rPr>
      <w:rFonts w:ascii="Calibri" w:eastAsia="Calibri" w:hAnsi="Calibri" w:cs="Calibri"/>
    </w:rPr>
  </w:style>
  <w:style w:type="character" w:styleId="Hyperlink">
    <w:name w:val="Hyperlink"/>
    <w:basedOn w:val="DefaultParagraphFont"/>
    <w:uiPriority w:val="99"/>
    <w:semiHidden/>
    <w:unhideWhenUsed/>
    <w:rsid w:val="00477078"/>
    <w:rPr>
      <w:color w:val="1155CC"/>
      <w:u w:val="single"/>
    </w:rPr>
  </w:style>
  <w:style w:type="character" w:styleId="FollowedHyperlink">
    <w:name w:val="FollowedHyperlink"/>
    <w:basedOn w:val="DefaultParagraphFont"/>
    <w:uiPriority w:val="99"/>
    <w:semiHidden/>
    <w:unhideWhenUsed/>
    <w:rsid w:val="00477078"/>
    <w:rPr>
      <w:color w:val="1155CC"/>
      <w:u w:val="single"/>
    </w:rPr>
  </w:style>
  <w:style w:type="paragraph" w:customStyle="1" w:styleId="font5">
    <w:name w:val="font5"/>
    <w:basedOn w:val="Normal"/>
    <w:rsid w:val="00477078"/>
    <w:pPr>
      <w:spacing w:before="100" w:beforeAutospacing="1" w:after="100" w:afterAutospacing="1" w:line="240" w:lineRule="auto"/>
    </w:pPr>
    <w:rPr>
      <w:rFonts w:ascii="Times" w:eastAsia="Times New Roman" w:hAnsi="Times" w:cs="Times"/>
      <w:color w:val="0066CC"/>
      <w:sz w:val="20"/>
      <w:szCs w:val="20"/>
    </w:rPr>
  </w:style>
  <w:style w:type="paragraph" w:customStyle="1" w:styleId="font6">
    <w:name w:val="font6"/>
    <w:basedOn w:val="Normal"/>
    <w:rsid w:val="00477078"/>
    <w:pPr>
      <w:spacing w:before="100" w:beforeAutospacing="1" w:after="100" w:afterAutospacing="1" w:line="240" w:lineRule="auto"/>
    </w:pPr>
    <w:rPr>
      <w:rFonts w:ascii="Times" w:eastAsia="Times New Roman" w:hAnsi="Times" w:cs="Times"/>
      <w:b/>
      <w:bCs/>
      <w:color w:val="0066CC"/>
      <w:sz w:val="20"/>
      <w:szCs w:val="20"/>
    </w:rPr>
  </w:style>
  <w:style w:type="paragraph" w:customStyle="1" w:styleId="font7">
    <w:name w:val="font7"/>
    <w:basedOn w:val="Normal"/>
    <w:rsid w:val="00477078"/>
    <w:pPr>
      <w:spacing w:before="100" w:beforeAutospacing="1" w:after="100" w:afterAutospacing="1" w:line="240" w:lineRule="auto"/>
    </w:pPr>
    <w:rPr>
      <w:rFonts w:ascii="Times" w:eastAsia="Times New Roman" w:hAnsi="Times" w:cs="Times"/>
      <w:color w:val="3366FF"/>
      <w:sz w:val="20"/>
      <w:szCs w:val="20"/>
    </w:rPr>
  </w:style>
  <w:style w:type="paragraph" w:customStyle="1" w:styleId="font8">
    <w:name w:val="font8"/>
    <w:basedOn w:val="Normal"/>
    <w:rsid w:val="00477078"/>
    <w:pPr>
      <w:spacing w:before="100" w:beforeAutospacing="1" w:after="100" w:afterAutospacing="1" w:line="240" w:lineRule="auto"/>
    </w:pPr>
    <w:rPr>
      <w:rFonts w:ascii="Times" w:eastAsia="Times New Roman" w:hAnsi="Times" w:cs="Times"/>
      <w:i/>
      <w:iCs/>
      <w:color w:val="3366FF"/>
      <w:sz w:val="20"/>
      <w:szCs w:val="20"/>
    </w:rPr>
  </w:style>
  <w:style w:type="paragraph" w:customStyle="1" w:styleId="font9">
    <w:name w:val="font9"/>
    <w:basedOn w:val="Normal"/>
    <w:rsid w:val="00477078"/>
    <w:pPr>
      <w:spacing w:before="100" w:beforeAutospacing="1" w:after="100" w:afterAutospacing="1" w:line="240" w:lineRule="auto"/>
    </w:pPr>
    <w:rPr>
      <w:rFonts w:ascii="Times" w:eastAsia="Times New Roman" w:hAnsi="Times" w:cs="Times"/>
      <w:b/>
      <w:bCs/>
      <w:color w:val="3366FF"/>
      <w:sz w:val="20"/>
      <w:szCs w:val="20"/>
      <w:u w:val="single"/>
    </w:rPr>
  </w:style>
  <w:style w:type="paragraph" w:customStyle="1" w:styleId="font10">
    <w:name w:val="font10"/>
    <w:basedOn w:val="Normal"/>
    <w:rsid w:val="00477078"/>
    <w:pPr>
      <w:spacing w:before="100" w:beforeAutospacing="1" w:after="100" w:afterAutospacing="1" w:line="240" w:lineRule="auto"/>
    </w:pPr>
    <w:rPr>
      <w:rFonts w:ascii="Times" w:eastAsia="Times New Roman" w:hAnsi="Times" w:cs="Times"/>
      <w:color w:val="3366FF"/>
      <w:sz w:val="20"/>
      <w:szCs w:val="20"/>
    </w:rPr>
  </w:style>
  <w:style w:type="paragraph" w:customStyle="1" w:styleId="font11">
    <w:name w:val="font11"/>
    <w:basedOn w:val="Normal"/>
    <w:rsid w:val="00477078"/>
    <w:pPr>
      <w:spacing w:before="100" w:beforeAutospacing="1" w:after="100" w:afterAutospacing="1" w:line="240" w:lineRule="auto"/>
    </w:pPr>
    <w:rPr>
      <w:rFonts w:ascii="Times" w:eastAsia="Times New Roman" w:hAnsi="Times" w:cs="Times"/>
      <w:b/>
      <w:bCs/>
      <w:color w:val="3366FF"/>
      <w:sz w:val="20"/>
      <w:szCs w:val="20"/>
    </w:rPr>
  </w:style>
  <w:style w:type="paragraph" w:customStyle="1" w:styleId="xl65">
    <w:name w:val="xl65"/>
    <w:basedOn w:val="Normal"/>
    <w:rsid w:val="00477078"/>
    <w:pPr>
      <w:pBdr>
        <w:top w:val="single" w:sz="4" w:space="0" w:color="000000"/>
        <w:left w:val="single" w:sz="4" w:space="0" w:color="000000"/>
        <w:bottom w:val="single" w:sz="4" w:space="0" w:color="000000"/>
        <w:right w:val="single" w:sz="4" w:space="0" w:color="000000"/>
      </w:pBdr>
      <w:shd w:val="clear" w:color="87AFC6" w:fill="87AFC6"/>
      <w:spacing w:before="100" w:beforeAutospacing="1" w:after="100" w:afterAutospacing="1" w:line="240" w:lineRule="auto"/>
      <w:jc w:val="center"/>
      <w:textAlignment w:val="center"/>
    </w:pPr>
    <w:rPr>
      <w:rFonts w:ascii="Times" w:eastAsia="Times New Roman" w:hAnsi="Times" w:cs="Times"/>
      <w:b/>
      <w:bCs/>
    </w:rPr>
  </w:style>
  <w:style w:type="paragraph" w:customStyle="1" w:styleId="xl66">
    <w:name w:val="xl66"/>
    <w:basedOn w:val="Normal"/>
    <w:rsid w:val="0047707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w:eastAsia="Times New Roman" w:hAnsi="Times" w:cs="Times"/>
      <w:sz w:val="24"/>
      <w:szCs w:val="24"/>
    </w:rPr>
  </w:style>
  <w:style w:type="paragraph" w:customStyle="1" w:styleId="xl67">
    <w:name w:val="xl67"/>
    <w:basedOn w:val="Normal"/>
    <w:rsid w:val="0047707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w:eastAsia="Times New Roman" w:hAnsi="Times" w:cs="Times"/>
      <w:sz w:val="24"/>
      <w:szCs w:val="24"/>
    </w:rPr>
  </w:style>
  <w:style w:type="paragraph" w:customStyle="1" w:styleId="xl68">
    <w:name w:val="xl68"/>
    <w:basedOn w:val="Normal"/>
    <w:rsid w:val="0047707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w:eastAsia="Times New Roman" w:hAnsi="Times" w:cs="Times"/>
      <w:sz w:val="24"/>
      <w:szCs w:val="24"/>
    </w:rPr>
  </w:style>
  <w:style w:type="paragraph" w:customStyle="1" w:styleId="xl69">
    <w:name w:val="xl69"/>
    <w:basedOn w:val="Normal"/>
    <w:rsid w:val="0047707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quot;Times New Roman&quot;" w:eastAsia="Times New Roman" w:hAnsi="&quot;Times New Roman&quot;" w:cs="Times New Roman"/>
      <w:color w:val="000000"/>
      <w:sz w:val="24"/>
      <w:szCs w:val="24"/>
    </w:rPr>
  </w:style>
  <w:style w:type="paragraph" w:customStyle="1" w:styleId="xl70">
    <w:name w:val="xl70"/>
    <w:basedOn w:val="Normal"/>
    <w:rsid w:val="0047707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quot;Times New Roman&quot;" w:eastAsia="Times New Roman" w:hAnsi="&quot;Times New Roman&quot;" w:cs="Times New Roman"/>
      <w:sz w:val="24"/>
      <w:szCs w:val="24"/>
    </w:rPr>
  </w:style>
  <w:style w:type="paragraph" w:customStyle="1" w:styleId="xl71">
    <w:name w:val="xl71"/>
    <w:basedOn w:val="Normal"/>
    <w:rsid w:val="00477078"/>
    <w:pPr>
      <w:pBdr>
        <w:top w:val="single" w:sz="4" w:space="0" w:color="000000"/>
        <w:left w:val="single" w:sz="4" w:space="0" w:color="000000"/>
        <w:bottom w:val="single" w:sz="4" w:space="0" w:color="000000"/>
        <w:right w:val="single" w:sz="4" w:space="0" w:color="000000"/>
      </w:pBdr>
      <w:shd w:val="clear" w:color="D9EAD3" w:fill="D9EAD3"/>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2">
    <w:name w:val="xl72"/>
    <w:basedOn w:val="Normal"/>
    <w:rsid w:val="0047707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center"/>
    </w:pPr>
    <w:rPr>
      <w:rFonts w:ascii="Times" w:eastAsia="Times New Roman" w:hAnsi="Times" w:cs="Times"/>
      <w:sz w:val="24"/>
      <w:szCs w:val="24"/>
    </w:rPr>
  </w:style>
  <w:style w:type="paragraph" w:customStyle="1" w:styleId="xl73">
    <w:name w:val="xl73"/>
    <w:basedOn w:val="Normal"/>
    <w:rsid w:val="00477078"/>
    <w:pPr>
      <w:pBdr>
        <w:top w:val="single" w:sz="4" w:space="0" w:color="auto"/>
        <w:left w:val="single" w:sz="4" w:space="0" w:color="auto"/>
        <w:bottom w:val="single" w:sz="4" w:space="0" w:color="auto"/>
        <w:right w:val="single" w:sz="4" w:space="0" w:color="auto"/>
      </w:pBdr>
      <w:shd w:val="clear" w:color="87AFC6" w:fill="87AFC6"/>
      <w:spacing w:before="100" w:beforeAutospacing="1" w:after="100" w:afterAutospacing="1" w:line="240" w:lineRule="auto"/>
      <w:jc w:val="center"/>
      <w:textAlignment w:val="center"/>
    </w:pPr>
    <w:rPr>
      <w:rFonts w:ascii="Times" w:eastAsia="Times New Roman" w:hAnsi="Times" w:cs="Times"/>
      <w:b/>
      <w:bCs/>
    </w:rPr>
  </w:style>
  <w:style w:type="paragraph" w:customStyle="1" w:styleId="xl74">
    <w:name w:val="xl74"/>
    <w:basedOn w:val="Normal"/>
    <w:rsid w:val="00477078"/>
    <w:pPr>
      <w:pBdr>
        <w:top w:val="single" w:sz="4" w:space="0" w:color="000000"/>
        <w:bottom w:val="single" w:sz="4" w:space="0" w:color="000000"/>
        <w:right w:val="single" w:sz="4" w:space="0" w:color="000000"/>
      </w:pBdr>
      <w:shd w:val="clear" w:color="87AFC6" w:fill="87AFC6"/>
      <w:spacing w:before="100" w:beforeAutospacing="1" w:after="100" w:afterAutospacing="1" w:line="240" w:lineRule="auto"/>
      <w:jc w:val="center"/>
      <w:textAlignment w:val="center"/>
    </w:pPr>
    <w:rPr>
      <w:rFonts w:ascii="Times" w:eastAsia="Times New Roman" w:hAnsi="Times" w:cs="Times"/>
      <w:b/>
      <w:bCs/>
    </w:rPr>
  </w:style>
  <w:style w:type="paragraph" w:customStyle="1" w:styleId="xl75">
    <w:name w:val="xl75"/>
    <w:basedOn w:val="Normal"/>
    <w:rsid w:val="00477078"/>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w:eastAsia="Times New Roman" w:hAnsi="Times" w:cs="Times"/>
      <w:sz w:val="24"/>
      <w:szCs w:val="24"/>
    </w:rPr>
  </w:style>
  <w:style w:type="paragraph" w:customStyle="1" w:styleId="xl76">
    <w:name w:val="xl76"/>
    <w:basedOn w:val="Normal"/>
    <w:rsid w:val="00477078"/>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w:eastAsia="Times New Roman" w:hAnsi="Times" w:cs="Times"/>
      <w:sz w:val="24"/>
      <w:szCs w:val="24"/>
    </w:rPr>
  </w:style>
  <w:style w:type="paragraph" w:customStyle="1" w:styleId="xl77">
    <w:name w:val="xl77"/>
    <w:basedOn w:val="Normal"/>
    <w:rsid w:val="004770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w:sz w:val="24"/>
      <w:szCs w:val="24"/>
    </w:rPr>
  </w:style>
  <w:style w:type="paragraph" w:customStyle="1" w:styleId="xl78">
    <w:name w:val="xl78"/>
    <w:basedOn w:val="Normal"/>
    <w:rsid w:val="0047707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w:eastAsia="Times New Roman" w:hAnsi="Times" w:cs="Times"/>
      <w:color w:val="0000FF"/>
      <w:sz w:val="24"/>
      <w:szCs w:val="24"/>
    </w:rPr>
  </w:style>
  <w:style w:type="paragraph" w:customStyle="1" w:styleId="xl79">
    <w:name w:val="xl79"/>
    <w:basedOn w:val="Normal"/>
    <w:rsid w:val="0047707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w:eastAsia="Times New Roman" w:hAnsi="Times" w:cs="Times"/>
      <w:color w:val="0000FF"/>
      <w:sz w:val="24"/>
      <w:szCs w:val="24"/>
    </w:rPr>
  </w:style>
  <w:style w:type="paragraph" w:customStyle="1" w:styleId="xl80">
    <w:name w:val="xl80"/>
    <w:basedOn w:val="Normal"/>
    <w:rsid w:val="00477078"/>
    <w:pPr>
      <w:spacing w:before="100" w:beforeAutospacing="1" w:after="100" w:afterAutospacing="1" w:line="240" w:lineRule="auto"/>
    </w:pPr>
    <w:rPr>
      <w:rFonts w:ascii="Arial" w:eastAsia="Times New Roman" w:hAnsi="Arial" w:cs="Arial"/>
      <w:color w:val="0000FF"/>
      <w:sz w:val="24"/>
      <w:szCs w:val="24"/>
    </w:rPr>
  </w:style>
  <w:style w:type="paragraph" w:customStyle="1" w:styleId="xl81">
    <w:name w:val="xl81"/>
    <w:basedOn w:val="Normal"/>
    <w:rsid w:val="0047707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w:eastAsia="Times New Roman" w:hAnsi="Times" w:cs="Times"/>
      <w:color w:val="0D5ADB"/>
      <w:sz w:val="24"/>
      <w:szCs w:val="24"/>
    </w:rPr>
  </w:style>
  <w:style w:type="paragraph" w:customStyle="1" w:styleId="xl82">
    <w:name w:val="xl82"/>
    <w:basedOn w:val="Normal"/>
    <w:rsid w:val="0047707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w:eastAsia="Times New Roman" w:hAnsi="Times" w:cs="Times"/>
      <w:color w:val="0D5ADB"/>
      <w:sz w:val="24"/>
      <w:szCs w:val="24"/>
    </w:rPr>
  </w:style>
  <w:style w:type="paragraph" w:customStyle="1" w:styleId="xl83">
    <w:name w:val="xl83"/>
    <w:basedOn w:val="Normal"/>
    <w:rsid w:val="00477078"/>
    <w:pPr>
      <w:shd w:val="clear" w:color="000000" w:fill="FFFF00"/>
      <w:spacing w:before="100" w:beforeAutospacing="1" w:after="100" w:afterAutospacing="1" w:line="240" w:lineRule="auto"/>
    </w:pPr>
    <w:rPr>
      <w:rFonts w:ascii="Arial" w:eastAsia="Times New Roman" w:hAnsi="Arial" w:cs="Arial"/>
      <w:color w:val="0D5ADB"/>
      <w:sz w:val="24"/>
      <w:szCs w:val="24"/>
    </w:rPr>
  </w:style>
  <w:style w:type="paragraph" w:customStyle="1" w:styleId="xl84">
    <w:name w:val="xl84"/>
    <w:basedOn w:val="Normal"/>
    <w:rsid w:val="00477078"/>
    <w:pPr>
      <w:shd w:val="clear" w:color="000000" w:fill="FFFF00"/>
      <w:spacing w:before="100" w:beforeAutospacing="1" w:after="100" w:afterAutospacing="1" w:line="240" w:lineRule="auto"/>
    </w:pPr>
    <w:rPr>
      <w:rFonts w:ascii="Arial" w:eastAsia="Times New Roman" w:hAnsi="Arial" w:cs="Arial"/>
      <w:color w:val="0D5ADB"/>
      <w:sz w:val="24"/>
      <w:szCs w:val="24"/>
    </w:rPr>
  </w:style>
  <w:style w:type="paragraph" w:customStyle="1" w:styleId="xl85">
    <w:name w:val="xl85"/>
    <w:basedOn w:val="Normal"/>
    <w:rsid w:val="0047707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w:eastAsia="Times New Roman" w:hAnsi="Times" w:cs="Times"/>
      <w:color w:val="0D5ADB"/>
      <w:sz w:val="24"/>
      <w:szCs w:val="24"/>
    </w:rPr>
  </w:style>
  <w:style w:type="paragraph" w:customStyle="1" w:styleId="xl86">
    <w:name w:val="xl86"/>
    <w:basedOn w:val="Normal"/>
    <w:rsid w:val="00477078"/>
    <w:pPr>
      <w:spacing w:before="100" w:beforeAutospacing="1" w:after="100" w:afterAutospacing="1" w:line="240" w:lineRule="auto"/>
    </w:pPr>
    <w:rPr>
      <w:rFonts w:ascii="Arial" w:eastAsia="Times New Roman" w:hAnsi="Arial" w:cs="Arial"/>
      <w:color w:val="0D5ADB"/>
      <w:sz w:val="24"/>
      <w:szCs w:val="24"/>
    </w:rPr>
  </w:style>
  <w:style w:type="paragraph" w:customStyle="1" w:styleId="xl87">
    <w:name w:val="xl87"/>
    <w:basedOn w:val="Normal"/>
    <w:rsid w:val="0047707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D5ADB"/>
      <w:sz w:val="24"/>
      <w:szCs w:val="24"/>
    </w:rPr>
  </w:style>
  <w:style w:type="paragraph" w:customStyle="1" w:styleId="xl88">
    <w:name w:val="xl88"/>
    <w:basedOn w:val="Normal"/>
    <w:rsid w:val="0047707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D5ADB"/>
      <w:sz w:val="24"/>
      <w:szCs w:val="24"/>
    </w:rPr>
  </w:style>
  <w:style w:type="paragraph" w:customStyle="1" w:styleId="xl89">
    <w:name w:val="xl89"/>
    <w:basedOn w:val="Normal"/>
    <w:rsid w:val="0047707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w:eastAsia="Times New Roman" w:hAnsi="Times" w:cs="Times"/>
      <w:color w:val="0D5ADB"/>
      <w:sz w:val="24"/>
      <w:szCs w:val="24"/>
    </w:rPr>
  </w:style>
  <w:style w:type="paragraph" w:customStyle="1" w:styleId="xl90">
    <w:name w:val="xl90"/>
    <w:basedOn w:val="Normal"/>
    <w:rsid w:val="0047707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w:eastAsia="Times New Roman" w:hAnsi="Times" w:cs="Times"/>
      <w:color w:val="0D5ADB"/>
      <w:sz w:val="24"/>
      <w:szCs w:val="24"/>
    </w:rPr>
  </w:style>
  <w:style w:type="paragraph" w:customStyle="1" w:styleId="xl91">
    <w:name w:val="xl91"/>
    <w:basedOn w:val="Normal"/>
    <w:rsid w:val="0047707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Arial" w:eastAsia="Times New Roman" w:hAnsi="Arial" w:cs="Arial"/>
      <w:color w:val="0D5ADB"/>
      <w:sz w:val="24"/>
      <w:szCs w:val="24"/>
    </w:rPr>
  </w:style>
  <w:style w:type="paragraph" w:customStyle="1" w:styleId="xl92">
    <w:name w:val="xl92"/>
    <w:basedOn w:val="Normal"/>
    <w:rsid w:val="00477078"/>
    <w:pPr>
      <w:shd w:val="clear" w:color="000000" w:fill="FFFFFF"/>
      <w:spacing w:before="100" w:beforeAutospacing="1" w:after="100" w:afterAutospacing="1" w:line="240" w:lineRule="auto"/>
    </w:pPr>
    <w:rPr>
      <w:rFonts w:ascii="Arial" w:eastAsia="Times New Roman" w:hAnsi="Arial" w:cs="Arial"/>
      <w:color w:val="0D5ADB"/>
      <w:sz w:val="24"/>
      <w:szCs w:val="24"/>
    </w:rPr>
  </w:style>
  <w:style w:type="paragraph" w:customStyle="1" w:styleId="xl93">
    <w:name w:val="xl93"/>
    <w:basedOn w:val="Normal"/>
    <w:rsid w:val="0047707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w:eastAsia="Times New Roman" w:hAnsi="Times" w:cs="Times"/>
      <w:color w:val="0D5ADB"/>
      <w:sz w:val="24"/>
      <w:szCs w:val="24"/>
    </w:rPr>
  </w:style>
  <w:style w:type="paragraph" w:customStyle="1" w:styleId="xl94">
    <w:name w:val="xl94"/>
    <w:basedOn w:val="Normal"/>
    <w:rsid w:val="0047707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w:eastAsia="Times New Roman" w:hAnsi="Times" w:cs="Times"/>
      <w:color w:val="4285F4"/>
      <w:sz w:val="24"/>
      <w:szCs w:val="24"/>
    </w:rPr>
  </w:style>
  <w:style w:type="paragraph" w:customStyle="1" w:styleId="xl95">
    <w:name w:val="xl95"/>
    <w:basedOn w:val="Normal"/>
    <w:rsid w:val="0047707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w:eastAsia="Times New Roman" w:hAnsi="Times" w:cs="Times"/>
      <w:color w:val="4285F4"/>
      <w:sz w:val="24"/>
      <w:szCs w:val="24"/>
    </w:rPr>
  </w:style>
  <w:style w:type="paragraph" w:customStyle="1" w:styleId="xl96">
    <w:name w:val="xl96"/>
    <w:basedOn w:val="Normal"/>
    <w:rsid w:val="0047707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w:eastAsia="Times New Roman" w:hAnsi="Times" w:cs="Times"/>
      <w:color w:val="4285F4"/>
      <w:sz w:val="24"/>
      <w:szCs w:val="24"/>
    </w:rPr>
  </w:style>
  <w:style w:type="paragraph" w:customStyle="1" w:styleId="xl97">
    <w:name w:val="xl97"/>
    <w:basedOn w:val="Normal"/>
    <w:rsid w:val="00477078"/>
    <w:pPr>
      <w:spacing w:before="100" w:beforeAutospacing="1" w:after="100" w:afterAutospacing="1" w:line="240" w:lineRule="auto"/>
    </w:pPr>
    <w:rPr>
      <w:rFonts w:ascii="Times New Roman" w:eastAsia="Times New Roman" w:hAnsi="Times New Roman" w:cs="Times New Roman"/>
      <w:color w:val="4285F4"/>
      <w:sz w:val="24"/>
      <w:szCs w:val="24"/>
    </w:rPr>
  </w:style>
  <w:style w:type="paragraph" w:customStyle="1" w:styleId="xl98">
    <w:name w:val="xl98"/>
    <w:basedOn w:val="Normal"/>
    <w:rsid w:val="0047707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w:eastAsia="Times New Roman" w:hAnsi="Times" w:cs="Times"/>
      <w:sz w:val="24"/>
      <w:szCs w:val="24"/>
    </w:rPr>
  </w:style>
  <w:style w:type="paragraph" w:customStyle="1" w:styleId="xl99">
    <w:name w:val="xl99"/>
    <w:basedOn w:val="Normal"/>
    <w:rsid w:val="0047707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D5ADB"/>
      <w:sz w:val="24"/>
      <w:szCs w:val="24"/>
    </w:rPr>
  </w:style>
  <w:style w:type="paragraph" w:customStyle="1" w:styleId="xl100">
    <w:name w:val="xl100"/>
    <w:basedOn w:val="Normal"/>
    <w:rsid w:val="004770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w:color w:val="4285F4"/>
      <w:sz w:val="24"/>
      <w:szCs w:val="24"/>
    </w:rPr>
  </w:style>
  <w:style w:type="paragraph" w:customStyle="1" w:styleId="xl101">
    <w:name w:val="xl101"/>
    <w:basedOn w:val="Normal"/>
    <w:rsid w:val="00477078"/>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w:eastAsia="Times New Roman" w:hAnsi="Times" w:cs="Times"/>
      <w:color w:val="4285F4"/>
      <w:sz w:val="24"/>
      <w:szCs w:val="24"/>
    </w:rPr>
  </w:style>
  <w:style w:type="paragraph" w:customStyle="1" w:styleId="xl102">
    <w:name w:val="xl102"/>
    <w:basedOn w:val="Normal"/>
    <w:rsid w:val="00477078"/>
    <w:pPr>
      <w:spacing w:before="100" w:beforeAutospacing="1" w:after="100" w:afterAutospacing="1" w:line="240" w:lineRule="auto"/>
    </w:pPr>
    <w:rPr>
      <w:rFonts w:ascii="Arial" w:eastAsia="Times New Roman" w:hAnsi="Arial" w:cs="Arial"/>
      <w:color w:val="4285F4"/>
      <w:sz w:val="24"/>
      <w:szCs w:val="24"/>
    </w:rPr>
  </w:style>
  <w:style w:type="paragraph" w:customStyle="1" w:styleId="xl103">
    <w:name w:val="xl103"/>
    <w:basedOn w:val="Normal"/>
    <w:rsid w:val="0047707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w:eastAsia="Times New Roman" w:hAnsi="Times" w:cs="Times"/>
      <w:color w:val="4285F4"/>
      <w:sz w:val="24"/>
      <w:szCs w:val="24"/>
    </w:rPr>
  </w:style>
  <w:style w:type="paragraph" w:customStyle="1" w:styleId="xl104">
    <w:name w:val="xl104"/>
    <w:basedOn w:val="Normal"/>
    <w:rsid w:val="0047707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w:eastAsia="Times New Roman" w:hAnsi="Times" w:cs="Times"/>
      <w:color w:val="4285F4"/>
      <w:sz w:val="24"/>
      <w:szCs w:val="24"/>
    </w:rPr>
  </w:style>
  <w:style w:type="paragraph" w:customStyle="1" w:styleId="xl105">
    <w:name w:val="xl105"/>
    <w:basedOn w:val="Normal"/>
    <w:rsid w:val="0047707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w:eastAsia="Times New Roman" w:hAnsi="Times" w:cs="Times"/>
      <w:color w:val="4285F4"/>
      <w:sz w:val="24"/>
      <w:szCs w:val="24"/>
    </w:rPr>
  </w:style>
  <w:style w:type="paragraph" w:customStyle="1" w:styleId="xl106">
    <w:name w:val="xl106"/>
    <w:basedOn w:val="Normal"/>
    <w:rsid w:val="0047707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w:eastAsia="Times New Roman" w:hAnsi="Times" w:cs="Times"/>
      <w:color w:val="4285F4"/>
      <w:sz w:val="24"/>
      <w:szCs w:val="24"/>
    </w:rPr>
  </w:style>
  <w:style w:type="paragraph" w:customStyle="1" w:styleId="xl107">
    <w:name w:val="xl107"/>
    <w:basedOn w:val="Normal"/>
    <w:rsid w:val="00477078"/>
    <w:pPr>
      <w:shd w:val="clear" w:color="000000" w:fill="FFFFFF"/>
      <w:spacing w:before="100" w:beforeAutospacing="1" w:after="100" w:afterAutospacing="1" w:line="240" w:lineRule="auto"/>
    </w:pPr>
    <w:rPr>
      <w:rFonts w:ascii="Arial" w:eastAsia="Times New Roman" w:hAnsi="Arial" w:cs="Arial"/>
      <w:color w:val="4285F4"/>
      <w:sz w:val="24"/>
      <w:szCs w:val="24"/>
    </w:rPr>
  </w:style>
  <w:style w:type="paragraph" w:customStyle="1" w:styleId="xl108">
    <w:name w:val="xl108"/>
    <w:basedOn w:val="Normal"/>
    <w:rsid w:val="0047707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w:eastAsia="Times New Roman" w:hAnsi="Times" w:cs="Times"/>
      <w:color w:val="0000FF"/>
      <w:sz w:val="24"/>
      <w:szCs w:val="24"/>
    </w:rPr>
  </w:style>
  <w:style w:type="paragraph" w:customStyle="1" w:styleId="xl109">
    <w:name w:val="xl109"/>
    <w:basedOn w:val="Normal"/>
    <w:rsid w:val="0047707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FF"/>
      <w:sz w:val="24"/>
      <w:szCs w:val="24"/>
    </w:rPr>
  </w:style>
  <w:style w:type="paragraph" w:customStyle="1" w:styleId="xl110">
    <w:name w:val="xl110"/>
    <w:basedOn w:val="Normal"/>
    <w:rsid w:val="0047707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1">
    <w:name w:val="xl111"/>
    <w:basedOn w:val="Normal"/>
    <w:rsid w:val="0047707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FF"/>
      <w:sz w:val="24"/>
      <w:szCs w:val="24"/>
    </w:rPr>
  </w:style>
  <w:style w:type="paragraph" w:styleId="ListParagraph">
    <w:name w:val="List Paragraph"/>
    <w:basedOn w:val="Normal"/>
    <w:uiPriority w:val="34"/>
    <w:qFormat/>
    <w:rsid w:val="00056A77"/>
    <w:pPr>
      <w:ind w:left="720"/>
      <w:contextualSpacing/>
    </w:pPr>
  </w:style>
  <w:style w:type="character" w:styleId="FootnoteReference">
    <w:name w:val="footnote reference"/>
    <w:aliases w:val="Footnote,Footnote text,Footnote dich,ftref,BVI fnr,footnote ref, BVI fnr,SUPERS,Footnote Reference Number,Знак сноски 1,(NECG) Footnote Reference,16 Point,Superscript 6 Point,Footnote + Arial,10 pt,Black,Ref,de nota al pie,R,fr,f,Re"/>
    <w:link w:val="CharChar1CharCharCharChar1CharCharCharCharCharCharCharChar"/>
    <w:qFormat/>
    <w:rsid w:val="00831494"/>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link w:val="FootnoteReference"/>
    <w:qFormat/>
    <w:rsid w:val="00831494"/>
    <w:pPr>
      <w:spacing w:line="240" w:lineRule="exact"/>
    </w:pPr>
    <w:rPr>
      <w:rFonts w:asciiTheme="minorHAnsi" w:eastAsiaTheme="minorHAnsi" w:hAnsiTheme="minorHAnsi" w:cstheme="minorBidi"/>
      <w:vertAlign w:val="superscript"/>
    </w:rPr>
  </w:style>
  <w:style w:type="paragraph" w:styleId="FootnoteText">
    <w:name w:val="footnote text"/>
    <w:basedOn w:val="Normal"/>
    <w:link w:val="FootnoteTextChar"/>
    <w:uiPriority w:val="99"/>
    <w:semiHidden/>
    <w:unhideWhenUsed/>
    <w:rsid w:val="00831494"/>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3149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63729">
      <w:bodyDiv w:val="1"/>
      <w:marLeft w:val="0"/>
      <w:marRight w:val="0"/>
      <w:marTop w:val="0"/>
      <w:marBottom w:val="0"/>
      <w:divBdr>
        <w:top w:val="none" w:sz="0" w:space="0" w:color="auto"/>
        <w:left w:val="none" w:sz="0" w:space="0" w:color="auto"/>
        <w:bottom w:val="none" w:sz="0" w:space="0" w:color="auto"/>
        <w:right w:val="none" w:sz="0" w:space="0" w:color="auto"/>
      </w:divBdr>
    </w:div>
    <w:div w:id="140005514">
      <w:bodyDiv w:val="1"/>
      <w:marLeft w:val="0"/>
      <w:marRight w:val="0"/>
      <w:marTop w:val="0"/>
      <w:marBottom w:val="0"/>
      <w:divBdr>
        <w:top w:val="none" w:sz="0" w:space="0" w:color="auto"/>
        <w:left w:val="none" w:sz="0" w:space="0" w:color="auto"/>
        <w:bottom w:val="none" w:sz="0" w:space="0" w:color="auto"/>
        <w:right w:val="none" w:sz="0" w:space="0" w:color="auto"/>
      </w:divBdr>
    </w:div>
    <w:div w:id="180556697">
      <w:bodyDiv w:val="1"/>
      <w:marLeft w:val="0"/>
      <w:marRight w:val="0"/>
      <w:marTop w:val="0"/>
      <w:marBottom w:val="0"/>
      <w:divBdr>
        <w:top w:val="none" w:sz="0" w:space="0" w:color="auto"/>
        <w:left w:val="none" w:sz="0" w:space="0" w:color="auto"/>
        <w:bottom w:val="none" w:sz="0" w:space="0" w:color="auto"/>
        <w:right w:val="none" w:sz="0" w:space="0" w:color="auto"/>
      </w:divBdr>
    </w:div>
    <w:div w:id="200168374">
      <w:bodyDiv w:val="1"/>
      <w:marLeft w:val="0"/>
      <w:marRight w:val="0"/>
      <w:marTop w:val="0"/>
      <w:marBottom w:val="0"/>
      <w:divBdr>
        <w:top w:val="none" w:sz="0" w:space="0" w:color="auto"/>
        <w:left w:val="none" w:sz="0" w:space="0" w:color="auto"/>
        <w:bottom w:val="none" w:sz="0" w:space="0" w:color="auto"/>
        <w:right w:val="none" w:sz="0" w:space="0" w:color="auto"/>
      </w:divBdr>
    </w:div>
    <w:div w:id="230238718">
      <w:bodyDiv w:val="1"/>
      <w:marLeft w:val="0"/>
      <w:marRight w:val="0"/>
      <w:marTop w:val="0"/>
      <w:marBottom w:val="0"/>
      <w:divBdr>
        <w:top w:val="none" w:sz="0" w:space="0" w:color="auto"/>
        <w:left w:val="none" w:sz="0" w:space="0" w:color="auto"/>
        <w:bottom w:val="none" w:sz="0" w:space="0" w:color="auto"/>
        <w:right w:val="none" w:sz="0" w:space="0" w:color="auto"/>
      </w:divBdr>
    </w:div>
    <w:div w:id="377781681">
      <w:bodyDiv w:val="1"/>
      <w:marLeft w:val="0"/>
      <w:marRight w:val="0"/>
      <w:marTop w:val="0"/>
      <w:marBottom w:val="0"/>
      <w:divBdr>
        <w:top w:val="none" w:sz="0" w:space="0" w:color="auto"/>
        <w:left w:val="none" w:sz="0" w:space="0" w:color="auto"/>
        <w:bottom w:val="none" w:sz="0" w:space="0" w:color="auto"/>
        <w:right w:val="none" w:sz="0" w:space="0" w:color="auto"/>
      </w:divBdr>
    </w:div>
    <w:div w:id="414397983">
      <w:bodyDiv w:val="1"/>
      <w:marLeft w:val="0"/>
      <w:marRight w:val="0"/>
      <w:marTop w:val="0"/>
      <w:marBottom w:val="0"/>
      <w:divBdr>
        <w:top w:val="none" w:sz="0" w:space="0" w:color="auto"/>
        <w:left w:val="none" w:sz="0" w:space="0" w:color="auto"/>
        <w:bottom w:val="none" w:sz="0" w:space="0" w:color="auto"/>
        <w:right w:val="none" w:sz="0" w:space="0" w:color="auto"/>
      </w:divBdr>
    </w:div>
    <w:div w:id="430274580">
      <w:bodyDiv w:val="1"/>
      <w:marLeft w:val="0"/>
      <w:marRight w:val="0"/>
      <w:marTop w:val="0"/>
      <w:marBottom w:val="0"/>
      <w:divBdr>
        <w:top w:val="none" w:sz="0" w:space="0" w:color="auto"/>
        <w:left w:val="none" w:sz="0" w:space="0" w:color="auto"/>
        <w:bottom w:val="none" w:sz="0" w:space="0" w:color="auto"/>
        <w:right w:val="none" w:sz="0" w:space="0" w:color="auto"/>
      </w:divBdr>
    </w:div>
    <w:div w:id="502204775">
      <w:bodyDiv w:val="1"/>
      <w:marLeft w:val="0"/>
      <w:marRight w:val="0"/>
      <w:marTop w:val="0"/>
      <w:marBottom w:val="0"/>
      <w:divBdr>
        <w:top w:val="none" w:sz="0" w:space="0" w:color="auto"/>
        <w:left w:val="none" w:sz="0" w:space="0" w:color="auto"/>
        <w:bottom w:val="none" w:sz="0" w:space="0" w:color="auto"/>
        <w:right w:val="none" w:sz="0" w:space="0" w:color="auto"/>
      </w:divBdr>
    </w:div>
    <w:div w:id="518854170">
      <w:bodyDiv w:val="1"/>
      <w:marLeft w:val="0"/>
      <w:marRight w:val="0"/>
      <w:marTop w:val="0"/>
      <w:marBottom w:val="0"/>
      <w:divBdr>
        <w:top w:val="none" w:sz="0" w:space="0" w:color="auto"/>
        <w:left w:val="none" w:sz="0" w:space="0" w:color="auto"/>
        <w:bottom w:val="none" w:sz="0" w:space="0" w:color="auto"/>
        <w:right w:val="none" w:sz="0" w:space="0" w:color="auto"/>
      </w:divBdr>
    </w:div>
    <w:div w:id="532768339">
      <w:bodyDiv w:val="1"/>
      <w:marLeft w:val="0"/>
      <w:marRight w:val="0"/>
      <w:marTop w:val="0"/>
      <w:marBottom w:val="0"/>
      <w:divBdr>
        <w:top w:val="none" w:sz="0" w:space="0" w:color="auto"/>
        <w:left w:val="none" w:sz="0" w:space="0" w:color="auto"/>
        <w:bottom w:val="none" w:sz="0" w:space="0" w:color="auto"/>
        <w:right w:val="none" w:sz="0" w:space="0" w:color="auto"/>
      </w:divBdr>
    </w:div>
    <w:div w:id="634143374">
      <w:bodyDiv w:val="1"/>
      <w:marLeft w:val="0"/>
      <w:marRight w:val="0"/>
      <w:marTop w:val="0"/>
      <w:marBottom w:val="0"/>
      <w:divBdr>
        <w:top w:val="none" w:sz="0" w:space="0" w:color="auto"/>
        <w:left w:val="none" w:sz="0" w:space="0" w:color="auto"/>
        <w:bottom w:val="none" w:sz="0" w:space="0" w:color="auto"/>
        <w:right w:val="none" w:sz="0" w:space="0" w:color="auto"/>
      </w:divBdr>
    </w:div>
    <w:div w:id="665860650">
      <w:bodyDiv w:val="1"/>
      <w:marLeft w:val="0"/>
      <w:marRight w:val="0"/>
      <w:marTop w:val="0"/>
      <w:marBottom w:val="0"/>
      <w:divBdr>
        <w:top w:val="none" w:sz="0" w:space="0" w:color="auto"/>
        <w:left w:val="none" w:sz="0" w:space="0" w:color="auto"/>
        <w:bottom w:val="none" w:sz="0" w:space="0" w:color="auto"/>
        <w:right w:val="none" w:sz="0" w:space="0" w:color="auto"/>
      </w:divBdr>
    </w:div>
    <w:div w:id="802963837">
      <w:bodyDiv w:val="1"/>
      <w:marLeft w:val="0"/>
      <w:marRight w:val="0"/>
      <w:marTop w:val="0"/>
      <w:marBottom w:val="0"/>
      <w:divBdr>
        <w:top w:val="none" w:sz="0" w:space="0" w:color="auto"/>
        <w:left w:val="none" w:sz="0" w:space="0" w:color="auto"/>
        <w:bottom w:val="none" w:sz="0" w:space="0" w:color="auto"/>
        <w:right w:val="none" w:sz="0" w:space="0" w:color="auto"/>
      </w:divBdr>
    </w:div>
    <w:div w:id="812871006">
      <w:bodyDiv w:val="1"/>
      <w:marLeft w:val="0"/>
      <w:marRight w:val="0"/>
      <w:marTop w:val="0"/>
      <w:marBottom w:val="0"/>
      <w:divBdr>
        <w:top w:val="none" w:sz="0" w:space="0" w:color="auto"/>
        <w:left w:val="none" w:sz="0" w:space="0" w:color="auto"/>
        <w:bottom w:val="none" w:sz="0" w:space="0" w:color="auto"/>
        <w:right w:val="none" w:sz="0" w:space="0" w:color="auto"/>
      </w:divBdr>
    </w:div>
    <w:div w:id="842471450">
      <w:bodyDiv w:val="1"/>
      <w:marLeft w:val="0"/>
      <w:marRight w:val="0"/>
      <w:marTop w:val="0"/>
      <w:marBottom w:val="0"/>
      <w:divBdr>
        <w:top w:val="none" w:sz="0" w:space="0" w:color="auto"/>
        <w:left w:val="none" w:sz="0" w:space="0" w:color="auto"/>
        <w:bottom w:val="none" w:sz="0" w:space="0" w:color="auto"/>
        <w:right w:val="none" w:sz="0" w:space="0" w:color="auto"/>
      </w:divBdr>
    </w:div>
    <w:div w:id="896206054">
      <w:bodyDiv w:val="1"/>
      <w:marLeft w:val="0"/>
      <w:marRight w:val="0"/>
      <w:marTop w:val="0"/>
      <w:marBottom w:val="0"/>
      <w:divBdr>
        <w:top w:val="none" w:sz="0" w:space="0" w:color="auto"/>
        <w:left w:val="none" w:sz="0" w:space="0" w:color="auto"/>
        <w:bottom w:val="none" w:sz="0" w:space="0" w:color="auto"/>
        <w:right w:val="none" w:sz="0" w:space="0" w:color="auto"/>
      </w:divBdr>
    </w:div>
    <w:div w:id="904031165">
      <w:bodyDiv w:val="1"/>
      <w:marLeft w:val="0"/>
      <w:marRight w:val="0"/>
      <w:marTop w:val="0"/>
      <w:marBottom w:val="0"/>
      <w:divBdr>
        <w:top w:val="none" w:sz="0" w:space="0" w:color="auto"/>
        <w:left w:val="none" w:sz="0" w:space="0" w:color="auto"/>
        <w:bottom w:val="none" w:sz="0" w:space="0" w:color="auto"/>
        <w:right w:val="none" w:sz="0" w:space="0" w:color="auto"/>
      </w:divBdr>
    </w:div>
    <w:div w:id="989747182">
      <w:bodyDiv w:val="1"/>
      <w:marLeft w:val="0"/>
      <w:marRight w:val="0"/>
      <w:marTop w:val="0"/>
      <w:marBottom w:val="0"/>
      <w:divBdr>
        <w:top w:val="none" w:sz="0" w:space="0" w:color="auto"/>
        <w:left w:val="none" w:sz="0" w:space="0" w:color="auto"/>
        <w:bottom w:val="none" w:sz="0" w:space="0" w:color="auto"/>
        <w:right w:val="none" w:sz="0" w:space="0" w:color="auto"/>
      </w:divBdr>
    </w:div>
    <w:div w:id="1086683906">
      <w:bodyDiv w:val="1"/>
      <w:marLeft w:val="0"/>
      <w:marRight w:val="0"/>
      <w:marTop w:val="0"/>
      <w:marBottom w:val="0"/>
      <w:divBdr>
        <w:top w:val="none" w:sz="0" w:space="0" w:color="auto"/>
        <w:left w:val="none" w:sz="0" w:space="0" w:color="auto"/>
        <w:bottom w:val="none" w:sz="0" w:space="0" w:color="auto"/>
        <w:right w:val="none" w:sz="0" w:space="0" w:color="auto"/>
      </w:divBdr>
    </w:div>
    <w:div w:id="1122453674">
      <w:bodyDiv w:val="1"/>
      <w:marLeft w:val="0"/>
      <w:marRight w:val="0"/>
      <w:marTop w:val="0"/>
      <w:marBottom w:val="0"/>
      <w:divBdr>
        <w:top w:val="none" w:sz="0" w:space="0" w:color="auto"/>
        <w:left w:val="none" w:sz="0" w:space="0" w:color="auto"/>
        <w:bottom w:val="none" w:sz="0" w:space="0" w:color="auto"/>
        <w:right w:val="none" w:sz="0" w:space="0" w:color="auto"/>
      </w:divBdr>
    </w:div>
    <w:div w:id="1266420539">
      <w:bodyDiv w:val="1"/>
      <w:marLeft w:val="0"/>
      <w:marRight w:val="0"/>
      <w:marTop w:val="0"/>
      <w:marBottom w:val="0"/>
      <w:divBdr>
        <w:top w:val="none" w:sz="0" w:space="0" w:color="auto"/>
        <w:left w:val="none" w:sz="0" w:space="0" w:color="auto"/>
        <w:bottom w:val="none" w:sz="0" w:space="0" w:color="auto"/>
        <w:right w:val="none" w:sz="0" w:space="0" w:color="auto"/>
      </w:divBdr>
    </w:div>
    <w:div w:id="1337149069">
      <w:bodyDiv w:val="1"/>
      <w:marLeft w:val="0"/>
      <w:marRight w:val="0"/>
      <w:marTop w:val="0"/>
      <w:marBottom w:val="0"/>
      <w:divBdr>
        <w:top w:val="none" w:sz="0" w:space="0" w:color="auto"/>
        <w:left w:val="none" w:sz="0" w:space="0" w:color="auto"/>
        <w:bottom w:val="none" w:sz="0" w:space="0" w:color="auto"/>
        <w:right w:val="none" w:sz="0" w:space="0" w:color="auto"/>
      </w:divBdr>
    </w:div>
    <w:div w:id="1434470226">
      <w:bodyDiv w:val="1"/>
      <w:marLeft w:val="0"/>
      <w:marRight w:val="0"/>
      <w:marTop w:val="0"/>
      <w:marBottom w:val="0"/>
      <w:divBdr>
        <w:top w:val="none" w:sz="0" w:space="0" w:color="auto"/>
        <w:left w:val="none" w:sz="0" w:space="0" w:color="auto"/>
        <w:bottom w:val="none" w:sz="0" w:space="0" w:color="auto"/>
        <w:right w:val="none" w:sz="0" w:space="0" w:color="auto"/>
      </w:divBdr>
    </w:div>
    <w:div w:id="1504201194">
      <w:bodyDiv w:val="1"/>
      <w:marLeft w:val="0"/>
      <w:marRight w:val="0"/>
      <w:marTop w:val="0"/>
      <w:marBottom w:val="0"/>
      <w:divBdr>
        <w:top w:val="none" w:sz="0" w:space="0" w:color="auto"/>
        <w:left w:val="none" w:sz="0" w:space="0" w:color="auto"/>
        <w:bottom w:val="none" w:sz="0" w:space="0" w:color="auto"/>
        <w:right w:val="none" w:sz="0" w:space="0" w:color="auto"/>
      </w:divBdr>
    </w:div>
    <w:div w:id="1523274952">
      <w:bodyDiv w:val="1"/>
      <w:marLeft w:val="0"/>
      <w:marRight w:val="0"/>
      <w:marTop w:val="0"/>
      <w:marBottom w:val="0"/>
      <w:divBdr>
        <w:top w:val="none" w:sz="0" w:space="0" w:color="auto"/>
        <w:left w:val="none" w:sz="0" w:space="0" w:color="auto"/>
        <w:bottom w:val="none" w:sz="0" w:space="0" w:color="auto"/>
        <w:right w:val="none" w:sz="0" w:space="0" w:color="auto"/>
      </w:divBdr>
    </w:div>
    <w:div w:id="1547139135">
      <w:bodyDiv w:val="1"/>
      <w:marLeft w:val="0"/>
      <w:marRight w:val="0"/>
      <w:marTop w:val="0"/>
      <w:marBottom w:val="0"/>
      <w:divBdr>
        <w:top w:val="none" w:sz="0" w:space="0" w:color="auto"/>
        <w:left w:val="none" w:sz="0" w:space="0" w:color="auto"/>
        <w:bottom w:val="none" w:sz="0" w:space="0" w:color="auto"/>
        <w:right w:val="none" w:sz="0" w:space="0" w:color="auto"/>
      </w:divBdr>
    </w:div>
    <w:div w:id="1692758731">
      <w:bodyDiv w:val="1"/>
      <w:marLeft w:val="0"/>
      <w:marRight w:val="0"/>
      <w:marTop w:val="0"/>
      <w:marBottom w:val="0"/>
      <w:divBdr>
        <w:top w:val="none" w:sz="0" w:space="0" w:color="auto"/>
        <w:left w:val="none" w:sz="0" w:space="0" w:color="auto"/>
        <w:bottom w:val="none" w:sz="0" w:space="0" w:color="auto"/>
        <w:right w:val="none" w:sz="0" w:space="0" w:color="auto"/>
      </w:divBdr>
    </w:div>
    <w:div w:id="1695687760">
      <w:bodyDiv w:val="1"/>
      <w:marLeft w:val="0"/>
      <w:marRight w:val="0"/>
      <w:marTop w:val="0"/>
      <w:marBottom w:val="0"/>
      <w:divBdr>
        <w:top w:val="none" w:sz="0" w:space="0" w:color="auto"/>
        <w:left w:val="none" w:sz="0" w:space="0" w:color="auto"/>
        <w:bottom w:val="none" w:sz="0" w:space="0" w:color="auto"/>
        <w:right w:val="none" w:sz="0" w:space="0" w:color="auto"/>
      </w:divBdr>
    </w:div>
    <w:div w:id="1695691703">
      <w:bodyDiv w:val="1"/>
      <w:marLeft w:val="0"/>
      <w:marRight w:val="0"/>
      <w:marTop w:val="0"/>
      <w:marBottom w:val="0"/>
      <w:divBdr>
        <w:top w:val="none" w:sz="0" w:space="0" w:color="auto"/>
        <w:left w:val="none" w:sz="0" w:space="0" w:color="auto"/>
        <w:bottom w:val="none" w:sz="0" w:space="0" w:color="auto"/>
        <w:right w:val="none" w:sz="0" w:space="0" w:color="auto"/>
      </w:divBdr>
    </w:div>
    <w:div w:id="1773894237">
      <w:bodyDiv w:val="1"/>
      <w:marLeft w:val="0"/>
      <w:marRight w:val="0"/>
      <w:marTop w:val="0"/>
      <w:marBottom w:val="0"/>
      <w:divBdr>
        <w:top w:val="none" w:sz="0" w:space="0" w:color="auto"/>
        <w:left w:val="none" w:sz="0" w:space="0" w:color="auto"/>
        <w:bottom w:val="none" w:sz="0" w:space="0" w:color="auto"/>
        <w:right w:val="none" w:sz="0" w:space="0" w:color="auto"/>
      </w:divBdr>
    </w:div>
    <w:div w:id="1795441388">
      <w:bodyDiv w:val="1"/>
      <w:marLeft w:val="0"/>
      <w:marRight w:val="0"/>
      <w:marTop w:val="0"/>
      <w:marBottom w:val="0"/>
      <w:divBdr>
        <w:top w:val="none" w:sz="0" w:space="0" w:color="auto"/>
        <w:left w:val="none" w:sz="0" w:space="0" w:color="auto"/>
        <w:bottom w:val="none" w:sz="0" w:space="0" w:color="auto"/>
        <w:right w:val="none" w:sz="0" w:space="0" w:color="auto"/>
      </w:divBdr>
    </w:div>
    <w:div w:id="1928809374">
      <w:bodyDiv w:val="1"/>
      <w:marLeft w:val="0"/>
      <w:marRight w:val="0"/>
      <w:marTop w:val="0"/>
      <w:marBottom w:val="0"/>
      <w:divBdr>
        <w:top w:val="none" w:sz="0" w:space="0" w:color="auto"/>
        <w:left w:val="none" w:sz="0" w:space="0" w:color="auto"/>
        <w:bottom w:val="none" w:sz="0" w:space="0" w:color="auto"/>
        <w:right w:val="none" w:sz="0" w:space="0" w:color="auto"/>
      </w:divBdr>
    </w:div>
    <w:div w:id="1935361791">
      <w:bodyDiv w:val="1"/>
      <w:marLeft w:val="0"/>
      <w:marRight w:val="0"/>
      <w:marTop w:val="0"/>
      <w:marBottom w:val="0"/>
      <w:divBdr>
        <w:top w:val="none" w:sz="0" w:space="0" w:color="auto"/>
        <w:left w:val="none" w:sz="0" w:space="0" w:color="auto"/>
        <w:bottom w:val="none" w:sz="0" w:space="0" w:color="auto"/>
        <w:right w:val="none" w:sz="0" w:space="0" w:color="auto"/>
      </w:divBdr>
    </w:div>
    <w:div w:id="213563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C9BA5-ECDD-4CED-AE4D-0495E53F5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42</Pages>
  <Words>8347</Words>
  <Characters>47578</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75</cp:revision>
  <cp:lastPrinted>2025-09-23T08:54:00Z</cp:lastPrinted>
  <dcterms:created xsi:type="dcterms:W3CDTF">2025-09-16T02:57:00Z</dcterms:created>
  <dcterms:modified xsi:type="dcterms:W3CDTF">2025-12-14T04:40:00Z</dcterms:modified>
</cp:coreProperties>
</file>