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361179" w14:textId="77777777" w:rsidR="002414A9" w:rsidRPr="00CC6C23" w:rsidRDefault="002414A9" w:rsidP="002414A9">
      <w:pPr>
        <w:spacing w:after="0" w:line="240" w:lineRule="auto"/>
        <w:jc w:val="center"/>
        <w:rPr>
          <w:rFonts w:ascii="Times New Roman" w:hAnsi="Times New Roman" w:cs="Times New Roman"/>
          <w:b/>
          <w:sz w:val="26"/>
          <w:szCs w:val="26"/>
        </w:rPr>
      </w:pPr>
    </w:p>
    <w:p w14:paraId="4C48FB2B" w14:textId="68AF9FC6" w:rsidR="002414A9" w:rsidRPr="00CC6C23" w:rsidRDefault="002414A9" w:rsidP="002414A9">
      <w:pPr>
        <w:spacing w:after="0" w:line="240" w:lineRule="auto"/>
        <w:jc w:val="center"/>
        <w:rPr>
          <w:rFonts w:ascii="Times New Roman" w:hAnsi="Times New Roman" w:cs="Times New Roman"/>
          <w:b/>
          <w:sz w:val="26"/>
          <w:szCs w:val="26"/>
        </w:rPr>
      </w:pPr>
      <w:r w:rsidRPr="00CC6C23">
        <w:rPr>
          <w:rFonts w:ascii="Times New Roman" w:hAnsi="Times New Roman" w:cs="Times New Roman"/>
          <w:b/>
          <w:sz w:val="26"/>
          <w:szCs w:val="26"/>
        </w:rPr>
        <w:t xml:space="preserve">Phụ lục </w:t>
      </w:r>
      <w:r w:rsidR="003D4F85" w:rsidRPr="00CC6C23">
        <w:rPr>
          <w:rFonts w:ascii="Times New Roman" w:hAnsi="Times New Roman" w:cs="Times New Roman"/>
          <w:b/>
          <w:sz w:val="26"/>
          <w:szCs w:val="26"/>
        </w:rPr>
        <w:t>I</w:t>
      </w:r>
      <w:r w:rsidRPr="00CC6C23">
        <w:rPr>
          <w:rFonts w:ascii="Times New Roman" w:hAnsi="Times New Roman" w:cs="Times New Roman"/>
          <w:b/>
          <w:sz w:val="26"/>
          <w:szCs w:val="26"/>
        </w:rPr>
        <w:t>.8.</w:t>
      </w:r>
      <w:r w:rsidR="00653C7F" w:rsidRPr="00CC6C23">
        <w:rPr>
          <w:rFonts w:ascii="Times New Roman" w:hAnsi="Times New Roman" w:cs="Times New Roman"/>
          <w:b/>
          <w:sz w:val="26"/>
          <w:szCs w:val="26"/>
        </w:rPr>
        <w:t>2</w:t>
      </w:r>
      <w:r w:rsidRPr="00CC6C23">
        <w:rPr>
          <w:rFonts w:ascii="Times New Roman" w:hAnsi="Times New Roman" w:cs="Times New Roman"/>
          <w:b/>
          <w:sz w:val="26"/>
          <w:szCs w:val="26"/>
        </w:rPr>
        <w:t>.B</w:t>
      </w:r>
    </w:p>
    <w:p w14:paraId="26D8718A" w14:textId="77777777" w:rsidR="002414A9" w:rsidRPr="00CC6C23" w:rsidRDefault="002414A9" w:rsidP="002414A9">
      <w:pPr>
        <w:pStyle w:val="NormalWeb"/>
        <w:spacing w:before="0" w:beforeAutospacing="0" w:after="0" w:afterAutospacing="0"/>
        <w:jc w:val="center"/>
        <w:rPr>
          <w:rStyle w:val="Strong"/>
          <w:sz w:val="26"/>
          <w:szCs w:val="26"/>
        </w:rPr>
      </w:pPr>
      <w:r w:rsidRPr="00CC6C23">
        <w:rPr>
          <w:rStyle w:val="Strong"/>
          <w:sz w:val="26"/>
          <w:szCs w:val="26"/>
        </w:rPr>
        <w:t>CHO Ý KIẾN ĐỐI VỚI KẾT QUẢ RÀ SOÁT KHÓ KHĂN, VƯỚNG MẮC DO QUY ĐỊNH PHÁP LUẬT</w:t>
      </w:r>
    </w:p>
    <w:p w14:paraId="588893EC" w14:textId="77777777" w:rsidR="002414A9" w:rsidRPr="00CC6C23" w:rsidRDefault="002414A9" w:rsidP="002414A9">
      <w:pPr>
        <w:pStyle w:val="NormalWeb"/>
        <w:spacing w:before="0" w:beforeAutospacing="0" w:after="0" w:afterAutospacing="0"/>
        <w:jc w:val="center"/>
        <w:rPr>
          <w:sz w:val="26"/>
          <w:szCs w:val="26"/>
        </w:rPr>
      </w:pPr>
      <w:r w:rsidRPr="00CC6C23">
        <w:rPr>
          <w:rStyle w:val="Strong"/>
          <w:sz w:val="26"/>
          <w:szCs w:val="26"/>
        </w:rPr>
        <w:t>THUỘC PHẠM VI PHỤ TRÁCH CỦA BỘ GIÁO DỤC VÀ ĐÀO TẠO</w:t>
      </w:r>
    </w:p>
    <w:p w14:paraId="09907B4C" w14:textId="77777777" w:rsidR="00653C7F" w:rsidRPr="00CC6C23" w:rsidRDefault="002414A9" w:rsidP="00653C7F">
      <w:pPr>
        <w:pStyle w:val="NormalWeb"/>
        <w:spacing w:before="0" w:beforeAutospacing="0" w:after="0" w:afterAutospacing="0"/>
        <w:jc w:val="center"/>
        <w:rPr>
          <w:rStyle w:val="Strong"/>
          <w:sz w:val="26"/>
          <w:szCs w:val="26"/>
        </w:rPr>
      </w:pPr>
      <w:r w:rsidRPr="00CC6C23">
        <w:rPr>
          <w:rStyle w:val="Strong"/>
          <w:sz w:val="26"/>
          <w:szCs w:val="26"/>
        </w:rPr>
        <w:t xml:space="preserve">Tiêu chí: </w:t>
      </w:r>
      <w:r w:rsidR="00653C7F" w:rsidRPr="00CC6C23">
        <w:rPr>
          <w:rStyle w:val="Strong"/>
          <w:sz w:val="26"/>
          <w:szCs w:val="26"/>
        </w:rPr>
        <w:t xml:space="preserve">Quy định của VBQPPL không rõ ràng, có nhiều cách hiểu khác nhau, không hợp lý, không khả thi, </w:t>
      </w:r>
    </w:p>
    <w:p w14:paraId="0A9FA7F1" w14:textId="72B371DB" w:rsidR="002414A9" w:rsidRPr="00CC6C23" w:rsidRDefault="00653C7F" w:rsidP="00653C7F">
      <w:pPr>
        <w:pStyle w:val="NormalWeb"/>
        <w:spacing w:before="0" w:beforeAutospacing="0" w:after="0" w:afterAutospacing="0"/>
        <w:jc w:val="center"/>
        <w:rPr>
          <w:rStyle w:val="Strong"/>
          <w:sz w:val="26"/>
          <w:szCs w:val="26"/>
        </w:rPr>
      </w:pPr>
      <w:r w:rsidRPr="00CC6C23">
        <w:rPr>
          <w:rStyle w:val="Strong"/>
          <w:sz w:val="26"/>
          <w:szCs w:val="26"/>
        </w:rPr>
        <w:t>gây khó khăn trong áp dụng, thực hiện pháp luật</w:t>
      </w:r>
    </w:p>
    <w:p w14:paraId="5AF257B2" w14:textId="77777777" w:rsidR="00651923" w:rsidRPr="00CC6C23" w:rsidRDefault="002414A9" w:rsidP="002414A9">
      <w:pPr>
        <w:pStyle w:val="NormalWeb"/>
        <w:spacing w:before="0" w:beforeAutospacing="0" w:after="0" w:afterAutospacing="0"/>
        <w:jc w:val="center"/>
        <w:rPr>
          <w:b/>
          <w:sz w:val="26"/>
          <w:szCs w:val="26"/>
        </w:rPr>
      </w:pPr>
      <w:r w:rsidRPr="00CC6C23">
        <w:rPr>
          <w:rFonts w:eastAsia="Times New Roman"/>
          <w:b/>
          <w:bCs/>
          <w:sz w:val="26"/>
          <w:szCs w:val="26"/>
        </w:rPr>
        <w:t xml:space="preserve">Nhóm B. </w:t>
      </w:r>
      <w:r w:rsidRPr="00CC6C23">
        <w:rPr>
          <w:b/>
          <w:sz w:val="26"/>
          <w:szCs w:val="26"/>
        </w:rPr>
        <w:t>Nhóm các nội dung cho ý kiến nhất trí nhưng không áp dụng phương án, quy trình xử lý</w:t>
      </w:r>
    </w:p>
    <w:p w14:paraId="29FA8EE9" w14:textId="657880CE" w:rsidR="002414A9" w:rsidRPr="00CC6C23" w:rsidRDefault="002414A9" w:rsidP="002414A9">
      <w:pPr>
        <w:pStyle w:val="NormalWeb"/>
        <w:spacing w:before="0" w:beforeAutospacing="0" w:after="0" w:afterAutospacing="0"/>
        <w:jc w:val="center"/>
        <w:rPr>
          <w:b/>
          <w:sz w:val="26"/>
          <w:szCs w:val="26"/>
        </w:rPr>
      </w:pPr>
      <w:r w:rsidRPr="00CC6C23">
        <w:rPr>
          <w:b/>
          <w:sz w:val="26"/>
          <w:szCs w:val="26"/>
        </w:rPr>
        <w:t xml:space="preserve"> nêu tại khoản 1 Điều 4 Nghị quyết số 206/2025/QH15 (xử lý theo quy trình thông thường)</w:t>
      </w:r>
    </w:p>
    <w:p w14:paraId="39F70E07" w14:textId="09BD43BD" w:rsidR="002414A9" w:rsidRPr="00CC6C23" w:rsidRDefault="00ED198A" w:rsidP="00651923">
      <w:pPr>
        <w:spacing w:after="0" w:line="240" w:lineRule="auto"/>
        <w:rPr>
          <w:rFonts w:ascii="Times New Roman" w:eastAsia="Times New Roman" w:hAnsi="Times New Roman" w:cs="Times New Roman"/>
          <w:b/>
          <w:bCs/>
          <w:kern w:val="0"/>
          <w:sz w:val="26"/>
          <w:szCs w:val="26"/>
          <w14:ligatures w14:val="none"/>
        </w:rPr>
      </w:pPr>
      <w:r w:rsidRPr="00CC6C23">
        <w:rPr>
          <w:noProof/>
          <w:sz w:val="26"/>
          <w:szCs w:val="26"/>
        </w:rPr>
        <mc:AlternateContent>
          <mc:Choice Requires="wps">
            <w:drawing>
              <wp:anchor distT="0" distB="0" distL="114300" distR="114300" simplePos="0" relativeHeight="251657216" behindDoc="0" locked="0" layoutInCell="1" allowOverlap="1" wp14:anchorId="73A99A13" wp14:editId="34E453D1">
                <wp:simplePos x="0" y="0"/>
                <wp:positionH relativeFrom="column">
                  <wp:posOffset>2678430</wp:posOffset>
                </wp:positionH>
                <wp:positionV relativeFrom="paragraph">
                  <wp:posOffset>83820</wp:posOffset>
                </wp:positionV>
                <wp:extent cx="2950210" cy="0"/>
                <wp:effectExtent l="0" t="0" r="0" b="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9502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B1C31D1" id="Straight Connector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0.9pt,6.6pt" to="443.2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" strokecolor="black [3200]" strokeweight=".5pt">
                <v:stroke joinstyle="miter"/>
                <o:lock v:ext="edit" shapetype="f"/>
              </v:line>
            </w:pict>
          </mc:Fallback>
        </mc:AlternateContent>
      </w:r>
    </w:p>
    <w:p w14:paraId="24CEE05B" w14:textId="231C24D2" w:rsidR="002414A9" w:rsidRPr="00CC6C23" w:rsidRDefault="002414A9" w:rsidP="002414A9">
      <w:pPr>
        <w:spacing w:after="0" w:line="240" w:lineRule="auto"/>
        <w:ind w:left="-450"/>
        <w:jc w:val="center"/>
        <w:rPr>
          <w:kern w:val="0"/>
          <w:sz w:val="26"/>
          <w:szCs w:val="26"/>
        </w:rPr>
      </w:pPr>
    </w:p>
    <w:tbl>
      <w:tblPr>
        <w:tblStyle w:val="TableGrid"/>
        <w:tblW w:w="14398" w:type="dxa"/>
        <w:tblInd w:w="-365" w:type="dxa"/>
        <w:tblLook w:val="04A0" w:firstRow="1" w:lastRow="0" w:firstColumn="1" w:lastColumn="0" w:noHBand="0" w:noVBand="1"/>
      </w:tblPr>
      <w:tblGrid>
        <w:gridCol w:w="807"/>
        <w:gridCol w:w="1713"/>
        <w:gridCol w:w="3690"/>
        <w:gridCol w:w="1611"/>
        <w:gridCol w:w="1517"/>
        <w:gridCol w:w="2812"/>
        <w:gridCol w:w="2248"/>
      </w:tblGrid>
      <w:tr w:rsidR="00CC6C23" w:rsidRPr="00CC6C23" w14:paraId="0F444780" w14:textId="77777777" w:rsidTr="00651923">
        <w:trPr>
          <w:trHeight w:val="900"/>
          <w:tblHeader/>
        </w:trPr>
        <w:tc>
          <w:tcPr>
            <w:tcW w:w="807" w:type="dxa"/>
            <w:shd w:val="clear" w:color="auto" w:fill="FBE4D5" w:themeFill="accent2" w:themeFillTint="33"/>
            <w:vAlign w:val="center"/>
            <w:hideMark/>
          </w:tcPr>
          <w:p w14:paraId="2F81C645" w14:textId="77777777" w:rsidR="002414A9" w:rsidRPr="00CC6C23" w:rsidRDefault="002414A9" w:rsidP="00A30710">
            <w:pPr>
              <w:spacing w:line="240" w:lineRule="auto"/>
              <w:jc w:val="center"/>
              <w:rPr>
                <w:rFonts w:ascii="Times" w:eastAsia="Times New Roman" w:hAnsi="Times" w:cs="Times"/>
                <w:b/>
                <w:bCs/>
                <w:sz w:val="24"/>
                <w:szCs w:val="24"/>
                <w14:ligatures w14:val="none"/>
              </w:rPr>
            </w:pPr>
            <w:r w:rsidRPr="00CC6C23">
              <w:rPr>
                <w:rFonts w:ascii="Times" w:eastAsia="Times New Roman" w:hAnsi="Times" w:cs="Times"/>
                <w:b/>
                <w:bCs/>
                <w:sz w:val="24"/>
                <w:szCs w:val="24"/>
                <w14:ligatures w14:val="none"/>
              </w:rPr>
              <w:t>STT</w:t>
            </w:r>
          </w:p>
        </w:tc>
        <w:tc>
          <w:tcPr>
            <w:tcW w:w="1713" w:type="dxa"/>
            <w:shd w:val="clear" w:color="auto" w:fill="FBE4D5" w:themeFill="accent2" w:themeFillTint="33"/>
            <w:vAlign w:val="center"/>
            <w:hideMark/>
          </w:tcPr>
          <w:p w14:paraId="51A4A0CA" w14:textId="77777777" w:rsidR="00651923" w:rsidRPr="00CC6C23" w:rsidRDefault="002414A9" w:rsidP="00A30710">
            <w:pPr>
              <w:spacing w:line="240" w:lineRule="auto"/>
              <w:jc w:val="center"/>
              <w:rPr>
                <w:rFonts w:ascii="Times" w:eastAsia="Times New Roman" w:hAnsi="Times" w:cs="Times"/>
                <w:b/>
                <w:bCs/>
                <w:sz w:val="24"/>
                <w:szCs w:val="24"/>
                <w14:ligatures w14:val="none"/>
              </w:rPr>
            </w:pPr>
            <w:r w:rsidRPr="00CC6C23">
              <w:rPr>
                <w:rFonts w:ascii="Times" w:eastAsia="Times New Roman" w:hAnsi="Times" w:cs="Times"/>
                <w:b/>
                <w:bCs/>
                <w:sz w:val="24"/>
                <w:szCs w:val="24"/>
                <w14:ligatures w14:val="none"/>
              </w:rPr>
              <w:t>Điều, khoản, điểm, tên văn bản đề xuất</w:t>
            </w:r>
          </w:p>
          <w:p w14:paraId="20A01C49" w14:textId="45E086EA" w:rsidR="002414A9" w:rsidRPr="00CC6C23" w:rsidRDefault="002414A9" w:rsidP="00A30710">
            <w:pPr>
              <w:spacing w:line="240" w:lineRule="auto"/>
              <w:jc w:val="center"/>
              <w:rPr>
                <w:rFonts w:ascii="Times" w:eastAsia="Times New Roman" w:hAnsi="Times" w:cs="Times"/>
                <w:b/>
                <w:bCs/>
                <w:sz w:val="24"/>
                <w:szCs w:val="24"/>
                <w14:ligatures w14:val="none"/>
              </w:rPr>
            </w:pPr>
            <w:r w:rsidRPr="00CC6C23">
              <w:rPr>
                <w:rFonts w:ascii="Times" w:eastAsia="Times New Roman" w:hAnsi="Times" w:cs="Times"/>
                <w:b/>
                <w:bCs/>
                <w:sz w:val="24"/>
                <w:szCs w:val="24"/>
                <w14:ligatures w14:val="none"/>
              </w:rPr>
              <w:t xml:space="preserve"> xử lý</w:t>
            </w:r>
          </w:p>
        </w:tc>
        <w:tc>
          <w:tcPr>
            <w:tcW w:w="3690" w:type="dxa"/>
            <w:shd w:val="clear" w:color="auto" w:fill="FBE4D5" w:themeFill="accent2" w:themeFillTint="33"/>
            <w:vAlign w:val="center"/>
            <w:hideMark/>
          </w:tcPr>
          <w:p w14:paraId="225528BC" w14:textId="77777777" w:rsidR="00651923" w:rsidRPr="00CC6C23" w:rsidRDefault="002414A9" w:rsidP="00A30710">
            <w:pPr>
              <w:pStyle w:val="NormalWeb"/>
              <w:spacing w:before="0" w:beforeAutospacing="0" w:after="0" w:afterAutospacing="0"/>
              <w:jc w:val="center"/>
              <w:rPr>
                <w:rFonts w:eastAsia="Times New Roman"/>
                <w:b/>
                <w:bCs/>
                <w14:ligatures w14:val="none"/>
              </w:rPr>
            </w:pPr>
            <w:r w:rsidRPr="00CC6C23">
              <w:rPr>
                <w:rFonts w:eastAsia="Times New Roman"/>
                <w:b/>
                <w:bCs/>
                <w14:ligatures w14:val="none"/>
              </w:rPr>
              <w:t>Nội dung quy định</w:t>
            </w:r>
          </w:p>
          <w:p w14:paraId="1FB2463D" w14:textId="31D0623A" w:rsidR="00653C7F" w:rsidRPr="00CC6C23" w:rsidRDefault="002414A9" w:rsidP="00A30710">
            <w:pPr>
              <w:pStyle w:val="NormalWeb"/>
              <w:spacing w:before="0" w:beforeAutospacing="0" w:after="0" w:afterAutospacing="0"/>
              <w:jc w:val="center"/>
              <w:rPr>
                <w:rStyle w:val="Strong"/>
              </w:rPr>
            </w:pPr>
            <w:r w:rsidRPr="00CC6C23">
              <w:rPr>
                <w:rFonts w:eastAsia="Times New Roman"/>
                <w:b/>
                <w:bCs/>
                <w14:ligatures w14:val="none"/>
              </w:rPr>
              <w:t xml:space="preserve"> được phản ánh </w:t>
            </w:r>
            <w:r w:rsidR="00653C7F" w:rsidRPr="00CC6C23">
              <w:rPr>
                <w:rStyle w:val="Strong"/>
              </w:rPr>
              <w:t>không rõ ràng, có nhiều cách hiểu khác nhau, không hợp lý, không khả thi,</w:t>
            </w:r>
          </w:p>
          <w:p w14:paraId="3969E07B" w14:textId="153D6855" w:rsidR="002414A9" w:rsidRPr="00CC6C23" w:rsidRDefault="00653C7F" w:rsidP="00A30710">
            <w:pPr>
              <w:spacing w:line="240" w:lineRule="auto"/>
              <w:jc w:val="center"/>
              <w:rPr>
                <w:rFonts w:ascii="Times" w:eastAsia="Times New Roman" w:hAnsi="Times" w:cs="Times"/>
                <w:b/>
                <w:bCs/>
                <w:sz w:val="24"/>
                <w:szCs w:val="24"/>
                <w14:ligatures w14:val="none"/>
              </w:rPr>
            </w:pPr>
            <w:r w:rsidRPr="00CC6C23">
              <w:rPr>
                <w:rStyle w:val="Strong"/>
                <w:rFonts w:ascii="Times New Roman" w:hAnsi="Times New Roman" w:cs="Times New Roman"/>
                <w:sz w:val="24"/>
                <w:szCs w:val="24"/>
              </w:rPr>
              <w:t>gây khó khăn trong áp dụng, thực hiện pháp luật</w:t>
            </w:r>
          </w:p>
        </w:tc>
        <w:tc>
          <w:tcPr>
            <w:tcW w:w="1611" w:type="dxa"/>
            <w:shd w:val="clear" w:color="auto" w:fill="FBE4D5" w:themeFill="accent2" w:themeFillTint="33"/>
            <w:vAlign w:val="center"/>
            <w:hideMark/>
          </w:tcPr>
          <w:p w14:paraId="352A8DAC" w14:textId="77777777" w:rsidR="00625B9F" w:rsidRPr="00CC6C23" w:rsidRDefault="002414A9" w:rsidP="00A30710">
            <w:pPr>
              <w:spacing w:line="240" w:lineRule="auto"/>
              <w:jc w:val="center"/>
              <w:rPr>
                <w:rFonts w:ascii="Times" w:eastAsia="Times New Roman" w:hAnsi="Times" w:cs="Times"/>
                <w:b/>
                <w:bCs/>
                <w:sz w:val="24"/>
                <w:szCs w:val="24"/>
                <w14:ligatures w14:val="none"/>
              </w:rPr>
            </w:pPr>
            <w:r w:rsidRPr="00CC6C23">
              <w:rPr>
                <w:rFonts w:ascii="Times" w:eastAsia="Times New Roman" w:hAnsi="Times" w:cs="Times"/>
                <w:b/>
                <w:bCs/>
                <w:sz w:val="24"/>
                <w:szCs w:val="24"/>
                <w14:ligatures w14:val="none"/>
              </w:rPr>
              <w:t>Phương án xử lý được</w:t>
            </w:r>
          </w:p>
          <w:p w14:paraId="2DD59EDC" w14:textId="69F316B4" w:rsidR="002414A9" w:rsidRPr="00CC6C23" w:rsidRDefault="002414A9" w:rsidP="00A30710">
            <w:pPr>
              <w:spacing w:line="240" w:lineRule="auto"/>
              <w:jc w:val="center"/>
              <w:rPr>
                <w:rFonts w:ascii="Times" w:eastAsia="Times New Roman" w:hAnsi="Times" w:cs="Times"/>
                <w:b/>
                <w:bCs/>
                <w:sz w:val="24"/>
                <w:szCs w:val="24"/>
                <w14:ligatures w14:val="none"/>
              </w:rPr>
            </w:pPr>
            <w:r w:rsidRPr="00CC6C23">
              <w:rPr>
                <w:rFonts w:ascii="Times" w:eastAsia="Times New Roman" w:hAnsi="Times" w:cs="Times"/>
                <w:b/>
                <w:bCs/>
                <w:sz w:val="24"/>
                <w:szCs w:val="24"/>
                <w14:ligatures w14:val="none"/>
              </w:rPr>
              <w:t>đề xuất</w:t>
            </w:r>
          </w:p>
        </w:tc>
        <w:tc>
          <w:tcPr>
            <w:tcW w:w="1517" w:type="dxa"/>
            <w:shd w:val="clear" w:color="auto" w:fill="FBE4D5" w:themeFill="accent2" w:themeFillTint="33"/>
            <w:vAlign w:val="center"/>
            <w:hideMark/>
          </w:tcPr>
          <w:p w14:paraId="10576BD6" w14:textId="2DBAE7EF" w:rsidR="00625B9F" w:rsidRPr="00CC6C23" w:rsidRDefault="002414A9" w:rsidP="00A30710">
            <w:pPr>
              <w:spacing w:line="240" w:lineRule="auto"/>
              <w:jc w:val="center"/>
              <w:rPr>
                <w:rFonts w:ascii="Times" w:eastAsia="Times New Roman" w:hAnsi="Times" w:cs="Times"/>
                <w:b/>
                <w:bCs/>
                <w:sz w:val="24"/>
                <w:szCs w:val="24"/>
                <w14:ligatures w14:val="none"/>
              </w:rPr>
            </w:pPr>
            <w:r w:rsidRPr="00CC6C23">
              <w:rPr>
                <w:rFonts w:ascii="Times" w:eastAsia="Times New Roman" w:hAnsi="Times" w:cs="Times"/>
                <w:b/>
                <w:bCs/>
                <w:sz w:val="24"/>
                <w:szCs w:val="24"/>
                <w14:ligatures w14:val="none"/>
              </w:rPr>
              <w:t>Cơ quan,</w:t>
            </w:r>
          </w:p>
          <w:p w14:paraId="07EA62E4" w14:textId="77777777" w:rsidR="00651923" w:rsidRPr="00CC6C23" w:rsidRDefault="002414A9" w:rsidP="00A30710">
            <w:pPr>
              <w:spacing w:line="240" w:lineRule="auto"/>
              <w:jc w:val="center"/>
              <w:rPr>
                <w:rFonts w:ascii="Times" w:eastAsia="Times New Roman" w:hAnsi="Times" w:cs="Times"/>
                <w:b/>
                <w:bCs/>
                <w:sz w:val="24"/>
                <w:szCs w:val="24"/>
                <w14:ligatures w14:val="none"/>
              </w:rPr>
            </w:pPr>
            <w:r w:rsidRPr="00CC6C23">
              <w:rPr>
                <w:rFonts w:ascii="Times" w:eastAsia="Times New Roman" w:hAnsi="Times" w:cs="Times"/>
                <w:b/>
                <w:bCs/>
                <w:sz w:val="24"/>
                <w:szCs w:val="24"/>
                <w14:ligatures w14:val="none"/>
              </w:rPr>
              <w:t xml:space="preserve">tổ chức </w:t>
            </w:r>
          </w:p>
          <w:p w14:paraId="773C1F08" w14:textId="08ADA046" w:rsidR="002414A9" w:rsidRPr="00CC6C23" w:rsidRDefault="002414A9" w:rsidP="00A30710">
            <w:pPr>
              <w:spacing w:line="240" w:lineRule="auto"/>
              <w:jc w:val="center"/>
              <w:rPr>
                <w:rFonts w:ascii="Times" w:eastAsia="Times New Roman" w:hAnsi="Times" w:cs="Times"/>
                <w:b/>
                <w:bCs/>
                <w:sz w:val="24"/>
                <w:szCs w:val="24"/>
                <w14:ligatures w14:val="none"/>
              </w:rPr>
            </w:pPr>
            <w:r w:rsidRPr="00CC6C23">
              <w:rPr>
                <w:rFonts w:ascii="Times" w:eastAsia="Times New Roman" w:hAnsi="Times" w:cs="Times"/>
                <w:b/>
                <w:bCs/>
                <w:sz w:val="24"/>
                <w:szCs w:val="24"/>
                <w14:ligatures w14:val="none"/>
              </w:rPr>
              <w:t>rà soát, phản ánh</w:t>
            </w:r>
          </w:p>
        </w:tc>
        <w:tc>
          <w:tcPr>
            <w:tcW w:w="2812" w:type="dxa"/>
            <w:shd w:val="clear" w:color="auto" w:fill="FBE4D5" w:themeFill="accent2" w:themeFillTint="33"/>
            <w:vAlign w:val="center"/>
            <w:hideMark/>
          </w:tcPr>
          <w:p w14:paraId="5E6F0F44" w14:textId="76609A61" w:rsidR="00625B9F" w:rsidRPr="00CC6C23" w:rsidRDefault="002414A9" w:rsidP="00A30710">
            <w:pPr>
              <w:spacing w:line="240" w:lineRule="auto"/>
              <w:jc w:val="center"/>
              <w:rPr>
                <w:rFonts w:ascii="Times" w:eastAsia="Times New Roman" w:hAnsi="Times" w:cs="Times"/>
                <w:b/>
                <w:bCs/>
                <w:sz w:val="24"/>
                <w:szCs w:val="24"/>
                <w14:ligatures w14:val="none"/>
              </w:rPr>
            </w:pPr>
            <w:r w:rsidRPr="00CC6C23">
              <w:rPr>
                <w:rFonts w:ascii="Times" w:eastAsia="Times New Roman" w:hAnsi="Times" w:cs="Times"/>
                <w:b/>
                <w:bCs/>
                <w:sz w:val="24"/>
                <w:szCs w:val="24"/>
                <w14:ligatures w14:val="none"/>
              </w:rPr>
              <w:t>Ý kiến của Bộ Giáo dục</w:t>
            </w:r>
          </w:p>
          <w:p w14:paraId="70B27133" w14:textId="77777777" w:rsidR="00651923" w:rsidRPr="00CC6C23" w:rsidRDefault="002414A9" w:rsidP="00A30710">
            <w:pPr>
              <w:spacing w:line="240" w:lineRule="auto"/>
              <w:jc w:val="center"/>
              <w:rPr>
                <w:rFonts w:ascii="Times" w:eastAsia="Times New Roman" w:hAnsi="Times" w:cs="Times"/>
                <w:b/>
                <w:bCs/>
                <w:sz w:val="24"/>
                <w:szCs w:val="24"/>
                <w14:ligatures w14:val="none"/>
              </w:rPr>
            </w:pPr>
            <w:r w:rsidRPr="00CC6C23">
              <w:rPr>
                <w:rFonts w:ascii="Times" w:eastAsia="Times New Roman" w:hAnsi="Times" w:cs="Times"/>
                <w:b/>
                <w:bCs/>
                <w:sz w:val="24"/>
                <w:szCs w:val="24"/>
                <w14:ligatures w14:val="none"/>
              </w:rPr>
              <w:t xml:space="preserve">và đào tạo về nội dung </w:t>
            </w:r>
          </w:p>
          <w:p w14:paraId="587F7030" w14:textId="12917140" w:rsidR="002414A9" w:rsidRPr="00CC6C23" w:rsidRDefault="002414A9" w:rsidP="00A30710">
            <w:pPr>
              <w:spacing w:line="240" w:lineRule="auto"/>
              <w:jc w:val="center"/>
              <w:rPr>
                <w:rFonts w:ascii="Times" w:eastAsia="Times New Roman" w:hAnsi="Times" w:cs="Times"/>
                <w:b/>
                <w:bCs/>
                <w:sz w:val="24"/>
                <w:szCs w:val="24"/>
                <w14:ligatures w14:val="none"/>
              </w:rPr>
            </w:pPr>
            <w:r w:rsidRPr="00CC6C23">
              <w:rPr>
                <w:rFonts w:ascii="Times" w:eastAsia="Times New Roman" w:hAnsi="Times" w:cs="Times"/>
                <w:b/>
                <w:bCs/>
                <w:sz w:val="24"/>
                <w:szCs w:val="24"/>
                <w14:ligatures w14:val="none"/>
              </w:rPr>
              <w:t>rà soát, phản ánh</w:t>
            </w:r>
          </w:p>
        </w:tc>
        <w:tc>
          <w:tcPr>
            <w:tcW w:w="2248" w:type="dxa"/>
            <w:shd w:val="clear" w:color="auto" w:fill="FBE4D5" w:themeFill="accent2" w:themeFillTint="33"/>
            <w:vAlign w:val="center"/>
          </w:tcPr>
          <w:p w14:paraId="2BFFCC10" w14:textId="4F81FD31" w:rsidR="002414A9" w:rsidRPr="00CC6C23" w:rsidRDefault="001178FD" w:rsidP="00CC6C23">
            <w:pPr>
              <w:spacing w:line="240" w:lineRule="auto"/>
              <w:jc w:val="center"/>
              <w:rPr>
                <w:rFonts w:ascii="Times New Roman" w:hAnsi="Times New Roman" w:cs="Times New Roman"/>
                <w:sz w:val="24"/>
                <w:szCs w:val="24"/>
                <w14:ligatures w14:val="none"/>
              </w:rPr>
            </w:pPr>
            <w:r w:rsidRPr="00CC6C23">
              <w:rPr>
                <w:rFonts w:ascii="Times New Roman" w:hAnsi="Times New Roman"/>
                <w:b/>
                <w:bCs/>
                <w:sz w:val="25"/>
                <w:szCs w:val="25"/>
                <w14:ligatures w14:val="none"/>
              </w:rPr>
              <w:t xml:space="preserve">Tình hình xử lý </w:t>
            </w:r>
            <w:bookmarkStart w:id="0" w:name="_GoBack"/>
            <w:bookmarkEnd w:id="0"/>
          </w:p>
        </w:tc>
      </w:tr>
      <w:tr w:rsidR="00CC6C23" w:rsidRPr="00CC6C23" w14:paraId="1A600D04" w14:textId="77777777" w:rsidTr="00651923">
        <w:trPr>
          <w:trHeight w:val="900"/>
        </w:trPr>
        <w:tc>
          <w:tcPr>
            <w:tcW w:w="807" w:type="dxa"/>
          </w:tcPr>
          <w:p w14:paraId="7655F468" w14:textId="3CA2F5AF" w:rsidR="00FC2DED" w:rsidRPr="00CC6C23" w:rsidRDefault="003C7280" w:rsidP="00FC2DED">
            <w:pPr>
              <w:spacing w:line="240" w:lineRule="auto"/>
              <w:jc w:val="center"/>
              <w:rPr>
                <w:rFonts w:ascii="Times" w:eastAsia="Times New Roman" w:hAnsi="Times" w:cs="Times"/>
                <w:sz w:val="24"/>
                <w:szCs w:val="24"/>
                <w14:ligatures w14:val="none"/>
              </w:rPr>
            </w:pPr>
            <w:r w:rsidRPr="00CC6C23">
              <w:rPr>
                <w:rFonts w:ascii="Times" w:eastAsia="Times New Roman" w:hAnsi="Times" w:cs="Times"/>
                <w:sz w:val="24"/>
                <w:szCs w:val="24"/>
                <w14:ligatures w14:val="none"/>
              </w:rPr>
              <w:t>1</w:t>
            </w:r>
          </w:p>
        </w:tc>
        <w:tc>
          <w:tcPr>
            <w:tcW w:w="1713" w:type="dxa"/>
            <w:vAlign w:val="center"/>
          </w:tcPr>
          <w:p w14:paraId="5A8E2813" w14:textId="72A86C00" w:rsidR="00FC2DED" w:rsidRPr="00CC6C23" w:rsidRDefault="00FC2DED" w:rsidP="00FC2DED">
            <w:pPr>
              <w:spacing w:line="240" w:lineRule="auto"/>
              <w:jc w:val="both"/>
              <w:rPr>
                <w:rFonts w:ascii="Times" w:eastAsia="Times New Roman" w:hAnsi="Times" w:cs="Times"/>
                <w:strike/>
                <w:sz w:val="24"/>
                <w:szCs w:val="24"/>
                <w14:ligatures w14:val="none"/>
              </w:rPr>
            </w:pPr>
            <w:r w:rsidRPr="00CC6C23">
              <w:rPr>
                <w:rFonts w:ascii="Times" w:eastAsia="Times New Roman" w:hAnsi="Times" w:cs="Times"/>
                <w:sz w:val="24"/>
                <w:szCs w:val="24"/>
                <w14:ligatures w14:val="none"/>
              </w:rPr>
              <w:t>Khoản 2 Điều 33 Luật Giáo dục nghề nghiệp</w:t>
            </w:r>
          </w:p>
        </w:tc>
        <w:tc>
          <w:tcPr>
            <w:tcW w:w="3690" w:type="dxa"/>
            <w:vAlign w:val="center"/>
          </w:tcPr>
          <w:p w14:paraId="1AA44921" w14:textId="42442B32" w:rsidR="00FC2DED" w:rsidRPr="00CC6C23" w:rsidRDefault="00FC2DED" w:rsidP="00FC2DED">
            <w:pPr>
              <w:spacing w:line="240" w:lineRule="auto"/>
              <w:jc w:val="both"/>
              <w:rPr>
                <w:rFonts w:ascii="Times" w:eastAsia="Times New Roman" w:hAnsi="Times" w:cs="Times"/>
                <w:strike/>
                <w:sz w:val="24"/>
                <w:szCs w:val="24"/>
                <w14:ligatures w14:val="none"/>
              </w:rPr>
            </w:pPr>
            <w:r w:rsidRPr="00CC6C23">
              <w:rPr>
                <w:rFonts w:ascii="Times" w:eastAsia="Times New Roman" w:hAnsi="Times" w:cs="Times"/>
                <w:sz w:val="24"/>
                <w:szCs w:val="24"/>
                <w14:ligatures w14:val="none"/>
              </w:rPr>
              <w:t xml:space="preserve">Quy định pháp luật hiện hành về thời gian đào tạo trình độ trung cấp chưa phù hợp với thực tiễn. Tại khoản 2 Điều 33 Luật Giáo dục nghề nghiệp năm 2014 quy định: Thời gian đào tạo trình độ trung cấp theo niên chế đối với người có bằng tốt nghiệp trung học cơ sở trở lên là từ 01 đến 02 năm học tùy theo chuyên ngành hoặc nghề đào tạo... Quy định này không phù hợp với thực tế thời gian đào tạo trình độ trung cấp các ngành, nghề chuyên môn đặc thù trong lĩnh vực nghệ thuật. Trong suốt 60 năm qua, thời gian đào tạo trình độ trung cấp các ngành, nghề chuyên môn đặc thù trong lĩnh vực nghệ thuật không phải chỉ đào tạo từ 1 năm đến </w:t>
            </w:r>
            <w:r w:rsidRPr="00CC6C23">
              <w:rPr>
                <w:rFonts w:ascii="Times" w:eastAsia="Times New Roman" w:hAnsi="Times" w:cs="Times"/>
                <w:sz w:val="24"/>
                <w:szCs w:val="24"/>
                <w14:ligatures w14:val="none"/>
              </w:rPr>
              <w:lastRenderedPageBreak/>
              <w:t xml:space="preserve">2 năm mà thời gian đào tạo kéo dài từ 3 - 9 năm (tùy theo ngành đào tạo), hình thức đào tạo chủ yếu theo phương thức truyền nghề, cá thể hóa cao, tỷ lệ thực hành lớn; đào tạo liên thông, liên tục trong thời gian dài; quy mô đào tạo và mô hình tổ chức lớp học nhỏ, không thể tổ chức đại trà. Một số lĩnh vực, ngành, chuyên ngành, như: Âm nhạc, Múa, Xiếc, Cải lương, Tuồng, Chèo, nhạc công kịch hát dân tộc, biểu diễn nhạc cụ truyền thống... phải được phát hiện, tuyển chọn và đào tạo từ rất sớm (từ bậc trung học cơ sở hoặc từ 9 đến 14 tuổi) nên phải kết hợp giữa đào tạo chuyên môn nghệ thuật với giảng dạy văn hóa đối với lứa tuổi này; nhiều ngành, nghề không thể đào tạo ở bậc đại học nếu không có quá trình đào tạo, huấn luyện nền tảng, ươm mầm từ nhỏ. Như vậy, quy định về thời gian đào tạo trình độ trung cấp như hiện hành không phù hợp với thực tiễn đào tạo các ngành, nghề chuyên môn đặc thù trong lĩnh vực nghệ thuật, khó và rất hiếm có thể đào tạo được tài năng nghệ thuật với </w:t>
            </w:r>
            <w:r w:rsidRPr="00CC6C23">
              <w:rPr>
                <w:rFonts w:ascii="Times" w:eastAsia="Times New Roman" w:hAnsi="Times" w:cs="Times"/>
                <w:sz w:val="24"/>
                <w:szCs w:val="24"/>
                <w14:ligatures w14:val="none"/>
              </w:rPr>
              <w:lastRenderedPageBreak/>
              <w:t>thời gian đào tạo ngắn từ 1 đến 2 năm.</w:t>
            </w:r>
          </w:p>
        </w:tc>
        <w:tc>
          <w:tcPr>
            <w:tcW w:w="1611" w:type="dxa"/>
            <w:vAlign w:val="center"/>
          </w:tcPr>
          <w:p w14:paraId="2B9643DE" w14:textId="4C39E5EB" w:rsidR="00FC2DED" w:rsidRPr="00CC6C23" w:rsidRDefault="00FC2DED" w:rsidP="00FC2DED">
            <w:pPr>
              <w:spacing w:line="240" w:lineRule="auto"/>
              <w:jc w:val="both"/>
              <w:rPr>
                <w:rFonts w:ascii="Times" w:eastAsia="Times New Roman" w:hAnsi="Times" w:cs="Times"/>
                <w:strike/>
                <w:sz w:val="24"/>
                <w:szCs w:val="24"/>
                <w14:ligatures w14:val="none"/>
              </w:rPr>
            </w:pPr>
            <w:r w:rsidRPr="00CC6C23">
              <w:rPr>
                <w:rFonts w:ascii="Times" w:eastAsia="Times New Roman" w:hAnsi="Times" w:cs="Times"/>
                <w:sz w:val="24"/>
                <w:szCs w:val="24"/>
                <w14:ligatures w14:val="none"/>
              </w:rPr>
              <w:lastRenderedPageBreak/>
              <w:t>C. Sửa đổi, bổ sung, thay thế, ban hành mới VBQPPL (theo trình tự, thủ tục rút gọn ban hành VBQPPL của Luật Ban hành VBQPPL)</w:t>
            </w:r>
          </w:p>
        </w:tc>
        <w:tc>
          <w:tcPr>
            <w:tcW w:w="1517" w:type="dxa"/>
            <w:vAlign w:val="center"/>
          </w:tcPr>
          <w:p w14:paraId="781D6BC4" w14:textId="77777777" w:rsidR="00FC2DED" w:rsidRPr="00CC6C23" w:rsidRDefault="00FC2DED" w:rsidP="00FC2DED">
            <w:pPr>
              <w:spacing w:line="240" w:lineRule="auto"/>
              <w:jc w:val="both"/>
              <w:rPr>
                <w:rFonts w:ascii="Times" w:eastAsia="Times New Roman" w:hAnsi="Times" w:cs="Times"/>
                <w:sz w:val="24"/>
                <w:szCs w:val="24"/>
                <w14:ligatures w14:val="none"/>
              </w:rPr>
            </w:pPr>
            <w:r w:rsidRPr="00CC6C23">
              <w:rPr>
                <w:rFonts w:ascii="Times" w:eastAsia="Times New Roman" w:hAnsi="Times" w:cs="Times"/>
                <w:sz w:val="24"/>
                <w:szCs w:val="24"/>
                <w14:ligatures w14:val="none"/>
              </w:rPr>
              <w:t>Bộ Văn hóa, Thể thao và Du lịch</w:t>
            </w:r>
          </w:p>
          <w:p w14:paraId="3EB65D10" w14:textId="030B2FED" w:rsidR="00364D74" w:rsidRPr="00CC6C23" w:rsidRDefault="00364D74" w:rsidP="00FC2DED">
            <w:pPr>
              <w:spacing w:line="240" w:lineRule="auto"/>
              <w:jc w:val="both"/>
              <w:rPr>
                <w:rFonts w:ascii="Times" w:eastAsia="Times New Roman" w:hAnsi="Times" w:cs="Times"/>
                <w:strike/>
                <w:sz w:val="24"/>
                <w:szCs w:val="24"/>
                <w14:ligatures w14:val="none"/>
              </w:rPr>
            </w:pPr>
          </w:p>
        </w:tc>
        <w:tc>
          <w:tcPr>
            <w:tcW w:w="2812" w:type="dxa"/>
            <w:vAlign w:val="center"/>
          </w:tcPr>
          <w:p w14:paraId="751CF83D" w14:textId="12BBEA97" w:rsidR="00FC2DED" w:rsidRPr="00CC6C23" w:rsidRDefault="00FC2DED" w:rsidP="00FC2DED">
            <w:pPr>
              <w:spacing w:line="240" w:lineRule="auto"/>
              <w:jc w:val="both"/>
              <w:rPr>
                <w:rFonts w:ascii="Times" w:eastAsia="Times New Roman" w:hAnsi="Times" w:cs="Times"/>
                <w:strike/>
                <w:sz w:val="24"/>
                <w:szCs w:val="24"/>
                <w14:ligatures w14:val="none"/>
              </w:rPr>
            </w:pPr>
            <w:r w:rsidRPr="00CC6C23">
              <w:rPr>
                <w:rFonts w:ascii="Times" w:eastAsia="Times New Roman" w:hAnsi="Times" w:cs="Times"/>
                <w:sz w:val="24"/>
                <w:szCs w:val="24"/>
                <w14:ligatures w14:val="none"/>
              </w:rPr>
              <w:t>Bộ GDĐT tiếp thu như sau: Bộ GDĐT đang trong quá trình xây dựng dự án Luật GDNN (sửa đổi). Trong quá trình xây dựng Luật GDNN, Bộ GDĐT nghiên cứu điều chỉnh quy định về chương trình đào tạo, thời gian đào tạo cho phù hợp với thực tế</w:t>
            </w:r>
          </w:p>
        </w:tc>
        <w:tc>
          <w:tcPr>
            <w:tcW w:w="2248" w:type="dxa"/>
            <w:vAlign w:val="center"/>
          </w:tcPr>
          <w:p w14:paraId="3D4179CC" w14:textId="16907A6D" w:rsidR="001178FD" w:rsidRPr="00CC6C23" w:rsidRDefault="00117B8F" w:rsidP="001178FD">
            <w:pPr>
              <w:jc w:val="both"/>
              <w:rPr>
                <w:rFonts w:ascii="Times" w:hAnsi="Times" w:cs="Times"/>
                <w:sz w:val="24"/>
                <w:szCs w:val="24"/>
              </w:rPr>
            </w:pPr>
            <w:r w:rsidRPr="00CC6C23">
              <w:rPr>
                <w:rFonts w:ascii="Times" w:hAnsi="Times" w:cs="Times"/>
                <w:sz w:val="24"/>
                <w:szCs w:val="24"/>
              </w:rPr>
              <w:t>ĐÃ</w:t>
            </w:r>
            <w:r w:rsidR="001178FD" w:rsidRPr="00CC6C23">
              <w:rPr>
                <w:rFonts w:ascii="Times" w:hAnsi="Times" w:cs="Times"/>
                <w:sz w:val="24"/>
                <w:szCs w:val="24"/>
              </w:rPr>
              <w:t xml:space="preserve"> XỬ LÝ</w:t>
            </w:r>
          </w:p>
          <w:p w14:paraId="13EA587C" w14:textId="41E6CD18" w:rsidR="001178FD" w:rsidRPr="00CC6C23" w:rsidRDefault="001178FD" w:rsidP="001178FD">
            <w:pPr>
              <w:jc w:val="both"/>
              <w:rPr>
                <w:rFonts w:ascii="Times" w:hAnsi="Times" w:cs="Times"/>
                <w:sz w:val="24"/>
                <w:szCs w:val="24"/>
              </w:rPr>
            </w:pPr>
            <w:r w:rsidRPr="00CC6C23">
              <w:rPr>
                <w:rFonts w:ascii="Times" w:hAnsi="Times" w:cs="Times"/>
                <w:sz w:val="24"/>
                <w:szCs w:val="24"/>
              </w:rPr>
              <w:t xml:space="preserve">Hiện dự thảo Luật GDNN (sửa đổi) không </w:t>
            </w:r>
            <w:r w:rsidR="00117B8F" w:rsidRPr="00CC6C23">
              <w:rPr>
                <w:rFonts w:ascii="Times" w:hAnsi="Times" w:cs="Times"/>
                <w:sz w:val="24"/>
                <w:szCs w:val="24"/>
              </w:rPr>
              <w:t xml:space="preserve">còn </w:t>
            </w:r>
            <w:r w:rsidRPr="00CC6C23">
              <w:rPr>
                <w:rFonts w:ascii="Times" w:hAnsi="Times" w:cs="Times"/>
                <w:sz w:val="24"/>
                <w:szCs w:val="24"/>
              </w:rPr>
              <w:t>quy định cụ thể thời gian đào tạo trung cấp.</w:t>
            </w:r>
          </w:p>
          <w:p w14:paraId="20514A91" w14:textId="2D756328" w:rsidR="001178FD" w:rsidRPr="00CC6C23" w:rsidRDefault="00117B8F" w:rsidP="001178FD">
            <w:pPr>
              <w:jc w:val="both"/>
              <w:rPr>
                <w:rFonts w:ascii="Times New Roman" w:hAnsi="Times New Roman" w:cs="Times New Roman"/>
                <w:bCs/>
                <w:sz w:val="24"/>
                <w:szCs w:val="24"/>
                <w:lang w:val="nl-NL"/>
              </w:rPr>
            </w:pPr>
            <w:r w:rsidRPr="00CC6C23">
              <w:rPr>
                <w:rFonts w:ascii="Times" w:hAnsi="Times" w:cs="Times"/>
                <w:sz w:val="24"/>
                <w:szCs w:val="24"/>
              </w:rPr>
              <w:t xml:space="preserve">ĐỒng thời </w:t>
            </w:r>
            <w:r w:rsidR="001178FD" w:rsidRPr="00CC6C23">
              <w:rPr>
                <w:rFonts w:ascii="Times" w:hAnsi="Times" w:cs="Times"/>
                <w:sz w:val="24"/>
                <w:szCs w:val="24"/>
              </w:rPr>
              <w:t xml:space="preserve"> Luật SĐBS một số điều của Luật Giáo dục (đã </w:t>
            </w:r>
            <w:r w:rsidRPr="00CC6C23">
              <w:rPr>
                <w:rFonts w:ascii="Times" w:hAnsi="Times" w:cs="Times"/>
                <w:sz w:val="24"/>
                <w:szCs w:val="24"/>
              </w:rPr>
              <w:t>được QH thông qua ngày 10/12/2025</w:t>
            </w:r>
            <w:r w:rsidR="001178FD" w:rsidRPr="00CC6C23">
              <w:rPr>
                <w:rFonts w:ascii="Times" w:hAnsi="Times" w:cs="Times"/>
                <w:sz w:val="24"/>
                <w:szCs w:val="24"/>
              </w:rPr>
              <w:t>) đã sửa đổi, bổ sung khoản 3 Điều 6 Luật Giáo dục theo hướng “</w:t>
            </w:r>
            <w:r w:rsidR="001178FD" w:rsidRPr="00CC6C23">
              <w:rPr>
                <w:rFonts w:ascii="Times New Roman" w:hAnsi="Times New Roman" w:cs="Times New Roman"/>
                <w:bCs/>
                <w:sz w:val="24"/>
                <w:szCs w:val="24"/>
                <w:lang w:val="nl-NL"/>
              </w:rPr>
              <w:t xml:space="preserve">3. Thủ tướng Chính phủ </w:t>
            </w:r>
            <w:r w:rsidR="001178FD" w:rsidRPr="00CC6C23">
              <w:rPr>
                <w:rFonts w:ascii="Times New Roman" w:hAnsi="Times New Roman" w:cs="Times New Roman"/>
                <w:bCs/>
                <w:sz w:val="24"/>
                <w:szCs w:val="24"/>
                <w:lang w:val="nl-NL"/>
              </w:rPr>
              <w:lastRenderedPageBreak/>
              <w:t>quyết định phê duyệt Khung cơ cấu hệ thống giáo dục quốc dân và Khung trình độ quốc gia Việt Nam; quy định về thời gian, tiêu chuẩn cho từng trình độ đào tạo, khối lượng học tập tối thiểu ở các ngành, nghề chuyên sâu đặc thù và các trình độ của giáo dục nghề nghiệp, giáo dục đại học.”</w:t>
            </w:r>
          </w:p>
          <w:p w14:paraId="736C3CA9" w14:textId="2320D2BE" w:rsidR="00FC2DED" w:rsidRPr="00CC6C23" w:rsidRDefault="00FC2DED" w:rsidP="00FC2DED">
            <w:pPr>
              <w:jc w:val="both"/>
              <w:rPr>
                <w:rFonts w:ascii="Times" w:hAnsi="Times" w:cs="Times"/>
                <w:strike/>
                <w:sz w:val="24"/>
                <w:szCs w:val="24"/>
              </w:rPr>
            </w:pPr>
          </w:p>
        </w:tc>
      </w:tr>
      <w:tr w:rsidR="00CC6C23" w:rsidRPr="00CC6C23" w14:paraId="7368DDAA" w14:textId="77777777" w:rsidTr="00651923">
        <w:trPr>
          <w:trHeight w:val="900"/>
        </w:trPr>
        <w:tc>
          <w:tcPr>
            <w:tcW w:w="807" w:type="dxa"/>
          </w:tcPr>
          <w:p w14:paraId="40AE6781" w14:textId="52B812D7" w:rsidR="00181E84" w:rsidRPr="00CC6C23" w:rsidRDefault="003C7280" w:rsidP="00181E84">
            <w:pPr>
              <w:spacing w:line="240" w:lineRule="auto"/>
              <w:jc w:val="center"/>
              <w:rPr>
                <w:rFonts w:ascii="Times" w:eastAsia="Times New Roman" w:hAnsi="Times" w:cs="Times"/>
                <w:sz w:val="24"/>
                <w:szCs w:val="24"/>
                <w14:ligatures w14:val="none"/>
              </w:rPr>
            </w:pPr>
            <w:r w:rsidRPr="00CC6C23">
              <w:rPr>
                <w:rFonts w:ascii="Times" w:eastAsia="Times New Roman" w:hAnsi="Times" w:cs="Times"/>
                <w:sz w:val="24"/>
                <w:szCs w:val="24"/>
                <w14:ligatures w14:val="none"/>
              </w:rPr>
              <w:lastRenderedPageBreak/>
              <w:t>2</w:t>
            </w:r>
          </w:p>
        </w:tc>
        <w:tc>
          <w:tcPr>
            <w:tcW w:w="1713" w:type="dxa"/>
            <w:vAlign w:val="center"/>
          </w:tcPr>
          <w:p w14:paraId="7DC5A2D7" w14:textId="5D2F078D" w:rsidR="00181E84" w:rsidRPr="00CC6C23" w:rsidRDefault="00181E84" w:rsidP="00181E84">
            <w:pPr>
              <w:spacing w:line="240" w:lineRule="auto"/>
              <w:jc w:val="both"/>
              <w:rPr>
                <w:rFonts w:ascii="Times" w:eastAsia="Times New Roman" w:hAnsi="Times" w:cs="Times"/>
                <w:sz w:val="24"/>
                <w:szCs w:val="24"/>
                <w14:ligatures w14:val="none"/>
              </w:rPr>
            </w:pPr>
            <w:r w:rsidRPr="00CC6C23">
              <w:rPr>
                <w:rFonts w:ascii="Times" w:eastAsia="Times New Roman" w:hAnsi="Times" w:cs="Times"/>
                <w:sz w:val="24"/>
                <w:szCs w:val="24"/>
                <w14:ligatures w14:val="none"/>
              </w:rPr>
              <w:t>Khoản 5 Điều 3 Luật Giáo dục nghề nghiệp</w:t>
            </w:r>
          </w:p>
        </w:tc>
        <w:tc>
          <w:tcPr>
            <w:tcW w:w="3690" w:type="dxa"/>
            <w:vAlign w:val="center"/>
          </w:tcPr>
          <w:p w14:paraId="22051049" w14:textId="7041A0E2" w:rsidR="00181E84" w:rsidRPr="00CC6C23" w:rsidRDefault="00181E84" w:rsidP="00181E84">
            <w:pPr>
              <w:spacing w:line="240" w:lineRule="auto"/>
              <w:jc w:val="both"/>
              <w:rPr>
                <w:rFonts w:ascii="Times" w:eastAsia="Times New Roman" w:hAnsi="Times" w:cs="Times"/>
                <w:sz w:val="24"/>
                <w:szCs w:val="24"/>
                <w14:ligatures w14:val="none"/>
              </w:rPr>
            </w:pPr>
            <w:r w:rsidRPr="00CC6C23">
              <w:rPr>
                <w:rFonts w:ascii="Times" w:eastAsia="Times New Roman" w:hAnsi="Times" w:cs="Times"/>
                <w:sz w:val="24"/>
                <w:szCs w:val="24"/>
                <w14:ligatures w14:val="none"/>
              </w:rPr>
              <w:t xml:space="preserve">Quy định hiện hành về các cơ sở giáo dục đại học không được đào tạo trình độ cao đẳng, trung cấp chưa phù hợp với thực tiễn Tại khoản 5 Điều 3 Luật Giáo dục nghề nghiệp năm 2014 quy định: “Đào tạo chính quy là hình thức đào tạo theo các khóa học tập trung toàn bộ thời gian do cơ sở giáo dục nghề nghiệp và cơ sở giáo dục đại học, doanh nghiệp có đăng ký hoạt động giáo dục nghề nghiệp (sau đây gọi chung là cơ sở hoạt động giáo dục nghề nghiệp) thực hiện để đào tạo các trình độ sơ cấp, trung cấp và cao đẳng.”; khoản 1 Điều 19 Luật Giáo dục nghề nghiệp năm 2014 quy định: “Cơ sở giáo dục nghề nghiệp, cơ sở giáo dục đại học, doanh nghiệp được cấp giấy chứng nhận đăng ký hoạt động giáo dục nghề nghiệp khi có đủ các điều kiện sau đây: ...”. Như vậy, theo quy định trên đây, các cơ sở giáo dục đại học được phép tham gia hoạt động giáo dục nghề nghiệp, tức là được </w:t>
            </w:r>
            <w:r w:rsidRPr="00CC6C23">
              <w:rPr>
                <w:rFonts w:ascii="Times" w:eastAsia="Times New Roman" w:hAnsi="Times" w:cs="Times"/>
                <w:sz w:val="24"/>
                <w:szCs w:val="24"/>
                <w14:ligatures w14:val="none"/>
              </w:rPr>
              <w:lastRenderedPageBreak/>
              <w:t xml:space="preserve">đào tạo trình độ trung cấp, trình độ cao đẳng khi đủ điều kiện theo luật định. Khoản 1 Điều 4 Luật Giáo dục đại học năm 2012 được sửa đổi, bổ sung năm 2018 quy định: “Cơ sở giáo dục đại học là cơ sở giáo dục thuộc hệ thống giáo dục quốc dân, thực hiện chức năng đào tạo các trình độ của giáo dục đại học, hoạt động khoa học và công nghệ, phục vụ cộng đồng.”. Khoản 1 Điều 6 Luật Giáo dục đại học năm 2012 được sửa đổi, bổ sung năm 2018 quy định: “Các trình độ đào tạo của giáo dục đại học bao gồm trình độ đại học, trình độ thạc sĩ và trình độ tiến sĩ. ”. Như vậy, quy định của 2 luật nêu trên về trình độ đào tạo mà các cơ sở giáo dục đại học được thực hiện không thống nhất. Thực tế hàng chục năm nay, nhiều cơ sở giáo dục đại học đã và đang đào tạo ổn định trình độ trung cấp, trình độ cao đẳng các ngành, nghề chuyên môn đặc thù trong lĩnh vực nghệ thuật. Hiện nay có 10 cơ sở giáo dục đại học có đào tạo trình độ trung cấp, cao đẳng các ngành chuyên môn đặc thù trong </w:t>
            </w:r>
            <w:r w:rsidRPr="00CC6C23">
              <w:rPr>
                <w:rFonts w:ascii="Times" w:eastAsia="Times New Roman" w:hAnsi="Times" w:cs="Times"/>
                <w:sz w:val="24"/>
                <w:szCs w:val="24"/>
                <w14:ligatures w14:val="none"/>
              </w:rPr>
              <w:lastRenderedPageBreak/>
              <w:t>lĩnh vực nghệ thuật. Chỉ tiêu tuyển sinh hằng năm trình độ trung cấp, trình độ cao đẳng của 10 trường này khoảng 1.000 người, tập trung chủ yếu các ngành thuộc lĩnh vực Âm nhạc, Múa, Xiếc, Diễn viên sân khấu kịch hát, Tuồng, Chèo, Cải lương, Nhạc công kịch hát dân tộc... Mô hình đào tạo này phù hợp với tính đặc thù đào tạo các ngành, nghề chuyên môn trong lĩnh vực nghệ thuật nhằm chăm sóc, phát triển tài năng nghệ thuật từ sớm (tức là từ trình độ trung cấp). Như vậy, sự không thống nhất giữa các quy định của Luật Giáo dục nghề nghiệp năm 2014, Luật Giáo dục đại học năm 2012 được sửa đổi, bổ sung năm 2018 là nguyên nhân dẫn tới khó khăn, vướng mắc trong việc tiếp tục thực hiện đào tạo các ngành, nghề chuyên môn đặc thù trong lĩnh vực nghệ thuật và ảnh hưởng lớn đến phát triển nguồn nhân lực chuyên nghiệp, chất lượng cao trong lĩnh vực nghệ thuật ở Việt Nam</w:t>
            </w:r>
          </w:p>
        </w:tc>
        <w:tc>
          <w:tcPr>
            <w:tcW w:w="1611" w:type="dxa"/>
            <w:vAlign w:val="center"/>
          </w:tcPr>
          <w:p w14:paraId="374E95DD" w14:textId="20C5F730" w:rsidR="00181E84" w:rsidRPr="00CC6C23" w:rsidRDefault="00181E84" w:rsidP="00181E84">
            <w:pPr>
              <w:spacing w:line="240" w:lineRule="auto"/>
              <w:jc w:val="both"/>
              <w:rPr>
                <w:rFonts w:ascii="Times" w:eastAsia="Times New Roman" w:hAnsi="Times" w:cs="Times"/>
                <w:sz w:val="24"/>
                <w:szCs w:val="24"/>
                <w14:ligatures w14:val="none"/>
              </w:rPr>
            </w:pPr>
            <w:r w:rsidRPr="00CC6C23">
              <w:rPr>
                <w:rFonts w:ascii="Times" w:eastAsia="Times New Roman" w:hAnsi="Times" w:cs="Times"/>
                <w:sz w:val="24"/>
                <w:szCs w:val="24"/>
                <w14:ligatures w14:val="none"/>
              </w:rPr>
              <w:lastRenderedPageBreak/>
              <w:t>C. Sửa đổi, bổ sung, thay thế, ban hành mới VBQPPL (theo trình tự, thủ tục rút gọn ban hành VBQPPL của Luật Ban hành VBQPPL)</w:t>
            </w:r>
          </w:p>
        </w:tc>
        <w:tc>
          <w:tcPr>
            <w:tcW w:w="1517" w:type="dxa"/>
            <w:vAlign w:val="center"/>
          </w:tcPr>
          <w:p w14:paraId="5CD814DA" w14:textId="65A8B44B" w:rsidR="00181E84" w:rsidRPr="00CC6C23" w:rsidRDefault="00181E84" w:rsidP="00181E84">
            <w:pPr>
              <w:spacing w:line="240" w:lineRule="auto"/>
              <w:jc w:val="both"/>
              <w:rPr>
                <w:rFonts w:ascii="Times" w:eastAsia="Times New Roman" w:hAnsi="Times" w:cs="Times"/>
                <w:sz w:val="24"/>
                <w:szCs w:val="24"/>
                <w14:ligatures w14:val="none"/>
              </w:rPr>
            </w:pPr>
            <w:r w:rsidRPr="00CC6C23">
              <w:rPr>
                <w:rFonts w:ascii="Times" w:eastAsia="Times New Roman" w:hAnsi="Times" w:cs="Times"/>
                <w:sz w:val="24"/>
                <w:szCs w:val="24"/>
                <w14:ligatures w14:val="none"/>
              </w:rPr>
              <w:t>Bộ Văn hóa, Thể thao và Du lịch</w:t>
            </w:r>
          </w:p>
        </w:tc>
        <w:tc>
          <w:tcPr>
            <w:tcW w:w="2812" w:type="dxa"/>
            <w:vAlign w:val="center"/>
          </w:tcPr>
          <w:p w14:paraId="68A4D9AB" w14:textId="14198282" w:rsidR="00181E84" w:rsidRPr="00CC6C23" w:rsidRDefault="00181E84" w:rsidP="00181E84">
            <w:pPr>
              <w:spacing w:line="240" w:lineRule="auto"/>
              <w:jc w:val="both"/>
              <w:rPr>
                <w:rFonts w:ascii="Times" w:eastAsia="Times New Roman" w:hAnsi="Times" w:cs="Times"/>
                <w:sz w:val="24"/>
                <w:szCs w:val="24"/>
                <w14:ligatures w14:val="none"/>
              </w:rPr>
            </w:pPr>
            <w:r w:rsidRPr="00CC6C23">
              <w:rPr>
                <w:rFonts w:ascii="Times" w:eastAsia="Times New Roman" w:hAnsi="Times" w:cs="Times"/>
                <w:sz w:val="24"/>
                <w:szCs w:val="24"/>
                <w14:ligatures w14:val="none"/>
              </w:rPr>
              <w:t>Bộ GDĐT tiếp thu như sau: Bộ GDĐT đang đồng thời SĐBS 03 luật (Luật GD, Luật GDNN, Luật GDDH). Trong quá trình sửa đổi các Luật, Bộ GDĐT đã phối hợp với Bộ VHTTDL để thảo luận về các nội dung đặc thù trong đào tạo của lĩnh vực nghệ thuật. Các nội dung theo đề xuất của Bộ VHTTDL, Bộ GD ĐT sẽ nghiên cứu để quy định khung trong các Luật; các quy định chi tiết sẽ giao Chính phủ, Bộ.</w:t>
            </w:r>
          </w:p>
        </w:tc>
        <w:tc>
          <w:tcPr>
            <w:tcW w:w="2248" w:type="dxa"/>
            <w:vAlign w:val="center"/>
          </w:tcPr>
          <w:p w14:paraId="1DDA65DE" w14:textId="7FC1E00C" w:rsidR="001178FD" w:rsidRPr="00CC6C23" w:rsidRDefault="001178FD" w:rsidP="001178FD">
            <w:pPr>
              <w:jc w:val="both"/>
              <w:rPr>
                <w:rFonts w:ascii="Times" w:hAnsi="Times" w:cs="Times"/>
                <w:sz w:val="24"/>
                <w:szCs w:val="24"/>
              </w:rPr>
            </w:pPr>
            <w:r w:rsidRPr="00CC6C23">
              <w:rPr>
                <w:rFonts w:ascii="Times" w:hAnsi="Times" w:cs="Times"/>
                <w:sz w:val="24"/>
                <w:szCs w:val="24"/>
              </w:rPr>
              <w:t>Đ</w:t>
            </w:r>
            <w:r w:rsidR="00117B8F" w:rsidRPr="00CC6C23">
              <w:rPr>
                <w:rFonts w:ascii="Times" w:hAnsi="Times" w:cs="Times"/>
                <w:sz w:val="24"/>
                <w:szCs w:val="24"/>
              </w:rPr>
              <w:t>Ã</w:t>
            </w:r>
            <w:r w:rsidRPr="00CC6C23">
              <w:rPr>
                <w:rFonts w:ascii="Times" w:hAnsi="Times" w:cs="Times"/>
                <w:sz w:val="24"/>
                <w:szCs w:val="24"/>
              </w:rPr>
              <w:t xml:space="preserve"> XỬ LÝ</w:t>
            </w:r>
          </w:p>
          <w:p w14:paraId="5E82AD2B" w14:textId="541E094F" w:rsidR="001178FD" w:rsidRPr="00CC6C23" w:rsidRDefault="001178FD" w:rsidP="001178FD">
            <w:pPr>
              <w:jc w:val="both"/>
              <w:rPr>
                <w:rFonts w:ascii="Times" w:hAnsi="Times" w:cs="Times"/>
                <w:sz w:val="24"/>
                <w:szCs w:val="24"/>
              </w:rPr>
            </w:pPr>
            <w:r w:rsidRPr="00CC6C23">
              <w:rPr>
                <w:rFonts w:ascii="Times" w:hAnsi="Times" w:cs="Times"/>
                <w:sz w:val="24"/>
                <w:szCs w:val="24"/>
              </w:rPr>
              <w:t xml:space="preserve">- Luật GDNN sửa đổi (đã </w:t>
            </w:r>
            <w:r w:rsidR="00117B8F" w:rsidRPr="00CC6C23">
              <w:rPr>
                <w:rFonts w:ascii="Times" w:hAnsi="Times" w:cs="Times"/>
                <w:sz w:val="24"/>
                <w:szCs w:val="24"/>
              </w:rPr>
              <w:t>được</w:t>
            </w:r>
            <w:r w:rsidRPr="00CC6C23">
              <w:rPr>
                <w:rFonts w:ascii="Times" w:hAnsi="Times" w:cs="Times"/>
                <w:sz w:val="24"/>
                <w:szCs w:val="24"/>
              </w:rPr>
              <w:t xml:space="preserve"> Quốc hội </w:t>
            </w:r>
            <w:r w:rsidR="00117B8F" w:rsidRPr="00CC6C23">
              <w:rPr>
                <w:rFonts w:ascii="Times" w:hAnsi="Times" w:cs="Times"/>
                <w:sz w:val="24"/>
                <w:szCs w:val="24"/>
              </w:rPr>
              <w:t>thông qua 10/12/2025</w:t>
            </w:r>
            <w:r w:rsidRPr="00CC6C23">
              <w:rPr>
                <w:rFonts w:ascii="Times" w:hAnsi="Times" w:cs="Times"/>
                <w:sz w:val="24"/>
                <w:szCs w:val="24"/>
              </w:rPr>
              <w:t xml:space="preserve">) quy định </w:t>
            </w:r>
          </w:p>
          <w:p w14:paraId="563A3B50" w14:textId="77777777" w:rsidR="001178FD" w:rsidRPr="00CC6C23" w:rsidRDefault="001178FD" w:rsidP="001178FD">
            <w:pPr>
              <w:jc w:val="both"/>
              <w:rPr>
                <w:rFonts w:ascii="Times" w:hAnsi="Times" w:cs="Times"/>
                <w:sz w:val="24"/>
                <w:szCs w:val="24"/>
              </w:rPr>
            </w:pPr>
            <w:r w:rsidRPr="00CC6C23">
              <w:rPr>
                <w:rFonts w:ascii="Times" w:hAnsi="Times" w:cs="Times"/>
                <w:sz w:val="24"/>
                <w:szCs w:val="24"/>
              </w:rPr>
              <w:t>“Cơ sở giáo dục đại học được thực hiện chương trình giáo dục nghề nghiệp trong các trường hợp sau:</w:t>
            </w:r>
          </w:p>
          <w:p w14:paraId="13024D19" w14:textId="77777777" w:rsidR="001178FD" w:rsidRPr="00CC6C23" w:rsidRDefault="001178FD" w:rsidP="001178FD">
            <w:pPr>
              <w:jc w:val="both"/>
              <w:rPr>
                <w:rFonts w:ascii="Times" w:hAnsi="Times" w:cs="Times"/>
                <w:sz w:val="24"/>
                <w:szCs w:val="24"/>
              </w:rPr>
            </w:pPr>
            <w:r w:rsidRPr="00CC6C23">
              <w:rPr>
                <w:rFonts w:ascii="Times" w:hAnsi="Times" w:cs="Times"/>
                <w:sz w:val="24"/>
                <w:szCs w:val="24"/>
              </w:rPr>
              <w:t xml:space="preserve">- Đào tạo ở trình độ đại học đối với nhóm ngành, nghề chuyên môn đặc thù thuộc lĩnh vực nghệ thuật, thể thao được thực hiện chương trình giáo dục trung học nghề và chương trình đào tạo trình độ trung cấp, cao đẳng thuộc </w:t>
            </w:r>
            <w:r w:rsidRPr="00CC6C23">
              <w:rPr>
                <w:rFonts w:ascii="Times" w:hAnsi="Times" w:cs="Times"/>
                <w:sz w:val="24"/>
                <w:szCs w:val="24"/>
              </w:rPr>
              <w:lastRenderedPageBreak/>
              <w:t>cùng nhóm ngành, nghề;</w:t>
            </w:r>
          </w:p>
          <w:p w14:paraId="5A54742C" w14:textId="77777777" w:rsidR="001178FD" w:rsidRPr="00CC6C23" w:rsidRDefault="001178FD" w:rsidP="001178FD">
            <w:pPr>
              <w:jc w:val="both"/>
              <w:rPr>
                <w:rFonts w:ascii="Times" w:hAnsi="Times" w:cs="Times"/>
                <w:sz w:val="24"/>
                <w:szCs w:val="24"/>
              </w:rPr>
            </w:pPr>
            <w:r w:rsidRPr="00CC6C23">
              <w:rPr>
                <w:rFonts w:ascii="Times" w:hAnsi="Times" w:cs="Times"/>
                <w:sz w:val="24"/>
                <w:szCs w:val="24"/>
              </w:rPr>
              <w:t>- Đào tạo ở trình độ đại học đối với nhóm ngành, nghề đào tạo giáo viên hoặc nhóm ngành, nghề khác theo quy định của Chính phủ được thực hiện chương trình đào tạo trình độ cao đẳng cùng nhóm ngành, nghề.</w:t>
            </w:r>
          </w:p>
          <w:p w14:paraId="74F9AFBF" w14:textId="77777777" w:rsidR="001178FD" w:rsidRPr="00CC6C23" w:rsidRDefault="001178FD" w:rsidP="001178FD">
            <w:pPr>
              <w:jc w:val="both"/>
              <w:rPr>
                <w:rFonts w:ascii="Times" w:hAnsi="Times" w:cs="Times"/>
                <w:sz w:val="24"/>
                <w:szCs w:val="24"/>
              </w:rPr>
            </w:pPr>
            <w:r w:rsidRPr="00CC6C23">
              <w:rPr>
                <w:rFonts w:ascii="Times" w:hAnsi="Times" w:cs="Times"/>
                <w:sz w:val="24"/>
                <w:szCs w:val="24"/>
              </w:rPr>
              <w:t>- Cơ sở giáo dục đại học của lực lượng vũ trang nhân dân được thực hiện chương trình đào tạo trình độ trung cấp, cao đẳng nhóm ngành, nghề thuộc lĩnh vực quốc phòng, an ninh.”</w:t>
            </w:r>
          </w:p>
          <w:p w14:paraId="173F533C" w14:textId="29D82494" w:rsidR="00181E84" w:rsidRPr="00CC6C23" w:rsidRDefault="001178FD" w:rsidP="001178FD">
            <w:pPr>
              <w:jc w:val="both"/>
              <w:rPr>
                <w:rFonts w:ascii="Times" w:hAnsi="Times" w:cs="Times"/>
                <w:sz w:val="24"/>
                <w:szCs w:val="24"/>
              </w:rPr>
            </w:pPr>
            <w:r w:rsidRPr="00CC6C23">
              <w:rPr>
                <w:rFonts w:ascii="Times" w:hAnsi="Times" w:cs="Times"/>
                <w:sz w:val="24"/>
                <w:szCs w:val="24"/>
              </w:rPr>
              <w:t xml:space="preserve">- Ngoài ra, dự thảo Luật GD ĐH quy định “1. Cơ sở giáo dục đại học là cơ sở </w:t>
            </w:r>
            <w:r w:rsidRPr="00CC6C23">
              <w:rPr>
                <w:rFonts w:ascii="Times" w:hAnsi="Times" w:cs="Times"/>
                <w:sz w:val="24"/>
                <w:szCs w:val="24"/>
              </w:rPr>
              <w:lastRenderedPageBreak/>
              <w:t>giáo dục thuộc hệ thống giáo dục quốc dân, có tư cách pháp nhân, được tổ chức và hoạt động theo quy định của Luật này và các quy định khác của pháp luật có liên quan.” Không còn nêu cụ thể “Cơ sở giáo dục đại học là cơ sở giáo dục thuộc hệ thống giáo dục quốc dân, thực hiện chức năng đào tạo các trình độ của giáo dục đại học, hoạt động khoa học và công nghệ, phục vụ cộng đồng.”</w:t>
            </w:r>
          </w:p>
        </w:tc>
      </w:tr>
      <w:tr w:rsidR="00CC6C23" w:rsidRPr="00CC6C23" w14:paraId="7163461B" w14:textId="77777777" w:rsidTr="00651923">
        <w:trPr>
          <w:trHeight w:val="900"/>
        </w:trPr>
        <w:tc>
          <w:tcPr>
            <w:tcW w:w="807" w:type="dxa"/>
          </w:tcPr>
          <w:p w14:paraId="2DF55766" w14:textId="70BE2665" w:rsidR="00181E84" w:rsidRPr="00CC6C23" w:rsidRDefault="003C7280" w:rsidP="00181E84">
            <w:pPr>
              <w:spacing w:line="240" w:lineRule="auto"/>
              <w:jc w:val="center"/>
              <w:rPr>
                <w:rFonts w:ascii="Times" w:eastAsia="Times New Roman" w:hAnsi="Times" w:cs="Times"/>
                <w:sz w:val="24"/>
                <w:szCs w:val="24"/>
                <w14:ligatures w14:val="none"/>
              </w:rPr>
            </w:pPr>
            <w:r w:rsidRPr="00CC6C23">
              <w:rPr>
                <w:rFonts w:ascii="Times" w:eastAsia="Times New Roman" w:hAnsi="Times" w:cs="Times"/>
                <w:sz w:val="24"/>
                <w:szCs w:val="24"/>
                <w14:ligatures w14:val="none"/>
              </w:rPr>
              <w:lastRenderedPageBreak/>
              <w:t>3</w:t>
            </w:r>
          </w:p>
        </w:tc>
        <w:tc>
          <w:tcPr>
            <w:tcW w:w="1713" w:type="dxa"/>
          </w:tcPr>
          <w:p w14:paraId="3826AF95" w14:textId="00F4B5E1" w:rsidR="00181E84" w:rsidRPr="00CC6C23" w:rsidRDefault="00181E84" w:rsidP="00181E84">
            <w:pPr>
              <w:spacing w:line="240" w:lineRule="auto"/>
              <w:jc w:val="both"/>
              <w:rPr>
                <w:rFonts w:ascii="Times" w:eastAsia="Times New Roman" w:hAnsi="Times" w:cs="Times"/>
                <w:sz w:val="24"/>
                <w:szCs w:val="24"/>
                <w14:ligatures w14:val="none"/>
              </w:rPr>
            </w:pPr>
            <w:r w:rsidRPr="00CC6C23">
              <w:rPr>
                <w:rFonts w:ascii="Times" w:eastAsia="Times New Roman" w:hAnsi="Times" w:cs="Times"/>
                <w:sz w:val="24"/>
                <w:szCs w:val="24"/>
                <w14:ligatures w14:val="none"/>
              </w:rPr>
              <w:t>Điểm e, khoản 1, Điều 10 Nghị định số 99/2019/NĐ-CP ngày 30 tháng 12 năm 2019 của Chính phủ quy định chi tiết và hướng dẫn thi hành một số điều của Luật sửa đổi, bổ sung một số điều của Luật Giáo dục đại học</w:t>
            </w:r>
          </w:p>
        </w:tc>
        <w:tc>
          <w:tcPr>
            <w:tcW w:w="3690" w:type="dxa"/>
          </w:tcPr>
          <w:p w14:paraId="3F2AC491" w14:textId="46F22A57" w:rsidR="00181E84" w:rsidRPr="00CC6C23" w:rsidRDefault="00181E84" w:rsidP="00181E84">
            <w:pPr>
              <w:spacing w:line="240" w:lineRule="auto"/>
              <w:jc w:val="both"/>
              <w:rPr>
                <w:rFonts w:ascii="Times" w:eastAsia="Times New Roman" w:hAnsi="Times" w:cs="Times"/>
                <w:sz w:val="24"/>
                <w:szCs w:val="24"/>
                <w14:ligatures w14:val="none"/>
              </w:rPr>
            </w:pPr>
            <w:r w:rsidRPr="00CC6C23">
              <w:rPr>
                <w:rFonts w:ascii="Times" w:eastAsia="Times New Roman" w:hAnsi="Times" w:cs="Times"/>
                <w:sz w:val="24"/>
                <w:szCs w:val="24"/>
                <w14:ligatures w14:val="none"/>
              </w:rPr>
              <w:t xml:space="preserve">Thực trạng: Nghị định số 99/2019/NĐ-CP ngày 30 tháng 12 năm 2019 của Chính phủ quy định chi tiết và hướng dẫn thi hành một số điều của Luật sửa đổi, bổ sung một số điều của Luật Giáo dục đại học thì Giảng viên cơ hữu của cơ sở giáo dục công lập là viên chức được tuyển dụng, sử dụng và quản lý theo quy định của pháp luật về viên chức hoặc người lao động của các cơ sở giáo dục đại học đáp ứng những quy định trên. Do vậy, giảng viên cơ hữu tại Học viện Khoa học xã hội được xác định là giảng viên hưởng lương tại Học viện Khoa học xã hội, các nhà khoa học có học hàm, học vị GS, PGS, TSKH, TS công tác tại các đơn vị thuộc, trực thuộc Viện Hàn lâm Khoa học xã hội Việt Nam không được tính là giảng viên cơ hữu của Học viện, gây rất nhiều khó khăn về điều kiện đảm bảo số lượng giảng viên cơ hữu của Học viện. =&gt; Đề xuất: Sửa đổi theo hướng công nhận giảng viên cơ hữu bao gồm cả giảng viên công tác tại các đơn vị thuộc, </w:t>
            </w:r>
            <w:r w:rsidRPr="00CC6C23">
              <w:rPr>
                <w:rFonts w:ascii="Times" w:eastAsia="Times New Roman" w:hAnsi="Times" w:cs="Times"/>
                <w:sz w:val="24"/>
                <w:szCs w:val="24"/>
                <w14:ligatures w14:val="none"/>
              </w:rPr>
              <w:lastRenderedPageBreak/>
              <w:t>trực thuộc Viện Hàn lâm Khoa học xã hội Việt Nam.</w:t>
            </w:r>
          </w:p>
        </w:tc>
        <w:tc>
          <w:tcPr>
            <w:tcW w:w="1611" w:type="dxa"/>
          </w:tcPr>
          <w:p w14:paraId="66C3B58E" w14:textId="534F2EE3" w:rsidR="00181E84" w:rsidRPr="00CC6C23" w:rsidRDefault="00181E84" w:rsidP="00181E84">
            <w:pPr>
              <w:spacing w:line="240" w:lineRule="auto"/>
              <w:jc w:val="both"/>
              <w:rPr>
                <w:rFonts w:ascii="Times" w:eastAsia="Times New Roman" w:hAnsi="Times" w:cs="Times"/>
                <w:sz w:val="24"/>
                <w:szCs w:val="24"/>
                <w14:ligatures w14:val="none"/>
              </w:rPr>
            </w:pPr>
            <w:r w:rsidRPr="00CC6C23">
              <w:rPr>
                <w:rFonts w:ascii="Times" w:eastAsia="Times New Roman" w:hAnsi="Times" w:cs="Times"/>
                <w:sz w:val="24"/>
                <w:szCs w:val="24"/>
                <w14:ligatures w14:val="none"/>
              </w:rPr>
              <w:lastRenderedPageBreak/>
              <w:t>C. Sửa đổi, bổ sung, thay thế, ban hành mới VBQPPL (theo trình tự, thủ tục rút gọn ban hành VBQPPL của Luật Ban hành VBQPPL)</w:t>
            </w:r>
          </w:p>
        </w:tc>
        <w:tc>
          <w:tcPr>
            <w:tcW w:w="1517" w:type="dxa"/>
          </w:tcPr>
          <w:p w14:paraId="7D190257" w14:textId="1FC69342" w:rsidR="00181E84" w:rsidRPr="00CC6C23" w:rsidRDefault="00181E84" w:rsidP="00181E84">
            <w:pPr>
              <w:spacing w:line="240" w:lineRule="auto"/>
              <w:jc w:val="both"/>
              <w:rPr>
                <w:rFonts w:ascii="Times" w:eastAsia="Times New Roman" w:hAnsi="Times" w:cs="Times"/>
                <w:sz w:val="24"/>
                <w:szCs w:val="24"/>
                <w14:ligatures w14:val="none"/>
              </w:rPr>
            </w:pPr>
            <w:r w:rsidRPr="00CC6C23">
              <w:rPr>
                <w:rFonts w:ascii="Times" w:eastAsia="Times New Roman" w:hAnsi="Times" w:cs="Times"/>
                <w:sz w:val="24"/>
                <w:szCs w:val="24"/>
                <w14:ligatures w14:val="none"/>
              </w:rPr>
              <w:t>Viện Hàn lâm Khoa học Xã hội Việt Nam</w:t>
            </w:r>
          </w:p>
        </w:tc>
        <w:tc>
          <w:tcPr>
            <w:tcW w:w="2812" w:type="dxa"/>
          </w:tcPr>
          <w:p w14:paraId="437BCA2D" w14:textId="200C07D2" w:rsidR="00181E84" w:rsidRPr="00CC6C23" w:rsidRDefault="00181E84" w:rsidP="00181E84">
            <w:pPr>
              <w:spacing w:line="240" w:lineRule="auto"/>
              <w:jc w:val="both"/>
              <w:rPr>
                <w:rFonts w:ascii="Times" w:eastAsia="Times New Roman" w:hAnsi="Times" w:cs="Times"/>
                <w:sz w:val="24"/>
                <w:szCs w:val="24"/>
                <w14:ligatures w14:val="none"/>
              </w:rPr>
            </w:pPr>
            <w:r w:rsidRPr="00CC6C23">
              <w:rPr>
                <w:rFonts w:ascii="Times" w:eastAsia="Times New Roman" w:hAnsi="Times" w:cs="Times"/>
                <w:sz w:val="24"/>
                <w:szCs w:val="24"/>
                <w14:ligatures w14:val="none"/>
              </w:rPr>
              <w:t xml:space="preserve">Tiếp thu ý kiến của cơ sở đào tạo. Hiện nay, Bộ Giáo dục và Đào tạo đang xây dựng 03 dự án Luật gồm: Luật sửa đổi, bổ sung một số điều của Luật Giáo dục; Luật Giáo dục đại học (sửa đổi); Luật Giáo dục nghề nghiệp (sửa đổi) dự kiến sẽ trình Quốc hội cho ý kiến và thông qua tại kỳ họp thứ 10, Quốc hội khóa XV (tháng 10/2025). Tại Luật giáo dục đại học (sửa đổi) đã có nội dung quy định về Giảng viên cơ hữu, giảng viên đồng cơ hữu. </w:t>
            </w:r>
          </w:p>
        </w:tc>
        <w:tc>
          <w:tcPr>
            <w:tcW w:w="2248" w:type="dxa"/>
          </w:tcPr>
          <w:p w14:paraId="474248C4" w14:textId="041FE529" w:rsidR="001178FD" w:rsidRPr="00CC6C23" w:rsidRDefault="001178FD" w:rsidP="001178FD">
            <w:pPr>
              <w:jc w:val="both"/>
              <w:rPr>
                <w:rFonts w:ascii="Times" w:hAnsi="Times" w:cs="Times"/>
                <w:sz w:val="24"/>
                <w:szCs w:val="24"/>
              </w:rPr>
            </w:pPr>
            <w:r w:rsidRPr="00CC6C23">
              <w:rPr>
                <w:rFonts w:ascii="Times" w:hAnsi="Times" w:cs="Times"/>
                <w:sz w:val="24"/>
                <w:szCs w:val="24"/>
              </w:rPr>
              <w:t>Đ</w:t>
            </w:r>
            <w:r w:rsidR="00117B8F" w:rsidRPr="00CC6C23">
              <w:rPr>
                <w:rFonts w:ascii="Times" w:hAnsi="Times" w:cs="Times"/>
                <w:sz w:val="24"/>
                <w:szCs w:val="24"/>
              </w:rPr>
              <w:t xml:space="preserve">Ã </w:t>
            </w:r>
            <w:r w:rsidRPr="00CC6C23">
              <w:rPr>
                <w:rFonts w:ascii="Times" w:hAnsi="Times" w:cs="Times"/>
                <w:sz w:val="24"/>
                <w:szCs w:val="24"/>
              </w:rPr>
              <w:t>XỬ LÝ</w:t>
            </w:r>
          </w:p>
          <w:p w14:paraId="7F0802E0" w14:textId="0AEE854B" w:rsidR="00181E84" w:rsidRPr="00CC6C23" w:rsidRDefault="001178FD" w:rsidP="001178FD">
            <w:pPr>
              <w:jc w:val="both"/>
              <w:rPr>
                <w:rFonts w:ascii="Times" w:hAnsi="Times" w:cs="Times"/>
                <w:sz w:val="24"/>
                <w:szCs w:val="24"/>
              </w:rPr>
            </w:pPr>
            <w:r w:rsidRPr="00CC6C23">
              <w:rPr>
                <w:rFonts w:ascii="Times" w:hAnsi="Times" w:cs="Times"/>
                <w:sz w:val="24"/>
                <w:szCs w:val="24"/>
              </w:rPr>
              <w:t>Luật Giáo dục đại học (sửa đổi) (</w:t>
            </w:r>
            <w:r w:rsidR="00117B8F" w:rsidRPr="00CC6C23">
              <w:rPr>
                <w:rFonts w:ascii="Times" w:hAnsi="Times" w:cs="Times"/>
                <w:sz w:val="24"/>
                <w:szCs w:val="24"/>
              </w:rPr>
              <w:t>đã được Quốc hội thông qua ngày 10/12/2025</w:t>
            </w:r>
            <w:r w:rsidRPr="00CC6C23">
              <w:rPr>
                <w:rFonts w:ascii="Times" w:hAnsi="Times" w:cs="Times"/>
                <w:sz w:val="24"/>
                <w:szCs w:val="24"/>
              </w:rPr>
              <w:t xml:space="preserve">) đã quy định về nhà giáo/giảng viên đồng cơ hữu của cơ sở giáo dục đại học với tổ chức khoa học và công nghệ công lập </w:t>
            </w:r>
          </w:p>
        </w:tc>
      </w:tr>
      <w:tr w:rsidR="00CC6C23" w:rsidRPr="00CC6C23" w14:paraId="72B4F28D" w14:textId="77777777" w:rsidTr="00EC0802">
        <w:trPr>
          <w:trHeight w:val="900"/>
        </w:trPr>
        <w:tc>
          <w:tcPr>
            <w:tcW w:w="807" w:type="dxa"/>
          </w:tcPr>
          <w:p w14:paraId="5BA7C131" w14:textId="4D58AFA3" w:rsidR="00547AAF" w:rsidRPr="00CC6C23" w:rsidRDefault="00547AAF" w:rsidP="00547AAF">
            <w:pPr>
              <w:spacing w:line="240" w:lineRule="auto"/>
              <w:jc w:val="center"/>
              <w:rPr>
                <w:rFonts w:ascii="Times" w:eastAsia="Times New Roman" w:hAnsi="Times" w:cs="Times"/>
                <w:sz w:val="24"/>
                <w:szCs w:val="24"/>
                <w14:ligatures w14:val="none"/>
              </w:rPr>
            </w:pPr>
            <w:r w:rsidRPr="00CC6C23">
              <w:rPr>
                <w:rFonts w:ascii="Times" w:eastAsia="Times New Roman" w:hAnsi="Times" w:cs="Times"/>
                <w:sz w:val="24"/>
                <w:szCs w:val="24"/>
                <w14:ligatures w14:val="none"/>
              </w:rPr>
              <w:lastRenderedPageBreak/>
              <w:t>4</w:t>
            </w:r>
          </w:p>
        </w:tc>
        <w:tc>
          <w:tcPr>
            <w:tcW w:w="1713" w:type="dxa"/>
            <w:tcBorders>
              <w:top w:val="single" w:sz="4" w:space="0" w:color="auto"/>
              <w:left w:val="single" w:sz="4" w:space="0" w:color="auto"/>
              <w:bottom w:val="single" w:sz="4" w:space="0" w:color="auto"/>
              <w:right w:val="single" w:sz="4" w:space="0" w:color="auto"/>
            </w:tcBorders>
          </w:tcPr>
          <w:p w14:paraId="4DAB4CD7" w14:textId="5FBAF14E" w:rsidR="00547AAF" w:rsidRPr="00CC6C23" w:rsidRDefault="00547AAF" w:rsidP="00547AAF">
            <w:pPr>
              <w:spacing w:line="240" w:lineRule="auto"/>
              <w:jc w:val="both"/>
              <w:rPr>
                <w:rFonts w:ascii="Times" w:eastAsia="Times New Roman" w:hAnsi="Times" w:cs="Times"/>
                <w:sz w:val="24"/>
                <w:szCs w:val="24"/>
                <w14:ligatures w14:val="none"/>
              </w:rPr>
            </w:pPr>
            <w:r w:rsidRPr="00CC6C23">
              <w:rPr>
                <w:rFonts w:ascii="Times" w:eastAsia="Times New Roman" w:hAnsi="Times" w:cs="Times"/>
                <w:sz w:val="24"/>
                <w:szCs w:val="24"/>
                <w14:ligatures w14:val="none"/>
              </w:rPr>
              <w:t>Khoản 1 Điều 17 Quyết định số 53/2008/QĐ-BGDĐT ngày 18/9/2008 Ban hành quy định về việc đánh giá, xếp loại thể lực</w:t>
            </w:r>
          </w:p>
        </w:tc>
        <w:tc>
          <w:tcPr>
            <w:tcW w:w="3690" w:type="dxa"/>
            <w:tcBorders>
              <w:top w:val="single" w:sz="4" w:space="0" w:color="auto"/>
              <w:left w:val="single" w:sz="4" w:space="0" w:color="auto"/>
              <w:bottom w:val="single" w:sz="4" w:space="0" w:color="auto"/>
              <w:right w:val="single" w:sz="4" w:space="0" w:color="auto"/>
            </w:tcBorders>
          </w:tcPr>
          <w:p w14:paraId="3FAFBE5B" w14:textId="21C81F45" w:rsidR="00547AAF" w:rsidRPr="00CC6C23" w:rsidRDefault="00547AAF" w:rsidP="00547AAF">
            <w:pPr>
              <w:spacing w:line="240" w:lineRule="auto"/>
              <w:jc w:val="both"/>
              <w:rPr>
                <w:rFonts w:ascii="Times" w:eastAsia="Times New Roman" w:hAnsi="Times" w:cs="Times"/>
                <w:sz w:val="24"/>
                <w:szCs w:val="24"/>
                <w14:ligatures w14:val="none"/>
              </w:rPr>
            </w:pPr>
            <w:r w:rsidRPr="00CC6C23">
              <w:rPr>
                <w:rFonts w:ascii="Times" w:eastAsia="Times New Roman" w:hAnsi="Times" w:cs="Times"/>
                <w:sz w:val="24"/>
                <w:szCs w:val="24"/>
                <w14:ligatures w14:val="none"/>
              </w:rPr>
              <w:t>Quy định cơ sở giáo dục chỉ đạo, kiểm tra phòng giáo dục - cơ quan quản lý nhà nước là khó khăn trong áp dụng, gây ra nhiều cách hiểu khác nhau.</w:t>
            </w:r>
          </w:p>
        </w:tc>
        <w:tc>
          <w:tcPr>
            <w:tcW w:w="1611" w:type="dxa"/>
            <w:tcBorders>
              <w:top w:val="single" w:sz="4" w:space="0" w:color="auto"/>
              <w:left w:val="single" w:sz="4" w:space="0" w:color="auto"/>
              <w:bottom w:val="single" w:sz="4" w:space="0" w:color="auto"/>
              <w:right w:val="single" w:sz="4" w:space="0" w:color="auto"/>
            </w:tcBorders>
          </w:tcPr>
          <w:p w14:paraId="54267243" w14:textId="15645D0E" w:rsidR="00547AAF" w:rsidRPr="00CC6C23" w:rsidRDefault="00547AAF" w:rsidP="00547AAF">
            <w:pPr>
              <w:spacing w:line="240" w:lineRule="auto"/>
              <w:jc w:val="both"/>
              <w:rPr>
                <w:rFonts w:ascii="Times" w:eastAsia="Times New Roman" w:hAnsi="Times" w:cs="Times"/>
                <w:sz w:val="24"/>
                <w:szCs w:val="24"/>
                <w14:ligatures w14:val="none"/>
              </w:rPr>
            </w:pPr>
            <w:r w:rsidRPr="00CC6C23">
              <w:rPr>
                <w:rFonts w:ascii="Times" w:eastAsia="Times New Roman" w:hAnsi="Times" w:cs="Times"/>
                <w:sz w:val="24"/>
                <w:szCs w:val="24"/>
                <w14:ligatures w14:val="none"/>
              </w:rPr>
              <w:t>C. Sửa đổi, bổ sung, thay thế, ban hành mới VBQPPL (theo trình tự, thủ tục rút gọn ban hành VBQPPL của Luật Ban hành VBQPPL)</w:t>
            </w:r>
          </w:p>
        </w:tc>
        <w:tc>
          <w:tcPr>
            <w:tcW w:w="1517" w:type="dxa"/>
            <w:tcBorders>
              <w:top w:val="single" w:sz="4" w:space="0" w:color="auto"/>
              <w:left w:val="single" w:sz="4" w:space="0" w:color="auto"/>
              <w:bottom w:val="single" w:sz="4" w:space="0" w:color="auto"/>
              <w:right w:val="single" w:sz="4" w:space="0" w:color="auto"/>
            </w:tcBorders>
          </w:tcPr>
          <w:p w14:paraId="4652A466" w14:textId="77777777" w:rsidR="00547AAF" w:rsidRPr="00CC6C23" w:rsidRDefault="00547AAF" w:rsidP="00547AAF">
            <w:pPr>
              <w:spacing w:line="240" w:lineRule="auto"/>
              <w:jc w:val="both"/>
              <w:rPr>
                <w:rFonts w:ascii="Times" w:eastAsia="Times New Roman" w:hAnsi="Times" w:cs="Times"/>
                <w:sz w:val="24"/>
                <w:szCs w:val="24"/>
                <w14:ligatures w14:val="none"/>
              </w:rPr>
            </w:pPr>
            <w:r w:rsidRPr="00CC6C23">
              <w:rPr>
                <w:rFonts w:ascii="Times" w:eastAsia="Times New Roman" w:hAnsi="Times" w:cs="Times"/>
                <w:sz w:val="24"/>
                <w:szCs w:val="24"/>
                <w14:ligatures w14:val="none"/>
              </w:rPr>
              <w:t>Bộ Giáo dục và Đào tạo</w:t>
            </w:r>
          </w:p>
          <w:p w14:paraId="61FA5FEF" w14:textId="77777777" w:rsidR="00547AAF" w:rsidRPr="00CC6C23" w:rsidRDefault="00547AAF" w:rsidP="00547AAF">
            <w:pPr>
              <w:spacing w:line="240" w:lineRule="auto"/>
              <w:jc w:val="both"/>
              <w:rPr>
                <w:rFonts w:ascii="Times" w:eastAsia="Times New Roman" w:hAnsi="Times" w:cs="Times"/>
                <w:sz w:val="24"/>
                <w:szCs w:val="24"/>
                <w14:ligatures w14:val="none"/>
              </w:rPr>
            </w:pPr>
          </w:p>
        </w:tc>
        <w:tc>
          <w:tcPr>
            <w:tcW w:w="2812" w:type="dxa"/>
            <w:tcBorders>
              <w:top w:val="single" w:sz="4" w:space="0" w:color="auto"/>
              <w:left w:val="single" w:sz="4" w:space="0" w:color="auto"/>
              <w:bottom w:val="single" w:sz="4" w:space="0" w:color="auto"/>
              <w:right w:val="single" w:sz="4" w:space="0" w:color="auto"/>
            </w:tcBorders>
          </w:tcPr>
          <w:p w14:paraId="5D3F4DBB" w14:textId="6B79AD60" w:rsidR="00547AAF" w:rsidRPr="00CC6C23" w:rsidRDefault="00547AAF" w:rsidP="00547AAF">
            <w:pPr>
              <w:spacing w:line="240" w:lineRule="auto"/>
              <w:jc w:val="both"/>
              <w:rPr>
                <w:rFonts w:ascii="Times" w:eastAsia="Times New Roman" w:hAnsi="Times" w:cs="Times"/>
                <w:sz w:val="24"/>
                <w:szCs w:val="24"/>
                <w14:ligatures w14:val="none"/>
              </w:rPr>
            </w:pPr>
            <w:r w:rsidRPr="00CC6C23">
              <w:rPr>
                <w:rFonts w:ascii="Times" w:eastAsia="Times New Roman" w:hAnsi="Times" w:cs="Times"/>
                <w:sz w:val="24"/>
                <w:szCs w:val="24"/>
                <w14:ligatures w14:val="none"/>
              </w:rPr>
              <w:t>Bộ GDĐT đang xây dựng kế hoạch SĐBS văn bản này. Dự kiến Năm 2026: Kiểm tra, khảo sát, đánh giá, báo cáo thực trạng về việc thực hiện Quyết định số 53/2008/QĐ-BGD&amp;ĐT; Nghiên cứu, hoàn thiện nội dung chuyên môn thay thế về đánh giá được thể lực HSSV (các tiêu chuẩn và chỉ số đánh giá thể lực HSSV mới) và xây dựng, ban hành Thông tư.</w:t>
            </w:r>
          </w:p>
        </w:tc>
        <w:tc>
          <w:tcPr>
            <w:tcW w:w="2248" w:type="dxa"/>
            <w:tcBorders>
              <w:top w:val="single" w:sz="4" w:space="0" w:color="auto"/>
              <w:left w:val="single" w:sz="4" w:space="0" w:color="auto"/>
              <w:bottom w:val="single" w:sz="4" w:space="0" w:color="auto"/>
              <w:right w:val="single" w:sz="4" w:space="0" w:color="auto"/>
            </w:tcBorders>
          </w:tcPr>
          <w:p w14:paraId="71017F60" w14:textId="2A2E896F" w:rsidR="00117B8F" w:rsidRPr="00CC6C23" w:rsidRDefault="00117B8F" w:rsidP="00547AAF">
            <w:pPr>
              <w:jc w:val="both"/>
              <w:rPr>
                <w:rFonts w:ascii="Times" w:hAnsi="Times" w:cs="Times"/>
                <w:sz w:val="24"/>
                <w:szCs w:val="24"/>
              </w:rPr>
            </w:pPr>
            <w:r w:rsidRPr="00CC6C23">
              <w:rPr>
                <w:rFonts w:ascii="Times" w:hAnsi="Times" w:cs="Times"/>
                <w:sz w:val="24"/>
                <w:szCs w:val="24"/>
              </w:rPr>
              <w:t>CHƯA XỬ LÝ</w:t>
            </w:r>
          </w:p>
          <w:p w14:paraId="6095ED14" w14:textId="44DD187E" w:rsidR="00547AAF" w:rsidRPr="00CC6C23" w:rsidRDefault="00547AAF" w:rsidP="00547AAF">
            <w:pPr>
              <w:jc w:val="both"/>
              <w:rPr>
                <w:rFonts w:ascii="Times" w:hAnsi="Times" w:cs="Times"/>
                <w:sz w:val="24"/>
                <w:szCs w:val="24"/>
              </w:rPr>
            </w:pPr>
            <w:r w:rsidRPr="00CC6C23">
              <w:rPr>
                <w:rFonts w:ascii="Times" w:hAnsi="Times" w:cs="Times"/>
                <w:sz w:val="24"/>
                <w:szCs w:val="24"/>
              </w:rPr>
              <w:t xml:space="preserve">Bộ GDĐT đang xây dựng kế hoạch SĐBS văn bản này. Dự kiến ban hành trong năm 2026: </w:t>
            </w:r>
          </w:p>
        </w:tc>
      </w:tr>
    </w:tbl>
    <w:p w14:paraId="5C288B28" w14:textId="77777777" w:rsidR="006027B4" w:rsidRPr="00CC6C23" w:rsidRDefault="006027B4"/>
    <w:sectPr w:rsidR="006027B4" w:rsidRPr="00CC6C23" w:rsidSect="00482901">
      <w:headerReference w:type="default" r:id="rId6"/>
      <w:pgSz w:w="15840" w:h="12240" w:orient="landscape"/>
      <w:pgMar w:top="108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70468E" w14:textId="77777777" w:rsidR="00203120" w:rsidRDefault="00203120" w:rsidP="00482901">
      <w:pPr>
        <w:spacing w:after="0" w:line="240" w:lineRule="auto"/>
      </w:pPr>
      <w:r>
        <w:separator/>
      </w:r>
    </w:p>
  </w:endnote>
  <w:endnote w:type="continuationSeparator" w:id="0">
    <w:p w14:paraId="26C83F93" w14:textId="77777777" w:rsidR="00203120" w:rsidRDefault="00203120" w:rsidP="004829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C468FC" w14:textId="77777777" w:rsidR="00203120" w:rsidRDefault="00203120" w:rsidP="00482901">
      <w:pPr>
        <w:spacing w:after="0" w:line="240" w:lineRule="auto"/>
      </w:pPr>
      <w:r>
        <w:separator/>
      </w:r>
    </w:p>
  </w:footnote>
  <w:footnote w:type="continuationSeparator" w:id="0">
    <w:p w14:paraId="70744806" w14:textId="77777777" w:rsidR="00203120" w:rsidRDefault="00203120" w:rsidP="004829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70185"/>
      <w:docPartObj>
        <w:docPartGallery w:val="Page Numbers (Top of Page)"/>
        <w:docPartUnique/>
      </w:docPartObj>
    </w:sdtPr>
    <w:sdtEndPr>
      <w:rPr>
        <w:rFonts w:ascii="Times New Roman" w:hAnsi="Times New Roman" w:cs="Times New Roman"/>
        <w:noProof/>
        <w:sz w:val="24"/>
        <w:szCs w:val="24"/>
      </w:rPr>
    </w:sdtEndPr>
    <w:sdtContent>
      <w:p w14:paraId="141F1E62" w14:textId="4F01A0D8" w:rsidR="00482901" w:rsidRPr="00482901" w:rsidRDefault="00482901">
        <w:pPr>
          <w:pStyle w:val="Header"/>
          <w:jc w:val="center"/>
          <w:rPr>
            <w:rFonts w:ascii="Times New Roman" w:hAnsi="Times New Roman" w:cs="Times New Roman"/>
            <w:sz w:val="24"/>
            <w:szCs w:val="24"/>
          </w:rPr>
        </w:pPr>
        <w:r w:rsidRPr="00482901">
          <w:rPr>
            <w:rFonts w:ascii="Times New Roman" w:hAnsi="Times New Roman" w:cs="Times New Roman"/>
            <w:sz w:val="24"/>
            <w:szCs w:val="24"/>
          </w:rPr>
          <w:fldChar w:fldCharType="begin"/>
        </w:r>
        <w:r w:rsidRPr="00482901">
          <w:rPr>
            <w:rFonts w:ascii="Times New Roman" w:hAnsi="Times New Roman" w:cs="Times New Roman"/>
            <w:sz w:val="24"/>
            <w:szCs w:val="24"/>
          </w:rPr>
          <w:instrText xml:space="preserve"> PAGE   \* MERGEFORMAT </w:instrText>
        </w:r>
        <w:r w:rsidRPr="00482901">
          <w:rPr>
            <w:rFonts w:ascii="Times New Roman" w:hAnsi="Times New Roman" w:cs="Times New Roman"/>
            <w:sz w:val="24"/>
            <w:szCs w:val="24"/>
          </w:rPr>
          <w:fldChar w:fldCharType="separate"/>
        </w:r>
        <w:r w:rsidR="00EB746C">
          <w:rPr>
            <w:rFonts w:ascii="Times New Roman" w:hAnsi="Times New Roman" w:cs="Times New Roman"/>
            <w:noProof/>
            <w:sz w:val="24"/>
            <w:szCs w:val="24"/>
          </w:rPr>
          <w:t>2</w:t>
        </w:r>
        <w:r w:rsidRPr="00482901">
          <w:rPr>
            <w:rFonts w:ascii="Times New Roman" w:hAnsi="Times New Roman" w:cs="Times New Roman"/>
            <w:noProof/>
            <w:sz w:val="24"/>
            <w:szCs w:val="24"/>
          </w:rPr>
          <w:fldChar w:fldCharType="end"/>
        </w:r>
      </w:p>
    </w:sdtContent>
  </w:sdt>
  <w:p w14:paraId="024A6675" w14:textId="77777777" w:rsidR="00482901" w:rsidRDefault="0048290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4A9"/>
    <w:rsid w:val="0003033B"/>
    <w:rsid w:val="000D5836"/>
    <w:rsid w:val="001178FD"/>
    <w:rsid w:val="00117B8F"/>
    <w:rsid w:val="00181E84"/>
    <w:rsid w:val="00197081"/>
    <w:rsid w:val="001D19B2"/>
    <w:rsid w:val="00203120"/>
    <w:rsid w:val="002414A9"/>
    <w:rsid w:val="002934B3"/>
    <w:rsid w:val="00364D74"/>
    <w:rsid w:val="003C7280"/>
    <w:rsid w:val="003D4F85"/>
    <w:rsid w:val="00412AF3"/>
    <w:rsid w:val="00434570"/>
    <w:rsid w:val="00482901"/>
    <w:rsid w:val="004B3E9D"/>
    <w:rsid w:val="00502ED2"/>
    <w:rsid w:val="00547AAF"/>
    <w:rsid w:val="00586DDB"/>
    <w:rsid w:val="005911C9"/>
    <w:rsid w:val="005E45DF"/>
    <w:rsid w:val="005F261E"/>
    <w:rsid w:val="006027B4"/>
    <w:rsid w:val="00625B9F"/>
    <w:rsid w:val="00651923"/>
    <w:rsid w:val="00653C7F"/>
    <w:rsid w:val="00711F6E"/>
    <w:rsid w:val="00820EFF"/>
    <w:rsid w:val="00826245"/>
    <w:rsid w:val="008B649C"/>
    <w:rsid w:val="008C64C7"/>
    <w:rsid w:val="009A004A"/>
    <w:rsid w:val="009B7D1E"/>
    <w:rsid w:val="00A30710"/>
    <w:rsid w:val="00B15F13"/>
    <w:rsid w:val="00B46443"/>
    <w:rsid w:val="00BB7ABD"/>
    <w:rsid w:val="00C36979"/>
    <w:rsid w:val="00C455A6"/>
    <w:rsid w:val="00CC6C23"/>
    <w:rsid w:val="00D23267"/>
    <w:rsid w:val="00DF159C"/>
    <w:rsid w:val="00EB746C"/>
    <w:rsid w:val="00ED147E"/>
    <w:rsid w:val="00ED198A"/>
    <w:rsid w:val="00EE139B"/>
    <w:rsid w:val="00F0375A"/>
    <w:rsid w:val="00F565F6"/>
    <w:rsid w:val="00F6051B"/>
    <w:rsid w:val="00FC2DED"/>
    <w:rsid w:val="00FE58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9BD8C"/>
  <w15:chartTrackingRefBased/>
  <w15:docId w15:val="{106BCCD7-13F1-4238-B753-9D773893A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14A9"/>
    <w:pPr>
      <w:spacing w:line="259" w:lineRule="auto"/>
    </w:pPr>
    <w:rPr>
      <w:sz w:val="22"/>
      <w:szCs w:val="22"/>
    </w:rPr>
  </w:style>
  <w:style w:type="paragraph" w:styleId="Heading1">
    <w:name w:val="heading 1"/>
    <w:basedOn w:val="Normal"/>
    <w:next w:val="Normal"/>
    <w:link w:val="Heading1Char"/>
    <w:uiPriority w:val="9"/>
    <w:qFormat/>
    <w:rsid w:val="002414A9"/>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414A9"/>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414A9"/>
    <w:pPr>
      <w:keepNext/>
      <w:keepLines/>
      <w:spacing w:before="160" w:after="80" w:line="278"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414A9"/>
    <w:pPr>
      <w:keepNext/>
      <w:keepLines/>
      <w:spacing w:before="80" w:after="40" w:line="278" w:lineRule="auto"/>
      <w:outlineLvl w:val="3"/>
    </w:pPr>
    <w:rPr>
      <w:rFonts w:eastAsiaTheme="majorEastAsia" w:cstheme="majorBidi"/>
      <w:i/>
      <w:iCs/>
      <w:color w:val="2F5496" w:themeColor="accent1" w:themeShade="BF"/>
      <w:sz w:val="24"/>
      <w:szCs w:val="24"/>
    </w:rPr>
  </w:style>
  <w:style w:type="paragraph" w:styleId="Heading5">
    <w:name w:val="heading 5"/>
    <w:basedOn w:val="Normal"/>
    <w:next w:val="Normal"/>
    <w:link w:val="Heading5Char"/>
    <w:uiPriority w:val="9"/>
    <w:semiHidden/>
    <w:unhideWhenUsed/>
    <w:qFormat/>
    <w:rsid w:val="002414A9"/>
    <w:pPr>
      <w:keepNext/>
      <w:keepLines/>
      <w:spacing w:before="80" w:after="40" w:line="278" w:lineRule="auto"/>
      <w:outlineLvl w:val="4"/>
    </w:pPr>
    <w:rPr>
      <w:rFonts w:eastAsiaTheme="majorEastAsia" w:cstheme="majorBidi"/>
      <w:color w:val="2F5496" w:themeColor="accent1" w:themeShade="BF"/>
      <w:sz w:val="24"/>
      <w:szCs w:val="24"/>
    </w:rPr>
  </w:style>
  <w:style w:type="paragraph" w:styleId="Heading6">
    <w:name w:val="heading 6"/>
    <w:basedOn w:val="Normal"/>
    <w:next w:val="Normal"/>
    <w:link w:val="Heading6Char"/>
    <w:uiPriority w:val="9"/>
    <w:semiHidden/>
    <w:unhideWhenUsed/>
    <w:qFormat/>
    <w:rsid w:val="002414A9"/>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2414A9"/>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2414A9"/>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2414A9"/>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14A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414A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414A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414A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414A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414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14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14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14A9"/>
    <w:rPr>
      <w:rFonts w:eastAsiaTheme="majorEastAsia" w:cstheme="majorBidi"/>
      <w:color w:val="272727" w:themeColor="text1" w:themeTint="D8"/>
    </w:rPr>
  </w:style>
  <w:style w:type="paragraph" w:styleId="Title">
    <w:name w:val="Title"/>
    <w:basedOn w:val="Normal"/>
    <w:next w:val="Normal"/>
    <w:link w:val="TitleChar"/>
    <w:uiPriority w:val="10"/>
    <w:qFormat/>
    <w:rsid w:val="002414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14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14A9"/>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14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14A9"/>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2414A9"/>
    <w:rPr>
      <w:i/>
      <w:iCs/>
      <w:color w:val="404040" w:themeColor="text1" w:themeTint="BF"/>
    </w:rPr>
  </w:style>
  <w:style w:type="paragraph" w:styleId="ListParagraph">
    <w:name w:val="List Paragraph"/>
    <w:basedOn w:val="Normal"/>
    <w:uiPriority w:val="34"/>
    <w:qFormat/>
    <w:rsid w:val="002414A9"/>
    <w:pPr>
      <w:spacing w:line="278" w:lineRule="auto"/>
      <w:ind w:left="720"/>
      <w:contextualSpacing/>
    </w:pPr>
    <w:rPr>
      <w:sz w:val="24"/>
      <w:szCs w:val="24"/>
    </w:rPr>
  </w:style>
  <w:style w:type="character" w:styleId="IntenseEmphasis">
    <w:name w:val="Intense Emphasis"/>
    <w:basedOn w:val="DefaultParagraphFont"/>
    <w:uiPriority w:val="21"/>
    <w:qFormat/>
    <w:rsid w:val="002414A9"/>
    <w:rPr>
      <w:i/>
      <w:iCs/>
      <w:color w:val="2F5496" w:themeColor="accent1" w:themeShade="BF"/>
    </w:rPr>
  </w:style>
  <w:style w:type="paragraph" w:styleId="IntenseQuote">
    <w:name w:val="Intense Quote"/>
    <w:basedOn w:val="Normal"/>
    <w:next w:val="Normal"/>
    <w:link w:val="IntenseQuoteChar"/>
    <w:uiPriority w:val="30"/>
    <w:qFormat/>
    <w:rsid w:val="002414A9"/>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sz w:val="24"/>
      <w:szCs w:val="24"/>
    </w:rPr>
  </w:style>
  <w:style w:type="character" w:customStyle="1" w:styleId="IntenseQuoteChar">
    <w:name w:val="Intense Quote Char"/>
    <w:basedOn w:val="DefaultParagraphFont"/>
    <w:link w:val="IntenseQuote"/>
    <w:uiPriority w:val="30"/>
    <w:rsid w:val="002414A9"/>
    <w:rPr>
      <w:i/>
      <w:iCs/>
      <w:color w:val="2F5496" w:themeColor="accent1" w:themeShade="BF"/>
    </w:rPr>
  </w:style>
  <w:style w:type="character" w:styleId="IntenseReference">
    <w:name w:val="Intense Reference"/>
    <w:basedOn w:val="DefaultParagraphFont"/>
    <w:uiPriority w:val="32"/>
    <w:qFormat/>
    <w:rsid w:val="002414A9"/>
    <w:rPr>
      <w:b/>
      <w:bCs/>
      <w:smallCaps/>
      <w:color w:val="2F5496" w:themeColor="accent1" w:themeShade="BF"/>
      <w:spacing w:val="5"/>
    </w:rPr>
  </w:style>
  <w:style w:type="table" w:styleId="TableGrid">
    <w:name w:val="Table Grid"/>
    <w:basedOn w:val="TableNormal"/>
    <w:uiPriority w:val="39"/>
    <w:rsid w:val="002414A9"/>
    <w:pPr>
      <w:spacing w:after="0" w:line="240" w:lineRule="auto"/>
    </w:pPr>
    <w:rPr>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414A9"/>
    <w:pPr>
      <w:spacing w:before="100" w:beforeAutospacing="1" w:after="100" w:afterAutospacing="1" w:line="240" w:lineRule="auto"/>
    </w:pPr>
    <w:rPr>
      <w:rFonts w:ascii="Times New Roman" w:eastAsiaTheme="minorEastAsia" w:hAnsi="Times New Roman" w:cs="Times New Roman"/>
      <w:kern w:val="0"/>
      <w:sz w:val="24"/>
      <w:szCs w:val="24"/>
    </w:rPr>
  </w:style>
  <w:style w:type="character" w:styleId="Strong">
    <w:name w:val="Strong"/>
    <w:basedOn w:val="DefaultParagraphFont"/>
    <w:uiPriority w:val="22"/>
    <w:qFormat/>
    <w:rsid w:val="002414A9"/>
    <w:rPr>
      <w:b/>
      <w:bCs/>
    </w:rPr>
  </w:style>
  <w:style w:type="paragraph" w:styleId="Header">
    <w:name w:val="header"/>
    <w:basedOn w:val="Normal"/>
    <w:link w:val="HeaderChar"/>
    <w:uiPriority w:val="99"/>
    <w:unhideWhenUsed/>
    <w:rsid w:val="004829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2901"/>
    <w:rPr>
      <w:sz w:val="22"/>
      <w:szCs w:val="22"/>
    </w:rPr>
  </w:style>
  <w:style w:type="paragraph" w:styleId="Footer">
    <w:name w:val="footer"/>
    <w:basedOn w:val="Normal"/>
    <w:link w:val="FooterChar"/>
    <w:uiPriority w:val="99"/>
    <w:unhideWhenUsed/>
    <w:rsid w:val="004829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2901"/>
    <w:rPr>
      <w:sz w:val="22"/>
      <w:szCs w:val="22"/>
    </w:rPr>
  </w:style>
  <w:style w:type="paragraph" w:styleId="FootnoteText">
    <w:name w:val="footnote text"/>
    <w:basedOn w:val="Normal"/>
    <w:link w:val="FootnoteTextChar"/>
    <w:uiPriority w:val="99"/>
    <w:semiHidden/>
    <w:unhideWhenUsed/>
    <w:rsid w:val="001178F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178FD"/>
    <w:rPr>
      <w:sz w:val="20"/>
      <w:szCs w:val="20"/>
    </w:rPr>
  </w:style>
  <w:style w:type="character" w:styleId="FootnoteReference">
    <w:name w:val="footnote reference"/>
    <w:basedOn w:val="DefaultParagraphFont"/>
    <w:uiPriority w:val="99"/>
    <w:semiHidden/>
    <w:unhideWhenUsed/>
    <w:rsid w:val="001178F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1620</Words>
  <Characters>9238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 Nhu Quynh</dc:creator>
  <cp:keywords/>
  <dc:description/>
  <cp:lastModifiedBy>Home</cp:lastModifiedBy>
  <cp:revision>2</cp:revision>
  <dcterms:created xsi:type="dcterms:W3CDTF">2025-12-14T07:07:00Z</dcterms:created>
  <dcterms:modified xsi:type="dcterms:W3CDTF">2025-12-14T07:07:00Z</dcterms:modified>
</cp:coreProperties>
</file>