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317695" w:rsidRPr="00317695" w14:paraId="6C07B80E" w14:textId="77777777" w:rsidTr="000B3E26">
        <w:trPr>
          <w:divId w:val="120265279"/>
        </w:trPr>
        <w:tc>
          <w:tcPr>
            <w:tcW w:w="7281" w:type="dxa"/>
          </w:tcPr>
          <w:p w14:paraId="01EFFC28" w14:textId="364108A1" w:rsidR="000B3E26" w:rsidRPr="00317695" w:rsidRDefault="000B3E26" w:rsidP="00840971">
            <w:pPr>
              <w:pStyle w:val="NormalWeb"/>
              <w:spacing w:before="0" w:beforeAutospacing="0" w:after="0" w:afterAutospacing="0" w:line="288" w:lineRule="auto"/>
              <w:jc w:val="center"/>
              <w:rPr>
                <w:rStyle w:val="Strong"/>
                <w:sz w:val="26"/>
                <w:szCs w:val="26"/>
              </w:rPr>
            </w:pPr>
          </w:p>
        </w:tc>
        <w:tc>
          <w:tcPr>
            <w:tcW w:w="7281" w:type="dxa"/>
          </w:tcPr>
          <w:p w14:paraId="6EA9329E" w14:textId="39C78A1F" w:rsidR="000B3E26" w:rsidRPr="00317695" w:rsidRDefault="000B3E26" w:rsidP="00840971">
            <w:pPr>
              <w:pStyle w:val="NormalWeb"/>
              <w:spacing w:before="0" w:beforeAutospacing="0" w:after="0" w:afterAutospacing="0" w:line="288" w:lineRule="auto"/>
              <w:jc w:val="center"/>
              <w:rPr>
                <w:rStyle w:val="Strong"/>
                <w:sz w:val="26"/>
                <w:szCs w:val="26"/>
              </w:rPr>
            </w:pPr>
          </w:p>
        </w:tc>
      </w:tr>
    </w:tbl>
    <w:p w14:paraId="659EA1A2" w14:textId="0B90128A" w:rsidR="00085B95" w:rsidRPr="00317695" w:rsidRDefault="00AA2EE9" w:rsidP="00085B95">
      <w:pPr>
        <w:pStyle w:val="NormalWeb"/>
        <w:spacing w:before="0" w:beforeAutospacing="0" w:after="0" w:afterAutospacing="0"/>
        <w:jc w:val="center"/>
        <w:divId w:val="120265279"/>
        <w:rPr>
          <w:b/>
          <w:bCs/>
          <w:sz w:val="26"/>
          <w:szCs w:val="26"/>
        </w:rPr>
      </w:pPr>
      <w:r w:rsidRPr="00317695">
        <w:rPr>
          <w:rStyle w:val="Strong"/>
          <w:sz w:val="26"/>
          <w:szCs w:val="26"/>
        </w:rPr>
        <w:t xml:space="preserve">Phụ lục </w:t>
      </w:r>
      <w:r w:rsidR="00D6559C" w:rsidRPr="00317695">
        <w:rPr>
          <w:rStyle w:val="Strong"/>
          <w:sz w:val="26"/>
          <w:szCs w:val="26"/>
        </w:rPr>
        <w:t>I</w:t>
      </w:r>
      <w:r w:rsidR="000C5098" w:rsidRPr="00317695">
        <w:rPr>
          <w:rStyle w:val="Strong"/>
          <w:sz w:val="26"/>
          <w:szCs w:val="26"/>
        </w:rPr>
        <w:t>.6</w:t>
      </w:r>
      <w:r w:rsidR="00D52127" w:rsidRPr="00317695">
        <w:rPr>
          <w:rStyle w:val="Strong"/>
          <w:sz w:val="26"/>
          <w:szCs w:val="26"/>
        </w:rPr>
        <w:t>.3.A</w:t>
      </w:r>
    </w:p>
    <w:p w14:paraId="5A1A5CA1" w14:textId="192DC8BA" w:rsidR="00F34456" w:rsidRPr="00317695" w:rsidRDefault="001B28A9" w:rsidP="0008323B">
      <w:pPr>
        <w:pStyle w:val="NormalWeb"/>
        <w:spacing w:before="0" w:beforeAutospacing="0" w:after="0" w:afterAutospacing="0"/>
        <w:jc w:val="center"/>
        <w:divId w:val="120265279"/>
        <w:rPr>
          <w:rStyle w:val="Strong"/>
          <w:sz w:val="26"/>
          <w:szCs w:val="26"/>
        </w:rPr>
      </w:pPr>
      <w:r w:rsidRPr="00317695">
        <w:rPr>
          <w:b/>
          <w:sz w:val="26"/>
          <w:szCs w:val="26"/>
        </w:rPr>
        <w:t xml:space="preserve">TÌNH HÌNH XỬ LÝ ĐỐI VỚI </w:t>
      </w:r>
      <w:r w:rsidR="00AA2EE9" w:rsidRPr="00317695">
        <w:rPr>
          <w:rStyle w:val="Strong"/>
          <w:sz w:val="26"/>
          <w:szCs w:val="26"/>
        </w:rPr>
        <w:t>KHÓ KHĂN, VƯỚNG MẮC DO QUY ĐỊNH PHÁP LUẬT</w:t>
      </w:r>
    </w:p>
    <w:p w14:paraId="17E50DB8" w14:textId="6E1A4505" w:rsidR="0092372E" w:rsidRPr="00317695" w:rsidRDefault="0092372E" w:rsidP="0008323B">
      <w:pPr>
        <w:pStyle w:val="NormalWeb"/>
        <w:spacing w:before="0" w:beforeAutospacing="0" w:after="0" w:afterAutospacing="0"/>
        <w:jc w:val="center"/>
        <w:divId w:val="120265279"/>
        <w:rPr>
          <w:sz w:val="26"/>
          <w:szCs w:val="26"/>
        </w:rPr>
      </w:pPr>
      <w:r w:rsidRPr="00317695">
        <w:rPr>
          <w:rStyle w:val="Strong"/>
          <w:sz w:val="26"/>
          <w:szCs w:val="26"/>
        </w:rPr>
        <w:t xml:space="preserve">THUỘC </w:t>
      </w:r>
      <w:r w:rsidR="001460D4" w:rsidRPr="00317695">
        <w:rPr>
          <w:rStyle w:val="Strong"/>
          <w:sz w:val="26"/>
          <w:szCs w:val="26"/>
        </w:rPr>
        <w:t>PHẠM VI PHỤ TRÁCH</w:t>
      </w:r>
      <w:r w:rsidRPr="00317695">
        <w:rPr>
          <w:rStyle w:val="Strong"/>
          <w:sz w:val="26"/>
          <w:szCs w:val="26"/>
        </w:rPr>
        <w:t xml:space="preserve"> CỦA </w:t>
      </w:r>
      <w:r w:rsidR="00F77727" w:rsidRPr="00317695">
        <w:rPr>
          <w:rStyle w:val="Strong"/>
          <w:sz w:val="26"/>
          <w:szCs w:val="26"/>
        </w:rPr>
        <w:t>BỘ KHOA HỌC VÀ CÔNG NGHỆ</w:t>
      </w:r>
    </w:p>
    <w:p w14:paraId="0C6B6BC6" w14:textId="77777777" w:rsidR="0008323B" w:rsidRPr="00317695" w:rsidRDefault="00AA078A" w:rsidP="0008323B">
      <w:pPr>
        <w:pStyle w:val="NormalWeb"/>
        <w:spacing w:before="0" w:beforeAutospacing="0" w:after="0" w:afterAutospacing="0"/>
        <w:jc w:val="center"/>
        <w:divId w:val="120265279"/>
        <w:rPr>
          <w:rStyle w:val="Strong"/>
          <w:sz w:val="26"/>
          <w:szCs w:val="26"/>
        </w:rPr>
      </w:pPr>
      <w:r w:rsidRPr="00317695">
        <w:rPr>
          <w:rStyle w:val="Strong"/>
          <w:sz w:val="26"/>
          <w:szCs w:val="26"/>
        </w:rPr>
        <w:t xml:space="preserve">Tiêu chí: </w:t>
      </w:r>
      <w:r w:rsidR="0008323B" w:rsidRPr="00317695">
        <w:rPr>
          <w:rStyle w:val="Strong"/>
          <w:sz w:val="26"/>
          <w:szCs w:val="26"/>
        </w:rPr>
        <w:t xml:space="preserve">Nội dung quy định được phản ánh tạo gánh nặng chi phí tuân thủ; </w:t>
      </w:r>
    </w:p>
    <w:p w14:paraId="101248E6" w14:textId="77777777" w:rsidR="0008323B" w:rsidRPr="00317695" w:rsidRDefault="0008323B" w:rsidP="0008323B">
      <w:pPr>
        <w:pStyle w:val="NormalWeb"/>
        <w:spacing w:before="0" w:beforeAutospacing="0" w:after="0" w:afterAutospacing="0"/>
        <w:jc w:val="center"/>
        <w:divId w:val="120265279"/>
        <w:rPr>
          <w:rStyle w:val="Strong"/>
          <w:sz w:val="26"/>
          <w:szCs w:val="26"/>
        </w:rPr>
      </w:pPr>
      <w:r w:rsidRPr="00317695">
        <w:rPr>
          <w:rStyle w:val="Strong"/>
          <w:sz w:val="26"/>
          <w:szCs w:val="26"/>
        </w:rPr>
        <w:t xml:space="preserve">chưa có quy định hoặc có quy định của VBQPPL nhưng hạn chế việc đổi mới sáng tạo, </w:t>
      </w:r>
    </w:p>
    <w:p w14:paraId="28835B59" w14:textId="77777777" w:rsidR="0008323B" w:rsidRPr="00317695" w:rsidRDefault="0008323B" w:rsidP="0008323B">
      <w:pPr>
        <w:pStyle w:val="NormalWeb"/>
        <w:spacing w:before="0" w:beforeAutospacing="0" w:after="0" w:afterAutospacing="0"/>
        <w:jc w:val="center"/>
        <w:divId w:val="120265279"/>
        <w:rPr>
          <w:rStyle w:val="Strong"/>
          <w:sz w:val="26"/>
          <w:szCs w:val="26"/>
        </w:rPr>
      </w:pPr>
      <w:r w:rsidRPr="00317695">
        <w:rPr>
          <w:rStyle w:val="Strong"/>
          <w:sz w:val="26"/>
          <w:szCs w:val="26"/>
        </w:rPr>
        <w:t>phát triển động lực tăng trưởng mới, khơi thông nguồn lực, thúc đẩy tăng trưởng kinh tế và hội nhập quốc tế</w:t>
      </w:r>
    </w:p>
    <w:p w14:paraId="2920F8ED" w14:textId="77777777" w:rsidR="00863550" w:rsidRPr="00317695" w:rsidRDefault="004D1B06" w:rsidP="0008323B">
      <w:pPr>
        <w:pStyle w:val="NormalWeb"/>
        <w:spacing w:before="0" w:beforeAutospacing="0" w:after="0" w:afterAutospacing="0"/>
        <w:jc w:val="center"/>
        <w:divId w:val="120265279"/>
        <w:rPr>
          <w:rStyle w:val="Strong"/>
          <w:sz w:val="26"/>
          <w:szCs w:val="26"/>
        </w:rPr>
      </w:pPr>
      <w:r w:rsidRPr="00317695">
        <w:rPr>
          <w:rStyle w:val="Strong"/>
          <w:sz w:val="26"/>
          <w:szCs w:val="26"/>
        </w:rPr>
        <w:t xml:space="preserve">Nhóm </w:t>
      </w:r>
      <w:r w:rsidR="00A16CB6" w:rsidRPr="00317695">
        <w:rPr>
          <w:rStyle w:val="Strong"/>
          <w:sz w:val="26"/>
          <w:szCs w:val="26"/>
        </w:rPr>
        <w:t>A.</w:t>
      </w:r>
      <w:r w:rsidR="00A16CB6" w:rsidRPr="00317695">
        <w:rPr>
          <w:sz w:val="26"/>
          <w:szCs w:val="26"/>
        </w:rPr>
        <w:t xml:space="preserve"> </w:t>
      </w:r>
      <w:r w:rsidR="00863550" w:rsidRPr="00317695">
        <w:rPr>
          <w:rStyle w:val="Strong"/>
          <w:sz w:val="26"/>
          <w:szCs w:val="26"/>
        </w:rPr>
        <w:t xml:space="preserve">Nhóm các nội dung cho ý kiến nhất trí và đề xuất xử lý theo phương án, quy trình nêu </w:t>
      </w:r>
    </w:p>
    <w:p w14:paraId="4829CFEE" w14:textId="77777777" w:rsidR="00D6559C" w:rsidRPr="00317695" w:rsidRDefault="00863550" w:rsidP="003E2068">
      <w:pPr>
        <w:pStyle w:val="NormalWeb"/>
        <w:spacing w:before="0" w:beforeAutospacing="0" w:after="0" w:afterAutospacing="0"/>
        <w:jc w:val="center"/>
        <w:divId w:val="120265279"/>
        <w:rPr>
          <w:rStyle w:val="Strong"/>
          <w:sz w:val="26"/>
          <w:szCs w:val="26"/>
        </w:rPr>
      </w:pPr>
      <w:r w:rsidRPr="00317695">
        <w:rPr>
          <w:rStyle w:val="Strong"/>
          <w:sz w:val="26"/>
          <w:szCs w:val="26"/>
        </w:rPr>
        <w:t>tại khoản 1 Điều 4 Nghị quyết số 206/2025/QH15 (thực hiệ</w:t>
      </w:r>
      <w:r w:rsidR="003E2068" w:rsidRPr="00317695">
        <w:rPr>
          <w:rStyle w:val="Strong"/>
          <w:sz w:val="26"/>
          <w:szCs w:val="26"/>
        </w:rPr>
        <w:t>n trong năm 2025)</w:t>
      </w:r>
    </w:p>
    <w:p w14:paraId="7CF6DE11" w14:textId="65BDE389" w:rsidR="00D11A7B" w:rsidRPr="008511D3" w:rsidRDefault="00D11A7B" w:rsidP="00D11A7B">
      <w:pPr>
        <w:pStyle w:val="NormalWeb"/>
        <w:divId w:val="120265279"/>
        <w:rPr>
          <w:i/>
          <w:sz w:val="26"/>
          <w:szCs w:val="26"/>
          <w:lang w:val="vi-VN"/>
        </w:rPr>
      </w:pPr>
      <w:r>
        <w:rPr>
          <w:i/>
          <w:iCs/>
          <w:sz w:val="26"/>
          <w:szCs w:val="26"/>
          <w:lang w:val="de-DE"/>
        </w:rPr>
        <w:t xml:space="preserve">                  </w:t>
      </w:r>
      <w:r w:rsidR="00BB3E1A">
        <w:rPr>
          <w:i/>
          <w:iCs/>
          <w:sz w:val="26"/>
          <w:szCs w:val="26"/>
          <w:lang w:val="de-DE"/>
        </w:rPr>
        <w:t xml:space="preserve">                      </w:t>
      </w:r>
    </w:p>
    <w:p w14:paraId="50A0CF64" w14:textId="16514DFE" w:rsidR="00F34456" w:rsidRPr="00317695" w:rsidRDefault="0076629E" w:rsidP="003E2068">
      <w:pPr>
        <w:pStyle w:val="NormalWeb"/>
        <w:spacing w:before="0" w:beforeAutospacing="0" w:after="0" w:afterAutospacing="0"/>
        <w:jc w:val="center"/>
        <w:divId w:val="120265279"/>
        <w:rPr>
          <w:b/>
          <w:bCs/>
          <w:sz w:val="26"/>
          <w:szCs w:val="26"/>
        </w:rPr>
      </w:pPr>
      <w:r w:rsidRPr="00317695">
        <w:rPr>
          <w:i/>
          <w:iCs/>
          <w:noProof/>
          <w:sz w:val="26"/>
          <w:szCs w:val="26"/>
        </w:rPr>
        <mc:AlternateContent>
          <mc:Choice Requires="wps">
            <w:drawing>
              <wp:anchor distT="0" distB="0" distL="114300" distR="114300" simplePos="0" relativeHeight="251659264" behindDoc="0" locked="0" layoutInCell="1" allowOverlap="1" wp14:anchorId="06A7F857" wp14:editId="250F1384">
                <wp:simplePos x="0" y="0"/>
                <wp:positionH relativeFrom="column">
                  <wp:posOffset>3522345</wp:posOffset>
                </wp:positionH>
                <wp:positionV relativeFrom="paragraph">
                  <wp:posOffset>27940</wp:posOffset>
                </wp:positionV>
                <wp:extent cx="23141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620E35"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35pt,2.2pt" to="459.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" strokecolor="black [3200]" strokeweight=".5pt">
                <v:stroke joinstyle="miter"/>
              </v:line>
            </w:pict>
          </mc:Fallback>
        </mc:AlternateContent>
      </w:r>
    </w:p>
    <w:tbl>
      <w:tblPr>
        <w:tblW w:w="15026"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1671"/>
        <w:gridCol w:w="5045"/>
        <w:gridCol w:w="1559"/>
        <w:gridCol w:w="851"/>
        <w:gridCol w:w="1984"/>
        <w:gridCol w:w="3260"/>
      </w:tblGrid>
      <w:tr w:rsidR="00804662" w:rsidRPr="00317695" w14:paraId="06131F08" w14:textId="77777777" w:rsidTr="00804662">
        <w:trPr>
          <w:divId w:val="1330596125"/>
          <w:trHeight w:val="1317"/>
          <w:tblHeader/>
          <w:tblCellSpacing w:w="0" w:type="dxa"/>
        </w:trPr>
        <w:tc>
          <w:tcPr>
            <w:tcW w:w="656" w:type="dxa"/>
            <w:shd w:val="clear" w:color="auto" w:fill="FBE4D5" w:themeFill="accent2" w:themeFillTint="33"/>
            <w:hideMark/>
          </w:tcPr>
          <w:p w14:paraId="3F26BAEE"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STT</w:t>
            </w:r>
          </w:p>
        </w:tc>
        <w:tc>
          <w:tcPr>
            <w:tcW w:w="1671" w:type="dxa"/>
            <w:shd w:val="clear" w:color="auto" w:fill="FBE4D5" w:themeFill="accent2" w:themeFillTint="33"/>
            <w:hideMark/>
          </w:tcPr>
          <w:p w14:paraId="4BDE0391"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Điều, khoản, điểm, tên văn bản đề xuất </w:t>
            </w:r>
          </w:p>
          <w:p w14:paraId="1F3BB9FA"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xử lý</w:t>
            </w:r>
          </w:p>
        </w:tc>
        <w:tc>
          <w:tcPr>
            <w:tcW w:w="5045" w:type="dxa"/>
            <w:shd w:val="clear" w:color="auto" w:fill="FBE4D5" w:themeFill="accent2" w:themeFillTint="33"/>
            <w:hideMark/>
          </w:tcPr>
          <w:p w14:paraId="515A7FAA" w14:textId="77777777" w:rsidR="00804662" w:rsidRPr="00317695" w:rsidRDefault="00804662" w:rsidP="00937B3A">
            <w:pPr>
              <w:spacing w:after="0"/>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Nội dung quy định</w:t>
            </w:r>
          </w:p>
          <w:p w14:paraId="17E0806A" w14:textId="77777777" w:rsidR="00804662" w:rsidRPr="00317695" w:rsidRDefault="00804662" w:rsidP="00937B3A">
            <w:pPr>
              <w:spacing w:after="0"/>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559" w:type="dxa"/>
            <w:shd w:val="clear" w:color="auto" w:fill="FBE4D5" w:themeFill="accent2" w:themeFillTint="33"/>
            <w:hideMark/>
          </w:tcPr>
          <w:p w14:paraId="1AAB2C51"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Phương án </w:t>
            </w:r>
          </w:p>
          <w:p w14:paraId="33CFCFAE"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xử lý được </w:t>
            </w:r>
          </w:p>
          <w:p w14:paraId="465F1F27"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đề xuất</w:t>
            </w:r>
          </w:p>
        </w:tc>
        <w:tc>
          <w:tcPr>
            <w:tcW w:w="851" w:type="dxa"/>
            <w:shd w:val="clear" w:color="auto" w:fill="FBE4D5" w:themeFill="accent2" w:themeFillTint="33"/>
            <w:hideMark/>
          </w:tcPr>
          <w:p w14:paraId="4A3AE5F2"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Cơ quan, tổ chức</w:t>
            </w:r>
          </w:p>
          <w:p w14:paraId="50945964"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rà soát, phản ánh</w:t>
            </w:r>
          </w:p>
        </w:tc>
        <w:tc>
          <w:tcPr>
            <w:tcW w:w="1984" w:type="dxa"/>
            <w:shd w:val="clear" w:color="auto" w:fill="FBE4D5" w:themeFill="accent2" w:themeFillTint="33"/>
            <w:hideMark/>
          </w:tcPr>
          <w:p w14:paraId="6636416B"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Ý kiến của Bộ Khoa học </w:t>
            </w:r>
          </w:p>
          <w:p w14:paraId="4A789BE2"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và Công nghệ về nội dung</w:t>
            </w:r>
          </w:p>
          <w:p w14:paraId="10010A2A" w14:textId="77777777" w:rsidR="00804662" w:rsidRPr="00317695" w:rsidRDefault="00804662" w:rsidP="00937B3A">
            <w:pPr>
              <w:spacing w:after="0" w:line="240" w:lineRule="auto"/>
              <w:ind w:left="57" w:right="57"/>
              <w:jc w:val="center"/>
              <w:rPr>
                <w:rFonts w:ascii="Times New Roman" w:eastAsia="Times New Roman" w:hAnsi="Times New Roman" w:cs="Times New Roman"/>
                <w:b/>
                <w:bCs/>
                <w:sz w:val="26"/>
                <w:szCs w:val="26"/>
              </w:rPr>
            </w:pPr>
            <w:r w:rsidRPr="00317695">
              <w:rPr>
                <w:rFonts w:ascii="Times New Roman" w:eastAsia="Times New Roman" w:hAnsi="Times New Roman" w:cs="Times New Roman"/>
                <w:b/>
                <w:bCs/>
                <w:sz w:val="26"/>
                <w:szCs w:val="26"/>
              </w:rPr>
              <w:t xml:space="preserve"> rà soát, phản ánh</w:t>
            </w:r>
          </w:p>
        </w:tc>
        <w:tc>
          <w:tcPr>
            <w:tcW w:w="3260" w:type="dxa"/>
            <w:shd w:val="clear" w:color="auto" w:fill="FBE4D5" w:themeFill="accent2" w:themeFillTint="33"/>
          </w:tcPr>
          <w:p w14:paraId="12EFB7AA" w14:textId="2EF8D1D5" w:rsidR="00804662" w:rsidRPr="00317695" w:rsidRDefault="00804662" w:rsidP="00937B3A">
            <w:pPr>
              <w:spacing w:after="0" w:line="240" w:lineRule="auto"/>
              <w:ind w:left="57" w:right="57"/>
              <w:jc w:val="center"/>
              <w:rPr>
                <w:rFonts w:ascii="Times New Roman" w:hAnsi="Times New Roman" w:cs="Times New Roman"/>
                <w:b/>
                <w:bCs/>
                <w:sz w:val="26"/>
                <w:szCs w:val="26"/>
              </w:rPr>
            </w:pPr>
            <w:r w:rsidRPr="00317695">
              <w:rPr>
                <w:rFonts w:ascii="Times New Roman" w:hAnsi="Times New Roman" w:cs="Times New Roman"/>
                <w:b/>
                <w:bCs/>
                <w:sz w:val="26"/>
                <w:szCs w:val="26"/>
              </w:rPr>
              <w:t xml:space="preserve">Tình hình xử lý </w:t>
            </w:r>
          </w:p>
        </w:tc>
      </w:tr>
      <w:tr w:rsidR="00804662" w:rsidRPr="00317695" w14:paraId="7E8AFDC2" w14:textId="77777777" w:rsidTr="00804662">
        <w:trPr>
          <w:divId w:val="1330596125"/>
          <w:tblCellSpacing w:w="0" w:type="dxa"/>
        </w:trPr>
        <w:tc>
          <w:tcPr>
            <w:tcW w:w="656" w:type="dxa"/>
          </w:tcPr>
          <w:p w14:paraId="269A1D52"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671" w:type="dxa"/>
          </w:tcPr>
          <w:p w14:paraId="01639B19" w14:textId="77777777" w:rsidR="00804662" w:rsidRPr="00C3060B" w:rsidRDefault="00804662" w:rsidP="00804662">
            <w:pPr>
              <w:spacing w:before="60" w:after="60" w:line="240" w:lineRule="auto"/>
              <w:ind w:left="57" w:right="57"/>
              <w:jc w:val="both"/>
              <w:rPr>
                <w:rFonts w:ascii="Times New Roman" w:hAnsi="Times New Roman" w:cs="Times New Roman"/>
                <w:sz w:val="26"/>
                <w:szCs w:val="26"/>
                <w:highlight w:val="yellow"/>
              </w:rPr>
            </w:pPr>
            <w:r w:rsidRPr="00C3060B">
              <w:rPr>
                <w:rFonts w:ascii="Times New Roman" w:hAnsi="Times New Roman" w:cs="Times New Roman"/>
                <w:b/>
                <w:sz w:val="26"/>
                <w:szCs w:val="26"/>
                <w:highlight w:val="yellow"/>
              </w:rPr>
              <w:t>Luật Chuyển giao công nghệ</w:t>
            </w:r>
            <w:r w:rsidRPr="00C3060B">
              <w:rPr>
                <w:rFonts w:ascii="Times New Roman" w:hAnsi="Times New Roman" w:cs="Times New Roman"/>
                <w:sz w:val="26"/>
                <w:szCs w:val="26"/>
                <w:highlight w:val="yellow"/>
              </w:rPr>
              <w:t xml:space="preserve"> năm 2017</w:t>
            </w:r>
          </w:p>
        </w:tc>
        <w:tc>
          <w:tcPr>
            <w:tcW w:w="5045" w:type="dxa"/>
          </w:tcPr>
          <w:p w14:paraId="6541CC6C"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 xml:space="preserve">Ban hành cách đây gần 8 năm, Luật hiện tại không còn theo kịp thực tiễn phát triển công nghệ và hệ sinh thái đổi mới sáng tạo.Trong bối cảnh chuyển đổi số, nhiều loại hình công nghệ mới như trí tuệ nhân tạo (AI), blockchain, công nghệ sinh học... chưa được quy định rõ ràng về chế tài, phạm vi chuyển giao. Vấn đề sở hữu và định giá công nghệ công lập (hình thành từ ngân sách nhà nước) chưa có hướng dẫn cụ thể, gây lúng túng cho tổ chức KH&amp;CN công lập </w:t>
            </w:r>
            <w:r w:rsidRPr="00317695">
              <w:rPr>
                <w:rFonts w:ascii="Times New Roman" w:hAnsi="Times New Roman" w:cs="Times New Roman"/>
                <w:sz w:val="26"/>
                <w:szCs w:val="26"/>
              </w:rPr>
              <w:lastRenderedPageBreak/>
              <w:t>khi muốn chuyển giao cho doanh nghiệp. Các thủ tục xác nhận hoạt động chuyển giao công nghệ còn thủ công, nhiều bước giấy tờ, làm chậm quá trình triển khai dự án đổi mới công nghệ. Đặc biệt, quy định về thẩm định công nghệ trong dự án đầu tư tại Điều 28 Luật Chuyển giao công nghệ còn chung chung, thiếu nội dung cụ thể về đối tượng, quy trình, tiêu chí và thẩm quyền, không có cơ chế phối hợp liên ngành. Nhiều địa phương bỏ qua hoặc làm hình thức, dẫn đến công nghệ lạc hậu, ô nhiễm vẫn được đầu tư. Bên cạnh đó, các giai đoạn đầu tư được đề cập đến trong Luật Chuyển giao công nghệ năm 2017, hiện nay không được đồng bộ trong các quy định về đầu tư, nên chưa có cơ sở pháp lý vững chắc để xác định giai đoạn đầu tư.</w:t>
            </w:r>
          </w:p>
        </w:tc>
        <w:tc>
          <w:tcPr>
            <w:tcW w:w="1559" w:type="dxa"/>
          </w:tcPr>
          <w:p w14:paraId="284C29DF"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 xml:space="preserve">C. Sửa đổi, bổ sung, thay thế, ban hành mới VBQPPL (theo trình tự, thủ tục rút gọn ban hành VBQPPL của Luật Ban </w:t>
            </w:r>
            <w:r w:rsidRPr="00317695">
              <w:rPr>
                <w:rFonts w:ascii="Times New Roman" w:hAnsi="Times New Roman" w:cs="Times New Roman"/>
                <w:sz w:val="26"/>
                <w:szCs w:val="26"/>
              </w:rPr>
              <w:lastRenderedPageBreak/>
              <w:t>hành VBQPPL)</w:t>
            </w:r>
          </w:p>
        </w:tc>
        <w:tc>
          <w:tcPr>
            <w:tcW w:w="851" w:type="dxa"/>
          </w:tcPr>
          <w:p w14:paraId="0CEF1EC4"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Sở Tư pháp tỉnh Tây Ninh</w:t>
            </w:r>
          </w:p>
        </w:tc>
        <w:tc>
          <w:tcPr>
            <w:tcW w:w="1984" w:type="dxa"/>
          </w:tcPr>
          <w:p w14:paraId="4C7BF502"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Nhất trí với nội dung phản ánh và phương án xử lý.</w:t>
            </w:r>
          </w:p>
        </w:tc>
        <w:tc>
          <w:tcPr>
            <w:tcW w:w="3260" w:type="dxa"/>
          </w:tcPr>
          <w:p w14:paraId="0D0CFCAB" w14:textId="77777777" w:rsidR="00804662" w:rsidRPr="003648C3" w:rsidRDefault="00804662" w:rsidP="00804662">
            <w:pPr>
              <w:spacing w:line="240" w:lineRule="auto"/>
              <w:rPr>
                <w:rStyle w:val="Strong"/>
                <w:rFonts w:ascii="Times New Roman" w:hAnsi="Times New Roman" w:cs="Times New Roman"/>
                <w:kern w:val="0"/>
                <w:sz w:val="26"/>
                <w:szCs w:val="26"/>
              </w:rPr>
            </w:pPr>
            <w:r w:rsidRPr="003648C3">
              <w:rPr>
                <w:rStyle w:val="Strong"/>
                <w:rFonts w:ascii="Times New Roman" w:hAnsi="Times New Roman" w:cs="Times New Roman"/>
                <w:kern w:val="0"/>
                <w:sz w:val="26"/>
                <w:szCs w:val="26"/>
              </w:rPr>
              <w:t>Đã xử lý</w:t>
            </w:r>
          </w:p>
          <w:p w14:paraId="2968E9AC" w14:textId="4645D39C"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648C3">
              <w:rPr>
                <w:rStyle w:val="Strong"/>
                <w:rFonts w:ascii="Times New Roman" w:hAnsi="Times New Roman" w:cs="Times New Roman"/>
                <w:kern w:val="0"/>
                <w:sz w:val="26"/>
                <w:szCs w:val="26"/>
              </w:rPr>
              <w:t xml:space="preserve">Luật </w:t>
            </w:r>
            <w:r>
              <w:rPr>
                <w:rStyle w:val="Strong"/>
                <w:rFonts w:ascii="Times New Roman" w:hAnsi="Times New Roman" w:cs="Times New Roman"/>
                <w:kern w:val="0"/>
                <w:sz w:val="26"/>
                <w:szCs w:val="26"/>
              </w:rPr>
              <w:t xml:space="preserve">sửa đổi, bổ sung một số điều của Luật </w:t>
            </w:r>
            <w:r w:rsidRPr="003648C3">
              <w:rPr>
                <w:rStyle w:val="Strong"/>
                <w:rFonts w:ascii="Times New Roman" w:hAnsi="Times New Roman" w:cs="Times New Roman"/>
                <w:kern w:val="0"/>
                <w:sz w:val="26"/>
                <w:szCs w:val="26"/>
              </w:rPr>
              <w:t>Chuyển giao công nghệ được Quốc hội bấm nút thông qua ngày 10/12/2025</w:t>
            </w:r>
            <w:r>
              <w:rPr>
                <w:rStyle w:val="Strong"/>
                <w:rFonts w:ascii="Times New Roman" w:hAnsi="Times New Roman" w:cs="Times New Roman"/>
                <w:kern w:val="0"/>
                <w:sz w:val="26"/>
                <w:szCs w:val="26"/>
              </w:rPr>
              <w:t>. Luật được xây dựng để xử lý những khó khăn, vướng mắc và đáp ứng yêu cầu thực tiễn.</w:t>
            </w:r>
          </w:p>
        </w:tc>
      </w:tr>
      <w:tr w:rsidR="00804662" w:rsidRPr="00317695" w14:paraId="10A5FE40" w14:textId="77777777" w:rsidTr="00804662">
        <w:trPr>
          <w:divId w:val="1330596125"/>
          <w:tblCellSpacing w:w="0" w:type="dxa"/>
        </w:trPr>
        <w:tc>
          <w:tcPr>
            <w:tcW w:w="656" w:type="dxa"/>
          </w:tcPr>
          <w:p w14:paraId="3535EE58"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671" w:type="dxa"/>
          </w:tcPr>
          <w:p w14:paraId="71056AFA" w14:textId="77777777" w:rsidR="00804662" w:rsidRPr="00C3060B" w:rsidRDefault="00804662" w:rsidP="00804662">
            <w:pPr>
              <w:spacing w:before="60" w:after="60" w:line="240" w:lineRule="auto"/>
              <w:ind w:left="57" w:right="57"/>
              <w:jc w:val="both"/>
              <w:rPr>
                <w:rFonts w:ascii="Times New Roman" w:hAnsi="Times New Roman" w:cs="Times New Roman"/>
                <w:sz w:val="26"/>
                <w:szCs w:val="26"/>
                <w:highlight w:val="yellow"/>
              </w:rPr>
            </w:pPr>
            <w:r w:rsidRPr="00C3060B">
              <w:rPr>
                <w:rFonts w:ascii="Times New Roman" w:hAnsi="Times New Roman" w:cs="Times New Roman"/>
                <w:b/>
                <w:sz w:val="26"/>
                <w:szCs w:val="26"/>
                <w:highlight w:val="yellow"/>
              </w:rPr>
              <w:t>Nghị định số 76/2018/NĐ-CP</w:t>
            </w:r>
            <w:r w:rsidRPr="00C3060B">
              <w:rPr>
                <w:rFonts w:ascii="Times New Roman" w:hAnsi="Times New Roman" w:cs="Times New Roman"/>
                <w:sz w:val="26"/>
                <w:szCs w:val="26"/>
                <w:highlight w:val="yellow"/>
              </w:rPr>
              <w:t xml:space="preserve"> ngày 15/5/2018 của Chính phủ quy định chi </w:t>
            </w:r>
            <w:r w:rsidRPr="00C3060B">
              <w:rPr>
                <w:rFonts w:ascii="Times New Roman" w:hAnsi="Times New Roman" w:cs="Times New Roman"/>
                <w:sz w:val="26"/>
                <w:szCs w:val="26"/>
                <w:highlight w:val="yellow"/>
              </w:rPr>
              <w:lastRenderedPageBreak/>
              <w:t>tiết và hướng dẫn thi hành một số điều của Luật Chuyển giao công nghệ</w:t>
            </w:r>
          </w:p>
        </w:tc>
        <w:tc>
          <w:tcPr>
            <w:tcW w:w="5045" w:type="dxa"/>
          </w:tcPr>
          <w:p w14:paraId="77E5DDD2"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 xml:space="preserve">Nghị định liệt kê tên các công nghệ và sắp xếp vào 3 danh mục (khuyến khích chuyển giao, hạn chế chuyển giao và cấm chuyển giao); tuy nhiên, lại không có quy định về quản lý các đối tượng sử dụng các công nghệ thuộc các danh mục trên (đặc biệt là các đối tượng sử dụng </w:t>
            </w:r>
            <w:r w:rsidRPr="00317695">
              <w:rPr>
                <w:rFonts w:ascii="Times New Roman" w:hAnsi="Times New Roman" w:cs="Times New Roman"/>
                <w:sz w:val="26"/>
                <w:szCs w:val="26"/>
              </w:rPr>
              <w:lastRenderedPageBreak/>
              <w:t xml:space="preserve">công nghệ nằm trong danh mục công nghệ hạn chế chuyển giao). Cụ thể, đối với các dự án, cơ sở sản xuất sử dụng công nghệ hạn chế chuyển giao nên có quy định về đánh giá công nghệ hoặc giám định chất lượng công nghệ định kỳ; có quy định về nguồn lực doanh nghiệp phải dành để chi trả cho việc cải tiến công nghệ, đổi mới công nghệ hàng năm; đảm bảo sau lộ trình thời gian cụ thể, loại bỏ dần công nghệ hạn chế chuyển giao trong sản xuất kinh doanh. - Việc quy định quản lý, kiểm tra các công nghệ sau khi được cấp Giấy chứng nhận đăng ký chuyển giao, phục vụ cho công tác quản lý công nghệ, để sớm phát hiện các dấu hiệu vi phạm trong chuyển giao công nghệ; đảm bảo cả tính khả thi trong thực hiện các quy định của Luật Đầu tư năm 2020, Quyết định số 33/2023/QĐ-TTg ngày 19/12/2023 của Thủ tướng Chính phủ. Kiến nghị sửa đổi, bổ sung Nghị định số 76/2018/NĐ-CP ngày 15/5/2018 của Chính phủ quy định về quản lý các đối tượng sử dụng công nghệ; quy định về quản lý, kiểm tra các </w:t>
            </w:r>
            <w:r w:rsidRPr="00317695">
              <w:rPr>
                <w:rFonts w:ascii="Times New Roman" w:hAnsi="Times New Roman" w:cs="Times New Roman"/>
                <w:sz w:val="26"/>
                <w:szCs w:val="26"/>
              </w:rPr>
              <w:lastRenderedPageBreak/>
              <w:t>công nghệ sau khi được cấp Giấy chứng nhận đăng ký chuyển giao.</w:t>
            </w:r>
          </w:p>
        </w:tc>
        <w:tc>
          <w:tcPr>
            <w:tcW w:w="1559" w:type="dxa"/>
          </w:tcPr>
          <w:p w14:paraId="487BBBCC"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 xml:space="preserve">C. Sửa đổi, bổ sung, thay thế, ban hành mới VBQPPL (theo trình </w:t>
            </w:r>
            <w:r w:rsidRPr="00317695">
              <w:rPr>
                <w:rFonts w:ascii="Times New Roman" w:hAnsi="Times New Roman" w:cs="Times New Roman"/>
                <w:sz w:val="26"/>
                <w:szCs w:val="26"/>
              </w:rPr>
              <w:t>tự, thủ tục rút gọn ban hành VBQPPL của Luật Ban hành VBQPPL)</w:t>
            </w:r>
          </w:p>
        </w:tc>
        <w:tc>
          <w:tcPr>
            <w:tcW w:w="851" w:type="dxa"/>
          </w:tcPr>
          <w:p w14:paraId="4DE05A59"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Sở Tư pháp Thừa Thiên – Huế</w:t>
            </w:r>
          </w:p>
        </w:tc>
        <w:tc>
          <w:tcPr>
            <w:tcW w:w="1984" w:type="dxa"/>
          </w:tcPr>
          <w:p w14:paraId="32F6EEFC"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Nhất trí với nội dung phản ánh và phương án xử lý.</w:t>
            </w:r>
          </w:p>
        </w:tc>
        <w:tc>
          <w:tcPr>
            <w:tcW w:w="3260" w:type="dxa"/>
          </w:tcPr>
          <w:p w14:paraId="7CE9E27E" w14:textId="1EF3C4B7" w:rsidR="00804662" w:rsidRPr="00FE3C37" w:rsidRDefault="00804662" w:rsidP="00804662">
            <w:pPr>
              <w:spacing w:before="60" w:after="60" w:line="240" w:lineRule="auto"/>
              <w:ind w:right="57"/>
              <w:jc w:val="both"/>
              <w:rPr>
                <w:rStyle w:val="Strong"/>
                <w:rFonts w:ascii="Times New Roman" w:hAnsi="Times New Roman" w:cs="Times New Roman"/>
                <w:b w:val="0"/>
                <w:bCs w:val="0"/>
                <w:kern w:val="0"/>
                <w:sz w:val="26"/>
                <w:szCs w:val="26"/>
              </w:rPr>
            </w:pPr>
            <w:r w:rsidRPr="00FE3C37">
              <w:rPr>
                <w:rStyle w:val="Strong"/>
                <w:rFonts w:ascii="Times New Roman" w:hAnsi="Times New Roman" w:cs="Times New Roman"/>
                <w:kern w:val="0"/>
                <w:sz w:val="26"/>
                <w:szCs w:val="26"/>
              </w:rPr>
              <w:t xml:space="preserve">- </w:t>
            </w:r>
            <w:r w:rsidR="004C6C5A">
              <w:rPr>
                <w:rStyle w:val="Strong"/>
                <w:rFonts w:ascii="Times New Roman" w:hAnsi="Times New Roman" w:cs="Times New Roman"/>
                <w:kern w:val="0"/>
                <w:sz w:val="26"/>
                <w:szCs w:val="26"/>
              </w:rPr>
              <w:t>Chưa xử lý</w:t>
            </w:r>
            <w:r w:rsidRPr="00FE3C37">
              <w:rPr>
                <w:rStyle w:val="Strong"/>
                <w:rFonts w:ascii="Times New Roman" w:hAnsi="Times New Roman" w:cs="Times New Roman"/>
                <w:kern w:val="0"/>
                <w:sz w:val="26"/>
                <w:szCs w:val="26"/>
              </w:rPr>
              <w:t>.</w:t>
            </w:r>
          </w:p>
          <w:p w14:paraId="33A30139" w14:textId="77777777" w:rsidR="00804662" w:rsidRPr="00FE3C37" w:rsidRDefault="00804662" w:rsidP="00804662">
            <w:pPr>
              <w:spacing w:before="60" w:after="60" w:line="240" w:lineRule="auto"/>
              <w:ind w:right="57"/>
              <w:jc w:val="both"/>
              <w:rPr>
                <w:rStyle w:val="Strong"/>
                <w:rFonts w:ascii="Times New Roman" w:hAnsi="Times New Roman" w:cs="Times New Roman"/>
                <w:b w:val="0"/>
                <w:bCs w:val="0"/>
                <w:kern w:val="0"/>
                <w:sz w:val="26"/>
                <w:szCs w:val="26"/>
              </w:rPr>
            </w:pPr>
            <w:r w:rsidRPr="00FE3C37">
              <w:rPr>
                <w:rStyle w:val="Strong"/>
                <w:rFonts w:ascii="Times New Roman" w:hAnsi="Times New Roman" w:cs="Times New Roman"/>
                <w:kern w:val="0"/>
                <w:sz w:val="26"/>
                <w:szCs w:val="26"/>
              </w:rPr>
              <w:t xml:space="preserve">- Nghị định quy định chi tiết và  hướng dẫn Luật sửa đổi bổ sung (sửa đổi, bổ sung Nghị định số 76/2018/NĐ-CP) đã được bắt đầu xây </w:t>
            </w:r>
            <w:r w:rsidRPr="00FE3C37">
              <w:rPr>
                <w:rStyle w:val="Strong"/>
                <w:rFonts w:ascii="Times New Roman" w:hAnsi="Times New Roman" w:cs="Times New Roman"/>
                <w:kern w:val="0"/>
                <w:sz w:val="26"/>
                <w:szCs w:val="26"/>
              </w:rPr>
              <w:lastRenderedPageBreak/>
              <w:t>dựng để trình Chính phủ ban hành để có hiệu lực đồng thời với Luật vào 01/3/2025.</w:t>
            </w:r>
          </w:p>
          <w:p w14:paraId="0F72AE84" w14:textId="77777777" w:rsidR="00804662" w:rsidRPr="00FE3C37" w:rsidRDefault="00804662" w:rsidP="00804662">
            <w:pPr>
              <w:spacing w:before="60" w:after="60" w:line="240" w:lineRule="auto"/>
              <w:ind w:right="57"/>
              <w:jc w:val="both"/>
              <w:rPr>
                <w:rStyle w:val="Strong"/>
                <w:rFonts w:ascii="Times New Roman" w:hAnsi="Times New Roman" w:cs="Times New Roman"/>
                <w:b w:val="0"/>
                <w:bCs w:val="0"/>
                <w:kern w:val="0"/>
                <w:sz w:val="26"/>
                <w:szCs w:val="26"/>
              </w:rPr>
            </w:pPr>
            <w:r w:rsidRPr="00FE3C37">
              <w:rPr>
                <w:rStyle w:val="Strong"/>
                <w:rFonts w:ascii="Times New Roman" w:hAnsi="Times New Roman" w:cs="Times New Roman"/>
                <w:kern w:val="0"/>
                <w:sz w:val="26"/>
                <w:szCs w:val="26"/>
              </w:rPr>
              <w:t>- Bộ KHCN cũng đã  hướng dẫn áp dụng tại công văn số 5202/BKHCN-PC ngày 01/10/2025 của Bộ KHCN v/v  gửi kết quả rà soát, nội dung trả lời, hướng dẫn áp dụng đối với kiến nghị, phản ánh thuộc lĩnh vực quản lý nhà nước của Bộ Khoa học và Công nghệ.</w:t>
            </w:r>
          </w:p>
          <w:p w14:paraId="3D9DCA61" w14:textId="77777777" w:rsidR="00804662" w:rsidRPr="00FE3C37" w:rsidRDefault="00804662" w:rsidP="00804662">
            <w:pPr>
              <w:spacing w:before="60" w:after="60" w:line="240" w:lineRule="auto"/>
              <w:ind w:right="57"/>
              <w:jc w:val="both"/>
              <w:rPr>
                <w:rStyle w:val="Strong"/>
                <w:rFonts w:ascii="Times New Roman" w:hAnsi="Times New Roman" w:cs="Times New Roman"/>
                <w:b w:val="0"/>
                <w:bCs w:val="0"/>
                <w:kern w:val="0"/>
                <w:sz w:val="26"/>
                <w:szCs w:val="26"/>
              </w:rPr>
            </w:pPr>
            <w:r w:rsidRPr="00FE3C37">
              <w:rPr>
                <w:rStyle w:val="Strong"/>
                <w:rFonts w:ascii="Times New Roman" w:hAnsi="Times New Roman" w:cs="Times New Roman"/>
                <w:kern w:val="0"/>
                <w:sz w:val="26"/>
                <w:szCs w:val="26"/>
              </w:rPr>
              <w:t xml:space="preserve">- Nội dung hướng dẫn như sau: </w:t>
            </w:r>
          </w:p>
          <w:p w14:paraId="6969CF91" w14:textId="77777777" w:rsidR="00804662" w:rsidRPr="00FE3C37" w:rsidRDefault="00804662" w:rsidP="00804662">
            <w:pPr>
              <w:spacing w:before="60" w:after="60" w:line="240" w:lineRule="auto"/>
              <w:ind w:right="57"/>
              <w:jc w:val="both"/>
              <w:rPr>
                <w:rStyle w:val="Strong"/>
                <w:rFonts w:ascii="Times New Roman" w:hAnsi="Times New Roman" w:cs="Times New Roman"/>
                <w:b w:val="0"/>
                <w:bCs w:val="0"/>
                <w:kern w:val="0"/>
                <w:sz w:val="26"/>
                <w:szCs w:val="26"/>
              </w:rPr>
            </w:pPr>
            <w:r w:rsidRPr="00FE3C37">
              <w:rPr>
                <w:rStyle w:val="Strong"/>
                <w:rFonts w:ascii="Times New Roman" w:hAnsi="Times New Roman" w:cs="Times New Roman"/>
                <w:kern w:val="0"/>
                <w:sz w:val="26"/>
                <w:szCs w:val="26"/>
              </w:rPr>
              <w:t xml:space="preserve">(1) Nghị định số 76/2018/NĐ-CP ban hành 03 danh mục công nghệ (khuyến khích chuyển giao, hạn chế chuyển giao và cấm chuyển giao) nhằm phân loại để thực hiện các quy định về </w:t>
            </w:r>
            <w:r w:rsidRPr="00FE3C37">
              <w:rPr>
                <w:rStyle w:val="Strong"/>
                <w:rFonts w:ascii="Times New Roman" w:hAnsi="Times New Roman" w:cs="Times New Roman"/>
                <w:kern w:val="0"/>
                <w:sz w:val="26"/>
                <w:szCs w:val="26"/>
              </w:rPr>
              <w:lastRenderedPageBreak/>
              <w:t>quản lý và chính sách của Luật CGCN. Theo đó, các dối tượng công nghệ sẽ được áp dụng quy định quản lý và chính sách theo các trường hợp cụ thể.</w:t>
            </w:r>
          </w:p>
          <w:p w14:paraId="73C40B6A" w14:textId="1B4CCFD6" w:rsidR="00804662" w:rsidRPr="00317695" w:rsidRDefault="00804662" w:rsidP="00804662">
            <w:pPr>
              <w:spacing w:before="60" w:after="60" w:line="240" w:lineRule="auto"/>
              <w:ind w:left="57" w:right="57"/>
              <w:jc w:val="both"/>
              <w:rPr>
                <w:rFonts w:ascii="Times New Roman" w:hAnsi="Times New Roman" w:cs="Times New Roman"/>
                <w:sz w:val="26"/>
                <w:szCs w:val="26"/>
                <w:shd w:val="clear" w:color="auto" w:fill="FFFFFF"/>
              </w:rPr>
            </w:pPr>
            <w:r w:rsidRPr="00FE3C37">
              <w:rPr>
                <w:rStyle w:val="Strong"/>
                <w:rFonts w:ascii="Times New Roman" w:hAnsi="Times New Roman" w:cs="Times New Roman"/>
                <w:kern w:val="0"/>
                <w:sz w:val="26"/>
                <w:szCs w:val="26"/>
              </w:rPr>
              <w:t xml:space="preserve">(2) Kiến nghị: “cơ sở sản xuất sử dụng công nghệ hạn chế chuyển giao nên có quy định về đánh giá công nghệ hoặc giám định chất lượng công nghệ định kỳ; có quy định về nguồn lực doanh nghiệp phải dành để chi trả cho việc cải tiến công nghệ, đổi mới công nghệ hàng năm; đảm bảo sau lộ trình thời gian cụ thể, loại bỏ dần công nghệ hạn chế chuyển giao trong sản xuất kinh doanh” không phù hợp với quy đinh của pháp luật về </w:t>
            </w:r>
            <w:r w:rsidRPr="00FE3C37">
              <w:rPr>
                <w:rStyle w:val="Strong"/>
                <w:rFonts w:ascii="Times New Roman" w:hAnsi="Times New Roman" w:cs="Times New Roman"/>
                <w:kern w:val="0"/>
                <w:sz w:val="26"/>
                <w:szCs w:val="26"/>
              </w:rPr>
              <w:lastRenderedPageBreak/>
              <w:t xml:space="preserve">đầu tư và Luật CGCN hiện hành (chỉ đánh giá, thẩm định công nghệ trong giai đoạn chuẩn bị đầu tư. </w:t>
            </w:r>
          </w:p>
        </w:tc>
      </w:tr>
      <w:tr w:rsidR="00804662" w:rsidRPr="00317695" w14:paraId="2028F625" w14:textId="77777777" w:rsidTr="00804662">
        <w:trPr>
          <w:divId w:val="1330596125"/>
          <w:tblCellSpacing w:w="0" w:type="dxa"/>
        </w:trPr>
        <w:tc>
          <w:tcPr>
            <w:tcW w:w="656" w:type="dxa"/>
          </w:tcPr>
          <w:p w14:paraId="4B17A5A1"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671" w:type="dxa"/>
          </w:tcPr>
          <w:p w14:paraId="6539FD29" w14:textId="77777777" w:rsidR="00804662" w:rsidRPr="00C3060B" w:rsidRDefault="00804662" w:rsidP="00804662">
            <w:pPr>
              <w:spacing w:before="60" w:after="60" w:line="240" w:lineRule="auto"/>
              <w:ind w:left="57" w:right="57"/>
              <w:jc w:val="both"/>
              <w:rPr>
                <w:rFonts w:ascii="Times New Roman" w:hAnsi="Times New Roman" w:cs="Times New Roman"/>
                <w:color w:val="FF0000"/>
                <w:sz w:val="26"/>
                <w:szCs w:val="26"/>
              </w:rPr>
            </w:pPr>
            <w:r w:rsidRPr="00C3060B">
              <w:rPr>
                <w:rFonts w:ascii="Times New Roman" w:hAnsi="Times New Roman" w:cs="Times New Roman"/>
                <w:b/>
                <w:color w:val="FF0000"/>
                <w:sz w:val="26"/>
                <w:szCs w:val="26"/>
              </w:rPr>
              <w:t>Nghị định số 13/2019/NĐ-CP</w:t>
            </w:r>
            <w:r w:rsidRPr="00C3060B">
              <w:rPr>
                <w:rFonts w:ascii="Times New Roman" w:hAnsi="Times New Roman" w:cs="Times New Roman"/>
                <w:color w:val="FF0000"/>
                <w:sz w:val="26"/>
                <w:szCs w:val="26"/>
              </w:rPr>
              <w:t xml:space="preserve"> ngày 01/02/2019 của Chính phủ về Doanh nghiệp khoa học và công nghệ</w:t>
            </w:r>
          </w:p>
        </w:tc>
        <w:tc>
          <w:tcPr>
            <w:tcW w:w="5045" w:type="dxa"/>
          </w:tcPr>
          <w:p w14:paraId="7CB1E868"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Nghị định này được ban hành nhằm thúc đẩy phát triển doanh nghiệp KH&amp;CN, nhưng thực tiễn cho thấy tỷ lệ doanh nghiệp được công nhận rất thấp. Nguyên nhân chính là do điều kiện chứng nhận khắt khe (doanh thu từ sản phẩm KH&amp;CN), thiếu liên thông dữ liệu và thiếu ưu đãi thực chất. Các chính sách ưu đãi về thuế, tín dụng, đất đai gần như không thực thi được do thiếu hướng dẫn liên ngành. Nghị định cũng chưa tích hợp với hệ sinh thái đổi mới sáng tạo quốc gia, Luật Hỗ trợ DNNVV,</w:t>
            </w:r>
          </w:p>
        </w:tc>
        <w:tc>
          <w:tcPr>
            <w:tcW w:w="1559" w:type="dxa"/>
          </w:tcPr>
          <w:p w14:paraId="502DC7CE"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851" w:type="dxa"/>
          </w:tcPr>
          <w:p w14:paraId="07570494"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Sở Tư pháp tỉnh Tây Ninh</w:t>
            </w:r>
          </w:p>
        </w:tc>
        <w:tc>
          <w:tcPr>
            <w:tcW w:w="1984" w:type="dxa"/>
          </w:tcPr>
          <w:p w14:paraId="305753F8"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 xml:space="preserve">Nhất trí với nội dung phản ánh và phương án xử lý. </w:t>
            </w:r>
          </w:p>
          <w:p w14:paraId="213D1F65"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Bộ Khoa học và Công nghệ đã nghiên cứu, xây dựng dự thảo Nghị định thay thế NĐ 13/2019/NĐ-CP về doanh nghiệp khoa học và công nghệ và đang lấy ý kiến của các địa phương, bộ, ngành.</w:t>
            </w:r>
          </w:p>
        </w:tc>
        <w:tc>
          <w:tcPr>
            <w:tcW w:w="3260" w:type="dxa"/>
          </w:tcPr>
          <w:p w14:paraId="346D9161" w14:textId="6859FED6" w:rsidR="00804662" w:rsidRPr="00CC429F" w:rsidRDefault="00CC429F" w:rsidP="00804662">
            <w:pPr>
              <w:spacing w:before="60" w:after="60" w:line="240" w:lineRule="auto"/>
              <w:ind w:right="57"/>
              <w:jc w:val="both"/>
              <w:rPr>
                <w:rFonts w:ascii="Times New Roman" w:hAnsi="Times New Roman" w:cs="Times New Roman"/>
                <w:b/>
                <w:bCs/>
                <w:sz w:val="26"/>
                <w:szCs w:val="26"/>
              </w:rPr>
            </w:pPr>
            <w:r w:rsidRPr="00CC429F">
              <w:rPr>
                <w:rFonts w:ascii="Times New Roman" w:hAnsi="Times New Roman" w:cs="Times New Roman"/>
                <w:b/>
                <w:bCs/>
                <w:sz w:val="26"/>
                <w:szCs w:val="26"/>
              </w:rPr>
              <w:t>Đã xử lý</w:t>
            </w:r>
          </w:p>
          <w:p w14:paraId="7483025C" w14:textId="69495113" w:rsidR="00804662" w:rsidRPr="00CC429F" w:rsidRDefault="00CC429F" w:rsidP="00804662">
            <w:pPr>
              <w:spacing w:before="60" w:after="60" w:line="240" w:lineRule="auto"/>
              <w:ind w:left="57" w:right="57"/>
              <w:jc w:val="both"/>
              <w:rPr>
                <w:rFonts w:ascii="Times New Roman" w:hAnsi="Times New Roman" w:cs="Times New Roman"/>
                <w:sz w:val="26"/>
                <w:szCs w:val="26"/>
              </w:rPr>
            </w:pPr>
            <w:r w:rsidRPr="00CC429F">
              <w:rPr>
                <w:rFonts w:ascii="Times New Roman" w:hAnsi="Times New Roman" w:cs="Times New Roman"/>
                <w:color w:val="081B3A"/>
                <w:spacing w:val="3"/>
                <w:sz w:val="26"/>
                <w:szCs w:val="26"/>
                <w:shd w:val="clear" w:color="auto" w:fill="FFFFFF"/>
              </w:rPr>
              <w:t>Nghị định số 268/2025/NĐ-CP ngày 14/10/2025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tc>
      </w:tr>
      <w:tr w:rsidR="00804662" w:rsidRPr="00317695" w14:paraId="076B28DA" w14:textId="77777777" w:rsidTr="00804662">
        <w:trPr>
          <w:divId w:val="1330596125"/>
          <w:tblCellSpacing w:w="0" w:type="dxa"/>
        </w:trPr>
        <w:tc>
          <w:tcPr>
            <w:tcW w:w="656" w:type="dxa"/>
          </w:tcPr>
          <w:p w14:paraId="5E77B86A"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671" w:type="dxa"/>
          </w:tcPr>
          <w:p w14:paraId="31EAA595" w14:textId="77777777" w:rsidR="00804662" w:rsidRPr="00C3060B" w:rsidRDefault="00804662" w:rsidP="00804662">
            <w:pPr>
              <w:spacing w:before="60" w:after="60" w:line="240" w:lineRule="auto"/>
              <w:ind w:left="57" w:right="57"/>
              <w:jc w:val="both"/>
              <w:rPr>
                <w:rFonts w:ascii="Times New Roman" w:hAnsi="Times New Roman" w:cs="Times New Roman"/>
                <w:color w:val="FF0000"/>
                <w:sz w:val="26"/>
                <w:szCs w:val="26"/>
              </w:rPr>
            </w:pPr>
            <w:r w:rsidRPr="00C3060B">
              <w:rPr>
                <w:rFonts w:ascii="Times New Roman" w:hAnsi="Times New Roman" w:cs="Times New Roman"/>
                <w:color w:val="FF0000"/>
                <w:sz w:val="26"/>
                <w:szCs w:val="26"/>
              </w:rPr>
              <w:t xml:space="preserve">Điều 9 </w:t>
            </w:r>
            <w:r w:rsidRPr="00C3060B">
              <w:rPr>
                <w:rFonts w:ascii="Times New Roman" w:hAnsi="Times New Roman" w:cs="Times New Roman"/>
                <w:b/>
                <w:color w:val="FF0000"/>
                <w:sz w:val="26"/>
                <w:szCs w:val="26"/>
              </w:rPr>
              <w:t>Nghị định số 73/2019/NĐ-CP</w:t>
            </w:r>
            <w:r w:rsidRPr="00C3060B">
              <w:rPr>
                <w:rFonts w:ascii="Times New Roman" w:hAnsi="Times New Roman" w:cs="Times New Roman"/>
                <w:color w:val="FF0000"/>
                <w:sz w:val="26"/>
                <w:szCs w:val="26"/>
              </w:rPr>
              <w:t xml:space="preserve"> (được sửa đổi, bổ sung bởi Nghị định số 82/2024/NĐ-CP) quy trình thực hiện dự án CNTT gồm: 1. Trình tự đầu tư dự án đầu tư ứng dụng công nghệ thông tin bao gồm các giai đoạn: a) Chuẩn bị đầu tư; b) Thực hiện đầu tư; c) </w:t>
            </w:r>
            <w:r w:rsidRPr="00C3060B">
              <w:rPr>
                <w:rFonts w:ascii="Times New Roman" w:hAnsi="Times New Roman" w:cs="Times New Roman"/>
                <w:color w:val="FF0000"/>
                <w:sz w:val="26"/>
                <w:szCs w:val="26"/>
              </w:rPr>
              <w:lastRenderedPageBreak/>
              <w:t>Kết thúc đầu tư.</w:t>
            </w:r>
          </w:p>
        </w:tc>
        <w:tc>
          <w:tcPr>
            <w:tcW w:w="5045" w:type="dxa"/>
          </w:tcPr>
          <w:p w14:paraId="11DF0E43"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 xml:space="preserve">Chưa có quy định rõ về nội dung, thời gian thẩm định, quyết định dự án. Một số quy định về quy trình, thủ tục thẩm định thiết kế của dự án chưa tối ưu, còn nhiều bước thủ tục dẫn tới việc thực thi không thống nhất, chưa đồng bộ, vẫn còn tình trạng thực tế thời gian thẩm định, phê duyệt kéo dài. Chưa có hướng dẫn về trường hợp dự án lập thiết kế 01 bước, dẫn đến khó khăn trong việc triển khai. Hiện tại, thiếu hướng dẫn cụ thể về loại hồ sơ mời thầu cho các gói thầu xây dựng, phát triển, nâng cấp, mở rộng phần mềm nội bộ. Việc áp dụng sử dụng mẫu hồ sơ mời thầu chưa nhất quán, khi làm hồ sơ mời thầu gói thầu mua sắm hàng hóa, khi là dịch vụ tư vấn. Đề nghị có quy định thống nhất loại hồ sơ mời thầu áp dụng cho phần mềm nội bộ. Quy định đối với dự án phần mềm nội bộ, việc thiết kế và triển khai một phần mềm do 02 nhà thầu tách biệt chưa phù hợp với đặc thù của dự án (phần mềm đòi hỏi tính linh hoạt trong thiết kế để đáp ứng với thực tế triển khai là thiết </w:t>
            </w:r>
            <w:r w:rsidRPr="00317695">
              <w:rPr>
                <w:rFonts w:ascii="Times New Roman" w:hAnsi="Times New Roman" w:cs="Times New Roman"/>
                <w:sz w:val="26"/>
                <w:szCs w:val="26"/>
              </w:rPr>
              <w:lastRenderedPageBreak/>
              <w:t>kế phần mềm thay đổi liên tục trong quá trình thực hiện)</w:t>
            </w:r>
          </w:p>
        </w:tc>
        <w:tc>
          <w:tcPr>
            <w:tcW w:w="1559" w:type="dxa"/>
          </w:tcPr>
          <w:p w14:paraId="3532DE9B"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851" w:type="dxa"/>
          </w:tcPr>
          <w:p w14:paraId="7B92B7F9"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Văn phòng Chính phủ</w:t>
            </w:r>
          </w:p>
        </w:tc>
        <w:tc>
          <w:tcPr>
            <w:tcW w:w="1984" w:type="dxa"/>
          </w:tcPr>
          <w:p w14:paraId="46A8B93A"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Nhất trí với nội dung phản ánh và phương án xử lý.</w:t>
            </w:r>
          </w:p>
        </w:tc>
        <w:tc>
          <w:tcPr>
            <w:tcW w:w="3260" w:type="dxa"/>
          </w:tcPr>
          <w:p w14:paraId="0A049CD4" w14:textId="77777777" w:rsidR="00804662" w:rsidRPr="00317695" w:rsidRDefault="00804662" w:rsidP="00804662">
            <w:pPr>
              <w:spacing w:before="60" w:after="60" w:line="240" w:lineRule="auto"/>
              <w:ind w:right="57"/>
              <w:jc w:val="both"/>
              <w:rPr>
                <w:rFonts w:ascii="Times New Roman" w:hAnsi="Times New Roman" w:cs="Times New Roman"/>
                <w:sz w:val="26"/>
                <w:szCs w:val="26"/>
              </w:rPr>
            </w:pPr>
            <w:r w:rsidRPr="00317695">
              <w:rPr>
                <w:rFonts w:ascii="Times New Roman" w:hAnsi="Times New Roman" w:cs="Times New Roman"/>
                <w:b/>
                <w:sz w:val="26"/>
                <w:szCs w:val="26"/>
              </w:rPr>
              <w:t>Đã xử lý.</w:t>
            </w:r>
            <w:r w:rsidRPr="00317695">
              <w:rPr>
                <w:rFonts w:ascii="Times New Roman" w:hAnsi="Times New Roman" w:cs="Times New Roman"/>
                <w:sz w:val="26"/>
                <w:szCs w:val="26"/>
              </w:rPr>
              <w:t xml:space="preserve"> </w:t>
            </w:r>
          </w:p>
          <w:p w14:paraId="6E011547" w14:textId="77777777" w:rsidR="00804662" w:rsidRPr="00317695" w:rsidRDefault="00804662" w:rsidP="00804662">
            <w:pPr>
              <w:spacing w:before="60" w:after="60" w:line="240" w:lineRule="auto"/>
              <w:ind w:right="57"/>
              <w:jc w:val="both"/>
              <w:rPr>
                <w:rFonts w:ascii="Times New Roman" w:hAnsi="Times New Roman" w:cs="Times New Roman"/>
                <w:sz w:val="26"/>
                <w:szCs w:val="26"/>
              </w:rPr>
            </w:pPr>
            <w:r w:rsidRPr="00317695">
              <w:rPr>
                <w:rFonts w:ascii="Times New Roman" w:hAnsi="Times New Roman" w:cs="Times New Roman"/>
                <w:sz w:val="26"/>
                <w:szCs w:val="26"/>
              </w:rPr>
              <w:t>- Chính phủ đã ban hành Nghị quyết số 04/2025/NQ-CP ngày 20/8/2025 về tháo gỡ khó khăn, vướng mắc trong triển khai các dự án, nhiệm vụ ứng dụng công nghệ thông tin sử dụng nguồn vốn ngân sách nhà nước.</w:t>
            </w:r>
          </w:p>
          <w:p w14:paraId="21D195EA" w14:textId="3A9A41B3"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Nghị quyết này đã quy định tại Điều 2, Điều 4, Điều 5 để giải quyết được tất cả các vướng mắc đã nêu, phản ánh.</w:t>
            </w:r>
          </w:p>
        </w:tc>
      </w:tr>
      <w:tr w:rsidR="00804662" w:rsidRPr="00317695" w14:paraId="6CDB6782" w14:textId="77777777" w:rsidTr="00804662">
        <w:trPr>
          <w:divId w:val="1330596125"/>
          <w:tblCellSpacing w:w="0" w:type="dxa"/>
        </w:trPr>
        <w:tc>
          <w:tcPr>
            <w:tcW w:w="656" w:type="dxa"/>
          </w:tcPr>
          <w:p w14:paraId="350AD8A9"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671" w:type="dxa"/>
          </w:tcPr>
          <w:p w14:paraId="7C26A9D7" w14:textId="77777777" w:rsidR="00804662" w:rsidRPr="00C3060B" w:rsidRDefault="00804662" w:rsidP="00804662">
            <w:pPr>
              <w:spacing w:before="60" w:after="60" w:line="240" w:lineRule="auto"/>
              <w:ind w:left="57" w:right="57"/>
              <w:jc w:val="both"/>
              <w:rPr>
                <w:rFonts w:ascii="Times New Roman" w:hAnsi="Times New Roman" w:cs="Times New Roman"/>
                <w:color w:val="FF0000"/>
                <w:sz w:val="26"/>
                <w:szCs w:val="26"/>
              </w:rPr>
            </w:pPr>
            <w:r w:rsidRPr="00C3060B">
              <w:rPr>
                <w:rFonts w:ascii="Times New Roman" w:hAnsi="Times New Roman" w:cs="Times New Roman"/>
                <w:color w:val="FF0000"/>
                <w:sz w:val="26"/>
                <w:szCs w:val="26"/>
              </w:rPr>
              <w:t xml:space="preserve">Khoản 2 Điều 19 </w:t>
            </w:r>
            <w:r w:rsidRPr="00C3060B">
              <w:rPr>
                <w:rFonts w:ascii="Times New Roman" w:hAnsi="Times New Roman" w:cs="Times New Roman"/>
                <w:b/>
                <w:color w:val="FF0000"/>
                <w:sz w:val="26"/>
                <w:szCs w:val="26"/>
              </w:rPr>
              <w:t>Nghị định số 73/2019/NĐ-CP</w:t>
            </w:r>
            <w:r w:rsidRPr="00C3060B">
              <w:rPr>
                <w:rFonts w:ascii="Times New Roman" w:hAnsi="Times New Roman" w:cs="Times New Roman"/>
                <w:color w:val="FF0000"/>
                <w:sz w:val="26"/>
                <w:szCs w:val="26"/>
              </w:rPr>
              <w:t xml:space="preserve"> (được sửa đổi, bổ sung bởi Nghị định số 82/2024/NĐ-CP)</w:t>
            </w:r>
          </w:p>
        </w:tc>
        <w:tc>
          <w:tcPr>
            <w:tcW w:w="5045" w:type="dxa"/>
          </w:tcPr>
          <w:p w14:paraId="724E8883"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Phương pháp xác định các chi phí tư vấn (lập dự án, lập thiết kế, lập hồ sơ mời thầu, đánh giá HSDT, giám sát thực hiện…) được xác định theo mức chi phí tỷ lệ; phương pháp xác định chi phí phần mềm nội bộ được xác định theo phương pháp tính chi phí (usecase) chưa phù hợp với thị trường, định mức chi phí thấp, không còn phù hợp với sự phát triển công nghệ hiện nay</w:t>
            </w:r>
          </w:p>
        </w:tc>
        <w:tc>
          <w:tcPr>
            <w:tcW w:w="1559" w:type="dxa"/>
          </w:tcPr>
          <w:p w14:paraId="49D8054C"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Style w:val="Strong"/>
                <w:rFonts w:ascii="Times New Roman" w:hAnsi="Times New Roman" w:cs="Times New Roman"/>
                <w:b w:val="0"/>
                <w:bCs w:val="0"/>
                <w:sz w:val="26"/>
                <w:szCs w:val="26"/>
              </w:rPr>
              <w:t>C. Sửa đổi, bổ sung, thay thế, ban hành mới VBQPPL (theo trình tự, thủ tục rút gọn ban hành VBQPPL của Luật Ban hành VBQPPL)</w:t>
            </w:r>
          </w:p>
        </w:tc>
        <w:tc>
          <w:tcPr>
            <w:tcW w:w="851" w:type="dxa"/>
          </w:tcPr>
          <w:p w14:paraId="7F500A40"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shd w:val="clear" w:color="auto" w:fill="FFFFFF"/>
              </w:rPr>
              <w:t>Văn phòng Chính phủ</w:t>
            </w:r>
          </w:p>
        </w:tc>
        <w:tc>
          <w:tcPr>
            <w:tcW w:w="1984" w:type="dxa"/>
          </w:tcPr>
          <w:p w14:paraId="3CA62AB1"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Nhất trí với nội dung phản ánh và phương án xử lý.</w:t>
            </w:r>
          </w:p>
        </w:tc>
        <w:tc>
          <w:tcPr>
            <w:tcW w:w="3260" w:type="dxa"/>
          </w:tcPr>
          <w:p w14:paraId="3F0EA8C5" w14:textId="77777777" w:rsidR="00804662" w:rsidRPr="00317695" w:rsidRDefault="00804662" w:rsidP="00804662">
            <w:pPr>
              <w:spacing w:before="60" w:after="60" w:line="240" w:lineRule="auto"/>
              <w:ind w:right="57"/>
              <w:jc w:val="both"/>
              <w:rPr>
                <w:rFonts w:ascii="Times New Roman" w:hAnsi="Times New Roman" w:cs="Times New Roman"/>
                <w:sz w:val="26"/>
                <w:szCs w:val="26"/>
              </w:rPr>
            </w:pPr>
            <w:r w:rsidRPr="00317695">
              <w:rPr>
                <w:rFonts w:ascii="Times New Roman" w:hAnsi="Times New Roman" w:cs="Times New Roman"/>
                <w:b/>
                <w:sz w:val="26"/>
                <w:szCs w:val="26"/>
              </w:rPr>
              <w:t>Đã xử lý.</w:t>
            </w:r>
          </w:p>
          <w:p w14:paraId="306D6D8D" w14:textId="77777777" w:rsidR="00804662" w:rsidRPr="00317695" w:rsidRDefault="00804662" w:rsidP="00804662">
            <w:pPr>
              <w:spacing w:before="60" w:after="60" w:line="240" w:lineRule="auto"/>
              <w:ind w:right="57"/>
              <w:jc w:val="both"/>
              <w:rPr>
                <w:rFonts w:ascii="Times New Roman" w:hAnsi="Times New Roman" w:cs="Times New Roman"/>
                <w:sz w:val="26"/>
                <w:szCs w:val="26"/>
              </w:rPr>
            </w:pPr>
            <w:r w:rsidRPr="00317695">
              <w:rPr>
                <w:rFonts w:ascii="Times New Roman" w:hAnsi="Times New Roman" w:cs="Times New Roman"/>
                <w:sz w:val="26"/>
                <w:szCs w:val="26"/>
              </w:rPr>
              <w:t>- Chính phủ đã ban hành Nghị quyết số 04/2025/NQ-CP ngày 20/8/2025 về tháo gỡ khó khăn, vướng mắc trong triển khai các dự án, nhiệm vụ ứng dụng công nghệ thông tin sử dụng nguồn vốn ngân sách nhà nước.</w:t>
            </w:r>
          </w:p>
          <w:p w14:paraId="7FBE16B3" w14:textId="711087D8" w:rsidR="00804662" w:rsidRPr="00317695" w:rsidRDefault="00804662" w:rsidP="00804662">
            <w:pPr>
              <w:spacing w:before="60" w:after="60" w:line="240" w:lineRule="auto"/>
              <w:ind w:left="57" w:right="57"/>
              <w:jc w:val="both"/>
              <w:rPr>
                <w:rFonts w:ascii="Times New Roman" w:hAnsi="Times New Roman" w:cs="Times New Roman"/>
                <w:sz w:val="26"/>
                <w:szCs w:val="26"/>
              </w:rPr>
            </w:pPr>
            <w:r w:rsidRPr="00317695">
              <w:rPr>
                <w:rFonts w:ascii="Times New Roman" w:hAnsi="Times New Roman" w:cs="Times New Roman"/>
                <w:sz w:val="26"/>
                <w:szCs w:val="26"/>
              </w:rPr>
              <w:t>Nghi quyết này đã quy định tại Điều 3 để giải quyết được tất cả các vướng mắc đã nêu, phản ánh..</w:t>
            </w:r>
          </w:p>
        </w:tc>
      </w:tr>
      <w:tr w:rsidR="00804662" w:rsidRPr="00317695" w14:paraId="0D9296FA" w14:textId="77777777" w:rsidTr="00804662">
        <w:trPr>
          <w:divId w:val="1330596125"/>
          <w:tblCellSpacing w:w="0" w:type="dxa"/>
        </w:trPr>
        <w:tc>
          <w:tcPr>
            <w:tcW w:w="656" w:type="dxa"/>
          </w:tcPr>
          <w:p w14:paraId="381ED5B8" w14:textId="77777777" w:rsidR="00804662" w:rsidRPr="00317695" w:rsidRDefault="00804662" w:rsidP="00804662">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lang w:val="vi-VN"/>
              </w:rPr>
            </w:pPr>
          </w:p>
        </w:tc>
        <w:tc>
          <w:tcPr>
            <w:tcW w:w="1671" w:type="dxa"/>
          </w:tcPr>
          <w:p w14:paraId="11F9D87A" w14:textId="77777777" w:rsidR="00804662" w:rsidRPr="00C3060B" w:rsidRDefault="00804662" w:rsidP="00804662">
            <w:pPr>
              <w:spacing w:before="60" w:after="60" w:line="240" w:lineRule="auto"/>
              <w:ind w:left="57" w:right="57"/>
              <w:jc w:val="both"/>
              <w:rPr>
                <w:rFonts w:ascii="Times New Roman" w:hAnsi="Times New Roman" w:cs="Times New Roman"/>
                <w:sz w:val="26"/>
                <w:szCs w:val="26"/>
                <w:highlight w:val="yellow"/>
                <w:lang w:val="vi-VN"/>
              </w:rPr>
            </w:pPr>
            <w:r w:rsidRPr="00C3060B">
              <w:rPr>
                <w:rFonts w:ascii="Times New Roman" w:hAnsi="Times New Roman" w:cs="Times New Roman"/>
                <w:b/>
                <w:sz w:val="26"/>
                <w:szCs w:val="26"/>
                <w:highlight w:val="yellow"/>
                <w:lang w:val="vi-VN"/>
              </w:rPr>
              <w:t>Thông tư số 07/2020/TT-BKHCN</w:t>
            </w:r>
            <w:r w:rsidRPr="00C3060B">
              <w:rPr>
                <w:rFonts w:ascii="Times New Roman" w:hAnsi="Times New Roman" w:cs="Times New Roman"/>
                <w:sz w:val="26"/>
                <w:szCs w:val="26"/>
                <w:highlight w:val="yellow"/>
                <w:lang w:val="vi-VN"/>
              </w:rPr>
              <w:t xml:space="preserve"> ngày 11/12/2020 </w:t>
            </w:r>
          </w:p>
        </w:tc>
        <w:tc>
          <w:tcPr>
            <w:tcW w:w="5045" w:type="dxa"/>
          </w:tcPr>
          <w:p w14:paraId="38F271A0"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lang w:val="vi-VN"/>
              </w:rPr>
            </w:pPr>
            <w:r w:rsidRPr="00317695">
              <w:rPr>
                <w:rFonts w:ascii="Times New Roman" w:hAnsi="Times New Roman" w:cs="Times New Roman"/>
                <w:sz w:val="26"/>
                <w:szCs w:val="26"/>
                <w:lang w:val="vi-VN"/>
              </w:rPr>
              <w:t xml:space="preserve">Tại khoản 5 Điều 4 Thông tư số 07/2020/TT-BKHCN ngày 11/12/2020 quy định: “Thẩm quyền, trình tự, thủ tục về việc chứng nhận các cơ sở ươm tạo, cơ sở kỹ thuật, khu làm việc chung được thực hiện theo quy định của pháp luật hiện hành”. Tuy nhiên, đến thời điểm hiện </w:t>
            </w:r>
            <w:r w:rsidRPr="00317695">
              <w:rPr>
                <w:rFonts w:ascii="Times New Roman" w:hAnsi="Times New Roman" w:cs="Times New Roman"/>
                <w:sz w:val="26"/>
                <w:szCs w:val="26"/>
                <w:lang w:val="vi-VN"/>
              </w:rPr>
              <w:lastRenderedPageBreak/>
              <w:t>tại, chưa có văn bản hướng dẫn cụ thể nào quy định rõ cơ quan có thẩm quyền cấp giấy chứng nhận, cũng như trình tự, thủ tục chứng nhận đối với các loại hình cơ sở nêu trên. Các cơ sở ươm tạo, cơ sở kỹ thuật, khu làm việc chung tại địa phương vẫn chưa được chứng nhận theo quy định pháp luật, dẫn đến việc không thể triển khai các chính sách ưu đãi như miễn, giảm tiền thuê đất, thuế sử dụng đất phi nông nghiệp, thuế thu nhập doanh nghiệp theo quy định tại Luật Hỗ trợ doanh nghiệp nhỏ và vừa. Tình trạng này gây ra vướng mắc lớn trong thực thi chính sách tại địa phương, khiến các cơ sở hỗ trợ khởi nghiệp không được thụ hưởng ưu đãi cần thiết để vận hành. Kiến nghị Bộ Khoa học và Công nghệ sớm ban hành văn bản hướng dẫn cụ thể về thẩm quyền, trình tự, thủ tục cấp giấy chứng nhận cho các cơ sở nêu trên.</w:t>
            </w:r>
          </w:p>
        </w:tc>
        <w:tc>
          <w:tcPr>
            <w:tcW w:w="1559" w:type="dxa"/>
          </w:tcPr>
          <w:p w14:paraId="47FDCE88"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lang w:val="vi-VN"/>
              </w:rPr>
            </w:pPr>
            <w:r w:rsidRPr="00317695">
              <w:rPr>
                <w:rFonts w:ascii="Times New Roman" w:hAnsi="Times New Roman" w:cs="Times New Roman"/>
                <w:sz w:val="26"/>
                <w:szCs w:val="26"/>
                <w:lang w:val="vi-VN"/>
              </w:rPr>
              <w:lastRenderedPageBreak/>
              <w:t xml:space="preserve">C. Sửa đổi, bổ sung, thay thế, ban hành mới VBQPPL (theo trình </w:t>
            </w:r>
            <w:r w:rsidRPr="00317695">
              <w:rPr>
                <w:rFonts w:ascii="Times New Roman" w:hAnsi="Times New Roman" w:cs="Times New Roman"/>
                <w:sz w:val="26"/>
                <w:szCs w:val="26"/>
                <w:lang w:val="vi-VN"/>
              </w:rPr>
              <w:lastRenderedPageBreak/>
              <w:t>tự, thủ tục rút gọn ban hành VBQPPL của Luật Ban hành VBQPPL)</w:t>
            </w:r>
          </w:p>
        </w:tc>
        <w:tc>
          <w:tcPr>
            <w:tcW w:w="851" w:type="dxa"/>
          </w:tcPr>
          <w:p w14:paraId="6EE91537"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lang w:val="vi-VN"/>
              </w:rPr>
            </w:pPr>
            <w:r w:rsidRPr="00317695">
              <w:rPr>
                <w:rFonts w:ascii="Times New Roman" w:hAnsi="Times New Roman" w:cs="Times New Roman"/>
                <w:sz w:val="26"/>
                <w:szCs w:val="26"/>
                <w:lang w:val="vi-VN"/>
              </w:rPr>
              <w:lastRenderedPageBreak/>
              <w:t>Sở Tư pháp Thừa Thiên – Huế</w:t>
            </w:r>
          </w:p>
        </w:tc>
        <w:tc>
          <w:tcPr>
            <w:tcW w:w="1984" w:type="dxa"/>
          </w:tcPr>
          <w:p w14:paraId="7EDFC8B3"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lang w:val="vi-VN"/>
              </w:rPr>
            </w:pPr>
            <w:r w:rsidRPr="00317695">
              <w:rPr>
                <w:rFonts w:ascii="Times New Roman" w:hAnsi="Times New Roman" w:cs="Times New Roman"/>
                <w:sz w:val="26"/>
                <w:szCs w:val="26"/>
                <w:lang w:val="vi-VN"/>
              </w:rPr>
              <w:t xml:space="preserve">Nhất trí với nội dung phản ánh và phương án xử lý. </w:t>
            </w:r>
          </w:p>
          <w:p w14:paraId="6A23869E" w14:textId="77777777" w:rsidR="00804662" w:rsidRPr="00317695" w:rsidRDefault="00804662" w:rsidP="00804662">
            <w:pPr>
              <w:spacing w:before="60" w:after="60" w:line="240" w:lineRule="auto"/>
              <w:ind w:left="57" w:right="57"/>
              <w:jc w:val="both"/>
              <w:rPr>
                <w:rFonts w:ascii="Times New Roman" w:hAnsi="Times New Roman" w:cs="Times New Roman"/>
                <w:sz w:val="26"/>
                <w:szCs w:val="26"/>
                <w:lang w:val="vi-VN"/>
              </w:rPr>
            </w:pPr>
            <w:r w:rsidRPr="00317695">
              <w:rPr>
                <w:rFonts w:ascii="Times New Roman" w:hAnsi="Times New Roman" w:cs="Times New Roman"/>
                <w:sz w:val="26"/>
                <w:szCs w:val="26"/>
                <w:lang w:val="vi-VN"/>
              </w:rPr>
              <w:t xml:space="preserve">Lý do: Bộ Khoa học và Công nghệ đã nghiên </w:t>
            </w:r>
            <w:r w:rsidRPr="00317695">
              <w:rPr>
                <w:rFonts w:ascii="Times New Roman" w:hAnsi="Times New Roman" w:cs="Times New Roman"/>
                <w:sz w:val="26"/>
                <w:szCs w:val="26"/>
                <w:lang w:val="vi-VN"/>
              </w:rPr>
              <w:lastRenderedPageBreak/>
              <w:t xml:space="preserve">cứu, xây dựng Nghị định quy định một số điều về khởi nghiệp sáng tạo và đổi mới sáng tạo: trong đó có quy định về công nhận các tổ chức hỗ trợ khởi nghiệp sáng tạo (trong đó có các cơ sở ươm tạo, cơ sở kỹ thuật, khu làm việc chung hỗ trợ DNNVV khởi nghiệp sáng tạo). Nghị định này đã trình Chính phủ và hiện đang chờ chỉ đạo đưa vào nội dung của một </w:t>
            </w:r>
            <w:r w:rsidRPr="00317695">
              <w:rPr>
                <w:rFonts w:ascii="Times New Roman" w:hAnsi="Times New Roman" w:cs="Times New Roman"/>
                <w:sz w:val="26"/>
                <w:szCs w:val="26"/>
                <w:lang w:val="vi-VN"/>
              </w:rPr>
              <w:lastRenderedPageBreak/>
              <w:t>trong số các Nghị định hướng dẫn Luật Khoa học, công nghệ và đổi mới sáng tạo 2025.</w:t>
            </w:r>
          </w:p>
        </w:tc>
        <w:tc>
          <w:tcPr>
            <w:tcW w:w="3260" w:type="dxa"/>
          </w:tcPr>
          <w:p w14:paraId="6A433155" w14:textId="3AC3D5BD" w:rsidR="00804662" w:rsidRPr="00317695" w:rsidRDefault="00233161" w:rsidP="00804662">
            <w:pPr>
              <w:spacing w:before="60" w:after="60" w:line="240" w:lineRule="auto"/>
              <w:ind w:right="57"/>
              <w:jc w:val="both"/>
              <w:rPr>
                <w:rFonts w:ascii="Times New Roman" w:hAnsi="Times New Roman" w:cs="Times New Roman"/>
                <w:b/>
                <w:sz w:val="26"/>
                <w:szCs w:val="26"/>
              </w:rPr>
            </w:pPr>
            <w:r>
              <w:rPr>
                <w:rFonts w:ascii="Times New Roman" w:hAnsi="Times New Roman" w:cs="Times New Roman"/>
                <w:b/>
                <w:sz w:val="26"/>
                <w:szCs w:val="26"/>
              </w:rPr>
              <w:lastRenderedPageBreak/>
              <w:t>Đã xử lý</w:t>
            </w:r>
          </w:p>
          <w:p w14:paraId="6F819C72" w14:textId="4C063941" w:rsidR="00804662" w:rsidRPr="00317695" w:rsidRDefault="00A66B84" w:rsidP="00804662">
            <w:pPr>
              <w:spacing w:before="60" w:after="60" w:line="240" w:lineRule="auto"/>
              <w:ind w:left="57" w:right="57"/>
              <w:jc w:val="both"/>
              <w:rPr>
                <w:rFonts w:ascii="Times New Roman" w:hAnsi="Times New Roman" w:cs="Times New Roman"/>
                <w:sz w:val="26"/>
                <w:szCs w:val="26"/>
              </w:rPr>
            </w:pPr>
            <w:r w:rsidRPr="00A66B84">
              <w:rPr>
                <w:rFonts w:ascii="Times New Roman" w:hAnsi="Times New Roman" w:cs="Times New Roman"/>
                <w:sz w:val="26"/>
                <w:szCs w:val="26"/>
              </w:rPr>
              <w:t xml:space="preserve">Chính phủ đã ban hành Nghị định số 268/2025/NĐ-CP, trong đó có quy định về công nhận các tổ chức hỗ trợ ĐMST. Cơ sở ươm tạo, cơ sở </w:t>
            </w:r>
            <w:r w:rsidRPr="00A66B84">
              <w:rPr>
                <w:rFonts w:ascii="Times New Roman" w:hAnsi="Times New Roman" w:cs="Times New Roman"/>
                <w:sz w:val="26"/>
                <w:szCs w:val="26"/>
              </w:rPr>
              <w:t>kỹ thuật cũng là một loại hình tổ chức hỗ trợ ĐMST.</w:t>
            </w:r>
          </w:p>
        </w:tc>
      </w:tr>
    </w:tbl>
    <w:p w14:paraId="1C9B335A" w14:textId="77777777" w:rsidR="004E0272" w:rsidRPr="00317695" w:rsidRDefault="004E0272" w:rsidP="00036B71">
      <w:pPr>
        <w:spacing w:after="0"/>
        <w:jc w:val="both"/>
        <w:divId w:val="1330596125"/>
        <w:rPr>
          <w:rFonts w:ascii="Times New Roman" w:eastAsia="Times New Roman" w:hAnsi="Times New Roman" w:cs="Times New Roman"/>
          <w:sz w:val="26"/>
          <w:szCs w:val="26"/>
          <w:lang w:val="vi-VN"/>
        </w:rPr>
      </w:pPr>
    </w:p>
    <w:sectPr w:rsidR="004E0272" w:rsidRPr="00317695" w:rsidSect="000B3E26">
      <w:headerReference w:type="default" r:id="rId8"/>
      <w:pgSz w:w="16840" w:h="11907" w:orient="landscape" w:code="9"/>
      <w:pgMar w:top="1135"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3CB6" w14:textId="77777777" w:rsidR="00C019E1" w:rsidRDefault="00C019E1" w:rsidP="00E62493">
      <w:pPr>
        <w:spacing w:after="0" w:line="240" w:lineRule="auto"/>
      </w:pPr>
      <w:r>
        <w:separator/>
      </w:r>
    </w:p>
  </w:endnote>
  <w:endnote w:type="continuationSeparator" w:id="0">
    <w:p w14:paraId="459B27C4" w14:textId="77777777" w:rsidR="00C019E1" w:rsidRDefault="00C019E1"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F326" w14:textId="77777777" w:rsidR="00C019E1" w:rsidRDefault="00C019E1" w:rsidP="00E62493">
      <w:pPr>
        <w:spacing w:after="0" w:line="240" w:lineRule="auto"/>
      </w:pPr>
      <w:r>
        <w:separator/>
      </w:r>
    </w:p>
  </w:footnote>
  <w:footnote w:type="continuationSeparator" w:id="0">
    <w:p w14:paraId="439B7893" w14:textId="77777777" w:rsidR="00C019E1" w:rsidRDefault="00C019E1"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676B3170"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CC429F">
          <w:rPr>
            <w:rFonts w:ascii="Times New Roman" w:hAnsi="Times New Roman" w:cs="Times New Roman"/>
            <w:noProof/>
          </w:rPr>
          <w:t>9</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467"/>
    <w:multiLevelType w:val="hybridMultilevel"/>
    <w:tmpl w:val="EDAC87C4"/>
    <w:lvl w:ilvl="0" w:tplc="DBE44FD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03683"/>
    <w:multiLevelType w:val="hybridMultilevel"/>
    <w:tmpl w:val="044E69BA"/>
    <w:lvl w:ilvl="0" w:tplc="C290A52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22B35D99"/>
    <w:multiLevelType w:val="multilevel"/>
    <w:tmpl w:val="F0CE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8453B"/>
    <w:multiLevelType w:val="hybridMultilevel"/>
    <w:tmpl w:val="11DA35D0"/>
    <w:lvl w:ilvl="0" w:tplc="CBEA8D16">
      <w:start w:val="5"/>
      <w:numFmt w:val="bullet"/>
      <w:lvlText w:val="-"/>
      <w:lvlJc w:val="left"/>
      <w:pPr>
        <w:ind w:left="720" w:hanging="360"/>
      </w:pPr>
      <w:rPr>
        <w:rFonts w:ascii="Times New Roman" w:eastAsiaTheme="minorEastAsia" w:hAnsi="Times New Roman" w:cs="Times New Roman"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F60DE"/>
    <w:multiLevelType w:val="hybridMultilevel"/>
    <w:tmpl w:val="200A8F26"/>
    <w:lvl w:ilvl="0" w:tplc="1C4E442E">
      <w:start w:val="5"/>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6F793178"/>
    <w:multiLevelType w:val="hybridMultilevel"/>
    <w:tmpl w:val="46767DB8"/>
    <w:lvl w:ilvl="0" w:tplc="E0B8AAF6">
      <w:start w:val="5"/>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839732570">
    <w:abstractNumId w:val="1"/>
  </w:num>
  <w:num w:numId="2" w16cid:durableId="520436352">
    <w:abstractNumId w:val="2"/>
    <w:lvlOverride w:ilvl="0">
      <w:startOverride w:val="10"/>
    </w:lvlOverride>
  </w:num>
  <w:num w:numId="3" w16cid:durableId="903416804">
    <w:abstractNumId w:val="3"/>
  </w:num>
  <w:num w:numId="4" w16cid:durableId="808979840">
    <w:abstractNumId w:val="0"/>
  </w:num>
  <w:num w:numId="5" w16cid:durableId="1715305122">
    <w:abstractNumId w:val="5"/>
  </w:num>
  <w:num w:numId="6" w16cid:durableId="88745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62CE"/>
    <w:rsid w:val="00021FD6"/>
    <w:rsid w:val="00025317"/>
    <w:rsid w:val="00025A4E"/>
    <w:rsid w:val="0003474A"/>
    <w:rsid w:val="00036B71"/>
    <w:rsid w:val="00036CCF"/>
    <w:rsid w:val="000424C1"/>
    <w:rsid w:val="000610BE"/>
    <w:rsid w:val="000636BA"/>
    <w:rsid w:val="000711B0"/>
    <w:rsid w:val="00073EB1"/>
    <w:rsid w:val="00076564"/>
    <w:rsid w:val="00077803"/>
    <w:rsid w:val="0008273C"/>
    <w:rsid w:val="0008323B"/>
    <w:rsid w:val="00085B95"/>
    <w:rsid w:val="00085F24"/>
    <w:rsid w:val="00096A51"/>
    <w:rsid w:val="000A49BE"/>
    <w:rsid w:val="000B0E5F"/>
    <w:rsid w:val="000B3E26"/>
    <w:rsid w:val="000B451C"/>
    <w:rsid w:val="000C1121"/>
    <w:rsid w:val="000C5098"/>
    <w:rsid w:val="000D0D00"/>
    <w:rsid w:val="00106415"/>
    <w:rsid w:val="001073F3"/>
    <w:rsid w:val="001460D4"/>
    <w:rsid w:val="0015277A"/>
    <w:rsid w:val="00156D7D"/>
    <w:rsid w:val="001767A4"/>
    <w:rsid w:val="00176BCE"/>
    <w:rsid w:val="00195DDF"/>
    <w:rsid w:val="001A316D"/>
    <w:rsid w:val="001A7729"/>
    <w:rsid w:val="001B23D6"/>
    <w:rsid w:val="001B28A9"/>
    <w:rsid w:val="001C0722"/>
    <w:rsid w:val="001C616C"/>
    <w:rsid w:val="001F6792"/>
    <w:rsid w:val="001F7CC5"/>
    <w:rsid w:val="002107BE"/>
    <w:rsid w:val="00213B9E"/>
    <w:rsid w:val="002233FD"/>
    <w:rsid w:val="0023173A"/>
    <w:rsid w:val="00233161"/>
    <w:rsid w:val="00234C68"/>
    <w:rsid w:val="00234E3E"/>
    <w:rsid w:val="002451C5"/>
    <w:rsid w:val="002650AF"/>
    <w:rsid w:val="002760EE"/>
    <w:rsid w:val="00281D12"/>
    <w:rsid w:val="002B2682"/>
    <w:rsid w:val="002C665C"/>
    <w:rsid w:val="002D2DAD"/>
    <w:rsid w:val="00317695"/>
    <w:rsid w:val="00325DA7"/>
    <w:rsid w:val="00327A79"/>
    <w:rsid w:val="00345232"/>
    <w:rsid w:val="00347425"/>
    <w:rsid w:val="00350908"/>
    <w:rsid w:val="00364AF2"/>
    <w:rsid w:val="00373AC2"/>
    <w:rsid w:val="00377CE9"/>
    <w:rsid w:val="00380D35"/>
    <w:rsid w:val="00385A46"/>
    <w:rsid w:val="00392ED2"/>
    <w:rsid w:val="003961D1"/>
    <w:rsid w:val="0039687E"/>
    <w:rsid w:val="003B088A"/>
    <w:rsid w:val="003B4729"/>
    <w:rsid w:val="003B7F2C"/>
    <w:rsid w:val="003E2068"/>
    <w:rsid w:val="003E495D"/>
    <w:rsid w:val="003E75AD"/>
    <w:rsid w:val="003E7999"/>
    <w:rsid w:val="003F34B0"/>
    <w:rsid w:val="00402285"/>
    <w:rsid w:val="004055B4"/>
    <w:rsid w:val="00410A8E"/>
    <w:rsid w:val="00412546"/>
    <w:rsid w:val="00423462"/>
    <w:rsid w:val="00425D56"/>
    <w:rsid w:val="00427E85"/>
    <w:rsid w:val="004334E6"/>
    <w:rsid w:val="00453AD6"/>
    <w:rsid w:val="00474D20"/>
    <w:rsid w:val="00497CFF"/>
    <w:rsid w:val="004B2374"/>
    <w:rsid w:val="004C4447"/>
    <w:rsid w:val="004C6C5A"/>
    <w:rsid w:val="004D0FCC"/>
    <w:rsid w:val="004D1B06"/>
    <w:rsid w:val="004D4465"/>
    <w:rsid w:val="004E0272"/>
    <w:rsid w:val="004E7456"/>
    <w:rsid w:val="00503962"/>
    <w:rsid w:val="005071E2"/>
    <w:rsid w:val="005169C1"/>
    <w:rsid w:val="00521EA1"/>
    <w:rsid w:val="00531A3F"/>
    <w:rsid w:val="0055470A"/>
    <w:rsid w:val="0055676B"/>
    <w:rsid w:val="00567B0E"/>
    <w:rsid w:val="00577595"/>
    <w:rsid w:val="005845B3"/>
    <w:rsid w:val="005868BD"/>
    <w:rsid w:val="00591792"/>
    <w:rsid w:val="005D1439"/>
    <w:rsid w:val="005E5241"/>
    <w:rsid w:val="0060236D"/>
    <w:rsid w:val="006046D6"/>
    <w:rsid w:val="006248BE"/>
    <w:rsid w:val="00626503"/>
    <w:rsid w:val="00630110"/>
    <w:rsid w:val="006471F5"/>
    <w:rsid w:val="00666A18"/>
    <w:rsid w:val="00685E9D"/>
    <w:rsid w:val="006B06D9"/>
    <w:rsid w:val="006C5C57"/>
    <w:rsid w:val="006D1086"/>
    <w:rsid w:val="006F5D14"/>
    <w:rsid w:val="00700B8D"/>
    <w:rsid w:val="00701E56"/>
    <w:rsid w:val="007052BC"/>
    <w:rsid w:val="0070623D"/>
    <w:rsid w:val="00712CB8"/>
    <w:rsid w:val="0074156E"/>
    <w:rsid w:val="007565E1"/>
    <w:rsid w:val="00764CE2"/>
    <w:rsid w:val="0076629E"/>
    <w:rsid w:val="00772696"/>
    <w:rsid w:val="007B2DF2"/>
    <w:rsid w:val="007B3A4E"/>
    <w:rsid w:val="007B7727"/>
    <w:rsid w:val="007D4DE4"/>
    <w:rsid w:val="007D5DD1"/>
    <w:rsid w:val="007D69DA"/>
    <w:rsid w:val="007F2D6D"/>
    <w:rsid w:val="008019A9"/>
    <w:rsid w:val="00801EF5"/>
    <w:rsid w:val="00804519"/>
    <w:rsid w:val="00804662"/>
    <w:rsid w:val="00807519"/>
    <w:rsid w:val="00817B10"/>
    <w:rsid w:val="00831928"/>
    <w:rsid w:val="00840971"/>
    <w:rsid w:val="00844835"/>
    <w:rsid w:val="008511D3"/>
    <w:rsid w:val="0085388F"/>
    <w:rsid w:val="00863550"/>
    <w:rsid w:val="00865ECD"/>
    <w:rsid w:val="00870648"/>
    <w:rsid w:val="00874115"/>
    <w:rsid w:val="008742BD"/>
    <w:rsid w:val="00881306"/>
    <w:rsid w:val="00896865"/>
    <w:rsid w:val="008A0CCB"/>
    <w:rsid w:val="008A375C"/>
    <w:rsid w:val="008A43C5"/>
    <w:rsid w:val="008A6C12"/>
    <w:rsid w:val="008B215E"/>
    <w:rsid w:val="008B22AD"/>
    <w:rsid w:val="008B66A9"/>
    <w:rsid w:val="008B7B00"/>
    <w:rsid w:val="008C012B"/>
    <w:rsid w:val="008C0FA1"/>
    <w:rsid w:val="008C6585"/>
    <w:rsid w:val="008D5B85"/>
    <w:rsid w:val="008D6270"/>
    <w:rsid w:val="008E1A3B"/>
    <w:rsid w:val="008E36F8"/>
    <w:rsid w:val="008F165B"/>
    <w:rsid w:val="00910FCA"/>
    <w:rsid w:val="0092372E"/>
    <w:rsid w:val="00953408"/>
    <w:rsid w:val="009602FD"/>
    <w:rsid w:val="00983C18"/>
    <w:rsid w:val="009905EB"/>
    <w:rsid w:val="00995B2C"/>
    <w:rsid w:val="00997189"/>
    <w:rsid w:val="009A4892"/>
    <w:rsid w:val="009C1B9E"/>
    <w:rsid w:val="009C28BE"/>
    <w:rsid w:val="009C2FAB"/>
    <w:rsid w:val="009D02E7"/>
    <w:rsid w:val="009D2976"/>
    <w:rsid w:val="009D38EA"/>
    <w:rsid w:val="009E732E"/>
    <w:rsid w:val="009F1F1C"/>
    <w:rsid w:val="009F3E17"/>
    <w:rsid w:val="00A030FF"/>
    <w:rsid w:val="00A06FF8"/>
    <w:rsid w:val="00A15D9C"/>
    <w:rsid w:val="00A16CB6"/>
    <w:rsid w:val="00A24E61"/>
    <w:rsid w:val="00A4222F"/>
    <w:rsid w:val="00A546F9"/>
    <w:rsid w:val="00A623F9"/>
    <w:rsid w:val="00A62C63"/>
    <w:rsid w:val="00A66B84"/>
    <w:rsid w:val="00A95720"/>
    <w:rsid w:val="00A967D7"/>
    <w:rsid w:val="00A96C4C"/>
    <w:rsid w:val="00AA078A"/>
    <w:rsid w:val="00AA2EE9"/>
    <w:rsid w:val="00AA45EA"/>
    <w:rsid w:val="00AB0574"/>
    <w:rsid w:val="00AB53B2"/>
    <w:rsid w:val="00AC7C20"/>
    <w:rsid w:val="00AD6922"/>
    <w:rsid w:val="00AE2FE7"/>
    <w:rsid w:val="00AE37F9"/>
    <w:rsid w:val="00AE4B0A"/>
    <w:rsid w:val="00AF004A"/>
    <w:rsid w:val="00AF2EB4"/>
    <w:rsid w:val="00AF681F"/>
    <w:rsid w:val="00B072E3"/>
    <w:rsid w:val="00B1182A"/>
    <w:rsid w:val="00B12D40"/>
    <w:rsid w:val="00B350A4"/>
    <w:rsid w:val="00B47DA6"/>
    <w:rsid w:val="00B54834"/>
    <w:rsid w:val="00B65B52"/>
    <w:rsid w:val="00B67890"/>
    <w:rsid w:val="00B67F0D"/>
    <w:rsid w:val="00B77056"/>
    <w:rsid w:val="00B8128B"/>
    <w:rsid w:val="00B81DBC"/>
    <w:rsid w:val="00B8269F"/>
    <w:rsid w:val="00B92BEF"/>
    <w:rsid w:val="00BA2F48"/>
    <w:rsid w:val="00BA31CE"/>
    <w:rsid w:val="00BB3E1A"/>
    <w:rsid w:val="00BE154A"/>
    <w:rsid w:val="00BF1590"/>
    <w:rsid w:val="00BF52B9"/>
    <w:rsid w:val="00C002F3"/>
    <w:rsid w:val="00C019E1"/>
    <w:rsid w:val="00C0526B"/>
    <w:rsid w:val="00C371B6"/>
    <w:rsid w:val="00C46675"/>
    <w:rsid w:val="00C46856"/>
    <w:rsid w:val="00C63BC2"/>
    <w:rsid w:val="00C725D4"/>
    <w:rsid w:val="00C77F2A"/>
    <w:rsid w:val="00C84A9B"/>
    <w:rsid w:val="00CA033D"/>
    <w:rsid w:val="00CA244A"/>
    <w:rsid w:val="00CC23B9"/>
    <w:rsid w:val="00CC429F"/>
    <w:rsid w:val="00CC4BBD"/>
    <w:rsid w:val="00CD7C5C"/>
    <w:rsid w:val="00CE0EFE"/>
    <w:rsid w:val="00CE6501"/>
    <w:rsid w:val="00CE6A71"/>
    <w:rsid w:val="00D00AA9"/>
    <w:rsid w:val="00D11903"/>
    <w:rsid w:val="00D11A7B"/>
    <w:rsid w:val="00D136CE"/>
    <w:rsid w:val="00D2098C"/>
    <w:rsid w:val="00D252E2"/>
    <w:rsid w:val="00D25FB9"/>
    <w:rsid w:val="00D448A3"/>
    <w:rsid w:val="00D45F20"/>
    <w:rsid w:val="00D52127"/>
    <w:rsid w:val="00D625FB"/>
    <w:rsid w:val="00D6559C"/>
    <w:rsid w:val="00D70F55"/>
    <w:rsid w:val="00D81052"/>
    <w:rsid w:val="00D9102C"/>
    <w:rsid w:val="00D914B8"/>
    <w:rsid w:val="00D944F5"/>
    <w:rsid w:val="00D94D92"/>
    <w:rsid w:val="00D97357"/>
    <w:rsid w:val="00DA3AC7"/>
    <w:rsid w:val="00DC1544"/>
    <w:rsid w:val="00DD6383"/>
    <w:rsid w:val="00DD7905"/>
    <w:rsid w:val="00DE1809"/>
    <w:rsid w:val="00DF2C34"/>
    <w:rsid w:val="00DF67B8"/>
    <w:rsid w:val="00E0076D"/>
    <w:rsid w:val="00E01AC2"/>
    <w:rsid w:val="00E034A9"/>
    <w:rsid w:val="00E13B17"/>
    <w:rsid w:val="00E2482E"/>
    <w:rsid w:val="00E43694"/>
    <w:rsid w:val="00E50DFE"/>
    <w:rsid w:val="00E52999"/>
    <w:rsid w:val="00E61DA7"/>
    <w:rsid w:val="00E62493"/>
    <w:rsid w:val="00E6734E"/>
    <w:rsid w:val="00E713B0"/>
    <w:rsid w:val="00E76F72"/>
    <w:rsid w:val="00EA590E"/>
    <w:rsid w:val="00EA5B88"/>
    <w:rsid w:val="00EA5DCB"/>
    <w:rsid w:val="00ED56D7"/>
    <w:rsid w:val="00ED69DF"/>
    <w:rsid w:val="00ED6A09"/>
    <w:rsid w:val="00EE113E"/>
    <w:rsid w:val="00F06345"/>
    <w:rsid w:val="00F16BA1"/>
    <w:rsid w:val="00F2127B"/>
    <w:rsid w:val="00F3074D"/>
    <w:rsid w:val="00F34456"/>
    <w:rsid w:val="00F404DF"/>
    <w:rsid w:val="00F51AB8"/>
    <w:rsid w:val="00F51ACF"/>
    <w:rsid w:val="00F60DCF"/>
    <w:rsid w:val="00F767B5"/>
    <w:rsid w:val="00F77727"/>
    <w:rsid w:val="00F84667"/>
    <w:rsid w:val="00F946E2"/>
    <w:rsid w:val="00F965EA"/>
    <w:rsid w:val="00FA0269"/>
    <w:rsid w:val="00FA474D"/>
    <w:rsid w:val="00FC14F7"/>
    <w:rsid w:val="00FC6FBF"/>
    <w:rsid w:val="00FD38DB"/>
    <w:rsid w:val="00FD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ListParagraph">
    <w:name w:val="List Paragraph"/>
    <w:basedOn w:val="Normal"/>
    <w:uiPriority w:val="34"/>
    <w:qFormat/>
    <w:rsid w:val="00DC1544"/>
    <w:pPr>
      <w:ind w:left="720"/>
      <w:contextualSpacing/>
    </w:pPr>
  </w:style>
  <w:style w:type="paragraph" w:styleId="FootnoteText">
    <w:name w:val="footnote text"/>
    <w:basedOn w:val="Normal"/>
    <w:link w:val="FootnoteTextChar"/>
    <w:uiPriority w:val="99"/>
    <w:semiHidden/>
    <w:unhideWhenUsed/>
    <w:rsid w:val="00A54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6F9"/>
    <w:rPr>
      <w:sz w:val="20"/>
      <w:szCs w:val="20"/>
    </w:rPr>
  </w:style>
  <w:style w:type="character" w:styleId="FootnoteReference">
    <w:name w:val="footnote reference"/>
    <w:aliases w:val="de nota al pie,BVI fnr,(Footnote Reference),Footnote Reference/,Footnote,Footnote text,ftref,(NECG) Footnote Reference,16 Point,Superscript 6 Point,Footnote + Arial,10 pt,Black,SUPERS,Footnote dich,fr,footnote ref,R,10,f1"/>
    <w:basedOn w:val="DefaultParagraphFont"/>
    <w:uiPriority w:val="99"/>
    <w:unhideWhenUsed/>
    <w:qFormat/>
    <w:rsid w:val="00A54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919022662">
      <w:bodyDiv w:val="1"/>
      <w:marLeft w:val="0"/>
      <w:marRight w:val="0"/>
      <w:marTop w:val="0"/>
      <w:marBottom w:val="0"/>
      <w:divBdr>
        <w:top w:val="none" w:sz="0" w:space="0" w:color="auto"/>
        <w:left w:val="none" w:sz="0" w:space="0" w:color="auto"/>
        <w:bottom w:val="none" w:sz="0" w:space="0" w:color="auto"/>
        <w:right w:val="none" w:sz="0" w:space="0" w:color="auto"/>
      </w:divBdr>
    </w:div>
    <w:div w:id="927153280">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68B4-0661-4E00-A612-E3D098CC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119</cp:revision>
  <cp:lastPrinted>2025-07-19T09:49:00Z</cp:lastPrinted>
  <dcterms:created xsi:type="dcterms:W3CDTF">2025-07-29T15:45:00Z</dcterms:created>
  <dcterms:modified xsi:type="dcterms:W3CDTF">2025-12-14T04:01:00Z</dcterms:modified>
</cp:coreProperties>
</file>