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C543CE" w:rsidRPr="00C543CE" w14:paraId="72C99A0F" w14:textId="77777777" w:rsidTr="00AA291B">
        <w:trPr>
          <w:divId w:val="120265279"/>
        </w:trPr>
        <w:tc>
          <w:tcPr>
            <w:tcW w:w="7281" w:type="dxa"/>
          </w:tcPr>
          <w:p w14:paraId="7EE9CB96" w14:textId="228AEB3D" w:rsidR="00AA291B" w:rsidRPr="00C543CE" w:rsidRDefault="00AA291B" w:rsidP="006D6937">
            <w:pPr>
              <w:pStyle w:val="NormalWeb"/>
              <w:spacing w:before="0" w:beforeAutospacing="0" w:after="0" w:afterAutospacing="0" w:line="288" w:lineRule="auto"/>
              <w:jc w:val="center"/>
              <w:rPr>
                <w:rStyle w:val="Strong"/>
                <w:sz w:val="26"/>
                <w:szCs w:val="26"/>
              </w:rPr>
            </w:pPr>
          </w:p>
        </w:tc>
        <w:tc>
          <w:tcPr>
            <w:tcW w:w="7281" w:type="dxa"/>
          </w:tcPr>
          <w:p w14:paraId="6A344861" w14:textId="7FFD82C5" w:rsidR="00AA291B" w:rsidRPr="00C543CE" w:rsidRDefault="00AA291B" w:rsidP="006D6937">
            <w:pPr>
              <w:pStyle w:val="NormalWeb"/>
              <w:spacing w:before="0" w:beforeAutospacing="0" w:after="0" w:afterAutospacing="0" w:line="288" w:lineRule="auto"/>
              <w:jc w:val="center"/>
              <w:rPr>
                <w:rStyle w:val="Strong"/>
                <w:sz w:val="26"/>
                <w:szCs w:val="26"/>
              </w:rPr>
            </w:pPr>
          </w:p>
        </w:tc>
      </w:tr>
    </w:tbl>
    <w:p w14:paraId="659EA1A2" w14:textId="506C1A3E" w:rsidR="00085B95" w:rsidRPr="00C543CE" w:rsidRDefault="00AA2EE9" w:rsidP="00AA291B">
      <w:pPr>
        <w:pStyle w:val="NormalWeb"/>
        <w:spacing w:before="0" w:beforeAutospacing="0" w:after="0" w:afterAutospacing="0"/>
        <w:jc w:val="center"/>
        <w:divId w:val="120265279"/>
        <w:rPr>
          <w:rStyle w:val="Strong"/>
          <w:sz w:val="26"/>
          <w:szCs w:val="26"/>
        </w:rPr>
      </w:pPr>
      <w:r w:rsidRPr="00C543CE">
        <w:rPr>
          <w:rStyle w:val="Strong"/>
          <w:sz w:val="26"/>
          <w:szCs w:val="26"/>
        </w:rPr>
        <w:t xml:space="preserve">Phụ lục </w:t>
      </w:r>
      <w:r w:rsidR="00D96EBF" w:rsidRPr="00C543CE">
        <w:rPr>
          <w:rStyle w:val="Strong"/>
          <w:sz w:val="26"/>
          <w:szCs w:val="26"/>
        </w:rPr>
        <w:t>I</w:t>
      </w:r>
      <w:r w:rsidR="00166F67" w:rsidRPr="00C543CE">
        <w:rPr>
          <w:rStyle w:val="Strong"/>
          <w:sz w:val="26"/>
          <w:szCs w:val="26"/>
        </w:rPr>
        <w:t>.6</w:t>
      </w:r>
      <w:r w:rsidR="007C6786" w:rsidRPr="00C543CE">
        <w:rPr>
          <w:rStyle w:val="Strong"/>
          <w:sz w:val="26"/>
          <w:szCs w:val="26"/>
        </w:rPr>
        <w:t>.1.B</w:t>
      </w:r>
    </w:p>
    <w:p w14:paraId="4488FB9B" w14:textId="77777777" w:rsidR="00AA291B" w:rsidRPr="00C543CE" w:rsidRDefault="00AA291B" w:rsidP="00AA291B">
      <w:pPr>
        <w:pStyle w:val="NormalWeb"/>
        <w:spacing w:before="0" w:beforeAutospacing="0" w:after="0" w:afterAutospacing="0"/>
        <w:jc w:val="center"/>
        <w:divId w:val="120265279"/>
        <w:rPr>
          <w:b/>
          <w:bCs/>
          <w:sz w:val="26"/>
          <w:szCs w:val="26"/>
        </w:rPr>
      </w:pPr>
    </w:p>
    <w:p w14:paraId="5A1A5CA1" w14:textId="33E8F8E1" w:rsidR="00F34456" w:rsidRPr="00C543CE" w:rsidRDefault="003C7F9A" w:rsidP="00840971">
      <w:pPr>
        <w:pStyle w:val="NormalWeb"/>
        <w:spacing w:before="0" w:beforeAutospacing="0" w:after="0" w:afterAutospacing="0"/>
        <w:jc w:val="center"/>
        <w:divId w:val="120265279"/>
        <w:rPr>
          <w:rStyle w:val="Strong"/>
          <w:sz w:val="26"/>
          <w:szCs w:val="26"/>
        </w:rPr>
      </w:pPr>
      <w:r w:rsidRPr="00C543CE">
        <w:rPr>
          <w:rStyle w:val="Strong"/>
          <w:sz w:val="26"/>
          <w:szCs w:val="26"/>
        </w:rPr>
        <w:t xml:space="preserve">TÌNH HÌNH XỬ LÝ ĐỐI VỚI </w:t>
      </w:r>
      <w:r w:rsidR="00AA2EE9" w:rsidRPr="00C543CE">
        <w:rPr>
          <w:rStyle w:val="Strong"/>
          <w:sz w:val="26"/>
          <w:szCs w:val="26"/>
        </w:rPr>
        <w:t>KHÓ KHĂN, VƯỚNG MẮC DO QUY ĐỊNH PHÁP LUẬT</w:t>
      </w:r>
    </w:p>
    <w:p w14:paraId="17E50DB8" w14:textId="6E1A4505" w:rsidR="0092372E" w:rsidRPr="00C543CE" w:rsidRDefault="0092372E" w:rsidP="00840971">
      <w:pPr>
        <w:pStyle w:val="NormalWeb"/>
        <w:spacing w:before="0" w:beforeAutospacing="0" w:after="0" w:afterAutospacing="0"/>
        <w:jc w:val="center"/>
        <w:divId w:val="120265279"/>
        <w:rPr>
          <w:sz w:val="26"/>
          <w:szCs w:val="26"/>
        </w:rPr>
      </w:pPr>
      <w:r w:rsidRPr="00C543CE">
        <w:rPr>
          <w:rStyle w:val="Strong"/>
          <w:sz w:val="26"/>
          <w:szCs w:val="26"/>
        </w:rPr>
        <w:t xml:space="preserve">THUỘC </w:t>
      </w:r>
      <w:r w:rsidR="001460D4" w:rsidRPr="00C543CE">
        <w:rPr>
          <w:rStyle w:val="Strong"/>
          <w:sz w:val="26"/>
          <w:szCs w:val="26"/>
        </w:rPr>
        <w:t>PHẠM VI PHỤ TRÁCH</w:t>
      </w:r>
      <w:r w:rsidRPr="00C543CE">
        <w:rPr>
          <w:rStyle w:val="Strong"/>
          <w:sz w:val="26"/>
          <w:szCs w:val="26"/>
        </w:rPr>
        <w:t xml:space="preserve"> CỦA </w:t>
      </w:r>
      <w:r w:rsidR="00F77727" w:rsidRPr="00C543CE">
        <w:rPr>
          <w:rStyle w:val="Strong"/>
          <w:sz w:val="26"/>
          <w:szCs w:val="26"/>
        </w:rPr>
        <w:t>BỘ KHOA HỌC VÀ CÔNG NGHỆ</w:t>
      </w:r>
    </w:p>
    <w:p w14:paraId="08E85B32" w14:textId="77777777" w:rsidR="00DC1544" w:rsidRPr="00C543CE" w:rsidRDefault="00AA078A" w:rsidP="00DC1544">
      <w:pPr>
        <w:pStyle w:val="NormalWeb"/>
        <w:spacing w:before="0" w:beforeAutospacing="0" w:after="0" w:afterAutospacing="0"/>
        <w:jc w:val="center"/>
        <w:divId w:val="120265279"/>
        <w:rPr>
          <w:rStyle w:val="Strong"/>
          <w:sz w:val="26"/>
          <w:szCs w:val="26"/>
        </w:rPr>
      </w:pPr>
      <w:r w:rsidRPr="00C543CE">
        <w:rPr>
          <w:rStyle w:val="Strong"/>
          <w:sz w:val="26"/>
          <w:szCs w:val="26"/>
        </w:rPr>
        <w:t xml:space="preserve">Tiêu chí: </w:t>
      </w:r>
      <w:r w:rsidR="00DC1544" w:rsidRPr="00C543CE">
        <w:rPr>
          <w:rStyle w:val="Strong"/>
          <w:sz w:val="26"/>
          <w:szCs w:val="26"/>
        </w:rPr>
        <w:t xml:space="preserve">Quy định mâu thuẫn, chồng chéo trong cùng một VBQPPL hoặc giữa các VBQPPL </w:t>
      </w:r>
    </w:p>
    <w:p w14:paraId="08C185AA" w14:textId="77777777" w:rsidR="00E4007F" w:rsidRPr="00C543CE" w:rsidRDefault="004D1B06" w:rsidP="00E4007F">
      <w:pPr>
        <w:pStyle w:val="NormalWeb"/>
        <w:spacing w:before="0" w:beforeAutospacing="0" w:after="0" w:afterAutospacing="0"/>
        <w:jc w:val="center"/>
        <w:divId w:val="120265279"/>
        <w:rPr>
          <w:rStyle w:val="Strong"/>
          <w:sz w:val="26"/>
          <w:szCs w:val="26"/>
        </w:rPr>
      </w:pPr>
      <w:r w:rsidRPr="00C543CE">
        <w:rPr>
          <w:rStyle w:val="Strong"/>
          <w:sz w:val="26"/>
          <w:szCs w:val="26"/>
        </w:rPr>
        <w:t xml:space="preserve">Nhóm </w:t>
      </w:r>
      <w:r w:rsidR="009A7432" w:rsidRPr="00C543CE">
        <w:rPr>
          <w:rStyle w:val="Strong"/>
          <w:sz w:val="26"/>
          <w:szCs w:val="26"/>
        </w:rPr>
        <w:t>B</w:t>
      </w:r>
      <w:r w:rsidR="00A16CB6" w:rsidRPr="00C543CE">
        <w:rPr>
          <w:rStyle w:val="Strong"/>
          <w:sz w:val="26"/>
          <w:szCs w:val="26"/>
        </w:rPr>
        <w:t>.</w:t>
      </w:r>
      <w:r w:rsidR="00A16CB6" w:rsidRPr="00C543CE">
        <w:rPr>
          <w:sz w:val="26"/>
          <w:szCs w:val="26"/>
        </w:rPr>
        <w:t xml:space="preserve"> </w:t>
      </w:r>
      <w:r w:rsidR="00E4007F" w:rsidRPr="00C543CE">
        <w:rPr>
          <w:rStyle w:val="Strong"/>
          <w:sz w:val="26"/>
          <w:szCs w:val="26"/>
        </w:rPr>
        <w:t xml:space="preserve">Nhóm các nội dung cho ý kiến nhất trí nhưng không áp dụng phương án, quy trình xử lý </w:t>
      </w:r>
    </w:p>
    <w:p w14:paraId="07605180" w14:textId="15235D5D" w:rsidR="00E4007F" w:rsidRPr="00C543CE" w:rsidRDefault="00E4007F" w:rsidP="00E4007F">
      <w:pPr>
        <w:pStyle w:val="NormalWeb"/>
        <w:spacing w:before="0" w:beforeAutospacing="0" w:after="0" w:afterAutospacing="0"/>
        <w:jc w:val="center"/>
        <w:divId w:val="120265279"/>
        <w:rPr>
          <w:rStyle w:val="Strong"/>
          <w:sz w:val="26"/>
          <w:szCs w:val="26"/>
        </w:rPr>
      </w:pPr>
      <w:r w:rsidRPr="00C543CE">
        <w:rPr>
          <w:rStyle w:val="Strong"/>
          <w:sz w:val="26"/>
          <w:szCs w:val="26"/>
        </w:rPr>
        <w:t xml:space="preserve">nêu tại khoản 1 Điều 4 Nghị quyết số 206/2025/QH15 </w:t>
      </w:r>
    </w:p>
    <w:p w14:paraId="717D2E06" w14:textId="77777777" w:rsidR="00247593" w:rsidRDefault="00247593" w:rsidP="00840971">
      <w:pPr>
        <w:pStyle w:val="NormalWeb"/>
        <w:spacing w:before="0" w:beforeAutospacing="0" w:after="0" w:afterAutospacing="0" w:line="288" w:lineRule="auto"/>
        <w:divId w:val="120265279"/>
        <w:rPr>
          <w:i/>
          <w:iCs/>
          <w:sz w:val="26"/>
          <w:szCs w:val="26"/>
          <w:lang w:val="vi-VN"/>
        </w:rPr>
      </w:pPr>
    </w:p>
    <w:p w14:paraId="55D08143" w14:textId="77777777" w:rsidR="00247593" w:rsidRDefault="00247593" w:rsidP="00840971">
      <w:pPr>
        <w:pStyle w:val="NormalWeb"/>
        <w:spacing w:before="0" w:beforeAutospacing="0" w:after="0" w:afterAutospacing="0" w:line="288" w:lineRule="auto"/>
        <w:divId w:val="120265279"/>
        <w:rPr>
          <w:i/>
          <w:iCs/>
          <w:sz w:val="26"/>
          <w:szCs w:val="26"/>
          <w:lang w:val="vi-VN"/>
        </w:rPr>
      </w:pPr>
    </w:p>
    <w:p w14:paraId="6B48042D" w14:textId="77777777" w:rsidR="00247593" w:rsidRDefault="00247593" w:rsidP="00840971">
      <w:pPr>
        <w:pStyle w:val="NormalWeb"/>
        <w:spacing w:before="0" w:beforeAutospacing="0" w:after="0" w:afterAutospacing="0" w:line="288" w:lineRule="auto"/>
        <w:divId w:val="120265279"/>
        <w:rPr>
          <w:i/>
          <w:iCs/>
          <w:sz w:val="26"/>
          <w:szCs w:val="26"/>
          <w:lang w:val="vi-VN"/>
        </w:rPr>
      </w:pPr>
    </w:p>
    <w:p w14:paraId="50A0CF64" w14:textId="3AFBDC87" w:rsidR="00F34456" w:rsidRPr="00C543CE" w:rsidRDefault="0076629E" w:rsidP="00840971">
      <w:pPr>
        <w:pStyle w:val="NormalWeb"/>
        <w:spacing w:before="0" w:beforeAutospacing="0" w:after="0" w:afterAutospacing="0" w:line="288" w:lineRule="auto"/>
        <w:divId w:val="120265279"/>
        <w:rPr>
          <w:i/>
          <w:iCs/>
          <w:sz w:val="26"/>
          <w:szCs w:val="26"/>
        </w:rPr>
      </w:pPr>
      <w:r w:rsidRPr="00C543CE">
        <w:rPr>
          <w:i/>
          <w:iCs/>
          <w:noProof/>
          <w:sz w:val="26"/>
          <w:szCs w:val="26"/>
        </w:rPr>
        <mc:AlternateContent>
          <mc:Choice Requires="wps">
            <w:drawing>
              <wp:anchor distT="0" distB="0" distL="114300" distR="114300" simplePos="0" relativeHeight="251659264" behindDoc="0" locked="0" layoutInCell="1" allowOverlap="1" wp14:anchorId="06A7F857" wp14:editId="1B9FAF75">
                <wp:simplePos x="0" y="0"/>
                <wp:positionH relativeFrom="column">
                  <wp:posOffset>3522345</wp:posOffset>
                </wp:positionH>
                <wp:positionV relativeFrom="paragraph">
                  <wp:posOffset>27940</wp:posOffset>
                </wp:positionV>
                <wp:extent cx="231413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314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5532A2"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35pt,2.2pt" to="459.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" strokecolor="black [3200]" strokeweight=".5pt">
                <v:stroke joinstyle="miter"/>
              </v:line>
            </w:pict>
          </mc:Fallback>
        </mc:AlternateContent>
      </w:r>
    </w:p>
    <w:tbl>
      <w:tblPr>
        <w:tblW w:w="14601"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
        <w:gridCol w:w="1855"/>
        <w:gridCol w:w="3160"/>
        <w:gridCol w:w="1984"/>
        <w:gridCol w:w="1701"/>
        <w:gridCol w:w="2410"/>
        <w:gridCol w:w="2835"/>
      </w:tblGrid>
      <w:tr w:rsidR="00685112" w:rsidRPr="00C543CE" w14:paraId="350C8FED" w14:textId="77777777" w:rsidTr="00685112">
        <w:trPr>
          <w:divId w:val="1330596125"/>
          <w:trHeight w:val="1317"/>
          <w:tblHeader/>
          <w:tblCellSpacing w:w="0" w:type="dxa"/>
        </w:trPr>
        <w:tc>
          <w:tcPr>
            <w:tcW w:w="656" w:type="dxa"/>
            <w:shd w:val="clear" w:color="auto" w:fill="FBE4D5" w:themeFill="accent2" w:themeFillTint="33"/>
            <w:hideMark/>
          </w:tcPr>
          <w:p w14:paraId="093DC6AC"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STT</w:t>
            </w:r>
          </w:p>
        </w:tc>
        <w:tc>
          <w:tcPr>
            <w:tcW w:w="1855" w:type="dxa"/>
            <w:shd w:val="clear" w:color="auto" w:fill="FBE4D5" w:themeFill="accent2" w:themeFillTint="33"/>
            <w:hideMark/>
          </w:tcPr>
          <w:p w14:paraId="21FB785F"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 xml:space="preserve">Điều, khoản, điểm, tên văn bản đề xuất </w:t>
            </w:r>
          </w:p>
          <w:p w14:paraId="47459DB7"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xử lý</w:t>
            </w:r>
          </w:p>
        </w:tc>
        <w:tc>
          <w:tcPr>
            <w:tcW w:w="3160" w:type="dxa"/>
            <w:shd w:val="clear" w:color="auto" w:fill="FBE4D5" w:themeFill="accent2" w:themeFillTint="33"/>
            <w:hideMark/>
          </w:tcPr>
          <w:p w14:paraId="54C06114"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 xml:space="preserve">Nội dung quy định </w:t>
            </w:r>
          </w:p>
          <w:p w14:paraId="73590FCF"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được phản ánh mâu thuẫn, chồng chéo</w:t>
            </w:r>
          </w:p>
        </w:tc>
        <w:tc>
          <w:tcPr>
            <w:tcW w:w="1984" w:type="dxa"/>
            <w:shd w:val="clear" w:color="auto" w:fill="FBE4D5" w:themeFill="accent2" w:themeFillTint="33"/>
            <w:hideMark/>
          </w:tcPr>
          <w:p w14:paraId="3AC06658"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Phương án xử lý được đề xuất</w:t>
            </w:r>
          </w:p>
        </w:tc>
        <w:tc>
          <w:tcPr>
            <w:tcW w:w="1701" w:type="dxa"/>
            <w:shd w:val="clear" w:color="auto" w:fill="FBE4D5" w:themeFill="accent2" w:themeFillTint="33"/>
            <w:hideMark/>
          </w:tcPr>
          <w:p w14:paraId="02231869"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 xml:space="preserve">Cơ quan, </w:t>
            </w:r>
          </w:p>
          <w:p w14:paraId="176C30D7"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tổ chức</w:t>
            </w:r>
          </w:p>
          <w:p w14:paraId="2C9A6088"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rà soát, phản ánh</w:t>
            </w:r>
          </w:p>
        </w:tc>
        <w:tc>
          <w:tcPr>
            <w:tcW w:w="2410" w:type="dxa"/>
            <w:shd w:val="clear" w:color="auto" w:fill="FBE4D5" w:themeFill="accent2" w:themeFillTint="33"/>
            <w:hideMark/>
          </w:tcPr>
          <w:p w14:paraId="39760345"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 xml:space="preserve">Ý kiến của Bộ Khoa học </w:t>
            </w:r>
          </w:p>
          <w:p w14:paraId="7F683AF0" w14:textId="77777777"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eastAsia="Times New Roman" w:hAnsi="Times New Roman" w:cs="Times New Roman"/>
                <w:b/>
                <w:bCs/>
                <w:sz w:val="26"/>
                <w:szCs w:val="26"/>
              </w:rPr>
              <w:t>và Công nghệ về nội dung rà soát, phản ánh</w:t>
            </w:r>
          </w:p>
        </w:tc>
        <w:tc>
          <w:tcPr>
            <w:tcW w:w="2835" w:type="dxa"/>
            <w:shd w:val="clear" w:color="auto" w:fill="FBE4D5" w:themeFill="accent2" w:themeFillTint="33"/>
          </w:tcPr>
          <w:p w14:paraId="5CAA1753" w14:textId="416399D6" w:rsidR="00685112" w:rsidRPr="00C543CE" w:rsidRDefault="00685112" w:rsidP="00937B3A">
            <w:pPr>
              <w:spacing w:after="0" w:line="240" w:lineRule="auto"/>
              <w:ind w:left="57" w:right="57"/>
              <w:jc w:val="center"/>
              <w:rPr>
                <w:rFonts w:ascii="Times New Roman" w:eastAsia="Times New Roman" w:hAnsi="Times New Roman" w:cs="Times New Roman"/>
                <w:b/>
                <w:bCs/>
                <w:sz w:val="26"/>
                <w:szCs w:val="26"/>
              </w:rPr>
            </w:pPr>
            <w:r w:rsidRPr="00C543CE">
              <w:rPr>
                <w:rFonts w:ascii="Times New Roman" w:hAnsi="Times New Roman" w:cs="Times New Roman"/>
                <w:b/>
                <w:bCs/>
                <w:sz w:val="26"/>
                <w:szCs w:val="26"/>
              </w:rPr>
              <w:t xml:space="preserve">Tình hình xử lý </w:t>
            </w:r>
          </w:p>
        </w:tc>
      </w:tr>
      <w:tr w:rsidR="00685112" w:rsidRPr="00C543CE" w14:paraId="71A52F7A" w14:textId="77777777" w:rsidTr="00685112">
        <w:trPr>
          <w:divId w:val="1330596125"/>
          <w:tblCellSpacing w:w="0" w:type="dxa"/>
        </w:trPr>
        <w:tc>
          <w:tcPr>
            <w:tcW w:w="656" w:type="dxa"/>
          </w:tcPr>
          <w:p w14:paraId="3DFA3A29"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4396002D" w14:textId="77777777" w:rsidR="00685112" w:rsidRPr="00FB4C2F" w:rsidRDefault="00685112" w:rsidP="00685112">
            <w:pPr>
              <w:spacing w:after="0" w:line="240" w:lineRule="auto"/>
              <w:ind w:left="57" w:right="57"/>
              <w:jc w:val="both"/>
              <w:rPr>
                <w:rFonts w:ascii="Times New Roman" w:hAnsi="Times New Roman" w:cs="Times New Roman"/>
                <w:sz w:val="26"/>
                <w:szCs w:val="26"/>
                <w:highlight w:val="yellow"/>
              </w:rPr>
            </w:pPr>
            <w:r w:rsidRPr="00685112">
              <w:rPr>
                <w:rFonts w:ascii="Times New Roman" w:hAnsi="Times New Roman" w:cs="Times New Roman"/>
                <w:sz w:val="26"/>
                <w:szCs w:val="26"/>
              </w:rPr>
              <w:t xml:space="preserve">Điều 50, 51; khoản 3, khoản 4 Điều 56 </w:t>
            </w:r>
            <w:r w:rsidRPr="00685112">
              <w:rPr>
                <w:rFonts w:ascii="Times New Roman" w:hAnsi="Times New Roman" w:cs="Times New Roman"/>
                <w:b/>
                <w:sz w:val="26"/>
                <w:szCs w:val="26"/>
              </w:rPr>
              <w:t>Luật Đo lường</w:t>
            </w:r>
            <w:r w:rsidRPr="00685112">
              <w:rPr>
                <w:rFonts w:ascii="Times New Roman" w:hAnsi="Times New Roman" w:cs="Times New Roman"/>
                <w:sz w:val="26"/>
                <w:szCs w:val="26"/>
              </w:rPr>
              <w:t xml:space="preserve"> năm 2011 - Luật Thanh tra năm 2025 - Luật Tổ chức chính quyền địa phương năm 2025</w:t>
            </w:r>
          </w:p>
        </w:tc>
        <w:tc>
          <w:tcPr>
            <w:tcW w:w="3160" w:type="dxa"/>
          </w:tcPr>
          <w:p w14:paraId="6C918A8C"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 xml:space="preserve">Luật Đo lường: Quy định thanh tra về đo lường; đối tượng và nhiệm thanh tra chuyên ngành về đo lường; Quy định về trách nhiệm của UBND cấp huyện và cấp xã trong thực hiện công tác quản lý nhà nước về đo lường. Điều 7 Luật Thanh tra năm 2025: Không còn tổ chức cơ quan thanh tra là Thanh tra Sở Khoa học và Công nghệ và thanh tra </w:t>
            </w:r>
            <w:r w:rsidRPr="00C543CE">
              <w:rPr>
                <w:rFonts w:ascii="Times New Roman" w:hAnsi="Times New Roman" w:cs="Times New Roman"/>
                <w:sz w:val="26"/>
                <w:szCs w:val="26"/>
              </w:rPr>
              <w:lastRenderedPageBreak/>
              <w:t>chuyên ngành về đo lường Điều 1, Điều 2 Luật Tổ chức chính quyền địa phương ngày 16/06/2025: Không còn tổ chức chính quyền địa phương là UBND cấp huyện và thực hiện tổ chức lại UBND cấp xã.</w:t>
            </w:r>
          </w:p>
        </w:tc>
        <w:tc>
          <w:tcPr>
            <w:tcW w:w="1984" w:type="dxa"/>
          </w:tcPr>
          <w:p w14:paraId="267D12A6"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701" w:type="dxa"/>
          </w:tcPr>
          <w:p w14:paraId="27413276"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Sở Tư pháp tỉnh An Giang</w:t>
            </w:r>
          </w:p>
        </w:tc>
        <w:tc>
          <w:tcPr>
            <w:tcW w:w="2410" w:type="dxa"/>
          </w:tcPr>
          <w:p w14:paraId="0B39AFA3"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Nội dung phản ánh là đúng. Phương án xử lý: Luật sửa đổi, bổ sung, thay thế nhiều luật (liên quan đến thanh tra chuyên ngành và chính quyền cấp huyện) hoặc sửa Luật Đo lường trong thời gian tới (dự kiến năm 2026)</w:t>
            </w:r>
          </w:p>
          <w:p w14:paraId="3F13C0BA" w14:textId="77777777" w:rsidR="00685112" w:rsidRPr="00C543CE" w:rsidRDefault="00685112" w:rsidP="00685112">
            <w:pPr>
              <w:spacing w:after="0" w:line="240" w:lineRule="auto"/>
              <w:ind w:left="57" w:right="57"/>
              <w:jc w:val="both"/>
              <w:rPr>
                <w:rFonts w:ascii="Times New Roman" w:hAnsi="Times New Roman" w:cs="Times New Roman"/>
                <w:sz w:val="26"/>
                <w:szCs w:val="26"/>
              </w:rPr>
            </w:pPr>
          </w:p>
        </w:tc>
        <w:tc>
          <w:tcPr>
            <w:tcW w:w="2835" w:type="dxa"/>
          </w:tcPr>
          <w:p w14:paraId="53B18D02" w14:textId="48DFA2F8" w:rsidR="00685112" w:rsidRPr="001308E9" w:rsidRDefault="00BF5644" w:rsidP="00685112">
            <w:pPr>
              <w:spacing w:line="240" w:lineRule="auto"/>
              <w:ind w:right="57"/>
              <w:jc w:val="both"/>
              <w:rPr>
                <w:rStyle w:val="Strong"/>
                <w:rFonts w:ascii="Times New Roman" w:hAnsi="Times New Roman" w:cs="Times New Roman"/>
                <w:b w:val="0"/>
                <w:bCs w:val="0"/>
                <w:kern w:val="0"/>
                <w:sz w:val="26"/>
                <w:szCs w:val="26"/>
              </w:rPr>
            </w:pPr>
            <w:r>
              <w:rPr>
                <w:rStyle w:val="Strong"/>
                <w:rFonts w:ascii="Times New Roman" w:hAnsi="Times New Roman" w:cs="Times New Roman"/>
                <w:kern w:val="0"/>
                <w:sz w:val="26"/>
                <w:szCs w:val="26"/>
              </w:rPr>
              <w:t>Chưa xử lý</w:t>
            </w:r>
            <w:r w:rsidR="00685112" w:rsidRPr="001308E9">
              <w:rPr>
                <w:rStyle w:val="Strong"/>
                <w:rFonts w:ascii="Times New Roman" w:hAnsi="Times New Roman" w:cs="Times New Roman"/>
                <w:kern w:val="0"/>
                <w:sz w:val="26"/>
                <w:szCs w:val="26"/>
              </w:rPr>
              <w:t>.</w:t>
            </w:r>
          </w:p>
          <w:p w14:paraId="61E148D2" w14:textId="5D7B7179" w:rsidR="00685112" w:rsidRPr="00685112" w:rsidRDefault="00685112" w:rsidP="00685112">
            <w:pPr>
              <w:spacing w:after="0" w:line="240" w:lineRule="auto"/>
              <w:ind w:left="57" w:right="57"/>
              <w:jc w:val="both"/>
              <w:rPr>
                <w:rFonts w:ascii="Times New Roman" w:hAnsi="Times New Roman" w:cs="Times New Roman"/>
                <w:b/>
                <w:sz w:val="26"/>
                <w:szCs w:val="26"/>
              </w:rPr>
            </w:pPr>
            <w:r w:rsidRPr="00685112">
              <w:rPr>
                <w:rStyle w:val="Strong"/>
                <w:rFonts w:ascii="Times New Roman" w:hAnsi="Times New Roman" w:cs="Times New Roman"/>
                <w:b w:val="0"/>
                <w:kern w:val="0"/>
                <w:sz w:val="26"/>
                <w:szCs w:val="26"/>
              </w:rPr>
              <w:t xml:space="preserve">- Bộ KH&amp;CN đã bắt đầu triển khai dự án Luật Đo lường trong thời gian tới (dự kiến năm 2026), hiện  nay đã Quyết định số 2509/QĐ-BKHCN phê duyệt nhiệm vụ và dự toán kinh phí thực hiện nhiệm vụ “Xây dựng Luật sửa đổi, bổ sung một số điều của Luật Đo lường </w:t>
            </w:r>
            <w:r w:rsidRPr="00685112">
              <w:rPr>
                <w:rStyle w:val="Strong"/>
                <w:rFonts w:ascii="Times New Roman" w:hAnsi="Times New Roman" w:cs="Times New Roman"/>
                <w:b w:val="0"/>
                <w:kern w:val="0"/>
                <w:sz w:val="26"/>
                <w:szCs w:val="26"/>
              </w:rPr>
              <w:lastRenderedPageBreak/>
              <w:t xml:space="preserve">và Nghị định hướng dẫn Luật”. </w:t>
            </w:r>
          </w:p>
        </w:tc>
      </w:tr>
      <w:tr w:rsidR="00685112" w:rsidRPr="00C543CE" w14:paraId="66314527" w14:textId="77777777" w:rsidTr="00685112">
        <w:trPr>
          <w:divId w:val="1330596125"/>
          <w:tblCellSpacing w:w="0" w:type="dxa"/>
        </w:trPr>
        <w:tc>
          <w:tcPr>
            <w:tcW w:w="656" w:type="dxa"/>
          </w:tcPr>
          <w:p w14:paraId="691B4FAF"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57CCC9DC" w14:textId="77777777" w:rsidR="00685112" w:rsidRPr="00FB4C2F" w:rsidRDefault="00685112" w:rsidP="00685112">
            <w:pPr>
              <w:spacing w:after="0" w:line="240" w:lineRule="auto"/>
              <w:ind w:left="57" w:right="57"/>
              <w:jc w:val="both"/>
              <w:rPr>
                <w:rFonts w:ascii="Times New Roman" w:hAnsi="Times New Roman" w:cs="Times New Roman"/>
                <w:color w:val="FF0000"/>
                <w:sz w:val="26"/>
                <w:szCs w:val="26"/>
              </w:rPr>
            </w:pPr>
            <w:r w:rsidRPr="00685112">
              <w:rPr>
                <w:rFonts w:ascii="Times New Roman" w:hAnsi="Times New Roman" w:cs="Times New Roman"/>
                <w:iCs/>
                <w:sz w:val="26"/>
                <w:szCs w:val="26"/>
                <w:lang w:val="vi-VN"/>
              </w:rPr>
              <w:t xml:space="preserve">Khoản Điều 47 </w:t>
            </w:r>
            <w:r w:rsidRPr="00685112">
              <w:rPr>
                <w:rFonts w:ascii="Times New Roman" w:hAnsi="Times New Roman" w:cs="Times New Roman"/>
                <w:b/>
                <w:iCs/>
                <w:sz w:val="26"/>
                <w:szCs w:val="26"/>
                <w:lang w:val="vi-VN"/>
              </w:rPr>
              <w:t>Luật KHCN</w:t>
            </w:r>
            <w:r w:rsidRPr="00685112">
              <w:rPr>
                <w:rFonts w:ascii="Times New Roman" w:hAnsi="Times New Roman" w:cs="Times New Roman"/>
                <w:iCs/>
                <w:sz w:val="26"/>
                <w:szCs w:val="26"/>
                <w:lang w:val="vi-VN"/>
              </w:rPr>
              <w:t xml:space="preserve"> 2013, Khoản 6 Điều 4 </w:t>
            </w:r>
            <w:r w:rsidRPr="00685112">
              <w:rPr>
                <w:rFonts w:ascii="Times New Roman" w:hAnsi="Times New Roman" w:cs="Times New Roman"/>
                <w:b/>
                <w:iCs/>
                <w:sz w:val="26"/>
                <w:szCs w:val="26"/>
                <w:lang w:val="vi-VN"/>
              </w:rPr>
              <w:t>Thông tư 05/2022/TT-BKHCN</w:t>
            </w:r>
            <w:r w:rsidRPr="00685112">
              <w:rPr>
                <w:rFonts w:ascii="Times New Roman" w:hAnsi="Times New Roman" w:cs="Times New Roman"/>
                <w:iCs/>
                <w:sz w:val="26"/>
                <w:szCs w:val="26"/>
                <w:lang w:val="vi-VN"/>
              </w:rPr>
              <w:t xml:space="preserve"> ngày 31/5/2022 hướng dẫn sử dụng Quỹ phát triển khoa học và công nghệ của doanh nghiệp</w:t>
            </w:r>
          </w:p>
        </w:tc>
        <w:tc>
          <w:tcPr>
            <w:tcW w:w="3160" w:type="dxa"/>
          </w:tcPr>
          <w:p w14:paraId="6668DC3B"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 xml:space="preserve">Khoản 4 Điều 47 Luật KHCN 2013 có quy định "Nhà nước tài trợ, khuyến khích tổ chức, cá nhân tổ chức, tài trợ cho hoạt động sáng kiến, cải tiến kỹ thuật, hợp lý hóa sản xuất, đổi mới sáng tạo và tổ chức hội thi sáng kiến, cải tiến kỹ thuật, hợp lý hóa sản xuất, đổi mới sáng tạo". Như vậy, việc tài trợ của tổ chức không chỉ giới hạn trong hoạt động sáng kiến mà bao gồm cả cải tiến kỹ thuật, hợp lý hóa sản xuất, đổi mới sáng tạo theo quy định của Luật KHCN. Tuy nhiên, Khoản 6 Điều 4 </w:t>
            </w:r>
            <w:r w:rsidRPr="00C543CE">
              <w:rPr>
                <w:rFonts w:ascii="Times New Roman" w:hAnsi="Times New Roman" w:cs="Times New Roman"/>
                <w:sz w:val="26"/>
                <w:szCs w:val="26"/>
              </w:rPr>
              <w:lastRenderedPageBreak/>
              <w:t>Thông tư 05/2022/TT-BKHCN ngày 31/5/2022 chỉ quy định về chi Quỹ PT KHCN cho hoạt động sáng kiến được thực hiện theo quy định tại Điều lệ Sáng kiến ban hành kèm theo Nghị định số 13/2012/NĐ-CP mà không đề cập đến hoạt động cải tiến kỹ thuật, hợp lý hóa sản xuất, đổi mới sáng tạo. Ảnh hưởng trực tiếp đến hoạt động của BSR vì hoạt động cải tiến kỹ thuật, hợp lý hoá sản xuất, đổi mới sáng tạo là hoạt động được BSR triển khai thường xuyên, liên tục; đặc biệt trong giai đoạn hiện nay đang thúc đẩy hoạt động phát triển KHCN, Đổi mới sáng tạo.</w:t>
            </w:r>
          </w:p>
        </w:tc>
        <w:tc>
          <w:tcPr>
            <w:tcW w:w="1984" w:type="dxa"/>
          </w:tcPr>
          <w:p w14:paraId="5FD59F12"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701" w:type="dxa"/>
          </w:tcPr>
          <w:p w14:paraId="21445500"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Tập đoàn Công nghiệp - Năng lượng Quốc gia Việt Nam</w:t>
            </w:r>
          </w:p>
        </w:tc>
        <w:tc>
          <w:tcPr>
            <w:tcW w:w="2410" w:type="dxa"/>
          </w:tcPr>
          <w:p w14:paraId="557DA436"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 xml:space="preserve">Luật Khoa học, công nghệ và đổi mới sáng tạo đã được thông qua ngày 27/6/2025, trong đó có quy định liên quan đến quỹ phát triển khoa học và công nghệ của doanh nghiệp. Ngoài ra, Luật Thuế thu nhập doanh nghiệp cũng quy định về quỹ phát triển khoa học, công nghệ, đổi mới sáng tạo và chuyển đổi số. Theo đó, các nội dung liên quan đến Quỹ phát triển khoa </w:t>
            </w:r>
            <w:r w:rsidRPr="00C543CE">
              <w:rPr>
                <w:rFonts w:ascii="Times New Roman" w:hAnsi="Times New Roman" w:cs="Times New Roman"/>
                <w:sz w:val="26"/>
                <w:szCs w:val="26"/>
              </w:rPr>
              <w:lastRenderedPageBreak/>
              <w:t>học và công nghệ của doanh nghiệp sẽ được quy định cụ thể tại Nghị định quy định chi tiết và hướng dẫn thi hành luật. Theo đó, các nội dung này sẽ được nghiên cứu, hoàn thiện.</w:t>
            </w:r>
          </w:p>
        </w:tc>
        <w:tc>
          <w:tcPr>
            <w:tcW w:w="2835" w:type="dxa"/>
          </w:tcPr>
          <w:p w14:paraId="63BD1070" w14:textId="77777777" w:rsidR="00685112" w:rsidRPr="00B50273" w:rsidRDefault="00685112" w:rsidP="00685112">
            <w:pPr>
              <w:widowControl w:val="0"/>
              <w:spacing w:line="240" w:lineRule="auto"/>
              <w:contextualSpacing/>
              <w:jc w:val="both"/>
              <w:rPr>
                <w:rFonts w:ascii="Times New Roman" w:hAnsi="Times New Roman" w:cs="Times New Roman"/>
                <w:b/>
                <w:bCs/>
              </w:rPr>
            </w:pPr>
            <w:r w:rsidRPr="00B50273">
              <w:rPr>
                <w:rFonts w:ascii="Times New Roman" w:hAnsi="Times New Roman" w:cs="Times New Roman"/>
                <w:b/>
                <w:bCs/>
              </w:rPr>
              <w:lastRenderedPageBreak/>
              <w:t xml:space="preserve">Đã xử lý </w:t>
            </w:r>
          </w:p>
          <w:p w14:paraId="1EC847CA" w14:textId="672C7E97" w:rsidR="00685112" w:rsidRPr="00C543CE" w:rsidRDefault="00685112" w:rsidP="00685112">
            <w:pPr>
              <w:spacing w:line="264" w:lineRule="auto"/>
              <w:ind w:left="57" w:right="57"/>
              <w:jc w:val="both"/>
              <w:rPr>
                <w:rFonts w:ascii="Times New Roman" w:hAnsi="Times New Roman" w:cs="Times New Roman"/>
                <w:sz w:val="26"/>
                <w:szCs w:val="26"/>
              </w:rPr>
            </w:pPr>
            <w:r w:rsidRPr="00B50273">
              <w:rPr>
                <w:rFonts w:ascii="Times New Roman" w:hAnsi="Times New Roman" w:cs="Times New Roman"/>
              </w:rPr>
              <w:t>Nghị định số 265/2025/NĐ-CP ngày 14/10/2025</w:t>
            </w:r>
            <w:r>
              <w:rPr>
                <w:rFonts w:ascii="Times New Roman" w:hAnsi="Times New Roman" w:cs="Times New Roman"/>
              </w:rPr>
              <w:t xml:space="preserve"> </w:t>
            </w:r>
            <w:r w:rsidRPr="002A43FE">
              <w:rPr>
                <w:rFonts w:ascii="Times New Roman" w:hAnsi="Times New Roman" w:cs="Times New Roman"/>
              </w:rPr>
              <w:t>quy định chi tiết và hướng dẫn thi hành một số điều của Luật Khoa học, Công nghệ và Đổi mới sáng tạo về tài chính và đầu tư trong khoa học, công nghệ và đổi mới sáng tạo</w:t>
            </w:r>
            <w:r>
              <w:rPr>
                <w:rFonts w:ascii="Times New Roman" w:hAnsi="Times New Roman" w:cs="Times New Roman"/>
              </w:rPr>
              <w:t xml:space="preserve"> quy định cụ thể các khoản chi cho hoạt động khoa học và công nghệ</w:t>
            </w:r>
          </w:p>
        </w:tc>
      </w:tr>
      <w:tr w:rsidR="00685112" w:rsidRPr="00C543CE" w14:paraId="3A5573E7" w14:textId="77777777" w:rsidTr="00685112">
        <w:trPr>
          <w:divId w:val="1330596125"/>
          <w:tblCellSpacing w:w="0" w:type="dxa"/>
        </w:trPr>
        <w:tc>
          <w:tcPr>
            <w:tcW w:w="656" w:type="dxa"/>
          </w:tcPr>
          <w:p w14:paraId="0B36E6E7"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5444D773" w14:textId="77777777" w:rsidR="00685112" w:rsidRPr="00FB4C2F" w:rsidRDefault="00685112" w:rsidP="00685112">
            <w:pPr>
              <w:spacing w:after="0" w:line="240" w:lineRule="auto"/>
              <w:ind w:left="57" w:right="57"/>
              <w:jc w:val="both"/>
              <w:rPr>
                <w:rFonts w:ascii="Times New Roman" w:hAnsi="Times New Roman" w:cs="Times New Roman"/>
                <w:sz w:val="26"/>
                <w:szCs w:val="26"/>
                <w:highlight w:val="yellow"/>
              </w:rPr>
            </w:pPr>
            <w:r w:rsidRPr="00685112">
              <w:rPr>
                <w:rFonts w:ascii="Times New Roman" w:hAnsi="Times New Roman" w:cs="Times New Roman"/>
                <w:sz w:val="26"/>
                <w:szCs w:val="26"/>
              </w:rPr>
              <w:t xml:space="preserve">Khoản 2, Điều 12 </w:t>
            </w:r>
            <w:r w:rsidRPr="00685112">
              <w:rPr>
                <w:rFonts w:ascii="Times New Roman" w:hAnsi="Times New Roman" w:cs="Times New Roman"/>
                <w:b/>
                <w:sz w:val="26"/>
                <w:szCs w:val="26"/>
              </w:rPr>
              <w:t>Nghị định 43/2017/NĐ-CP</w:t>
            </w:r>
            <w:r w:rsidRPr="00685112">
              <w:rPr>
                <w:rFonts w:ascii="Times New Roman" w:hAnsi="Times New Roman" w:cs="Times New Roman"/>
                <w:sz w:val="26"/>
                <w:szCs w:val="26"/>
              </w:rPr>
              <w:t xml:space="preserve">; Nghị quyết số </w:t>
            </w:r>
            <w:r w:rsidRPr="00685112">
              <w:rPr>
                <w:rFonts w:ascii="Times New Roman" w:hAnsi="Times New Roman" w:cs="Times New Roman"/>
                <w:sz w:val="26"/>
                <w:szCs w:val="26"/>
              </w:rPr>
              <w:lastRenderedPageBreak/>
              <w:t>202/2025/QH15 và các nghị quyết của ƯBTVQH về việc sắp xếp các đơn vị hành chính cấp xã của các tỉnh, thành phố</w:t>
            </w:r>
          </w:p>
        </w:tc>
        <w:tc>
          <w:tcPr>
            <w:tcW w:w="3160" w:type="dxa"/>
          </w:tcPr>
          <w:p w14:paraId="700A4512"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 xml:space="preserve">Theo quy định tại Nghị định 43/2017/NĐ-CP về nhãn hàng hóa. được sửa đổi, bổ sung bởi Nghị định 111/2021/NĐ-CP, nhãn hàng </w:t>
            </w:r>
            <w:r w:rsidRPr="00C543CE">
              <w:rPr>
                <w:rFonts w:ascii="Times New Roman" w:hAnsi="Times New Roman" w:cs="Times New Roman"/>
                <w:sz w:val="26"/>
                <w:szCs w:val="26"/>
              </w:rPr>
              <w:lastRenderedPageBreak/>
              <w:t xml:space="preserve">hóa sản xuất trong nước phải thể hiện tên và địa chỉ của cơ sở sản xuất. Tuy nhiên, việc triển khai Nghị quyết 202/2025/QH15 của Ọuốc hội về việc sắp xếp các đơn vị hành chính cấp xã của các tỉnh thành phố đang dẫn đến một số vướng mắc trong thực tiễn. Cụ thể, doanh nghiệp gặp khó khăn khi xác định cách ghi địa chỉ trên nhãn hàng hóa sản xuất sau thời điểm Nghị quyết có hiệu lực: nên tiếp tục sử dụng địa chỉ theo Giấy chứng nhận đăng ký doanh nghiệp hiện tại (chưa kịp điều chỉnh theo địa giới mới), hay phải áp dụng ngay địa chỉ theo đơn vị hành chính mới? Bên cạnh đó, đối với các nhãn hàng hóa đã được in trước khi ngày hoàn tất thủ tục điều chỉnh lại địa chỉ trong Giấy chứng nhận đăng ký doanh nghiệp, </w:t>
            </w:r>
            <w:r w:rsidRPr="00C543CE">
              <w:rPr>
                <w:rFonts w:ascii="Times New Roman" w:hAnsi="Times New Roman" w:cs="Times New Roman"/>
                <w:sz w:val="26"/>
                <w:szCs w:val="26"/>
              </w:rPr>
              <w:lastRenderedPageBreak/>
              <w:t xml:space="preserve">doanh nghiệp còn chưa rõ có được tiếp tục sử dụng đến khi in mới hay không, đặc biệt trong bối cảnh khối lượng bao bì tồn kho có thể lớn và phát sinh chi phí đáng kể nếu bị yêu cầu tiêu hủy. Để đảm bảo tính hợp pháp, thống nhất và tránh lãng phí, đề nghị cơ quan quản lý cho phép doanh nghiệp tiếp tục sử dụng thông tin địa chỉ cơ sở sản xuất như đã ghi trên Giấy chứng nhận đăng ký doanh nghiệp hiện hành cho đến khi hoàn tất thủ tục điều chỉnh địa chỉ theo địa giới hành chính mới. Giấy chứng nhận đăng ký doanh nghiệp vẫn là căn cứ pháp lý chính thức để các cơ quan chức năng kiểm tra, đối chiếu. Đồng thời, nếu doanh nghiệp tự điều chỉnh thông tin địa chỉ trên nhãn hàng hóa khi chưa cập nhật giấy phép, sẽ </w:t>
            </w:r>
            <w:r w:rsidRPr="00C543CE">
              <w:rPr>
                <w:rFonts w:ascii="Times New Roman" w:hAnsi="Times New Roman" w:cs="Times New Roman"/>
                <w:sz w:val="26"/>
                <w:szCs w:val="26"/>
              </w:rPr>
              <w:lastRenderedPageBreak/>
              <w:t>gây khó khăn trong việc cung cấp tài liệu hợp lệ và không đảm bảo sự thống nhất khi cơ quan cấp phép yêu cầu sửa đổi nội dung địa chỉ (về cách viết tắt tên địa phương, đơn vị hành chính,...). Bên cạnh đó, đề nghị áp dụng quy định chuyển tiếp tương tự khoản 2 Điều 24 Nghị định 43/2017/NĐ-CP, theo đó cho phép các nhãn hàng hóa, bao bì thương phẩm đã được in đúng quy định trước thời điểm thay đổi địa chỉ được tiếp tục sử dụng nhưng không quá 02 năm kể từ ngày doanh nghiệp được cấp Giấy chứng nhận đăng ký doanh nghiệp điều chỉnh theo địa giới hành chính mới.</w:t>
            </w:r>
          </w:p>
        </w:tc>
        <w:tc>
          <w:tcPr>
            <w:tcW w:w="1984" w:type="dxa"/>
          </w:tcPr>
          <w:p w14:paraId="5508ABC3"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Style w:val="Strong"/>
                <w:rFonts w:ascii="Times New Roman" w:hAnsi="Times New Roman" w:cs="Times New Roman"/>
                <w:b w:val="0"/>
                <w:bCs w:val="0"/>
                <w:sz w:val="26"/>
                <w:szCs w:val="26"/>
              </w:rPr>
              <w:lastRenderedPageBreak/>
              <w:t xml:space="preserve">B. Hướng dẫn áp dụng VBQPPL theo quy định tại Điều 61 Luật Ban </w:t>
            </w:r>
            <w:r w:rsidRPr="00C543CE">
              <w:rPr>
                <w:rStyle w:val="Strong"/>
                <w:rFonts w:ascii="Times New Roman" w:hAnsi="Times New Roman" w:cs="Times New Roman"/>
                <w:b w:val="0"/>
                <w:bCs w:val="0"/>
                <w:sz w:val="26"/>
                <w:szCs w:val="26"/>
              </w:rPr>
              <w:t>hành VBQPPL năm 2025</w:t>
            </w:r>
          </w:p>
        </w:tc>
        <w:tc>
          <w:tcPr>
            <w:tcW w:w="1701" w:type="dxa"/>
          </w:tcPr>
          <w:p w14:paraId="48B24B27"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shd w:val="clear" w:color="auto" w:fill="FFFFFF"/>
              </w:rPr>
              <w:lastRenderedPageBreak/>
              <w:t>Hiệp hội Ngân hàng Việt Nam</w:t>
            </w:r>
          </w:p>
        </w:tc>
        <w:tc>
          <w:tcPr>
            <w:tcW w:w="2410" w:type="dxa"/>
          </w:tcPr>
          <w:p w14:paraId="7AFA05E9"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 xml:space="preserve">Nhất trí. Phương án xử lý: Ngày 18/6/2025, tại kỳ họp thứ 9 Quốc hội khóa XV đã thông qua </w:t>
            </w:r>
            <w:r w:rsidRPr="00C543CE">
              <w:rPr>
                <w:rFonts w:ascii="Times New Roman" w:hAnsi="Times New Roman" w:cs="Times New Roman"/>
                <w:sz w:val="26"/>
                <w:szCs w:val="26"/>
              </w:rPr>
              <w:lastRenderedPageBreak/>
              <w:t>Luật sửa đổi, bổ sung 1 số điều của Luật Chất lượng SPHH. Để triển khai Luật này, ngày 14/7/2025, Thủ tướng Chính phủ đã ban hành Quyết định số 1526/QĐ-TTg ban hành Danh mục và phân công đơn vị chủ trì xây dựng các VBQPPL được Quốc hội XV, kỳ họp thứ 9 thông qua, trong đó có xây dựng dự thảo Nghị định về nhãn hàng hóa (thay thế Nghị định số 43/2017/NĐ-CP, Nghị định 111/2021/NĐ-CP). Hiện nay, Bộ KHCN đang triển khai xây dựng Nghị định này</w:t>
            </w:r>
          </w:p>
          <w:p w14:paraId="64C1A751" w14:textId="77777777" w:rsidR="00685112" w:rsidRPr="00C543CE" w:rsidRDefault="00685112" w:rsidP="00685112">
            <w:pPr>
              <w:spacing w:after="0" w:line="240" w:lineRule="auto"/>
              <w:ind w:left="57" w:right="57"/>
              <w:jc w:val="both"/>
              <w:rPr>
                <w:rFonts w:ascii="Times New Roman" w:hAnsi="Times New Roman" w:cs="Times New Roman"/>
                <w:sz w:val="26"/>
                <w:szCs w:val="26"/>
              </w:rPr>
            </w:pPr>
          </w:p>
        </w:tc>
        <w:tc>
          <w:tcPr>
            <w:tcW w:w="2835" w:type="dxa"/>
          </w:tcPr>
          <w:p w14:paraId="310141E5" w14:textId="1A373D67" w:rsidR="00685112" w:rsidRPr="001308E9" w:rsidRDefault="00BF5644" w:rsidP="00685112">
            <w:pPr>
              <w:spacing w:line="240" w:lineRule="auto"/>
              <w:ind w:right="57"/>
              <w:jc w:val="both"/>
              <w:rPr>
                <w:rStyle w:val="Strong"/>
                <w:rFonts w:ascii="Times New Roman" w:hAnsi="Times New Roman" w:cs="Times New Roman"/>
                <w:b w:val="0"/>
                <w:bCs w:val="0"/>
                <w:kern w:val="0"/>
                <w:sz w:val="26"/>
                <w:szCs w:val="26"/>
              </w:rPr>
            </w:pPr>
            <w:r>
              <w:rPr>
                <w:rStyle w:val="Strong"/>
                <w:rFonts w:ascii="Times New Roman" w:hAnsi="Times New Roman" w:cs="Times New Roman"/>
                <w:kern w:val="0"/>
                <w:sz w:val="26"/>
                <w:szCs w:val="26"/>
              </w:rPr>
              <w:lastRenderedPageBreak/>
              <w:t>Chưa xử lý</w:t>
            </w:r>
            <w:r w:rsidR="00685112" w:rsidRPr="001308E9">
              <w:rPr>
                <w:rStyle w:val="Strong"/>
                <w:rFonts w:ascii="Times New Roman" w:hAnsi="Times New Roman" w:cs="Times New Roman"/>
                <w:kern w:val="0"/>
                <w:sz w:val="26"/>
                <w:szCs w:val="26"/>
              </w:rPr>
              <w:t>.</w:t>
            </w:r>
          </w:p>
          <w:p w14:paraId="1849BC45" w14:textId="77777777" w:rsidR="00685112" w:rsidRPr="00685112" w:rsidRDefault="00685112" w:rsidP="00685112">
            <w:pPr>
              <w:spacing w:line="240" w:lineRule="auto"/>
              <w:ind w:right="57"/>
              <w:jc w:val="both"/>
              <w:rPr>
                <w:rStyle w:val="Strong"/>
                <w:rFonts w:ascii="Times New Roman" w:hAnsi="Times New Roman" w:cs="Times New Roman"/>
                <w:b w:val="0"/>
                <w:bCs w:val="0"/>
                <w:kern w:val="0"/>
                <w:sz w:val="26"/>
                <w:szCs w:val="26"/>
              </w:rPr>
            </w:pPr>
            <w:r w:rsidRPr="001308E9">
              <w:rPr>
                <w:rStyle w:val="Strong"/>
                <w:rFonts w:ascii="Times New Roman" w:hAnsi="Times New Roman" w:cs="Times New Roman"/>
                <w:kern w:val="0"/>
                <w:sz w:val="26"/>
                <w:szCs w:val="26"/>
              </w:rPr>
              <w:t xml:space="preserve">- </w:t>
            </w:r>
            <w:r w:rsidRPr="00685112">
              <w:rPr>
                <w:rStyle w:val="Strong"/>
                <w:rFonts w:ascii="Times New Roman" w:hAnsi="Times New Roman" w:cs="Times New Roman"/>
                <w:b w:val="0"/>
                <w:kern w:val="0"/>
                <w:sz w:val="26"/>
                <w:szCs w:val="26"/>
              </w:rPr>
              <w:t xml:space="preserve">Bộ KHCN đề xuất phương án xử lý là ban </w:t>
            </w:r>
            <w:r w:rsidRPr="00685112">
              <w:rPr>
                <w:rStyle w:val="Strong"/>
                <w:rFonts w:ascii="Times New Roman" w:hAnsi="Times New Roman" w:cs="Times New Roman"/>
                <w:b w:val="0"/>
                <w:kern w:val="0"/>
                <w:sz w:val="26"/>
                <w:szCs w:val="26"/>
              </w:rPr>
              <w:lastRenderedPageBreak/>
              <w:t>hanh hành văn bản QPPL thay thế, cụ thể:</w:t>
            </w:r>
          </w:p>
          <w:p w14:paraId="0F2B012D" w14:textId="5FC860E1" w:rsidR="00685112" w:rsidRPr="00C543CE" w:rsidRDefault="00685112" w:rsidP="00685112">
            <w:pPr>
              <w:spacing w:line="264" w:lineRule="auto"/>
              <w:ind w:left="57" w:right="57"/>
              <w:jc w:val="both"/>
              <w:rPr>
                <w:rFonts w:ascii="Times New Roman" w:hAnsi="Times New Roman" w:cs="Times New Roman"/>
                <w:sz w:val="26"/>
                <w:szCs w:val="26"/>
              </w:rPr>
            </w:pPr>
            <w:r w:rsidRPr="00685112">
              <w:rPr>
                <w:rStyle w:val="Strong"/>
                <w:rFonts w:ascii="Times New Roman" w:hAnsi="Times New Roman" w:cs="Times New Roman"/>
                <w:b w:val="0"/>
                <w:kern w:val="0"/>
                <w:sz w:val="26"/>
                <w:szCs w:val="26"/>
              </w:rPr>
              <w:t xml:space="preserve">Bộ KH&amp;CN (Ủy ban) đã xây dựng Nghị định quy định chi tiết thi hành một số điều Luật Chất lượng sản phẩm, hàng hóa và Luật sửa đổi, bổ sung một số điều của Luật Chất lượng sản phẩm, hàng hóa và quy định về nhãn hàng hóa, gửi lấy ý kiến góp ý các Bộ, ngành, địa phương (công văn số 4033/BKHCN-TĐC ngày 20/8/2025 và Công văn số 4390/BKHCN-TĐC ngày 05/9/2025). Hiện nay, đang tổng hợp, xử lý ý kiến góp ý để hoàn thiện hồ sơ, gửi Bộ Tư pháp thẩm định theo quy định (dự kiến thẩm định trong </w:t>
            </w:r>
            <w:r w:rsidRPr="00685112">
              <w:rPr>
                <w:rStyle w:val="Strong"/>
                <w:rFonts w:ascii="Times New Roman" w:hAnsi="Times New Roman" w:cs="Times New Roman"/>
                <w:b w:val="0"/>
                <w:kern w:val="0"/>
                <w:sz w:val="26"/>
                <w:szCs w:val="26"/>
              </w:rPr>
              <w:lastRenderedPageBreak/>
              <w:t>tháng 9/2025 để trình Chính phủ trong tháng 10/2025 theo quy định).</w:t>
            </w:r>
          </w:p>
        </w:tc>
      </w:tr>
      <w:tr w:rsidR="00685112" w:rsidRPr="00C543CE" w14:paraId="73335763" w14:textId="77777777" w:rsidTr="00685112">
        <w:trPr>
          <w:divId w:val="1330596125"/>
          <w:tblCellSpacing w:w="0" w:type="dxa"/>
        </w:trPr>
        <w:tc>
          <w:tcPr>
            <w:tcW w:w="656" w:type="dxa"/>
          </w:tcPr>
          <w:p w14:paraId="7B4C4918"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389D184D" w14:textId="77777777" w:rsidR="00685112" w:rsidRPr="00FB4C2F" w:rsidRDefault="00685112" w:rsidP="00685112">
            <w:pPr>
              <w:spacing w:after="0" w:line="240" w:lineRule="auto"/>
              <w:ind w:left="57" w:right="57"/>
              <w:jc w:val="both"/>
              <w:rPr>
                <w:rFonts w:ascii="Times New Roman" w:hAnsi="Times New Roman" w:cs="Times New Roman"/>
                <w:sz w:val="26"/>
                <w:szCs w:val="26"/>
                <w:highlight w:val="yellow"/>
              </w:rPr>
            </w:pPr>
            <w:r w:rsidRPr="00685112">
              <w:rPr>
                <w:rFonts w:ascii="Times New Roman" w:hAnsi="Times New Roman" w:cs="Times New Roman"/>
                <w:b/>
                <w:sz w:val="26"/>
                <w:szCs w:val="26"/>
              </w:rPr>
              <w:t>Nghị định số 142/2020/NĐ-CP</w:t>
            </w:r>
            <w:r w:rsidRPr="00685112">
              <w:rPr>
                <w:rFonts w:ascii="Times New Roman" w:hAnsi="Times New Roman" w:cs="Times New Roman"/>
                <w:sz w:val="26"/>
                <w:szCs w:val="26"/>
              </w:rPr>
              <w:t xml:space="preserve"> ngày 09/12/2020 của </w:t>
            </w:r>
            <w:r w:rsidRPr="00685112">
              <w:rPr>
                <w:rFonts w:ascii="Times New Roman" w:hAnsi="Times New Roman" w:cs="Times New Roman"/>
                <w:sz w:val="26"/>
                <w:szCs w:val="26"/>
              </w:rPr>
              <w:lastRenderedPageBreak/>
              <w:t>Chính phủ quy định về việc tiến hành công việc bức xạ và hoạt động dịch vụ hỗ trợ ứng dụng năng lượng nguyên tử.</w:t>
            </w:r>
          </w:p>
        </w:tc>
        <w:tc>
          <w:tcPr>
            <w:tcW w:w="3160" w:type="dxa"/>
          </w:tcPr>
          <w:p w14:paraId="7DBA221A"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 xml:space="preserve">Tại Phụ lục các Biểu mẫu ban hành kèm theo Nghị định có các thông tin không thống nhất như: - Giữa Đơn </w:t>
            </w:r>
            <w:r w:rsidRPr="00C543CE">
              <w:rPr>
                <w:rFonts w:ascii="Times New Roman" w:hAnsi="Times New Roman" w:cs="Times New Roman"/>
                <w:sz w:val="26"/>
                <w:szCs w:val="26"/>
              </w:rPr>
              <w:lastRenderedPageBreak/>
              <w:t>đề nghị cấp Chứng chỉ nhân viên bức xạ (Mẫu số 05 - Phụ lục IV) với Chứng chỉ nhân viên bức xạ (Mẫu số 03 - Phụ lục VI). - Giữa Phiếu Khai báo thiết bị X-quang chẩn đoán trong y tế (Mẫu số 07 - Phụ lục III) với Giấy xác nhận khai báo (Mẫu số 01 - Phụ lục VI). Như: Tại Đơn đề nghị cấp chứng chỉ nhân viên bức xạ (Mẫu số 05 - Phụ lục IV) có yêu cầu thông tin “Địa chỉ liên lạc”. Tuy nhiên tại Chứng chỉ nhân viên bức xạ (Mẫu số 03 - Phụ lục VI) được cấp ghi thông tin “Địa chỉ thường trú”. Thông tin tại Giấy xác nhận khai báo (Mẫu số 01 - Phụ lục VI) có ghi thông tin cá nhân của Người đứng đầu tổ chức (Họ tên, chức vụ, Số giấy CMND/CCCD/Hộ chiếu). Tuy nhiên, thành phần hồ sơ Thủ tục khai báo thiết bị X-</w:t>
            </w:r>
            <w:r w:rsidRPr="00C543CE">
              <w:rPr>
                <w:rFonts w:ascii="Times New Roman" w:hAnsi="Times New Roman" w:cs="Times New Roman"/>
                <w:sz w:val="26"/>
                <w:szCs w:val="26"/>
              </w:rPr>
              <w:lastRenderedPageBreak/>
              <w:t>quang chẩn đoán trong y tế chỉ yêu cầu duy nhất Phiếu Khai báo thiết bị X-quang chẩn đoán trong y tế, mà trong nội dung thông tin của phiếu không có các thông tin trên.</w:t>
            </w:r>
          </w:p>
        </w:tc>
        <w:tc>
          <w:tcPr>
            <w:tcW w:w="1984" w:type="dxa"/>
          </w:tcPr>
          <w:p w14:paraId="68BB415E" w14:textId="77777777" w:rsidR="00685112" w:rsidRPr="00C543CE" w:rsidRDefault="00685112" w:rsidP="00685112">
            <w:pPr>
              <w:spacing w:after="0" w:line="240" w:lineRule="auto"/>
              <w:ind w:left="57" w:right="57"/>
              <w:jc w:val="both"/>
              <w:rPr>
                <w:rStyle w:val="Strong"/>
                <w:rFonts w:ascii="Times New Roman" w:hAnsi="Times New Roman" w:cs="Times New Roman"/>
                <w:b w:val="0"/>
                <w:bCs w:val="0"/>
                <w:sz w:val="26"/>
                <w:szCs w:val="26"/>
              </w:rPr>
            </w:pPr>
            <w:r w:rsidRPr="00C543CE">
              <w:rPr>
                <w:rFonts w:ascii="Times New Roman" w:hAnsi="Times New Roman" w:cs="Times New Roman"/>
                <w:sz w:val="26"/>
                <w:szCs w:val="26"/>
              </w:rPr>
              <w:lastRenderedPageBreak/>
              <w:t xml:space="preserve">D. Ban hành nghị quyết QPPL của Chính phủ, nghị quyết của </w:t>
            </w:r>
            <w:r w:rsidRPr="00C543CE">
              <w:rPr>
                <w:rFonts w:ascii="Times New Roman" w:hAnsi="Times New Roman" w:cs="Times New Roman"/>
                <w:sz w:val="26"/>
                <w:szCs w:val="26"/>
              </w:rPr>
              <w:t>UBTVQH theo quy định tại điểm c khoản 1 Điều 4 Nghị quyết số 206/2025/QH15</w:t>
            </w:r>
          </w:p>
        </w:tc>
        <w:tc>
          <w:tcPr>
            <w:tcW w:w="1701" w:type="dxa"/>
          </w:tcPr>
          <w:p w14:paraId="72C7B226" w14:textId="77777777" w:rsidR="00685112" w:rsidRPr="00C543CE" w:rsidRDefault="00685112" w:rsidP="00685112">
            <w:pPr>
              <w:spacing w:after="0" w:line="240" w:lineRule="auto"/>
              <w:ind w:left="57" w:right="57"/>
              <w:jc w:val="both"/>
              <w:rPr>
                <w:rFonts w:ascii="Times New Roman" w:hAnsi="Times New Roman" w:cs="Times New Roman"/>
                <w:sz w:val="26"/>
                <w:szCs w:val="26"/>
                <w:shd w:val="clear" w:color="auto" w:fill="FFFFFF"/>
              </w:rPr>
            </w:pPr>
            <w:r w:rsidRPr="00C543CE">
              <w:rPr>
                <w:rFonts w:ascii="Times New Roman" w:hAnsi="Times New Roman" w:cs="Times New Roman"/>
                <w:sz w:val="26"/>
                <w:szCs w:val="26"/>
              </w:rPr>
              <w:lastRenderedPageBreak/>
              <w:t>Sở Tư pháp tỉnh Bắc Ninh</w:t>
            </w:r>
          </w:p>
        </w:tc>
        <w:tc>
          <w:tcPr>
            <w:tcW w:w="2410" w:type="dxa"/>
          </w:tcPr>
          <w:p w14:paraId="720A576F"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 xml:space="preserve">Hiện nay, để quy định chi tiết thi hành Luật Năng lượng nguyên tử số 94/2025/QH15, </w:t>
            </w:r>
            <w:r w:rsidRPr="00C543CE">
              <w:rPr>
                <w:rFonts w:ascii="Times New Roman" w:hAnsi="Times New Roman" w:cs="Times New Roman"/>
                <w:sz w:val="26"/>
                <w:szCs w:val="26"/>
              </w:rPr>
              <w:lastRenderedPageBreak/>
              <w:t>Bộ KH&amp;CN đang được giao chủ trì soạn thảo Nghị định quy định việc tiến hành công việc bức xạ và hạt động dịch vụ hỗ trợ ứng dụng năng lượng nguyên tử (Quyết định số 1526/QĐ-TTg ngày 14/7/2025). Nghị định này sẽ thay thế cho Nghị định số 142/2020/NĐ-CP. Vướng mắc này sẽ được xử lý trong Nghị định mới. Vì vậy không cần thiết ban hành Nghị quyết. Nghị định này sẽ được trình Chính phủ trong tháng 9/2025.</w:t>
            </w:r>
          </w:p>
        </w:tc>
        <w:tc>
          <w:tcPr>
            <w:tcW w:w="2835" w:type="dxa"/>
          </w:tcPr>
          <w:p w14:paraId="25399253" w14:textId="03766F60" w:rsidR="00685112" w:rsidRPr="001308E9" w:rsidRDefault="00BF5644" w:rsidP="00685112">
            <w:pPr>
              <w:pStyle w:val="Default"/>
              <w:jc w:val="both"/>
              <w:rPr>
                <w:rStyle w:val="Strong"/>
                <w:rFonts w:eastAsiaTheme="minorEastAsia"/>
                <w:b w:val="0"/>
                <w:bCs w:val="0"/>
                <w:color w:val="auto"/>
                <w:sz w:val="26"/>
                <w:szCs w:val="26"/>
                <w14:ligatures w14:val="standardContextual"/>
              </w:rPr>
            </w:pPr>
            <w:r>
              <w:rPr>
                <w:rStyle w:val="Strong"/>
                <w:rFonts w:eastAsiaTheme="minorEastAsia"/>
                <w:color w:val="auto"/>
                <w:sz w:val="26"/>
                <w:szCs w:val="26"/>
                <w14:ligatures w14:val="standardContextual"/>
              </w:rPr>
              <w:lastRenderedPageBreak/>
              <w:t>Chưa xử lý</w:t>
            </w:r>
            <w:r w:rsidR="00685112" w:rsidRPr="001308E9">
              <w:rPr>
                <w:rStyle w:val="Strong"/>
                <w:rFonts w:eastAsiaTheme="minorEastAsia"/>
                <w:color w:val="auto"/>
                <w:sz w:val="26"/>
                <w:szCs w:val="26"/>
                <w14:ligatures w14:val="standardContextual"/>
              </w:rPr>
              <w:t>.</w:t>
            </w:r>
          </w:p>
          <w:p w14:paraId="2CAF33EC" w14:textId="77777777" w:rsidR="00685112" w:rsidRPr="00685112" w:rsidRDefault="00685112" w:rsidP="00685112">
            <w:pPr>
              <w:pStyle w:val="Default"/>
              <w:jc w:val="both"/>
              <w:rPr>
                <w:rStyle w:val="Strong"/>
                <w:rFonts w:eastAsiaTheme="minorEastAsia"/>
                <w:b w:val="0"/>
                <w:bCs w:val="0"/>
                <w:color w:val="auto"/>
                <w:sz w:val="26"/>
                <w:szCs w:val="26"/>
                <w14:ligatures w14:val="standardContextual"/>
              </w:rPr>
            </w:pPr>
            <w:r w:rsidRPr="001308E9">
              <w:rPr>
                <w:rStyle w:val="Strong"/>
                <w:rFonts w:eastAsiaTheme="minorEastAsia"/>
                <w:color w:val="auto"/>
                <w:sz w:val="26"/>
                <w:szCs w:val="26"/>
                <w14:ligatures w14:val="standardContextual"/>
              </w:rPr>
              <w:t xml:space="preserve">- </w:t>
            </w:r>
            <w:r w:rsidRPr="00685112">
              <w:rPr>
                <w:rStyle w:val="Strong"/>
                <w:rFonts w:eastAsiaTheme="minorEastAsia"/>
                <w:b w:val="0"/>
                <w:color w:val="auto"/>
                <w:sz w:val="26"/>
                <w:szCs w:val="26"/>
                <w14:ligatures w14:val="standardContextual"/>
              </w:rPr>
              <w:t xml:space="preserve">Hiện nay, để quy định chi tiết thi hành Luật Năng lượng nguyên tử số </w:t>
            </w:r>
            <w:r w:rsidRPr="00685112">
              <w:rPr>
                <w:rStyle w:val="Strong"/>
                <w:rFonts w:eastAsiaTheme="minorEastAsia"/>
                <w:b w:val="0"/>
                <w:color w:val="auto"/>
                <w:sz w:val="26"/>
                <w:szCs w:val="26"/>
                <w14:ligatures w14:val="standardContextual"/>
              </w:rPr>
              <w:lastRenderedPageBreak/>
              <w:t xml:space="preserve">94/2025/QH15, Bộ KH&amp;CN đang được giao chủ trì soạn thảo Nghị định quy định việc tiến hành công việc bức xạ và hạt động dịch vụ hỗ trợ ứng dụng năng lượng nguyên tử (Quyết định số 1526/QĐ-TTg ngày 14/7/2025). Nghị định này sẽ thay thế cho Nghị định số 142/2020/NĐ-CP. Vướng mắc này đã được xử lý tại dự thảo Nghị định mới. </w:t>
            </w:r>
          </w:p>
          <w:p w14:paraId="5867C04C" w14:textId="77777777" w:rsidR="00685112" w:rsidRPr="00685112" w:rsidRDefault="00685112" w:rsidP="00685112">
            <w:pPr>
              <w:pStyle w:val="Default"/>
              <w:jc w:val="both"/>
              <w:rPr>
                <w:rStyle w:val="Strong"/>
                <w:rFonts w:eastAsiaTheme="minorEastAsia"/>
                <w:b w:val="0"/>
                <w:bCs w:val="0"/>
                <w:color w:val="auto"/>
                <w:sz w:val="26"/>
                <w:szCs w:val="26"/>
                <w14:ligatures w14:val="standardContextual"/>
              </w:rPr>
            </w:pPr>
            <w:r w:rsidRPr="00685112">
              <w:rPr>
                <w:rStyle w:val="Strong"/>
                <w:rFonts w:eastAsiaTheme="minorEastAsia"/>
                <w:b w:val="0"/>
                <w:color w:val="auto"/>
                <w:sz w:val="26"/>
                <w:szCs w:val="26"/>
                <w14:ligatures w14:val="standardContextual"/>
              </w:rPr>
              <w:t>Hiện nay, hồ sơ Nghị định thay thế này đang được hoàn thiện, gửi Bộ Tư pháp thẩm định để trình Chính phủ ban hành trong tháng 10/2025.</w:t>
            </w:r>
          </w:p>
          <w:p w14:paraId="6816683E" w14:textId="77777777" w:rsidR="00685112" w:rsidRPr="00C543CE" w:rsidRDefault="00685112" w:rsidP="00685112">
            <w:pPr>
              <w:spacing w:line="264" w:lineRule="auto"/>
              <w:ind w:right="57"/>
              <w:jc w:val="both"/>
              <w:rPr>
                <w:rFonts w:ascii="Times New Roman" w:hAnsi="Times New Roman" w:cs="Times New Roman"/>
                <w:sz w:val="26"/>
                <w:szCs w:val="26"/>
              </w:rPr>
            </w:pPr>
          </w:p>
        </w:tc>
      </w:tr>
      <w:tr w:rsidR="00685112" w:rsidRPr="00C543CE" w14:paraId="6D261FAC" w14:textId="77777777" w:rsidTr="00685112">
        <w:trPr>
          <w:divId w:val="1330596125"/>
          <w:tblCellSpacing w:w="0" w:type="dxa"/>
        </w:trPr>
        <w:tc>
          <w:tcPr>
            <w:tcW w:w="656" w:type="dxa"/>
          </w:tcPr>
          <w:p w14:paraId="13AC6615"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57D4E382" w14:textId="77777777" w:rsidR="00685112" w:rsidRPr="00FB4C2F" w:rsidRDefault="00685112" w:rsidP="00685112">
            <w:pPr>
              <w:spacing w:after="0" w:line="240" w:lineRule="auto"/>
              <w:ind w:left="57" w:right="57"/>
              <w:jc w:val="both"/>
              <w:rPr>
                <w:rFonts w:ascii="Times New Roman" w:hAnsi="Times New Roman" w:cs="Times New Roman"/>
                <w:sz w:val="26"/>
                <w:szCs w:val="26"/>
                <w:highlight w:val="yellow"/>
              </w:rPr>
            </w:pPr>
            <w:r w:rsidRPr="00FB4C2F">
              <w:rPr>
                <w:rFonts w:ascii="Times New Roman" w:hAnsi="Times New Roman" w:cs="Times New Roman"/>
                <w:b/>
                <w:sz w:val="26"/>
                <w:szCs w:val="26"/>
                <w:highlight w:val="yellow"/>
              </w:rPr>
              <w:t>Nghị định số 133/2025/NĐ-CP</w:t>
            </w:r>
            <w:r w:rsidRPr="00FB4C2F">
              <w:rPr>
                <w:rFonts w:ascii="Times New Roman" w:hAnsi="Times New Roman" w:cs="Times New Roman"/>
                <w:sz w:val="26"/>
                <w:szCs w:val="26"/>
                <w:highlight w:val="yellow"/>
              </w:rPr>
              <w:t xml:space="preserve"> ngày 12/6/2025 của Chính phủ quy định về phân quyền, phân cấp trong lĩnh vực quản lý nhà nước của Bộ Khoa học và Công nghệ</w:t>
            </w:r>
          </w:p>
        </w:tc>
        <w:tc>
          <w:tcPr>
            <w:tcW w:w="3160" w:type="dxa"/>
          </w:tcPr>
          <w:p w14:paraId="1D28CEB1"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Quy định về thẩm quyền chưa có sự thống nhất giữa nội dung chính và biểu mẫu; chưa thống nhất quy định về thẩm quyền chung và riêng của UBND tỉnh trong cùng chủng loại TTHC</w:t>
            </w:r>
          </w:p>
        </w:tc>
        <w:tc>
          <w:tcPr>
            <w:tcW w:w="1984" w:type="dxa"/>
          </w:tcPr>
          <w:p w14:paraId="418E1552" w14:textId="77777777" w:rsidR="00685112" w:rsidRPr="00C543CE" w:rsidRDefault="00685112" w:rsidP="00685112">
            <w:pPr>
              <w:spacing w:after="0" w:line="240" w:lineRule="auto"/>
              <w:ind w:left="57" w:right="57"/>
              <w:jc w:val="both"/>
              <w:rPr>
                <w:rStyle w:val="Strong"/>
                <w:rFonts w:ascii="Times New Roman" w:hAnsi="Times New Roman" w:cs="Times New Roman"/>
                <w:b w:val="0"/>
                <w:bCs w:val="0"/>
                <w:sz w:val="26"/>
                <w:szCs w:val="26"/>
              </w:rPr>
            </w:pPr>
            <w:r w:rsidRPr="00C543CE">
              <w:rPr>
                <w:rStyle w:val="Strong"/>
                <w:rFonts w:ascii="Times New Roman" w:hAnsi="Times New Roman" w:cs="Times New Roman"/>
                <w:b w:val="0"/>
                <w:bCs w:val="0"/>
                <w:sz w:val="26"/>
                <w:szCs w:val="26"/>
              </w:rPr>
              <w:t>C. Sửa đổi, bổ sung, thay thế, ban hành mới VBQPPL (theo trình tự, thủ tục rút gọn ban hành VBQPPL của Luật Ban hành VBQPPL)</w:t>
            </w:r>
          </w:p>
          <w:p w14:paraId="02D4CD66" w14:textId="77777777" w:rsidR="00685112" w:rsidRPr="00C543CE" w:rsidRDefault="00685112" w:rsidP="00685112">
            <w:pPr>
              <w:spacing w:after="0" w:line="240" w:lineRule="auto"/>
              <w:ind w:left="57" w:right="57"/>
              <w:jc w:val="both"/>
              <w:rPr>
                <w:rStyle w:val="Strong"/>
                <w:rFonts w:ascii="Times New Roman" w:hAnsi="Times New Roman" w:cs="Times New Roman"/>
                <w:b w:val="0"/>
                <w:bCs w:val="0"/>
                <w:sz w:val="26"/>
                <w:szCs w:val="26"/>
              </w:rPr>
            </w:pPr>
          </w:p>
          <w:p w14:paraId="38D87708" w14:textId="77777777" w:rsidR="00685112" w:rsidRPr="00C543CE" w:rsidRDefault="00685112" w:rsidP="00685112">
            <w:pPr>
              <w:spacing w:after="0" w:line="240" w:lineRule="auto"/>
              <w:ind w:left="57" w:right="57"/>
              <w:jc w:val="both"/>
              <w:rPr>
                <w:rFonts w:ascii="Times New Roman" w:hAnsi="Times New Roman" w:cs="Times New Roman"/>
                <w:sz w:val="26"/>
                <w:szCs w:val="26"/>
              </w:rPr>
            </w:pPr>
          </w:p>
        </w:tc>
        <w:tc>
          <w:tcPr>
            <w:tcW w:w="1701" w:type="dxa"/>
          </w:tcPr>
          <w:p w14:paraId="635B317E"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shd w:val="clear" w:color="auto" w:fill="FFFFFF"/>
              </w:rPr>
              <w:t>Sở Tư pháp tỉnh Khánh Hòa</w:t>
            </w:r>
          </w:p>
        </w:tc>
        <w:tc>
          <w:tcPr>
            <w:tcW w:w="2410" w:type="dxa"/>
          </w:tcPr>
          <w:p w14:paraId="3C869979" w14:textId="77777777" w:rsidR="00685112" w:rsidRPr="00C543CE" w:rsidRDefault="00685112" w:rsidP="00685112">
            <w:pPr>
              <w:spacing w:before="120" w:after="120"/>
              <w:jc w:val="both"/>
              <w:rPr>
                <w:rFonts w:ascii="Times New Roman" w:hAnsi="Times New Roman" w:cs="Times New Roman"/>
                <w:sz w:val="26"/>
                <w:szCs w:val="26"/>
              </w:rPr>
            </w:pPr>
            <w:r w:rsidRPr="00C543CE">
              <w:rPr>
                <w:rFonts w:ascii="Times New Roman" w:hAnsi="Times New Roman" w:cs="Times New Roman"/>
                <w:sz w:val="26"/>
                <w:szCs w:val="26"/>
              </w:rPr>
              <w:t>Nhất trí với nội dung phản ánh.</w:t>
            </w:r>
          </w:p>
          <w:p w14:paraId="12BA839D" w14:textId="77777777" w:rsidR="00685112" w:rsidRPr="00C543CE" w:rsidRDefault="00685112" w:rsidP="00685112">
            <w:pPr>
              <w:spacing w:before="120" w:after="120"/>
              <w:jc w:val="both"/>
              <w:rPr>
                <w:rFonts w:ascii="Times New Roman" w:hAnsi="Times New Roman" w:cs="Times New Roman"/>
                <w:sz w:val="26"/>
                <w:szCs w:val="26"/>
              </w:rPr>
            </w:pPr>
            <w:r w:rsidRPr="00C543CE">
              <w:rPr>
                <w:rFonts w:ascii="Times New Roman" w:hAnsi="Times New Roman" w:cs="Times New Roman"/>
                <w:sz w:val="26"/>
                <w:szCs w:val="26"/>
              </w:rPr>
              <w:t xml:space="preserve">Đề xuất xử lý: Bộ Khoa học và Công nghệ sửa đổi, bổ sung, bãi bỏ một số điều của Nghị định số 105/2016/NĐ-CP ngày 01/7/2016 của Chính phủ quy định về điều kiện hoạt động của tổ chức kiểm định, hiệu chuẩn, thử nghiệm phương tiện đo, chuẩn đo lường. </w:t>
            </w:r>
            <w:r w:rsidRPr="00C543CE">
              <w:rPr>
                <w:rFonts w:ascii="Times New Roman" w:hAnsi="Times New Roman" w:cs="Times New Roman"/>
                <w:sz w:val="26"/>
                <w:szCs w:val="26"/>
              </w:rPr>
              <w:lastRenderedPageBreak/>
              <w:t>Cụ thể: sửa đổi nội dung các Điều 6, 7, 8 tại Nghị định số 105/2016/NĐ-CP để bảo đảm phân định rõ thẩm quyền chung và thẩm quyền riêng của UBND và Chủ tịch UBND. Bổ sung 01 Điều 7a về thẩm quyền thu hồi giấy chứng nhận đăng ký cung cấp dịch vụ kiểm định, hiệu chuẩn, thử nghiệm của Chủ tịch UBND cấp tỉnh. Đồng thời, Nghị định này sẽ bãi bỏ các Điều 48, 49, 50 của Nghị định số 133/2025/NĐ-CP.</w:t>
            </w:r>
          </w:p>
          <w:p w14:paraId="1857CA8C" w14:textId="77777777" w:rsidR="00685112" w:rsidRPr="00C543CE" w:rsidRDefault="00685112" w:rsidP="00685112">
            <w:pPr>
              <w:spacing w:after="0" w:line="240" w:lineRule="auto"/>
              <w:jc w:val="both"/>
              <w:rPr>
                <w:rFonts w:ascii="Times New Roman" w:hAnsi="Times New Roman" w:cs="Times New Roman"/>
                <w:sz w:val="26"/>
                <w:szCs w:val="26"/>
              </w:rPr>
            </w:pPr>
          </w:p>
          <w:p w14:paraId="7B020C49" w14:textId="77777777" w:rsidR="00685112" w:rsidRPr="00C543CE" w:rsidRDefault="00685112" w:rsidP="00685112">
            <w:pPr>
              <w:spacing w:after="0" w:line="240" w:lineRule="auto"/>
              <w:jc w:val="both"/>
              <w:rPr>
                <w:rFonts w:ascii="Times New Roman" w:hAnsi="Times New Roman" w:cs="Times New Roman"/>
                <w:sz w:val="26"/>
                <w:szCs w:val="26"/>
              </w:rPr>
            </w:pPr>
          </w:p>
          <w:p w14:paraId="189E4BE6" w14:textId="77777777" w:rsidR="00685112" w:rsidRPr="00C543CE" w:rsidRDefault="00685112" w:rsidP="00685112">
            <w:pPr>
              <w:spacing w:after="0" w:line="240" w:lineRule="auto"/>
              <w:jc w:val="both"/>
              <w:rPr>
                <w:rFonts w:ascii="Times New Roman" w:hAnsi="Times New Roman" w:cs="Times New Roman"/>
                <w:sz w:val="26"/>
                <w:szCs w:val="26"/>
              </w:rPr>
            </w:pPr>
          </w:p>
        </w:tc>
        <w:tc>
          <w:tcPr>
            <w:tcW w:w="2835" w:type="dxa"/>
          </w:tcPr>
          <w:p w14:paraId="1F48FC1A" w14:textId="70006C11" w:rsidR="00685112" w:rsidRPr="001308E9" w:rsidRDefault="00BF5644" w:rsidP="00685112">
            <w:pPr>
              <w:spacing w:line="240" w:lineRule="auto"/>
              <w:ind w:right="57"/>
              <w:jc w:val="both"/>
              <w:rPr>
                <w:rStyle w:val="Strong"/>
                <w:rFonts w:ascii="Times New Roman" w:hAnsi="Times New Roman" w:cs="Times New Roman"/>
                <w:b w:val="0"/>
                <w:bCs w:val="0"/>
                <w:kern w:val="0"/>
                <w:sz w:val="26"/>
                <w:szCs w:val="26"/>
              </w:rPr>
            </w:pPr>
            <w:r>
              <w:rPr>
                <w:rStyle w:val="Strong"/>
                <w:rFonts w:ascii="Times New Roman" w:hAnsi="Times New Roman" w:cs="Times New Roman"/>
                <w:kern w:val="0"/>
                <w:sz w:val="26"/>
                <w:szCs w:val="26"/>
              </w:rPr>
              <w:lastRenderedPageBreak/>
              <w:t>Chưa xử lý</w:t>
            </w:r>
            <w:r w:rsidR="00685112" w:rsidRPr="001308E9">
              <w:rPr>
                <w:rStyle w:val="Strong"/>
                <w:rFonts w:ascii="Times New Roman" w:hAnsi="Times New Roman" w:cs="Times New Roman"/>
                <w:kern w:val="0"/>
                <w:sz w:val="26"/>
                <w:szCs w:val="26"/>
              </w:rPr>
              <w:t>.</w:t>
            </w:r>
          </w:p>
          <w:p w14:paraId="26C3D255" w14:textId="4DFC38C7" w:rsidR="00685112" w:rsidRPr="00685112" w:rsidRDefault="00685112" w:rsidP="00685112">
            <w:pPr>
              <w:spacing w:line="264" w:lineRule="auto"/>
              <w:ind w:left="57" w:right="57"/>
              <w:jc w:val="both"/>
              <w:rPr>
                <w:rFonts w:ascii="Times New Roman" w:hAnsi="Times New Roman" w:cs="Times New Roman"/>
                <w:b/>
                <w:sz w:val="26"/>
                <w:szCs w:val="26"/>
              </w:rPr>
            </w:pPr>
            <w:r w:rsidRPr="00685112">
              <w:rPr>
                <w:rStyle w:val="Strong"/>
                <w:rFonts w:ascii="Times New Roman" w:hAnsi="Times New Roman" w:cs="Times New Roman"/>
                <w:b w:val="0"/>
                <w:kern w:val="0"/>
                <w:sz w:val="26"/>
                <w:szCs w:val="26"/>
              </w:rPr>
              <w:t>- Hiện tại, Nghị định số 105/2016/NĐ-CP ngày 01/7/2016 của Chính phủ  đã có báo cáo thẩm định của Bộ Tư pháp (401/BCTĐ-BTP ngày 10/9/2025). Ủy ban đang tiếp thu ý kiến, chỉnh sửa và hoàn thiện hồ sơ dự thảo. Do vậy, không cần thiết phải sửa NĐ 133/2025/NĐ-CP.</w:t>
            </w:r>
          </w:p>
        </w:tc>
      </w:tr>
      <w:tr w:rsidR="00685112" w:rsidRPr="00C543CE" w14:paraId="39783078" w14:textId="77777777" w:rsidTr="00685112">
        <w:trPr>
          <w:divId w:val="1330596125"/>
          <w:tblCellSpacing w:w="0" w:type="dxa"/>
        </w:trPr>
        <w:tc>
          <w:tcPr>
            <w:tcW w:w="656" w:type="dxa"/>
          </w:tcPr>
          <w:p w14:paraId="6A99F84D"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2FD794B0" w14:textId="77777777" w:rsidR="00685112" w:rsidRPr="00FB4C2F" w:rsidRDefault="00685112" w:rsidP="00685112">
            <w:pPr>
              <w:spacing w:after="0" w:line="240" w:lineRule="auto"/>
              <w:ind w:right="57"/>
              <w:jc w:val="both"/>
              <w:rPr>
                <w:rFonts w:ascii="Times New Roman" w:hAnsi="Times New Roman" w:cs="Times New Roman"/>
                <w:color w:val="FF0000"/>
                <w:sz w:val="26"/>
                <w:szCs w:val="26"/>
              </w:rPr>
            </w:pPr>
            <w:r w:rsidRPr="00FB4C2F">
              <w:rPr>
                <w:rFonts w:ascii="Times New Roman" w:hAnsi="Times New Roman" w:cs="Times New Roman"/>
                <w:color w:val="FF0000"/>
                <w:sz w:val="26"/>
                <w:szCs w:val="26"/>
              </w:rPr>
              <w:t xml:space="preserve">Điều 36, 37, 38 </w:t>
            </w:r>
            <w:r w:rsidRPr="00FB4C2F">
              <w:rPr>
                <w:rFonts w:ascii="Times New Roman" w:hAnsi="Times New Roman" w:cs="Times New Roman"/>
                <w:b/>
                <w:color w:val="FF0000"/>
                <w:sz w:val="26"/>
                <w:szCs w:val="26"/>
              </w:rPr>
              <w:t>Thông tư 28/2013/TT-BKHCN</w:t>
            </w:r>
            <w:r w:rsidRPr="00FB4C2F">
              <w:rPr>
                <w:rFonts w:ascii="Times New Roman" w:hAnsi="Times New Roman" w:cs="Times New Roman"/>
                <w:color w:val="FF0000"/>
                <w:sz w:val="26"/>
                <w:szCs w:val="26"/>
              </w:rPr>
              <w:t xml:space="preserve"> ngày 17/12/2013 quy định kiểm tra nhà nước về đo lường - Luật Tổ chức chính quyền địa phương năm 2025</w:t>
            </w:r>
          </w:p>
        </w:tc>
        <w:tc>
          <w:tcPr>
            <w:tcW w:w="3160" w:type="dxa"/>
          </w:tcPr>
          <w:p w14:paraId="7C70014B"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Thông tư 28/2013/TT-BKHCN: Quy định kiểm tra nhà nước về đo lường: Quy định về trách nhiệm của Chi cục Tiêu chuẩn Đo lường Chất lượng, Ủy ban nhân dân cấp huyện, Ủy ban nhân dân cấp xã trong hoạt động kiểm tra nhà nước về đo lường Điều 1, 2 Luật Tổ chức chính quyền địa phương ngày 16/06/2025: Không còn tổ chức chính quyền địa phương là UBND cấp huyện và thực hiện tổ chức lại UBND cấp xã.</w:t>
            </w:r>
          </w:p>
        </w:tc>
        <w:tc>
          <w:tcPr>
            <w:tcW w:w="1984" w:type="dxa"/>
          </w:tcPr>
          <w:p w14:paraId="6FEEA6E2"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C. Sửa đổi, bổ sung, thay thế, ban hành mới VBQPPL (theo trình tự, thủ tục rút gọn ban hành VBQPPL của Luật Ban hành VBQPPL)</w:t>
            </w:r>
          </w:p>
        </w:tc>
        <w:tc>
          <w:tcPr>
            <w:tcW w:w="1701" w:type="dxa"/>
          </w:tcPr>
          <w:p w14:paraId="31852A0F"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Sở Tư pháp tỉnh An Giang</w:t>
            </w:r>
          </w:p>
        </w:tc>
        <w:tc>
          <w:tcPr>
            <w:tcW w:w="2410" w:type="dxa"/>
          </w:tcPr>
          <w:p w14:paraId="5CAB41F6"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Nội dung phản ánh là đúng. Phương án xử lý: Sửa đổi, bổ sung, thay thế Thông tư trong năm 2026.</w:t>
            </w:r>
          </w:p>
          <w:p w14:paraId="310E6345"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lang w:val="vi-VN"/>
              </w:rPr>
              <w:t>Hiện nay Bộ Khoa học và Công nghệ đang trình xây dựng Dự án Luật sửa đổi, bổ sung một số điều của Luật Đo lường tại kỳ họp thứ 10 Quốc hội khóa XV.</w:t>
            </w:r>
          </w:p>
        </w:tc>
        <w:tc>
          <w:tcPr>
            <w:tcW w:w="2835" w:type="dxa"/>
          </w:tcPr>
          <w:p w14:paraId="601B0122" w14:textId="77777777" w:rsidR="00685112" w:rsidRPr="001C7934" w:rsidRDefault="00685112" w:rsidP="00685112">
            <w:pPr>
              <w:spacing w:line="240" w:lineRule="auto"/>
              <w:jc w:val="both"/>
              <w:rPr>
                <w:rStyle w:val="Strong"/>
                <w:rFonts w:ascii="Times New Roman" w:hAnsi="Times New Roman" w:cs="Times New Roman"/>
                <w:kern w:val="0"/>
                <w:sz w:val="26"/>
                <w:szCs w:val="26"/>
              </w:rPr>
            </w:pPr>
            <w:r w:rsidRPr="001C7934">
              <w:rPr>
                <w:rStyle w:val="Strong"/>
                <w:rFonts w:ascii="Times New Roman" w:hAnsi="Times New Roman" w:cs="Times New Roman"/>
                <w:kern w:val="0"/>
                <w:sz w:val="26"/>
                <w:szCs w:val="26"/>
              </w:rPr>
              <w:t>Đã xử lý.</w:t>
            </w:r>
          </w:p>
          <w:p w14:paraId="07076333" w14:textId="77777777" w:rsidR="00685112" w:rsidRPr="00685112" w:rsidRDefault="00685112" w:rsidP="00685112">
            <w:pPr>
              <w:spacing w:line="240" w:lineRule="auto"/>
              <w:jc w:val="both"/>
              <w:rPr>
                <w:rStyle w:val="Strong"/>
                <w:rFonts w:ascii="Times New Roman" w:hAnsi="Times New Roman" w:cs="Times New Roman"/>
                <w:b w:val="0"/>
                <w:bCs w:val="0"/>
                <w:kern w:val="0"/>
                <w:sz w:val="26"/>
                <w:szCs w:val="26"/>
              </w:rPr>
            </w:pPr>
            <w:r w:rsidRPr="00685112">
              <w:rPr>
                <w:rStyle w:val="Strong"/>
                <w:rFonts w:ascii="Times New Roman" w:hAnsi="Times New Roman" w:cs="Times New Roman"/>
                <w:b w:val="0"/>
                <w:kern w:val="0"/>
                <w:sz w:val="26"/>
                <w:szCs w:val="26"/>
              </w:rPr>
              <w:t xml:space="preserve">Việc thực hiện kiểm tra nhà nước về đo lường cũng đã được phân cấp, phân quyền, phân định thẩm quyền theo Nghị định số 132/2025/NĐ-CP, Nghị định số 133/2025/NĐ-CP, Thông tư số 07/2025/TT-BKHCN ngày 20/6/2025 của Bộ trưởng Bộ Khoa học và Công nghệ quy định về phân cấp, phân định thẩm quyền khi tổchức chính quyền địa phương 02 cấp trong lĩnh vực tiêu chuẩn, đo lường,  chất lượng  thuộc  phạm  vi  quản lý nhà nước  của Bộ Khoa  học  và Công nghệ. Do đó, UBND các cấp căn cứ Luật Tổ chức chính quyền địa phương số 72/2025/QH15 và các quy </w:t>
            </w:r>
            <w:r w:rsidRPr="00685112">
              <w:rPr>
                <w:rStyle w:val="Strong"/>
                <w:rFonts w:ascii="Times New Roman" w:hAnsi="Times New Roman" w:cs="Times New Roman"/>
                <w:b w:val="0"/>
                <w:kern w:val="0"/>
                <w:sz w:val="26"/>
                <w:szCs w:val="26"/>
              </w:rPr>
              <w:lastRenderedPageBreak/>
              <w:t>định hiện hành để thực hiện</w:t>
            </w:r>
          </w:p>
          <w:p w14:paraId="77D84163" w14:textId="417559F1" w:rsidR="00685112" w:rsidRPr="00C543CE" w:rsidRDefault="00685112" w:rsidP="00685112">
            <w:pPr>
              <w:spacing w:line="264" w:lineRule="auto"/>
              <w:ind w:left="57" w:right="57"/>
              <w:jc w:val="both"/>
              <w:rPr>
                <w:rFonts w:ascii="Times New Roman" w:hAnsi="Times New Roman" w:cs="Times New Roman"/>
                <w:sz w:val="26"/>
                <w:szCs w:val="26"/>
              </w:rPr>
            </w:pPr>
            <w:r w:rsidRPr="00685112">
              <w:rPr>
                <w:rStyle w:val="Strong"/>
                <w:rFonts w:ascii="Times New Roman" w:hAnsi="Times New Roman" w:cs="Times New Roman"/>
                <w:b w:val="0"/>
                <w:kern w:val="0"/>
                <w:sz w:val="26"/>
                <w:szCs w:val="26"/>
              </w:rPr>
              <w:t>Ngoài ra, sau khi Luật và Nghị định được ban hành (dự kiến trong Quý 4/2026), Ủy ban sẽ thực hiện việc sửa đổi các Thông tư có liên quan</w:t>
            </w:r>
          </w:p>
        </w:tc>
      </w:tr>
      <w:tr w:rsidR="00685112" w:rsidRPr="00C543CE" w14:paraId="74D756AC" w14:textId="77777777" w:rsidTr="00685112">
        <w:trPr>
          <w:divId w:val="1330596125"/>
          <w:tblCellSpacing w:w="0" w:type="dxa"/>
        </w:trPr>
        <w:tc>
          <w:tcPr>
            <w:tcW w:w="656" w:type="dxa"/>
          </w:tcPr>
          <w:p w14:paraId="52E8364C"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3177DF1F" w14:textId="77777777" w:rsidR="00685112" w:rsidRPr="00FB4C2F" w:rsidRDefault="00685112" w:rsidP="00685112">
            <w:pPr>
              <w:spacing w:after="0" w:line="240" w:lineRule="auto"/>
              <w:ind w:left="57" w:right="57"/>
              <w:jc w:val="both"/>
              <w:rPr>
                <w:rFonts w:ascii="Times New Roman" w:hAnsi="Times New Roman" w:cs="Times New Roman"/>
                <w:sz w:val="26"/>
                <w:szCs w:val="26"/>
                <w:highlight w:val="yellow"/>
              </w:rPr>
            </w:pPr>
            <w:r w:rsidRPr="00FB4C2F">
              <w:rPr>
                <w:rFonts w:ascii="Times New Roman" w:hAnsi="Times New Roman" w:cs="Times New Roman"/>
                <w:sz w:val="26"/>
                <w:szCs w:val="26"/>
                <w:highlight w:val="yellow"/>
              </w:rPr>
              <w:t xml:space="preserve">Điều 18, Điều 19, Điều 20 </w:t>
            </w:r>
            <w:r w:rsidRPr="00FB4C2F">
              <w:rPr>
                <w:rFonts w:ascii="Times New Roman" w:hAnsi="Times New Roman" w:cs="Times New Roman"/>
                <w:b/>
                <w:sz w:val="26"/>
                <w:szCs w:val="26"/>
                <w:highlight w:val="yellow"/>
              </w:rPr>
              <w:t>Thông tư số 15/2015/TT-BKHCN</w:t>
            </w:r>
            <w:r w:rsidRPr="00FB4C2F">
              <w:rPr>
                <w:rFonts w:ascii="Times New Roman" w:hAnsi="Times New Roman" w:cs="Times New Roman"/>
                <w:sz w:val="26"/>
                <w:szCs w:val="26"/>
                <w:highlight w:val="yellow"/>
              </w:rPr>
              <w:t xml:space="preserve"> quy định về đo lường, chất lượng trong kinh doanh xăng dầu: các tổ chức kinh doanh xăng dầu (thương nhân nhập khẩu, thương nhân sản xuất pha chế, </w:t>
            </w:r>
            <w:r w:rsidRPr="00FB4C2F">
              <w:rPr>
                <w:rFonts w:ascii="Times New Roman" w:hAnsi="Times New Roman" w:cs="Times New Roman"/>
                <w:sz w:val="26"/>
                <w:szCs w:val="26"/>
                <w:highlight w:val="yellow"/>
              </w:rPr>
              <w:lastRenderedPageBreak/>
              <w:t>thương nhân phân phối, tổng đại lý, thương nhân nhận quyền bán lẻ xăng dầu,...) phải thực hiện xây dựng, áp dụng và duy trì hệ thống quản lý chất lượng theo tiêu chuẩn quốc gia TCVN ISO 9001:2008 hoặc hệ thống quản lý chất lượng chuyên ngành dầu khí theo tiêu chuẩn ISO/TS 29001:2010</w:t>
            </w:r>
          </w:p>
        </w:tc>
        <w:tc>
          <w:tcPr>
            <w:tcW w:w="3160" w:type="dxa"/>
          </w:tcPr>
          <w:p w14:paraId="5EB7761C"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 xml:space="preserve">- Ngày 31/12/2015, Bộ trưởng Bộ Khoa học và Công nghệ ban hành Quyết định số 4109/QĐ-BKHCN về việc công bố tiêu chuẩn quốc gia, trong đó có TCVN ISO 9001:2015. Theo đó, tiêu chuẩn quốc gia TCVN ISO 9001:2015 đã thay thế TCVN ISO 9001:2008. Tại khoản 1 Điều 31 Thông tư số 15/2015/TT-BKHCN quy định: “Trường hợp các văn bản quy phạm pháp luật, quy chuẩn kỹ thuật quốc gia được viện dẫn trong Thông tư này </w:t>
            </w:r>
            <w:r w:rsidRPr="00C543CE">
              <w:rPr>
                <w:rFonts w:ascii="Times New Roman" w:hAnsi="Times New Roman" w:cs="Times New Roman"/>
                <w:sz w:val="26"/>
                <w:szCs w:val="26"/>
              </w:rPr>
              <w:lastRenderedPageBreak/>
              <w:t>được sửa đổi, bổ sung hoặc thay thế thì thực hiện theo các văn bản mới.”. - Tuy nhiên, Quyết định số 4109/QĐ-BKHCN không phải là văn bản quy phạm pháp luật. Do đó, việc các tổ chức kinh doanh xăng dầu vẫn áp dụng hệ thống quản lý chất lượng theo tiêu chuẩn TCVN ISO 9001:2008 (đã hết hiệu lực). Nhằm bảo đảm tính đồng bộ, thống nhất, chặt chẽ của hệ thống văn bản quy phạm pháp luật về tiêu chuẩn, đo lường, chất lượng, đề nghị xem xét, rà soát, ban hành quy định sửa đổi, bổ sung Thông tư số 15/2015/TT-BKHCN cho phù hợp.</w:t>
            </w:r>
          </w:p>
        </w:tc>
        <w:tc>
          <w:tcPr>
            <w:tcW w:w="1984" w:type="dxa"/>
          </w:tcPr>
          <w:p w14:paraId="3F3B05CF"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701" w:type="dxa"/>
          </w:tcPr>
          <w:p w14:paraId="565AB6C8"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Sở Tư pháp tỉnh An Giang</w:t>
            </w:r>
          </w:p>
        </w:tc>
        <w:tc>
          <w:tcPr>
            <w:tcW w:w="2410" w:type="dxa"/>
          </w:tcPr>
          <w:p w14:paraId="7122F5AA"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Hiện nay, Bộ Công Thương đang trình lấy ý kiến thành viên Chính phủ đối với dự thảo Nghị định thay thế Nghị định 83/2014/NĐ-CP, 95/2021/NĐ-CP, 80/2023/NĐ-CP về kinh doanh xăng dầu. Sau khi Nghị định này được ban hành, Bộ KHCN sẽ xây dựng Thông tư sửa đổi Thông tư 15/2015/TT-BKHCN</w:t>
            </w:r>
          </w:p>
        </w:tc>
        <w:tc>
          <w:tcPr>
            <w:tcW w:w="2835" w:type="dxa"/>
          </w:tcPr>
          <w:p w14:paraId="4E085827" w14:textId="77777777" w:rsidR="00685112" w:rsidRPr="001C7934" w:rsidRDefault="00685112" w:rsidP="00685112">
            <w:pPr>
              <w:spacing w:line="240" w:lineRule="auto"/>
              <w:jc w:val="both"/>
              <w:rPr>
                <w:rFonts w:ascii="Times New Roman" w:hAnsi="Times New Roman" w:cs="Times New Roman"/>
                <w:b/>
                <w:bCs/>
                <w:sz w:val="26"/>
                <w:szCs w:val="26"/>
              </w:rPr>
            </w:pPr>
            <w:r w:rsidRPr="001C7934">
              <w:rPr>
                <w:rFonts w:ascii="Times New Roman" w:hAnsi="Times New Roman" w:cs="Times New Roman"/>
                <w:b/>
                <w:bCs/>
                <w:sz w:val="26"/>
                <w:szCs w:val="26"/>
              </w:rPr>
              <w:t xml:space="preserve">Đã xử lý. </w:t>
            </w:r>
          </w:p>
          <w:p w14:paraId="6800A3F1" w14:textId="312AB5B2" w:rsidR="00685112" w:rsidRPr="00C543CE" w:rsidRDefault="00685112" w:rsidP="00685112">
            <w:pPr>
              <w:spacing w:line="264" w:lineRule="auto"/>
              <w:ind w:left="57" w:right="57"/>
              <w:jc w:val="both"/>
              <w:rPr>
                <w:rFonts w:ascii="Times New Roman" w:hAnsi="Times New Roman" w:cs="Times New Roman"/>
                <w:sz w:val="26"/>
                <w:szCs w:val="26"/>
              </w:rPr>
            </w:pPr>
            <w:r w:rsidRPr="001C7934">
              <w:rPr>
                <w:rFonts w:ascii="Times New Roman" w:hAnsi="Times New Roman" w:cs="Times New Roman"/>
                <w:sz w:val="26"/>
                <w:szCs w:val="26"/>
              </w:rPr>
              <w:t>Ngày  07/5/2019, Tổng cục Tiêu chuẩn Đo lường Chất lượng, Bộ Khoa học và Công nghệ đã có Công văn số  1216/TĐC-ĐL về việc thực hiện quy định tại Thông tư số 08/2018/TT-BKHCN gửi các Sở Khoa học và Công nghệ, Chi cục Tiêu chuẩn Đo lường Chất lượng các tỉnh, thành phố hướng dẫn cụ thể</w:t>
            </w:r>
          </w:p>
        </w:tc>
      </w:tr>
      <w:tr w:rsidR="00685112" w:rsidRPr="00C543CE" w14:paraId="0B3CAF8D" w14:textId="77777777" w:rsidTr="00685112">
        <w:trPr>
          <w:divId w:val="1330596125"/>
          <w:tblCellSpacing w:w="0" w:type="dxa"/>
        </w:trPr>
        <w:tc>
          <w:tcPr>
            <w:tcW w:w="656" w:type="dxa"/>
          </w:tcPr>
          <w:p w14:paraId="0424F781"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1937BC73" w14:textId="77777777" w:rsidR="00685112" w:rsidRPr="00FB4C2F" w:rsidRDefault="00685112" w:rsidP="00685112">
            <w:pPr>
              <w:spacing w:after="0" w:line="240" w:lineRule="auto"/>
              <w:ind w:left="57" w:right="57"/>
              <w:jc w:val="both"/>
              <w:rPr>
                <w:rFonts w:ascii="Times New Roman" w:hAnsi="Times New Roman" w:cs="Times New Roman"/>
                <w:color w:val="FF0000"/>
                <w:sz w:val="26"/>
                <w:szCs w:val="26"/>
              </w:rPr>
            </w:pPr>
            <w:r w:rsidRPr="00FB4C2F">
              <w:rPr>
                <w:rFonts w:ascii="Times New Roman" w:hAnsi="Times New Roman" w:cs="Times New Roman"/>
                <w:color w:val="FF0000"/>
                <w:sz w:val="26"/>
                <w:szCs w:val="26"/>
              </w:rPr>
              <w:t xml:space="preserve">Một số nội dung </w:t>
            </w:r>
            <w:r w:rsidRPr="00FB4C2F">
              <w:rPr>
                <w:rFonts w:ascii="Times New Roman" w:hAnsi="Times New Roman" w:cs="Times New Roman"/>
                <w:b/>
                <w:color w:val="FF0000"/>
                <w:sz w:val="26"/>
                <w:szCs w:val="26"/>
              </w:rPr>
              <w:t>Thông tư số 09/2024/TT-BKHCN</w:t>
            </w:r>
            <w:r w:rsidRPr="00FB4C2F">
              <w:rPr>
                <w:rFonts w:ascii="Times New Roman" w:hAnsi="Times New Roman" w:cs="Times New Roman"/>
                <w:color w:val="FF0000"/>
                <w:sz w:val="26"/>
                <w:szCs w:val="26"/>
              </w:rPr>
              <w:t xml:space="preserve"> ngày 27/12/2024 </w:t>
            </w:r>
            <w:r w:rsidRPr="00FB4C2F">
              <w:rPr>
                <w:rFonts w:ascii="Times New Roman" w:hAnsi="Times New Roman" w:cs="Times New Roman"/>
                <w:color w:val="FF0000"/>
                <w:sz w:val="26"/>
                <w:szCs w:val="26"/>
              </w:rPr>
              <w:lastRenderedPageBreak/>
              <w:t>chưa thống nhất với Quyết định số 45/QĐ-BKHCN ngày 15/01/2025 của Bộ Khoa học và Công nghệ về việc công bố thủ tục hành chính mới ban hành trong lĩnh vực hoạt động khoa học và công nghệ thuộc phạm vi chức năng quản lý của Bộ Khoa học và Công nghệ</w:t>
            </w:r>
          </w:p>
        </w:tc>
        <w:tc>
          <w:tcPr>
            <w:tcW w:w="3160" w:type="dxa"/>
          </w:tcPr>
          <w:p w14:paraId="0A453E2E"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 xml:space="preserve">Trong Thông tư số 09/2024/TT-BKHCN không quy định thời gian giải quyết hồ sơ. Tuy nhiên, theo quy định trong TTHC quy định </w:t>
            </w:r>
            <w:r w:rsidRPr="00C543CE">
              <w:rPr>
                <w:rFonts w:ascii="Times New Roman" w:hAnsi="Times New Roman" w:cs="Times New Roman"/>
                <w:sz w:val="26"/>
                <w:szCs w:val="26"/>
              </w:rPr>
              <w:lastRenderedPageBreak/>
              <w:t xml:space="preserve">thời hạn giải quyết. Trong Thông tư số 09/2024/TT-BKHCN và Quyết đinh số 45/QĐ-BKHCN chưa thống nhất cách ghi “ngày” hay “ngày làm việc”: Tại điểm a khoản 4 Điều 12 Thông tư số 09/2024/TT-BKHCN ngày 27/12/2024 quy định thời gian mở hồ sơ là “Sau khi hết thời hạn nộp hồ sơ, trong thời gian không quá 10 ngày”, tuy nhiên tại mục a trình tự thực hiện Quyết định số 45/QĐ-BKHCN ngày 15/01/2025 bước 2 quy định “Ủy ban nhân dân cấp tỉnh hoặc cơ quan, đơn vị được Ủy ban nhân dân cấp tỉnh phân cấp/ủy quyền tiến hành mở, kiểm tra và xác nhận tính hợp lệ của hồ sơ đăng ký tham gia tuyển chọn nhiệm vụ khoa học và công nghệ cấp tỉnh trong thời hạn 10 </w:t>
            </w:r>
            <w:r w:rsidRPr="00C543CE">
              <w:rPr>
                <w:rFonts w:ascii="Times New Roman" w:hAnsi="Times New Roman" w:cs="Times New Roman"/>
                <w:sz w:val="26"/>
                <w:szCs w:val="26"/>
              </w:rPr>
              <w:lastRenderedPageBreak/>
              <w:t>ngày làm việc kể từ khi kết thúc thời hạn nhận hồ sơ”.</w:t>
            </w:r>
          </w:p>
        </w:tc>
        <w:tc>
          <w:tcPr>
            <w:tcW w:w="1984" w:type="dxa"/>
          </w:tcPr>
          <w:p w14:paraId="1D6F193E"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 xml:space="preserve">C. Sửa đổi, bổ sung, thay thế, ban hành mới VBQPPL (theo trình tự, thủ tục </w:t>
            </w:r>
            <w:r w:rsidRPr="00C543CE">
              <w:rPr>
                <w:rFonts w:ascii="Times New Roman" w:hAnsi="Times New Roman" w:cs="Times New Roman"/>
                <w:sz w:val="26"/>
                <w:szCs w:val="26"/>
              </w:rPr>
              <w:t>rút gọn ban hành VBQPPL của Luật Ban hành VBQPPL)</w:t>
            </w:r>
          </w:p>
        </w:tc>
        <w:tc>
          <w:tcPr>
            <w:tcW w:w="1701" w:type="dxa"/>
          </w:tcPr>
          <w:p w14:paraId="4A2831A5"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Sở Tư pháp tỉnh An Giang</w:t>
            </w:r>
          </w:p>
        </w:tc>
        <w:tc>
          <w:tcPr>
            <w:tcW w:w="2410" w:type="dxa"/>
          </w:tcPr>
          <w:p w14:paraId="030563C8"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 xml:space="preserve">Nhất trí với nội dung phản ánh: Bộ KH&amp;CN đang tiến hành sửa đổi, bổ sung </w:t>
            </w:r>
            <w:r w:rsidRPr="00C543CE">
              <w:rPr>
                <w:rFonts w:ascii="Times New Roman" w:hAnsi="Times New Roman" w:cs="Times New Roman"/>
                <w:sz w:val="26"/>
                <w:szCs w:val="26"/>
              </w:rPr>
              <w:lastRenderedPageBreak/>
              <w:t>Thông tư số 09/2024/TT-BKHCN</w:t>
            </w:r>
          </w:p>
        </w:tc>
        <w:tc>
          <w:tcPr>
            <w:tcW w:w="2835" w:type="dxa"/>
          </w:tcPr>
          <w:p w14:paraId="4E894C39" w14:textId="77777777" w:rsidR="00685112" w:rsidRPr="001C7934" w:rsidRDefault="00685112" w:rsidP="00685112">
            <w:pPr>
              <w:spacing w:line="240" w:lineRule="auto"/>
              <w:jc w:val="both"/>
              <w:rPr>
                <w:rStyle w:val="Strong"/>
                <w:rFonts w:ascii="Times New Roman" w:hAnsi="Times New Roman" w:cs="Times New Roman"/>
                <w:kern w:val="0"/>
                <w:sz w:val="26"/>
                <w:szCs w:val="26"/>
              </w:rPr>
            </w:pPr>
            <w:r w:rsidRPr="001C7934">
              <w:rPr>
                <w:rStyle w:val="Strong"/>
                <w:rFonts w:ascii="Times New Roman" w:hAnsi="Times New Roman" w:cs="Times New Roman"/>
                <w:kern w:val="0"/>
                <w:sz w:val="26"/>
                <w:szCs w:val="26"/>
              </w:rPr>
              <w:lastRenderedPageBreak/>
              <w:t xml:space="preserve">Đã xử lý </w:t>
            </w:r>
          </w:p>
          <w:p w14:paraId="05B9BD8A" w14:textId="043E0964" w:rsidR="00685112" w:rsidRPr="00685112" w:rsidRDefault="00685112" w:rsidP="00685112">
            <w:pPr>
              <w:spacing w:line="264" w:lineRule="auto"/>
              <w:ind w:left="57" w:right="57"/>
              <w:jc w:val="both"/>
              <w:rPr>
                <w:rFonts w:ascii="Times New Roman" w:hAnsi="Times New Roman" w:cs="Times New Roman"/>
                <w:b/>
                <w:sz w:val="26"/>
                <w:szCs w:val="26"/>
              </w:rPr>
            </w:pPr>
            <w:r w:rsidRPr="00685112">
              <w:rPr>
                <w:rStyle w:val="Strong"/>
                <w:rFonts w:ascii="Times New Roman" w:hAnsi="Times New Roman" w:cs="Times New Roman"/>
                <w:b w:val="0"/>
                <w:kern w:val="0"/>
                <w:sz w:val="26"/>
                <w:szCs w:val="26"/>
              </w:rPr>
              <w:t xml:space="preserve">Nghị định số 267/2025/NĐ-CP ngày 14/10/2025 quy định chi </w:t>
            </w:r>
            <w:r w:rsidRPr="00685112">
              <w:rPr>
                <w:rStyle w:val="Strong"/>
                <w:rFonts w:ascii="Times New Roman" w:hAnsi="Times New Roman" w:cs="Times New Roman"/>
                <w:b w:val="0"/>
                <w:kern w:val="0"/>
                <w:sz w:val="26"/>
                <w:szCs w:val="26"/>
              </w:rPr>
              <w:lastRenderedPageBreak/>
              <w:t>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đã cắt giảm các điều kiện, thời hạn và các vướng mắc, bất cập khác.</w:t>
            </w:r>
          </w:p>
        </w:tc>
      </w:tr>
      <w:tr w:rsidR="00685112" w:rsidRPr="00C543CE" w14:paraId="43EEDC9A" w14:textId="77777777" w:rsidTr="00685112">
        <w:trPr>
          <w:divId w:val="1330596125"/>
          <w:tblCellSpacing w:w="0" w:type="dxa"/>
        </w:trPr>
        <w:tc>
          <w:tcPr>
            <w:tcW w:w="656" w:type="dxa"/>
          </w:tcPr>
          <w:p w14:paraId="32276A19"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2D1E0B90" w14:textId="77777777" w:rsidR="00685112" w:rsidRPr="00FB4C2F" w:rsidRDefault="00685112" w:rsidP="00685112">
            <w:pPr>
              <w:spacing w:after="0" w:line="240" w:lineRule="auto"/>
              <w:ind w:left="57" w:right="57"/>
              <w:jc w:val="both"/>
              <w:rPr>
                <w:rFonts w:ascii="Times New Roman" w:hAnsi="Times New Roman" w:cs="Times New Roman"/>
                <w:color w:val="FF0000"/>
                <w:sz w:val="26"/>
                <w:szCs w:val="26"/>
              </w:rPr>
            </w:pPr>
            <w:r w:rsidRPr="00FB4C2F">
              <w:rPr>
                <w:rFonts w:ascii="Times New Roman" w:hAnsi="Times New Roman" w:cs="Times New Roman"/>
                <w:b/>
                <w:color w:val="FF0000"/>
                <w:sz w:val="26"/>
                <w:szCs w:val="26"/>
              </w:rPr>
              <w:t>Thông tư số 09/2025/TT-BKHCN</w:t>
            </w:r>
            <w:r w:rsidRPr="00FB4C2F">
              <w:rPr>
                <w:rFonts w:ascii="Times New Roman" w:hAnsi="Times New Roman" w:cs="Times New Roman"/>
                <w:color w:val="FF0000"/>
                <w:sz w:val="26"/>
                <w:szCs w:val="26"/>
              </w:rPr>
              <w:t xml:space="preserve"> ngày 27/12/2025 của Bộ trưởng Bộ Khoa học và Công nghệ Quy định quản lý nhiệm vụ khoa học và công nghệ cấp tỉnh và cấp cơ sở</w:t>
            </w:r>
          </w:p>
        </w:tc>
        <w:tc>
          <w:tcPr>
            <w:tcW w:w="3160" w:type="dxa"/>
          </w:tcPr>
          <w:p w14:paraId="74AE5BEA"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 xml:space="preserve">Tại điểm k khoản 4 Điều 4 quy định “Tiếp nhận kết quả thực hiện Đề tài/Đề án/Dự án/Dự án sản xuất thử nghiệm, bàn giao kết quả thực hiện Đề tài/Đề án/Dự án/Dự án sản xuất thử nghiệm cho tổ chức đề xuất đặt hàng hoặc tổ chức triển khai ứng dụng sau khi được nghiệm thu”; tuy nhiên, tại khoản 5 Điều 14 Luật Khoa học và Công nghệ năm 2013 “Đăng ký, lưu giữ và chuyển giao kết quả nghiên cứu khoa học và phát triển công nghệ có sử dụng ngân sách nhà nước”. Đề nghị, bổ sung Điều 31a vào sau Điều 31 Thông tư số 09/2024/TT-BKHCN Quy định về chuyển giao/bàn giao kết quả thực hiện Đề tài/Đề án/Dự án/Dự án sản xuất thử </w:t>
            </w:r>
            <w:r w:rsidRPr="00C543CE">
              <w:rPr>
                <w:rFonts w:ascii="Times New Roman" w:hAnsi="Times New Roman" w:cs="Times New Roman"/>
                <w:sz w:val="26"/>
                <w:szCs w:val="26"/>
              </w:rPr>
              <w:lastRenderedPageBreak/>
              <w:t>nghiệm; Bổ sung khoản 8 Điều 41 Quy định về chuyển giao/bàn giao kết quả thực hiện Đề tài/Đề án/Dự án/Dự án sản xuất thử nghiệm</w:t>
            </w:r>
          </w:p>
        </w:tc>
        <w:tc>
          <w:tcPr>
            <w:tcW w:w="1984" w:type="dxa"/>
          </w:tcPr>
          <w:p w14:paraId="60092095"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lastRenderedPageBreak/>
              <w:t>C. Sửa đổi, bổ sung, thay thế, ban hành mới VBQPPL (theo trình tự, thủ tục rút gọn ban hành VBQPPL của Luật Ban hành VBQPPL)</w:t>
            </w:r>
          </w:p>
        </w:tc>
        <w:tc>
          <w:tcPr>
            <w:tcW w:w="1701" w:type="dxa"/>
          </w:tcPr>
          <w:p w14:paraId="5933E8A4"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shd w:val="clear" w:color="auto" w:fill="FFFFFF"/>
              </w:rPr>
              <w:t>Sở Tư pháp tỉnh Quảng Ngãi</w:t>
            </w:r>
          </w:p>
        </w:tc>
        <w:tc>
          <w:tcPr>
            <w:tcW w:w="2410" w:type="dxa"/>
          </w:tcPr>
          <w:p w14:paraId="3770C6BA"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rPr>
              <w:t>Nhất trí với nội dung phản ánh: Bộ KH&amp;CN đang tiến hành sửa đổi, bổ sung Thông tư số 09/2024/TT-BKHCN để đảm bảo quy định đầy đủ trong quản lý nhà nước về nhiệm vụ KH&amp;CN sử dụng ngân sách nhà nước cấp tỉnh, cấp cơ sở</w:t>
            </w:r>
          </w:p>
          <w:p w14:paraId="7C849DAA" w14:textId="77777777" w:rsidR="00685112" w:rsidRPr="00C543CE" w:rsidRDefault="00685112" w:rsidP="00685112">
            <w:pPr>
              <w:spacing w:after="0" w:line="240" w:lineRule="auto"/>
              <w:ind w:left="57" w:right="57"/>
              <w:jc w:val="both"/>
              <w:rPr>
                <w:rFonts w:ascii="Times New Roman" w:hAnsi="Times New Roman" w:cs="Times New Roman"/>
                <w:sz w:val="26"/>
                <w:szCs w:val="26"/>
              </w:rPr>
            </w:pPr>
          </w:p>
        </w:tc>
        <w:tc>
          <w:tcPr>
            <w:tcW w:w="2835" w:type="dxa"/>
          </w:tcPr>
          <w:p w14:paraId="5AFAFD45" w14:textId="77777777" w:rsidR="00685112" w:rsidRPr="001C7934" w:rsidRDefault="00685112" w:rsidP="00685112">
            <w:pPr>
              <w:spacing w:line="240" w:lineRule="auto"/>
              <w:jc w:val="both"/>
              <w:rPr>
                <w:rStyle w:val="Strong"/>
                <w:rFonts w:ascii="Times New Roman" w:hAnsi="Times New Roman" w:cs="Times New Roman"/>
                <w:kern w:val="0"/>
                <w:sz w:val="26"/>
                <w:szCs w:val="26"/>
              </w:rPr>
            </w:pPr>
            <w:r w:rsidRPr="001C7934">
              <w:rPr>
                <w:rStyle w:val="Strong"/>
                <w:rFonts w:ascii="Times New Roman" w:hAnsi="Times New Roman" w:cs="Times New Roman"/>
                <w:kern w:val="0"/>
                <w:sz w:val="26"/>
                <w:szCs w:val="26"/>
              </w:rPr>
              <w:t xml:space="preserve">Đã xử lý </w:t>
            </w:r>
          </w:p>
          <w:p w14:paraId="7E29BD87" w14:textId="69D325E4" w:rsidR="00685112" w:rsidRPr="00685112" w:rsidRDefault="00685112" w:rsidP="00685112">
            <w:pPr>
              <w:spacing w:line="264" w:lineRule="auto"/>
              <w:ind w:left="57" w:right="57"/>
              <w:jc w:val="both"/>
              <w:rPr>
                <w:rFonts w:ascii="Times New Roman" w:hAnsi="Times New Roman" w:cs="Times New Roman"/>
                <w:b/>
                <w:sz w:val="26"/>
                <w:szCs w:val="26"/>
              </w:rPr>
            </w:pPr>
            <w:r w:rsidRPr="00685112">
              <w:rPr>
                <w:rStyle w:val="Strong"/>
                <w:rFonts w:ascii="Times New Roman" w:hAnsi="Times New Roman" w:cs="Times New Roman"/>
                <w:b w:val="0"/>
                <w:kern w:val="0"/>
                <w:sz w:val="26"/>
                <w:szCs w:val="26"/>
              </w:rPr>
              <w:t>Nghị định số 267/2025/NĐ-CP ngày 14/10/2025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đã thay đổi cách thiết kế hệ thống chương trình, nhiệm vụ khoa học và công nghệ</w:t>
            </w:r>
          </w:p>
        </w:tc>
      </w:tr>
      <w:tr w:rsidR="00685112" w:rsidRPr="00C543CE" w14:paraId="128A44BB" w14:textId="77777777" w:rsidTr="00685112">
        <w:trPr>
          <w:divId w:val="1330596125"/>
          <w:tblCellSpacing w:w="0" w:type="dxa"/>
        </w:trPr>
        <w:tc>
          <w:tcPr>
            <w:tcW w:w="656" w:type="dxa"/>
          </w:tcPr>
          <w:p w14:paraId="3D91D31E" w14:textId="77777777" w:rsidR="00685112" w:rsidRPr="00C543CE" w:rsidRDefault="00685112" w:rsidP="00685112">
            <w:pPr>
              <w:pStyle w:val="ListParagraph"/>
              <w:numPr>
                <w:ilvl w:val="0"/>
                <w:numId w:val="1"/>
              </w:numPr>
              <w:spacing w:after="0" w:line="240" w:lineRule="auto"/>
              <w:ind w:left="587" w:right="57"/>
              <w:jc w:val="both"/>
              <w:rPr>
                <w:rFonts w:ascii="Times New Roman" w:eastAsia="Times New Roman" w:hAnsi="Times New Roman" w:cs="Times New Roman"/>
                <w:sz w:val="26"/>
                <w:szCs w:val="26"/>
              </w:rPr>
            </w:pPr>
          </w:p>
        </w:tc>
        <w:tc>
          <w:tcPr>
            <w:tcW w:w="1855" w:type="dxa"/>
          </w:tcPr>
          <w:p w14:paraId="1E5CF134" w14:textId="77777777" w:rsidR="00685112" w:rsidRPr="00FB4C2F" w:rsidRDefault="00685112" w:rsidP="00685112">
            <w:pPr>
              <w:spacing w:after="0" w:line="240" w:lineRule="auto"/>
              <w:ind w:left="57" w:right="57"/>
              <w:jc w:val="both"/>
              <w:rPr>
                <w:rFonts w:ascii="Times New Roman" w:hAnsi="Times New Roman" w:cs="Times New Roman"/>
                <w:b/>
                <w:color w:val="FF0000"/>
                <w:sz w:val="26"/>
                <w:szCs w:val="26"/>
              </w:rPr>
            </w:pPr>
            <w:r w:rsidRPr="00FB4C2F">
              <w:rPr>
                <w:rFonts w:ascii="Times New Roman" w:hAnsi="Times New Roman" w:cs="Times New Roman"/>
                <w:color w:val="FF0000"/>
                <w:sz w:val="26"/>
                <w:szCs w:val="26"/>
                <w:lang w:val="vi-VN"/>
              </w:rPr>
              <w:t xml:space="preserve">Điểm c khoản 1 Điều 2 mâu thuẫn với khoản 2 Điều 12 </w:t>
            </w:r>
            <w:r w:rsidRPr="00FB4C2F">
              <w:rPr>
                <w:rFonts w:ascii="Times New Roman" w:hAnsi="Times New Roman" w:cs="Times New Roman"/>
                <w:b/>
                <w:color w:val="FF0000"/>
                <w:sz w:val="26"/>
                <w:szCs w:val="26"/>
                <w:lang w:val="vi-VN"/>
              </w:rPr>
              <w:t>Thông tư 10/2025/TT-BKHCN</w:t>
            </w:r>
          </w:p>
        </w:tc>
        <w:tc>
          <w:tcPr>
            <w:tcW w:w="3160" w:type="dxa"/>
          </w:tcPr>
          <w:p w14:paraId="6E9E206B"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lang w:val="vi-VN"/>
              </w:rPr>
              <w:t>Thông tư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 Điểm c khoản 1 Điều 2 mâu thuẫn với khoản 2 Điều 12: Mâu thuẫn về thẩm quyền quy định chức năng, nhiệm vụ và cơ cấu tổ chức của đơn vị sự nghiệp công lập thuộc Sở Khoa học và Công nghệ . Điểm c khoản 1 Điều 2: UBND cấp tỉnh Khoản 2 Điều 12: Chủ tịch UBND cấp tỉnh</w:t>
            </w:r>
          </w:p>
        </w:tc>
        <w:tc>
          <w:tcPr>
            <w:tcW w:w="1984" w:type="dxa"/>
          </w:tcPr>
          <w:p w14:paraId="434EA27B"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lang w:val="vi-VN"/>
              </w:rPr>
              <w:t>C. Sửa đổi, bổ sung, thay thế, ban hành mới VBQPPL (theo trình tự, thủ tục rút gọn ban hành VBQPPL của Luật Ban hành VBQPPL)</w:t>
            </w:r>
          </w:p>
        </w:tc>
        <w:tc>
          <w:tcPr>
            <w:tcW w:w="1701" w:type="dxa"/>
          </w:tcPr>
          <w:p w14:paraId="3ABC1B08" w14:textId="77777777" w:rsidR="00685112" w:rsidRPr="00C543CE" w:rsidRDefault="00685112" w:rsidP="00685112">
            <w:pPr>
              <w:spacing w:after="0" w:line="240" w:lineRule="auto"/>
              <w:ind w:left="57" w:right="57"/>
              <w:jc w:val="both"/>
              <w:rPr>
                <w:rFonts w:ascii="Times New Roman" w:hAnsi="Times New Roman" w:cs="Times New Roman"/>
                <w:sz w:val="26"/>
                <w:szCs w:val="26"/>
                <w:shd w:val="clear" w:color="auto" w:fill="FFFFFF"/>
              </w:rPr>
            </w:pPr>
            <w:r w:rsidRPr="00C543CE">
              <w:rPr>
                <w:rFonts w:ascii="Times New Roman" w:hAnsi="Times New Roman" w:cs="Times New Roman"/>
                <w:sz w:val="26"/>
                <w:szCs w:val="26"/>
                <w:lang w:val="vi-VN"/>
              </w:rPr>
              <w:t>Sở Tư pháp thành phố Hải Phòng</w:t>
            </w:r>
          </w:p>
        </w:tc>
        <w:tc>
          <w:tcPr>
            <w:tcW w:w="2410" w:type="dxa"/>
          </w:tcPr>
          <w:p w14:paraId="5D65CD48" w14:textId="77777777" w:rsidR="00685112" w:rsidRPr="00C543CE" w:rsidRDefault="00685112" w:rsidP="00685112">
            <w:pPr>
              <w:jc w:val="both"/>
              <w:rPr>
                <w:rFonts w:ascii="Times New Roman" w:hAnsi="Times New Roman" w:cs="Times New Roman"/>
                <w:b/>
                <w:bCs/>
                <w:sz w:val="26"/>
                <w:szCs w:val="26"/>
                <w:lang w:eastAsia="vi-VN"/>
              </w:rPr>
            </w:pPr>
            <w:r w:rsidRPr="00C543CE">
              <w:rPr>
                <w:rFonts w:ascii="Times New Roman" w:hAnsi="Times New Roman" w:cs="Times New Roman"/>
                <w:b/>
                <w:bCs/>
                <w:sz w:val="26"/>
                <w:szCs w:val="26"/>
                <w:lang w:eastAsia="vi-VN"/>
              </w:rPr>
              <w:t>Nội dung phản ánh là đúng.</w:t>
            </w:r>
          </w:p>
          <w:p w14:paraId="25813905" w14:textId="77777777" w:rsidR="00685112" w:rsidRPr="00C543CE" w:rsidRDefault="00685112" w:rsidP="00685112">
            <w:pPr>
              <w:jc w:val="both"/>
              <w:rPr>
                <w:rFonts w:ascii="Times New Roman" w:hAnsi="Times New Roman" w:cs="Times New Roman"/>
                <w:sz w:val="26"/>
                <w:szCs w:val="26"/>
                <w:lang w:eastAsia="vi-VN"/>
              </w:rPr>
            </w:pPr>
            <w:r w:rsidRPr="00C543CE">
              <w:rPr>
                <w:rFonts w:ascii="Times New Roman" w:hAnsi="Times New Roman" w:cs="Times New Roman"/>
                <w:sz w:val="26"/>
                <w:szCs w:val="26"/>
                <w:lang w:eastAsia="vi-VN"/>
              </w:rPr>
              <w:t>Bộ Khoa học và Công nghệ đã nghiên cứu và thấy rằng:</w:t>
            </w:r>
          </w:p>
          <w:p w14:paraId="697543F0" w14:textId="77777777" w:rsidR="00685112" w:rsidRPr="00C543CE" w:rsidRDefault="00685112" w:rsidP="00685112">
            <w:pPr>
              <w:spacing w:after="0" w:line="240" w:lineRule="auto"/>
              <w:ind w:left="57" w:right="57"/>
              <w:jc w:val="both"/>
              <w:rPr>
                <w:rFonts w:ascii="Times New Roman" w:hAnsi="Times New Roman" w:cs="Times New Roman"/>
                <w:sz w:val="26"/>
                <w:szCs w:val="26"/>
              </w:rPr>
            </w:pPr>
            <w:r w:rsidRPr="00C543CE">
              <w:rPr>
                <w:rFonts w:ascii="Times New Roman" w:hAnsi="Times New Roman" w:cs="Times New Roman"/>
                <w:sz w:val="26"/>
                <w:szCs w:val="26"/>
                <w:lang w:eastAsia="vi-VN"/>
              </w:rPr>
              <w:t xml:space="preserve">Điểm c khoản 1 Điều 2 Thông tư số 10/2025/TT-BKHCN căn cứ vào điểm c khoản 1 Điều 4 Nghị định số 150/2025/NĐ-CP và khoản 2 Điều 12 Thông tư số 10/2025/TT-BKHCN căn cứ vào khoản 3 Điều 20 Nghị định số 150/2025/NĐ-CP. Tuy nhiên, nội dung </w:t>
            </w:r>
            <w:r w:rsidRPr="00C543CE">
              <w:rPr>
                <w:rFonts w:ascii="Times New Roman" w:hAnsi="Times New Roman" w:cs="Times New Roman"/>
                <w:sz w:val="26"/>
                <w:szCs w:val="26"/>
                <w:lang w:eastAsia="vi-VN"/>
              </w:rPr>
              <w:lastRenderedPageBreak/>
              <w:t>theo quy định này còn chưa thật sự rõ ràng, thống nhất trong việc thực hiện, áp dụng. Bộ Khoa học và Công nghệ có trách nhiệm giải đáp, hướng dẫn cụ thể việc thực hiện đối với từng trường hợp và nghiên cứu sửa đổi, bổ sung Thông tư cho phù hợp, thống nhất trong trường hợp cần thiết.</w:t>
            </w:r>
          </w:p>
        </w:tc>
        <w:tc>
          <w:tcPr>
            <w:tcW w:w="2835" w:type="dxa"/>
          </w:tcPr>
          <w:p w14:paraId="64619642" w14:textId="77777777" w:rsidR="00685112" w:rsidRPr="001308E9" w:rsidRDefault="00685112" w:rsidP="00685112">
            <w:pPr>
              <w:pStyle w:val="NormalWeb"/>
              <w:spacing w:before="0" w:beforeAutospacing="0" w:after="0" w:afterAutospacing="0"/>
              <w:jc w:val="both"/>
              <w:rPr>
                <w:rStyle w:val="Strong"/>
                <w:sz w:val="26"/>
                <w:szCs w:val="26"/>
              </w:rPr>
            </w:pPr>
            <w:r w:rsidRPr="001308E9">
              <w:rPr>
                <w:rStyle w:val="Strong"/>
                <w:sz w:val="26"/>
                <w:szCs w:val="26"/>
              </w:rPr>
              <w:lastRenderedPageBreak/>
              <w:t xml:space="preserve">Đã xử lý. </w:t>
            </w:r>
          </w:p>
          <w:p w14:paraId="0ECE5A8A" w14:textId="77777777" w:rsidR="00685112" w:rsidRPr="00685112" w:rsidRDefault="00685112" w:rsidP="00685112">
            <w:pPr>
              <w:pStyle w:val="NormalWeb"/>
              <w:spacing w:before="0" w:beforeAutospacing="0" w:after="0" w:afterAutospacing="0"/>
              <w:jc w:val="both"/>
              <w:rPr>
                <w:rStyle w:val="Strong"/>
                <w:b w:val="0"/>
                <w:bCs w:val="0"/>
                <w:sz w:val="26"/>
                <w:szCs w:val="26"/>
              </w:rPr>
            </w:pPr>
            <w:r w:rsidRPr="001308E9">
              <w:rPr>
                <w:rStyle w:val="Strong"/>
                <w:sz w:val="26"/>
                <w:szCs w:val="26"/>
              </w:rPr>
              <w:t xml:space="preserve">- </w:t>
            </w:r>
            <w:r w:rsidRPr="00685112">
              <w:rPr>
                <w:rStyle w:val="Strong"/>
                <w:b w:val="0"/>
                <w:sz w:val="26"/>
                <w:szCs w:val="26"/>
              </w:rPr>
              <w:t>Đề xuất chuyển sang phương án hướng dẫn áp dụng.</w:t>
            </w:r>
          </w:p>
          <w:p w14:paraId="1D741D94" w14:textId="77777777" w:rsidR="00685112" w:rsidRPr="00685112" w:rsidRDefault="00685112" w:rsidP="00685112">
            <w:pPr>
              <w:pStyle w:val="NormalWeb"/>
              <w:spacing w:before="0" w:beforeAutospacing="0" w:after="0" w:afterAutospacing="0"/>
              <w:jc w:val="both"/>
              <w:rPr>
                <w:rStyle w:val="Strong"/>
                <w:b w:val="0"/>
                <w:bCs w:val="0"/>
                <w:sz w:val="26"/>
                <w:szCs w:val="26"/>
              </w:rPr>
            </w:pPr>
            <w:r w:rsidRPr="00685112">
              <w:rPr>
                <w:rStyle w:val="Strong"/>
                <w:b w:val="0"/>
                <w:sz w:val="26"/>
                <w:szCs w:val="26"/>
              </w:rPr>
              <w:t xml:space="preserve">- Đã triển khai hướng dẫn áp dụng tại Công văn số 5202/BKHCN-PC ngày 01/10/2025 của Bộ KHCN v/v  gửi kết quả rà soát, nội dung trả lời, hướng dẫn áp dụng đối với kiến nghị, phản ánh thuộc lĩnh vực quản lý nhà nước của Bộ Khoa học và Công nghệ. </w:t>
            </w:r>
          </w:p>
          <w:p w14:paraId="0A9F6826" w14:textId="77777777" w:rsidR="00685112" w:rsidRPr="00685112" w:rsidRDefault="00685112" w:rsidP="00685112">
            <w:pPr>
              <w:pStyle w:val="NormalWeb"/>
              <w:spacing w:before="0" w:beforeAutospacing="0" w:after="0" w:afterAutospacing="0"/>
              <w:jc w:val="both"/>
              <w:rPr>
                <w:rStyle w:val="Strong"/>
                <w:b w:val="0"/>
                <w:bCs w:val="0"/>
                <w:sz w:val="26"/>
                <w:szCs w:val="26"/>
              </w:rPr>
            </w:pPr>
            <w:r w:rsidRPr="00685112">
              <w:rPr>
                <w:rStyle w:val="Strong"/>
                <w:b w:val="0"/>
                <w:sz w:val="26"/>
                <w:szCs w:val="26"/>
              </w:rPr>
              <w:t xml:space="preserve">- Nội dung hướng dẫn: </w:t>
            </w:r>
          </w:p>
          <w:p w14:paraId="206B21D2" w14:textId="77777777" w:rsidR="00685112" w:rsidRPr="00685112" w:rsidRDefault="00685112" w:rsidP="00685112">
            <w:pPr>
              <w:pStyle w:val="NormalWeb"/>
              <w:spacing w:before="0" w:beforeAutospacing="0" w:after="0" w:afterAutospacing="0"/>
              <w:jc w:val="both"/>
              <w:rPr>
                <w:rStyle w:val="Strong"/>
                <w:b w:val="0"/>
                <w:bCs w:val="0"/>
                <w:sz w:val="26"/>
                <w:szCs w:val="26"/>
              </w:rPr>
            </w:pPr>
            <w:r w:rsidRPr="00685112">
              <w:rPr>
                <w:rStyle w:val="Strong"/>
                <w:b w:val="0"/>
                <w:sz w:val="26"/>
                <w:szCs w:val="26"/>
              </w:rPr>
              <w:t xml:space="preserve">Điểm c khoản 1 Điều 2 Thông tư số 10/2025/TT-BKHCN căn cứ vào điểm c khoản 1 Điều 4 Nghị định số 150/2025/NĐ-CP ngày 12/6/2025 của Chính </w:t>
            </w:r>
            <w:r w:rsidRPr="00685112">
              <w:rPr>
                <w:rStyle w:val="Strong"/>
                <w:b w:val="0"/>
                <w:sz w:val="26"/>
                <w:szCs w:val="26"/>
              </w:rPr>
              <w:lastRenderedPageBreak/>
              <w:t>phủ (Nghị định số 150/NĐ-CP) và khoản 2 Điều 12 Thông tư số 10/2025/TT-BKHCN căn cứ vào khoản 3 Điều 20 Nghị định số 150/2025/NĐ-CP còn chưa thật sự rõ ràng, thống nhất trong việc triển khai thực hiện, áp dụng. Bộ KH&amp;CN đã tiếp thu, ghi nhận ý kiến và có trách nhiệm giải đáp, hướng dẫn cụ thể việc thực hiện những quy định này đối với từng trường hợp, theo hướng: + UBND cấp tỉnh có thẩm quyền ban hành Quyết định quy định chức năng,, nhiệm vụ, quyền hạn và cơ cấu tổ chức của đơn vị sự nghiệp công lập KH&amp;CN trực thuộc Sở KH&amp;CN.</w:t>
            </w:r>
          </w:p>
          <w:p w14:paraId="48FD289D" w14:textId="77777777" w:rsidR="00685112" w:rsidRPr="00685112" w:rsidRDefault="00685112" w:rsidP="00685112">
            <w:pPr>
              <w:pStyle w:val="NormalWeb"/>
              <w:spacing w:before="0" w:beforeAutospacing="0" w:after="0" w:afterAutospacing="0"/>
              <w:jc w:val="both"/>
              <w:rPr>
                <w:rStyle w:val="Strong"/>
                <w:b w:val="0"/>
                <w:bCs w:val="0"/>
                <w:sz w:val="26"/>
                <w:szCs w:val="26"/>
              </w:rPr>
            </w:pPr>
            <w:r w:rsidRPr="00685112">
              <w:rPr>
                <w:rStyle w:val="Strong"/>
                <w:b w:val="0"/>
                <w:sz w:val="26"/>
                <w:szCs w:val="26"/>
              </w:rPr>
              <w:t xml:space="preserve">+Chủ tịch UBND cấp tỉnh có thẩm quyền ban hành </w:t>
            </w:r>
            <w:r w:rsidRPr="00685112">
              <w:rPr>
                <w:rStyle w:val="Strong"/>
                <w:b w:val="0"/>
                <w:sz w:val="26"/>
                <w:szCs w:val="26"/>
              </w:rPr>
              <w:lastRenderedPageBreak/>
              <w:t>Quyết định quy định chức năng, nhiệm vụ, quyền hạn cơ cấu tổ chức của đơn vị sự nghiệp KH&amp;CN trực thuộc Chi cục thuộc Sở KH&amp;CN (nếu có).</w:t>
            </w:r>
          </w:p>
          <w:p w14:paraId="0213E130" w14:textId="330BF922" w:rsidR="00685112" w:rsidRPr="00C543CE" w:rsidRDefault="00685112" w:rsidP="00685112">
            <w:pPr>
              <w:pStyle w:val="NormalWeb"/>
              <w:spacing w:before="0" w:beforeAutospacing="0" w:after="0" w:afterAutospacing="0"/>
              <w:jc w:val="both"/>
              <w:rPr>
                <w:sz w:val="26"/>
                <w:szCs w:val="26"/>
              </w:rPr>
            </w:pPr>
            <w:r w:rsidRPr="00685112">
              <w:rPr>
                <w:rStyle w:val="Strong"/>
                <w:b w:val="0"/>
                <w:sz w:val="26"/>
                <w:szCs w:val="26"/>
              </w:rPr>
              <w:t>Trong trường hợp cần thiết, Bộ KHCN sẽ nghiên cứu sửa đổi, bổ sung Thông tư để đảm bảo sự phù hợp, thống nhất.</w:t>
            </w:r>
          </w:p>
        </w:tc>
      </w:tr>
    </w:tbl>
    <w:p w14:paraId="1C9B335A" w14:textId="77777777" w:rsidR="004E0272" w:rsidRPr="00C543CE" w:rsidRDefault="004E0272" w:rsidP="00B77056">
      <w:pPr>
        <w:spacing w:after="0"/>
        <w:jc w:val="both"/>
        <w:divId w:val="1330596125"/>
        <w:rPr>
          <w:rFonts w:ascii="Times New Roman" w:eastAsia="Times New Roman" w:hAnsi="Times New Roman" w:cs="Times New Roman"/>
          <w:sz w:val="26"/>
          <w:szCs w:val="26"/>
        </w:rPr>
      </w:pPr>
    </w:p>
    <w:sectPr w:rsidR="004E0272" w:rsidRPr="00C543CE" w:rsidSect="000B3E26">
      <w:headerReference w:type="default" r:id="rId8"/>
      <w:pgSz w:w="16840" w:h="11907" w:orient="landscape" w:code="9"/>
      <w:pgMar w:top="1135"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38E8" w14:textId="77777777" w:rsidR="00C46442" w:rsidRDefault="00C46442" w:rsidP="00E62493">
      <w:pPr>
        <w:spacing w:after="0" w:line="240" w:lineRule="auto"/>
      </w:pPr>
      <w:r>
        <w:separator/>
      </w:r>
    </w:p>
  </w:endnote>
  <w:endnote w:type="continuationSeparator" w:id="0">
    <w:p w14:paraId="617A059D" w14:textId="77777777" w:rsidR="00C46442" w:rsidRDefault="00C46442"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F607" w14:textId="77777777" w:rsidR="00C46442" w:rsidRDefault="00C46442" w:rsidP="00E62493">
      <w:pPr>
        <w:spacing w:after="0" w:line="240" w:lineRule="auto"/>
      </w:pPr>
      <w:r>
        <w:separator/>
      </w:r>
    </w:p>
  </w:footnote>
  <w:footnote w:type="continuationSeparator" w:id="0">
    <w:p w14:paraId="640F0DC9" w14:textId="77777777" w:rsidR="00C46442" w:rsidRDefault="00C46442" w:rsidP="00E6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0910"/>
      <w:docPartObj>
        <w:docPartGallery w:val="Page Numbers (Top of Page)"/>
        <w:docPartUnique/>
      </w:docPartObj>
    </w:sdtPr>
    <w:sdtEndPr>
      <w:rPr>
        <w:rFonts w:ascii="Times New Roman" w:hAnsi="Times New Roman" w:cs="Times New Roman"/>
        <w:noProof/>
      </w:rPr>
    </w:sdtEndPr>
    <w:sdtContent>
      <w:p w14:paraId="4E9680F4" w14:textId="4B5EDCE0"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BF5644">
          <w:rPr>
            <w:rFonts w:ascii="Times New Roman" w:hAnsi="Times New Roman" w:cs="Times New Roman"/>
            <w:noProof/>
          </w:rPr>
          <w:t>2</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3683"/>
    <w:multiLevelType w:val="hybridMultilevel"/>
    <w:tmpl w:val="044E69BA"/>
    <w:lvl w:ilvl="0" w:tplc="C290A524">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22B35D99"/>
    <w:multiLevelType w:val="multilevel"/>
    <w:tmpl w:val="F0CE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B71F81"/>
    <w:multiLevelType w:val="multilevel"/>
    <w:tmpl w:val="8A5451F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080F43"/>
    <w:multiLevelType w:val="multilevel"/>
    <w:tmpl w:val="63D6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14D5A"/>
    <w:multiLevelType w:val="hybridMultilevel"/>
    <w:tmpl w:val="C464B912"/>
    <w:lvl w:ilvl="0" w:tplc="35E051BA">
      <w:start w:val="5"/>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304359571">
    <w:abstractNumId w:val="0"/>
  </w:num>
  <w:num w:numId="2" w16cid:durableId="1651590091">
    <w:abstractNumId w:val="3"/>
  </w:num>
  <w:num w:numId="3" w16cid:durableId="2084792795">
    <w:abstractNumId w:val="2"/>
    <w:lvlOverride w:ilvl="0">
      <w:startOverride w:val="10"/>
    </w:lvlOverride>
  </w:num>
  <w:num w:numId="4" w16cid:durableId="1978367045">
    <w:abstractNumId w:val="1"/>
    <w:lvlOverride w:ilvl="0">
      <w:startOverride w:val="3"/>
    </w:lvlOverride>
  </w:num>
  <w:num w:numId="5" w16cid:durableId="1800949932">
    <w:abstractNumId w:val="1"/>
    <w:lvlOverride w:ilvl="0">
      <w:startOverride w:val="10"/>
    </w:lvlOverride>
  </w:num>
  <w:num w:numId="6" w16cid:durableId="2048482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8B"/>
    <w:rsid w:val="00002412"/>
    <w:rsid w:val="000038EE"/>
    <w:rsid w:val="00005FAA"/>
    <w:rsid w:val="00010DE3"/>
    <w:rsid w:val="00021FD6"/>
    <w:rsid w:val="000344AE"/>
    <w:rsid w:val="0003474A"/>
    <w:rsid w:val="000424C1"/>
    <w:rsid w:val="00042A26"/>
    <w:rsid w:val="00060E63"/>
    <w:rsid w:val="000809EA"/>
    <w:rsid w:val="00085B95"/>
    <w:rsid w:val="00096A51"/>
    <w:rsid w:val="00097C8D"/>
    <w:rsid w:val="000A6C74"/>
    <w:rsid w:val="000B3E26"/>
    <w:rsid w:val="000D0D00"/>
    <w:rsid w:val="001460D4"/>
    <w:rsid w:val="00146793"/>
    <w:rsid w:val="00152F8A"/>
    <w:rsid w:val="00156E4A"/>
    <w:rsid w:val="00166F67"/>
    <w:rsid w:val="00176BCE"/>
    <w:rsid w:val="001953D4"/>
    <w:rsid w:val="001962EB"/>
    <w:rsid w:val="001A7DD5"/>
    <w:rsid w:val="001B23D6"/>
    <w:rsid w:val="001C14D9"/>
    <w:rsid w:val="001C616C"/>
    <w:rsid w:val="001D2800"/>
    <w:rsid w:val="001F55FC"/>
    <w:rsid w:val="00201107"/>
    <w:rsid w:val="00202A1E"/>
    <w:rsid w:val="00221750"/>
    <w:rsid w:val="00223157"/>
    <w:rsid w:val="00224FED"/>
    <w:rsid w:val="002372E6"/>
    <w:rsid w:val="002451C5"/>
    <w:rsid w:val="00247593"/>
    <w:rsid w:val="00255AB5"/>
    <w:rsid w:val="002574D0"/>
    <w:rsid w:val="00274AF3"/>
    <w:rsid w:val="00287F9F"/>
    <w:rsid w:val="00290632"/>
    <w:rsid w:val="00292101"/>
    <w:rsid w:val="00292253"/>
    <w:rsid w:val="002A1234"/>
    <w:rsid w:val="002B3D0C"/>
    <w:rsid w:val="002B6F44"/>
    <w:rsid w:val="002C32DA"/>
    <w:rsid w:val="002F78A4"/>
    <w:rsid w:val="00310CF4"/>
    <w:rsid w:val="00321EBE"/>
    <w:rsid w:val="00322BD8"/>
    <w:rsid w:val="003434E6"/>
    <w:rsid w:val="00345232"/>
    <w:rsid w:val="00345E3F"/>
    <w:rsid w:val="00347425"/>
    <w:rsid w:val="003760FF"/>
    <w:rsid w:val="003A3698"/>
    <w:rsid w:val="003A4579"/>
    <w:rsid w:val="003A68AE"/>
    <w:rsid w:val="003C20AE"/>
    <w:rsid w:val="003C5E0F"/>
    <w:rsid w:val="003C7F9A"/>
    <w:rsid w:val="003E19F7"/>
    <w:rsid w:val="004015EC"/>
    <w:rsid w:val="00402285"/>
    <w:rsid w:val="00403169"/>
    <w:rsid w:val="004334E6"/>
    <w:rsid w:val="0043432B"/>
    <w:rsid w:val="00443B6C"/>
    <w:rsid w:val="00447AE6"/>
    <w:rsid w:val="00452215"/>
    <w:rsid w:val="00453AD6"/>
    <w:rsid w:val="00476CCC"/>
    <w:rsid w:val="004A3A7C"/>
    <w:rsid w:val="004B2374"/>
    <w:rsid w:val="004D0FCC"/>
    <w:rsid w:val="004D1B06"/>
    <w:rsid w:val="004D4465"/>
    <w:rsid w:val="004D4679"/>
    <w:rsid w:val="004E0272"/>
    <w:rsid w:val="004F5BCB"/>
    <w:rsid w:val="00506629"/>
    <w:rsid w:val="005169C1"/>
    <w:rsid w:val="00532379"/>
    <w:rsid w:val="005400A5"/>
    <w:rsid w:val="005427E8"/>
    <w:rsid w:val="00551E6F"/>
    <w:rsid w:val="00557BC0"/>
    <w:rsid w:val="00577595"/>
    <w:rsid w:val="005776B5"/>
    <w:rsid w:val="00585A43"/>
    <w:rsid w:val="00587431"/>
    <w:rsid w:val="00591792"/>
    <w:rsid w:val="005949C1"/>
    <w:rsid w:val="00594C4B"/>
    <w:rsid w:val="005B49C8"/>
    <w:rsid w:val="005C01F6"/>
    <w:rsid w:val="005C1E16"/>
    <w:rsid w:val="005C7AB3"/>
    <w:rsid w:val="005D0055"/>
    <w:rsid w:val="005E403C"/>
    <w:rsid w:val="005E5A60"/>
    <w:rsid w:val="005E77A7"/>
    <w:rsid w:val="005F74B2"/>
    <w:rsid w:val="0061601B"/>
    <w:rsid w:val="0063760A"/>
    <w:rsid w:val="00650DA6"/>
    <w:rsid w:val="0065472D"/>
    <w:rsid w:val="00664E2E"/>
    <w:rsid w:val="00666C2E"/>
    <w:rsid w:val="006723A3"/>
    <w:rsid w:val="00676D6C"/>
    <w:rsid w:val="00677896"/>
    <w:rsid w:val="00682857"/>
    <w:rsid w:val="00685112"/>
    <w:rsid w:val="00691BC2"/>
    <w:rsid w:val="006B0026"/>
    <w:rsid w:val="006B798C"/>
    <w:rsid w:val="006C67B6"/>
    <w:rsid w:val="006F744A"/>
    <w:rsid w:val="00701E56"/>
    <w:rsid w:val="0070376C"/>
    <w:rsid w:val="0071397C"/>
    <w:rsid w:val="00725519"/>
    <w:rsid w:val="00730F0D"/>
    <w:rsid w:val="00737EFC"/>
    <w:rsid w:val="00741987"/>
    <w:rsid w:val="0074597C"/>
    <w:rsid w:val="007463B7"/>
    <w:rsid w:val="00756162"/>
    <w:rsid w:val="007565E1"/>
    <w:rsid w:val="0076629E"/>
    <w:rsid w:val="007668C9"/>
    <w:rsid w:val="00772953"/>
    <w:rsid w:val="00783463"/>
    <w:rsid w:val="007A06ED"/>
    <w:rsid w:val="007B2DF2"/>
    <w:rsid w:val="007B7727"/>
    <w:rsid w:val="007B7A25"/>
    <w:rsid w:val="007C41E3"/>
    <w:rsid w:val="007C6786"/>
    <w:rsid w:val="007D0FEE"/>
    <w:rsid w:val="007E7705"/>
    <w:rsid w:val="00807519"/>
    <w:rsid w:val="00831FD3"/>
    <w:rsid w:val="008371C6"/>
    <w:rsid w:val="00840971"/>
    <w:rsid w:val="0084206C"/>
    <w:rsid w:val="008634EF"/>
    <w:rsid w:val="00875F1D"/>
    <w:rsid w:val="0088177A"/>
    <w:rsid w:val="008879DB"/>
    <w:rsid w:val="00890CA5"/>
    <w:rsid w:val="008A017C"/>
    <w:rsid w:val="008A43C5"/>
    <w:rsid w:val="008A4FCD"/>
    <w:rsid w:val="008A6C12"/>
    <w:rsid w:val="008B66A9"/>
    <w:rsid w:val="008C012B"/>
    <w:rsid w:val="008D5E16"/>
    <w:rsid w:val="008D65A2"/>
    <w:rsid w:val="008E2430"/>
    <w:rsid w:val="008F4A5E"/>
    <w:rsid w:val="009014C3"/>
    <w:rsid w:val="0092372E"/>
    <w:rsid w:val="0092611B"/>
    <w:rsid w:val="009363E0"/>
    <w:rsid w:val="00941FDC"/>
    <w:rsid w:val="00950700"/>
    <w:rsid w:val="00953549"/>
    <w:rsid w:val="0097188F"/>
    <w:rsid w:val="00986FAE"/>
    <w:rsid w:val="00997189"/>
    <w:rsid w:val="009A3A38"/>
    <w:rsid w:val="009A4892"/>
    <w:rsid w:val="009A7432"/>
    <w:rsid w:val="009B77F8"/>
    <w:rsid w:val="009C1B9E"/>
    <w:rsid w:val="009C3F23"/>
    <w:rsid w:val="009D02E7"/>
    <w:rsid w:val="009D459C"/>
    <w:rsid w:val="009E5383"/>
    <w:rsid w:val="009E5B67"/>
    <w:rsid w:val="00A16CB6"/>
    <w:rsid w:val="00A221CA"/>
    <w:rsid w:val="00A27316"/>
    <w:rsid w:val="00A36834"/>
    <w:rsid w:val="00A57E4E"/>
    <w:rsid w:val="00A57F43"/>
    <w:rsid w:val="00A74623"/>
    <w:rsid w:val="00A854F2"/>
    <w:rsid w:val="00A90378"/>
    <w:rsid w:val="00A967D7"/>
    <w:rsid w:val="00A96C7E"/>
    <w:rsid w:val="00A971A4"/>
    <w:rsid w:val="00AA078A"/>
    <w:rsid w:val="00AA291B"/>
    <w:rsid w:val="00AA2EE9"/>
    <w:rsid w:val="00AB0574"/>
    <w:rsid w:val="00AB53B2"/>
    <w:rsid w:val="00AC7C20"/>
    <w:rsid w:val="00AF004A"/>
    <w:rsid w:val="00B04D47"/>
    <w:rsid w:val="00B05312"/>
    <w:rsid w:val="00B2094A"/>
    <w:rsid w:val="00B336C9"/>
    <w:rsid w:val="00B43027"/>
    <w:rsid w:val="00B52F92"/>
    <w:rsid w:val="00B67F0D"/>
    <w:rsid w:val="00B77056"/>
    <w:rsid w:val="00B8128B"/>
    <w:rsid w:val="00B87376"/>
    <w:rsid w:val="00B9559A"/>
    <w:rsid w:val="00BA0BB6"/>
    <w:rsid w:val="00BA2F48"/>
    <w:rsid w:val="00BA4D41"/>
    <w:rsid w:val="00BA7A02"/>
    <w:rsid w:val="00BB6644"/>
    <w:rsid w:val="00BD147D"/>
    <w:rsid w:val="00BE4524"/>
    <w:rsid w:val="00BF0CF8"/>
    <w:rsid w:val="00BF3CF5"/>
    <w:rsid w:val="00BF52B9"/>
    <w:rsid w:val="00BF5644"/>
    <w:rsid w:val="00C22F2E"/>
    <w:rsid w:val="00C33A19"/>
    <w:rsid w:val="00C34EBA"/>
    <w:rsid w:val="00C3585F"/>
    <w:rsid w:val="00C423C3"/>
    <w:rsid w:val="00C46442"/>
    <w:rsid w:val="00C543CE"/>
    <w:rsid w:val="00C60DA4"/>
    <w:rsid w:val="00C63BC2"/>
    <w:rsid w:val="00C64608"/>
    <w:rsid w:val="00C725D4"/>
    <w:rsid w:val="00CA14D8"/>
    <w:rsid w:val="00CB03FE"/>
    <w:rsid w:val="00CB1435"/>
    <w:rsid w:val="00CC4BBD"/>
    <w:rsid w:val="00CD607C"/>
    <w:rsid w:val="00CF0864"/>
    <w:rsid w:val="00CF320E"/>
    <w:rsid w:val="00CF7A28"/>
    <w:rsid w:val="00D05B6D"/>
    <w:rsid w:val="00D339FE"/>
    <w:rsid w:val="00D410F5"/>
    <w:rsid w:val="00D445C3"/>
    <w:rsid w:val="00D463EE"/>
    <w:rsid w:val="00D5173F"/>
    <w:rsid w:val="00D6095D"/>
    <w:rsid w:val="00D61FC9"/>
    <w:rsid w:val="00D625FB"/>
    <w:rsid w:val="00D66CA7"/>
    <w:rsid w:val="00D81052"/>
    <w:rsid w:val="00D81111"/>
    <w:rsid w:val="00D83DFE"/>
    <w:rsid w:val="00D937AB"/>
    <w:rsid w:val="00D944F5"/>
    <w:rsid w:val="00D95A47"/>
    <w:rsid w:val="00D96EBF"/>
    <w:rsid w:val="00D97357"/>
    <w:rsid w:val="00DA14B7"/>
    <w:rsid w:val="00DA3AC7"/>
    <w:rsid w:val="00DA7980"/>
    <w:rsid w:val="00DB03ED"/>
    <w:rsid w:val="00DB64C6"/>
    <w:rsid w:val="00DC1544"/>
    <w:rsid w:val="00DE1809"/>
    <w:rsid w:val="00DE7D68"/>
    <w:rsid w:val="00DF2729"/>
    <w:rsid w:val="00E3323B"/>
    <w:rsid w:val="00E4007F"/>
    <w:rsid w:val="00E60878"/>
    <w:rsid w:val="00E61422"/>
    <w:rsid w:val="00E62493"/>
    <w:rsid w:val="00E82D78"/>
    <w:rsid w:val="00EA0F0F"/>
    <w:rsid w:val="00EB2430"/>
    <w:rsid w:val="00EB471A"/>
    <w:rsid w:val="00EB6A3A"/>
    <w:rsid w:val="00EC11E1"/>
    <w:rsid w:val="00ED69DF"/>
    <w:rsid w:val="00EE08F9"/>
    <w:rsid w:val="00EE113E"/>
    <w:rsid w:val="00F0294B"/>
    <w:rsid w:val="00F037A3"/>
    <w:rsid w:val="00F040B7"/>
    <w:rsid w:val="00F2762C"/>
    <w:rsid w:val="00F34456"/>
    <w:rsid w:val="00F404DF"/>
    <w:rsid w:val="00F51AA9"/>
    <w:rsid w:val="00F77727"/>
    <w:rsid w:val="00F779AC"/>
    <w:rsid w:val="00F95D01"/>
    <w:rsid w:val="00FA0269"/>
    <w:rsid w:val="00FB5315"/>
    <w:rsid w:val="00FB696C"/>
    <w:rsid w:val="00FC5C16"/>
    <w:rsid w:val="00FD6BFB"/>
    <w:rsid w:val="00FD72A8"/>
    <w:rsid w:val="00FD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15:docId w15:val="{8B38F02D-9FDA-46FC-8649-5FEE2A21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B3E26"/>
    <w:rPr>
      <w:i/>
      <w:iCs/>
    </w:rPr>
  </w:style>
  <w:style w:type="paragraph" w:styleId="ListParagraph">
    <w:name w:val="List Paragraph"/>
    <w:basedOn w:val="Normal"/>
    <w:uiPriority w:val="34"/>
    <w:qFormat/>
    <w:rsid w:val="00DC1544"/>
    <w:pPr>
      <w:ind w:left="720"/>
      <w:contextualSpacing/>
    </w:p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5C7AB3"/>
    <w:rPr>
      <w:rFonts w:ascii="Times New Roman" w:hAnsi="Times New Roman" w:cs="Times New Roman"/>
      <w:kern w:val="0"/>
    </w:rPr>
  </w:style>
  <w:style w:type="paragraph" w:styleId="FootnoteText">
    <w:name w:val="footnote text"/>
    <w:basedOn w:val="Normal"/>
    <w:link w:val="FootnoteTextChar"/>
    <w:uiPriority w:val="99"/>
    <w:semiHidden/>
    <w:unhideWhenUsed/>
    <w:rsid w:val="00BD1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47D"/>
    <w:rPr>
      <w:sz w:val="20"/>
      <w:szCs w:val="20"/>
    </w:rPr>
  </w:style>
  <w:style w:type="character" w:styleId="FootnoteReference">
    <w:name w:val="footnote reference"/>
    <w:basedOn w:val="DefaultParagraphFont"/>
    <w:uiPriority w:val="99"/>
    <w:semiHidden/>
    <w:unhideWhenUsed/>
    <w:rsid w:val="00BD147D"/>
    <w:rPr>
      <w:vertAlign w:val="superscript"/>
    </w:rPr>
  </w:style>
  <w:style w:type="paragraph" w:customStyle="1" w:styleId="Default">
    <w:name w:val="Default"/>
    <w:rsid w:val="00BA7A02"/>
    <w:pPr>
      <w:autoSpaceDE w:val="0"/>
      <w:autoSpaceDN w:val="0"/>
      <w:adjustRightInd w:val="0"/>
      <w:spacing w:after="0" w:line="240" w:lineRule="auto"/>
    </w:pPr>
    <w:rPr>
      <w:rFonts w:ascii="Times New Roman" w:eastAsiaTheme="minorHAns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941B-9F39-4FA9-8B62-E744351B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115</cp:revision>
  <cp:lastPrinted>2025-07-19T09:49:00Z</cp:lastPrinted>
  <dcterms:created xsi:type="dcterms:W3CDTF">2025-09-10T07:29:00Z</dcterms:created>
  <dcterms:modified xsi:type="dcterms:W3CDTF">2025-12-14T03:57:00Z</dcterms:modified>
</cp:coreProperties>
</file>