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0BA8" w14:textId="77777777" w:rsidR="00B20A5A" w:rsidRPr="00E7011B" w:rsidRDefault="00B20A5A" w:rsidP="00B20A5A">
      <w:pPr>
        <w:pStyle w:val="NormalWeb"/>
        <w:spacing w:before="0" w:beforeAutospacing="0" w:after="0" w:afterAutospacing="0"/>
        <w:rPr>
          <w:rStyle w:val="Strong"/>
          <w:color w:val="000000"/>
          <w:sz w:val="30"/>
          <w:szCs w:val="30"/>
        </w:rPr>
      </w:pPr>
    </w:p>
    <w:p w14:paraId="7EFB1C8D" w14:textId="77777777" w:rsidR="002337C3" w:rsidRPr="00E7011B" w:rsidRDefault="002337C3" w:rsidP="002337C3">
      <w:pPr>
        <w:pStyle w:val="NormalWeb"/>
        <w:spacing w:before="0" w:beforeAutospacing="0" w:after="0" w:afterAutospacing="0"/>
        <w:rPr>
          <w:rStyle w:val="Strong"/>
          <w:color w:val="000000"/>
          <w:sz w:val="30"/>
          <w:szCs w:val="30"/>
        </w:rPr>
      </w:pPr>
    </w:p>
    <w:p w14:paraId="02835825" w14:textId="7EAC7AAD" w:rsidR="002337C3" w:rsidRPr="00FA508A" w:rsidRDefault="002337C3" w:rsidP="002337C3">
      <w:pPr>
        <w:pStyle w:val="NormalWeb"/>
        <w:spacing w:before="0" w:beforeAutospacing="0" w:after="0" w:afterAutospacing="0" w:line="264" w:lineRule="auto"/>
        <w:jc w:val="center"/>
        <w:rPr>
          <w:color w:val="000000"/>
          <w:sz w:val="26"/>
          <w:szCs w:val="26"/>
          <w14:ligatures w14:val="none"/>
        </w:rPr>
      </w:pPr>
      <w:r w:rsidRPr="00FA508A">
        <w:rPr>
          <w:rStyle w:val="Strong"/>
          <w:color w:val="000000"/>
          <w:sz w:val="26"/>
          <w:szCs w:val="26"/>
        </w:rPr>
        <w:t>Phụ lụ</w:t>
      </w:r>
      <w:r w:rsidR="00005053" w:rsidRPr="00FA508A">
        <w:rPr>
          <w:rStyle w:val="Strong"/>
          <w:color w:val="000000"/>
          <w:sz w:val="26"/>
          <w:szCs w:val="26"/>
        </w:rPr>
        <w:t xml:space="preserve">c </w:t>
      </w:r>
      <w:r w:rsidR="00393DC3">
        <w:rPr>
          <w:rStyle w:val="Strong"/>
          <w:color w:val="000000"/>
          <w:sz w:val="26"/>
          <w:szCs w:val="26"/>
        </w:rPr>
        <w:t>I</w:t>
      </w:r>
      <w:r w:rsidR="00D52B3A" w:rsidRPr="00FA508A">
        <w:rPr>
          <w:rStyle w:val="Strong"/>
          <w:color w:val="000000"/>
          <w:sz w:val="26"/>
          <w:szCs w:val="26"/>
        </w:rPr>
        <w:t>.</w:t>
      </w:r>
      <w:r w:rsidR="001534D0" w:rsidRPr="00FA508A">
        <w:rPr>
          <w:rStyle w:val="Strong"/>
          <w:color w:val="000000"/>
          <w:sz w:val="26"/>
          <w:szCs w:val="26"/>
        </w:rPr>
        <w:t>5</w:t>
      </w:r>
      <w:r w:rsidR="00D52B3A" w:rsidRPr="00FA508A">
        <w:rPr>
          <w:rStyle w:val="Strong"/>
          <w:color w:val="000000"/>
          <w:sz w:val="26"/>
          <w:szCs w:val="26"/>
        </w:rPr>
        <w:t>.3.B</w:t>
      </w:r>
    </w:p>
    <w:p w14:paraId="03D92DEE" w14:textId="5E7FACD8" w:rsidR="002337C3" w:rsidRPr="00FA508A" w:rsidRDefault="00500B30" w:rsidP="002337C3">
      <w:pPr>
        <w:pStyle w:val="NormalWeb"/>
        <w:spacing w:before="0" w:beforeAutospacing="0" w:after="0" w:afterAutospacing="0" w:line="264" w:lineRule="auto"/>
        <w:jc w:val="center"/>
        <w:rPr>
          <w:rStyle w:val="Strong"/>
          <w:color w:val="000000"/>
          <w:sz w:val="26"/>
          <w:szCs w:val="26"/>
        </w:rPr>
      </w:pPr>
      <w:r>
        <w:rPr>
          <w:rStyle w:val="Strong"/>
          <w:color w:val="000000"/>
          <w:sz w:val="26"/>
          <w:szCs w:val="26"/>
        </w:rPr>
        <w:t>TÌNH HÌNH XỬ LÝ ĐỐI VỚI</w:t>
      </w:r>
      <w:r w:rsidR="002337C3" w:rsidRPr="00FA508A">
        <w:rPr>
          <w:rStyle w:val="Strong"/>
          <w:color w:val="000000"/>
          <w:sz w:val="26"/>
          <w:szCs w:val="26"/>
        </w:rPr>
        <w:t xml:space="preserve"> KHÓ KHĂN, VƯỚNG MẮC DO QUY ĐỊNH PHÁP LUẬT</w:t>
      </w:r>
    </w:p>
    <w:p w14:paraId="3DC3B691" w14:textId="065206F9" w:rsidR="002337C3" w:rsidRPr="00FA508A" w:rsidRDefault="002337C3" w:rsidP="002337C3">
      <w:pPr>
        <w:pStyle w:val="NormalWeb"/>
        <w:spacing w:before="0" w:beforeAutospacing="0" w:after="0" w:afterAutospacing="0" w:line="264" w:lineRule="auto"/>
        <w:jc w:val="center"/>
        <w:rPr>
          <w:color w:val="000000"/>
          <w:sz w:val="26"/>
          <w:szCs w:val="26"/>
        </w:rPr>
      </w:pPr>
      <w:r w:rsidRPr="00FA508A">
        <w:rPr>
          <w:rStyle w:val="Strong"/>
          <w:color w:val="000000"/>
          <w:sz w:val="26"/>
          <w:szCs w:val="26"/>
        </w:rPr>
        <w:t xml:space="preserve">THUỘC PHẠM VI PHỤ TRÁCH </w:t>
      </w:r>
      <w:r w:rsidRPr="00FA508A">
        <w:rPr>
          <w:b/>
          <w:bCs/>
          <w:spacing w:val="-4"/>
          <w:sz w:val="26"/>
          <w:szCs w:val="26"/>
          <w:lang w:val="de-DE"/>
        </w:rPr>
        <w:t>CỦA NGÂN HÀNG NHÀ NƯỚC VIỆT NAM</w:t>
      </w:r>
    </w:p>
    <w:p w14:paraId="183F9E81" w14:textId="77777777" w:rsidR="002337C3" w:rsidRPr="00FA508A" w:rsidRDefault="002337C3" w:rsidP="002337C3">
      <w:pPr>
        <w:pStyle w:val="NormalWeb"/>
        <w:spacing w:before="0" w:beforeAutospacing="0" w:after="0" w:afterAutospacing="0" w:line="264" w:lineRule="auto"/>
        <w:jc w:val="center"/>
        <w:rPr>
          <w:rStyle w:val="Strong"/>
          <w:color w:val="000000"/>
          <w:sz w:val="26"/>
          <w:szCs w:val="26"/>
        </w:rPr>
      </w:pPr>
      <w:r w:rsidRPr="00FA508A">
        <w:rPr>
          <w:rStyle w:val="Strong"/>
          <w:color w:val="000000"/>
          <w:sz w:val="26"/>
          <w:szCs w:val="26"/>
        </w:rPr>
        <w:t xml:space="preserve">Tiêu chí: Nội dung quy định được phản ánh tạo gánh nặng chi phí tuân thủ; chưa có quy định </w:t>
      </w:r>
    </w:p>
    <w:p w14:paraId="5BB06A24" w14:textId="77777777" w:rsidR="002337C3" w:rsidRPr="00FA508A" w:rsidRDefault="002337C3" w:rsidP="002337C3">
      <w:pPr>
        <w:pStyle w:val="NormalWeb"/>
        <w:spacing w:before="0" w:beforeAutospacing="0" w:after="0" w:afterAutospacing="0" w:line="264" w:lineRule="auto"/>
        <w:jc w:val="center"/>
        <w:rPr>
          <w:rStyle w:val="Strong"/>
          <w:color w:val="000000"/>
          <w:sz w:val="26"/>
          <w:szCs w:val="26"/>
        </w:rPr>
      </w:pPr>
      <w:r w:rsidRPr="00FA508A">
        <w:rPr>
          <w:rStyle w:val="Strong"/>
          <w:color w:val="000000"/>
          <w:sz w:val="26"/>
          <w:szCs w:val="26"/>
        </w:rPr>
        <w:t xml:space="preserve">hoặc có quy định của VBQPPL nhưng hạn chế việc đổi mới sáng tạo, phát triển động lực tăng trưởng mới, </w:t>
      </w:r>
    </w:p>
    <w:p w14:paraId="19E4D886" w14:textId="77777777" w:rsidR="002337C3" w:rsidRPr="00FA508A" w:rsidRDefault="002337C3" w:rsidP="002337C3">
      <w:pPr>
        <w:pStyle w:val="NormalWeb"/>
        <w:spacing w:before="0" w:beforeAutospacing="0" w:after="0" w:afterAutospacing="0" w:line="264" w:lineRule="auto"/>
        <w:jc w:val="center"/>
        <w:rPr>
          <w:rStyle w:val="Strong"/>
          <w:color w:val="000000"/>
          <w:sz w:val="26"/>
          <w:szCs w:val="26"/>
        </w:rPr>
      </w:pPr>
      <w:r w:rsidRPr="00FA508A">
        <w:rPr>
          <w:rStyle w:val="Strong"/>
          <w:color w:val="000000"/>
          <w:sz w:val="26"/>
          <w:szCs w:val="26"/>
        </w:rPr>
        <w:t>khơi thông nguồn lực, thúc đẩy tăng trưởng kinh tế và hội nhập quốc tế</w:t>
      </w:r>
    </w:p>
    <w:p w14:paraId="43A3DF06" w14:textId="2EDA504C" w:rsidR="00A6649C" w:rsidRDefault="002337C3" w:rsidP="00A6649C">
      <w:pPr>
        <w:pStyle w:val="NormalWeb"/>
        <w:spacing w:before="0" w:beforeAutospacing="0" w:after="0" w:afterAutospacing="0" w:line="264" w:lineRule="auto"/>
        <w:jc w:val="center"/>
        <w:rPr>
          <w:rStyle w:val="Strong"/>
          <w:color w:val="000000"/>
          <w:sz w:val="26"/>
          <w:szCs w:val="26"/>
        </w:rPr>
      </w:pPr>
      <w:r w:rsidRPr="00FA508A">
        <w:rPr>
          <w:rStyle w:val="Strong"/>
          <w:color w:val="000000"/>
          <w:sz w:val="26"/>
          <w:szCs w:val="26"/>
        </w:rPr>
        <w:t>B. Nhóm các nội dung cho ý kiến nhất trí nhưng không áp dụng phương án, quy trình xử lý nêu tại khoản 1 Điều 4 Nghị quyết số 206/2025/QH15 (xử lý theo quy trình thông thường)</w:t>
      </w:r>
    </w:p>
    <w:p w14:paraId="323FEB3F" w14:textId="11DD6B02" w:rsidR="002337C3" w:rsidRPr="00E7011B" w:rsidRDefault="00D52B3A" w:rsidP="00F66380">
      <w:pPr>
        <w:pStyle w:val="NormalWeb"/>
        <w:spacing w:line="264" w:lineRule="auto"/>
        <w:jc w:val="center"/>
        <w:rPr>
          <w:i/>
          <w:sz w:val="28"/>
          <w:szCs w:val="28"/>
        </w:rPr>
      </w:pPr>
      <w:r>
        <w:rPr>
          <w:i/>
          <w:noProof/>
          <w:sz w:val="28"/>
          <w:szCs w:val="28"/>
        </w:rPr>
        <mc:AlternateContent>
          <mc:Choice Requires="wps">
            <w:drawing>
              <wp:anchor distT="0" distB="0" distL="114300" distR="114300" simplePos="0" relativeHeight="251660288" behindDoc="0" locked="0" layoutInCell="1" allowOverlap="1" wp14:anchorId="28A9E7B9" wp14:editId="1CD4A309">
                <wp:simplePos x="0" y="0"/>
                <wp:positionH relativeFrom="margin">
                  <wp:align>center</wp:align>
                </wp:positionH>
                <wp:positionV relativeFrom="paragraph">
                  <wp:posOffset>50165</wp:posOffset>
                </wp:positionV>
                <wp:extent cx="3096000"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0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1A4A60" id="Straight Connector 1"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95pt" to="243.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bTtAEAALcDAAAOAAAAZHJzL2Uyb0RvYy54bWysU02P0zAQvSPxHyzfadJFWkHUdA9dwQVB&#10;xcIP8DrjxsL2WGPTpP+esdtm0YIQQlwcf7w3M+/NZHM3eyeOQMli6OV61UoBQeNgw6GXX7+8e/VG&#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" strokecolor="black [3200]" strokeweight=".5pt">
                <v:stroke joinstyle="miter"/>
                <w10:wrap anchorx="margin"/>
              </v:line>
            </w:pict>
          </mc:Fallback>
        </mc:AlternateContent>
      </w:r>
    </w:p>
    <w:tbl>
      <w:tblPr>
        <w:tblW w:w="14885" w:type="dxa"/>
        <w:tblInd w:w="-434" w:type="dxa"/>
        <w:tblCellMar>
          <w:left w:w="0" w:type="dxa"/>
          <w:right w:w="0" w:type="dxa"/>
        </w:tblCellMar>
        <w:tblLook w:val="04A0" w:firstRow="1" w:lastRow="0" w:firstColumn="1" w:lastColumn="0" w:noHBand="0" w:noVBand="1"/>
      </w:tblPr>
      <w:tblGrid>
        <w:gridCol w:w="698"/>
        <w:gridCol w:w="2204"/>
        <w:gridCol w:w="3226"/>
        <w:gridCol w:w="1774"/>
        <w:gridCol w:w="1267"/>
        <w:gridCol w:w="2705"/>
        <w:gridCol w:w="3011"/>
      </w:tblGrid>
      <w:tr w:rsidR="004C5C8A" w:rsidRPr="00D52B3A" w14:paraId="2DB27882" w14:textId="26A2E647" w:rsidTr="00D52B3A">
        <w:trPr>
          <w:trHeight w:val="315"/>
          <w:tblHeader/>
        </w:trPr>
        <w:tc>
          <w:tcPr>
            <w:tcW w:w="698" w:type="dxa"/>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30750996" w14:textId="77777777" w:rsidR="004C5C8A" w:rsidRPr="00D52B3A" w:rsidRDefault="004C5C8A" w:rsidP="00D52B3A">
            <w:pPr>
              <w:spacing w:after="0" w:line="240" w:lineRule="auto"/>
              <w:jc w:val="center"/>
              <w:rPr>
                <w:rFonts w:ascii="Times New Roman" w:eastAsia="Times New Roman" w:hAnsi="Times New Roman" w:cs="Times New Roman"/>
                <w:b/>
                <w:bCs/>
                <w:sz w:val="24"/>
                <w:szCs w:val="24"/>
              </w:rPr>
            </w:pPr>
            <w:r w:rsidRPr="00D52B3A">
              <w:rPr>
                <w:rFonts w:ascii="Times New Roman" w:eastAsia="Times New Roman" w:hAnsi="Times New Roman" w:cs="Times New Roman"/>
                <w:b/>
                <w:bCs/>
                <w:sz w:val="24"/>
                <w:szCs w:val="24"/>
              </w:rPr>
              <w:t>STT</w:t>
            </w:r>
          </w:p>
        </w:tc>
        <w:tc>
          <w:tcPr>
            <w:tcW w:w="2204"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3EE9F5F7" w14:textId="77777777" w:rsidR="004343B9" w:rsidRDefault="004C5C8A" w:rsidP="001E5537">
            <w:pPr>
              <w:spacing w:after="0" w:line="240" w:lineRule="auto"/>
              <w:ind w:left="109" w:right="21"/>
              <w:jc w:val="center"/>
              <w:rPr>
                <w:rFonts w:ascii="Times New Roman" w:eastAsia="Times New Roman" w:hAnsi="Times New Roman" w:cs="Times New Roman"/>
                <w:b/>
                <w:bCs/>
                <w:sz w:val="24"/>
                <w:szCs w:val="24"/>
              </w:rPr>
            </w:pPr>
            <w:r w:rsidRPr="00D52B3A">
              <w:rPr>
                <w:rFonts w:ascii="Times New Roman" w:eastAsia="Times New Roman" w:hAnsi="Times New Roman" w:cs="Times New Roman"/>
                <w:b/>
                <w:bCs/>
                <w:sz w:val="24"/>
                <w:szCs w:val="24"/>
              </w:rPr>
              <w:t xml:space="preserve">Điều, khoản, điểm, tên văn bản </w:t>
            </w:r>
          </w:p>
          <w:p w14:paraId="14FD7FDC" w14:textId="47F28BCC" w:rsidR="004C5C8A" w:rsidRPr="00D52B3A" w:rsidRDefault="004C5C8A" w:rsidP="001E5537">
            <w:pPr>
              <w:spacing w:after="0" w:line="240" w:lineRule="auto"/>
              <w:ind w:left="109" w:right="21"/>
              <w:jc w:val="center"/>
              <w:rPr>
                <w:rFonts w:ascii="Times New Roman" w:eastAsia="Times New Roman" w:hAnsi="Times New Roman" w:cs="Times New Roman"/>
                <w:b/>
                <w:bCs/>
                <w:sz w:val="24"/>
                <w:szCs w:val="24"/>
              </w:rPr>
            </w:pPr>
            <w:r w:rsidRPr="00D52B3A">
              <w:rPr>
                <w:rFonts w:ascii="Times New Roman" w:eastAsia="Times New Roman" w:hAnsi="Times New Roman" w:cs="Times New Roman"/>
                <w:b/>
                <w:bCs/>
                <w:sz w:val="24"/>
                <w:szCs w:val="24"/>
              </w:rPr>
              <w:t>đề xuất xử lý</w:t>
            </w:r>
          </w:p>
        </w:tc>
        <w:tc>
          <w:tcPr>
            <w:tcW w:w="3226"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6165A4AA" w14:textId="77777777" w:rsidR="001E5537" w:rsidRDefault="007866DA" w:rsidP="001E5537">
            <w:pPr>
              <w:spacing w:after="0"/>
              <w:jc w:val="center"/>
              <w:rPr>
                <w:rFonts w:ascii="Times New Roman" w:eastAsia="Times New Roman" w:hAnsi="Times New Roman" w:cs="Times New Roman"/>
                <w:b/>
                <w:bCs/>
                <w:sz w:val="24"/>
                <w:szCs w:val="24"/>
              </w:rPr>
            </w:pPr>
            <w:r w:rsidRPr="004C0220">
              <w:rPr>
                <w:rFonts w:ascii="Times New Roman" w:eastAsia="Times New Roman" w:hAnsi="Times New Roman" w:cs="Times New Roman"/>
                <w:b/>
                <w:bCs/>
                <w:sz w:val="24"/>
                <w:szCs w:val="24"/>
              </w:rPr>
              <w:t xml:space="preserve">Nội dung quy định </w:t>
            </w:r>
          </w:p>
          <w:p w14:paraId="5C1ECF85" w14:textId="6C4D027F" w:rsidR="004C5C8A" w:rsidRPr="00D52B3A" w:rsidRDefault="007866DA" w:rsidP="001E5537">
            <w:pPr>
              <w:spacing w:after="0"/>
              <w:jc w:val="center"/>
              <w:rPr>
                <w:rFonts w:ascii="Times New Roman" w:eastAsia="Times New Roman" w:hAnsi="Times New Roman" w:cs="Times New Roman"/>
                <w:b/>
                <w:bCs/>
                <w:sz w:val="24"/>
                <w:szCs w:val="24"/>
              </w:rPr>
            </w:pPr>
            <w:r w:rsidRPr="004C0220">
              <w:rPr>
                <w:rFonts w:ascii="Times New Roman" w:eastAsia="Times New Roman" w:hAnsi="Times New Roman" w:cs="Times New Roman"/>
                <w:b/>
                <w:bCs/>
                <w:sz w:val="24"/>
                <w:szCs w:val="24"/>
              </w:rPr>
              <w:t>được phản ánh</w:t>
            </w:r>
            <w:r>
              <w:rPr>
                <w:rFonts w:ascii="Times New Roman" w:eastAsia="Times New Roman" w:hAnsi="Times New Roman" w:cs="Times New Roman"/>
                <w:b/>
                <w:bCs/>
                <w:sz w:val="24"/>
                <w:szCs w:val="24"/>
              </w:rPr>
              <w:t xml:space="preserve"> </w:t>
            </w:r>
            <w:r w:rsidRPr="004C0220">
              <w:rPr>
                <w:rFonts w:ascii="Times New Roman" w:eastAsia="Times New Roman" w:hAnsi="Times New Roman" w:cs="Times New Roman"/>
                <w:b/>
                <w:bCs/>
                <w:sz w:val="24"/>
                <w:szCs w:val="24"/>
              </w:rPr>
              <w:t>tạo gánh nặng chi phí tuân thủ; chưa có quy định hoặc có quy định của VBQPPL nhưng hạn chế việc đổi mới sáng tạo, phát triển động lực tăng trưởng mới, khơi thông nguồn lực, thúc đẩy tăng trưởng kinh tế và hội nhập quốc tế</w:t>
            </w:r>
          </w:p>
        </w:tc>
        <w:tc>
          <w:tcPr>
            <w:tcW w:w="1774"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14427BFD" w14:textId="77777777" w:rsidR="00BD06D7" w:rsidRDefault="004C5C8A" w:rsidP="001E5537">
            <w:pPr>
              <w:spacing w:after="0" w:line="240" w:lineRule="auto"/>
              <w:ind w:left="65" w:right="60"/>
              <w:jc w:val="center"/>
              <w:rPr>
                <w:rFonts w:ascii="Times New Roman" w:eastAsia="Times New Roman" w:hAnsi="Times New Roman" w:cs="Times New Roman"/>
                <w:b/>
                <w:bCs/>
                <w:sz w:val="24"/>
                <w:szCs w:val="24"/>
              </w:rPr>
            </w:pPr>
            <w:r w:rsidRPr="00D52B3A">
              <w:rPr>
                <w:rFonts w:ascii="Times New Roman" w:eastAsia="Times New Roman" w:hAnsi="Times New Roman" w:cs="Times New Roman"/>
                <w:b/>
                <w:bCs/>
                <w:sz w:val="24"/>
                <w:szCs w:val="24"/>
              </w:rPr>
              <w:t xml:space="preserve">Phương án </w:t>
            </w:r>
          </w:p>
          <w:p w14:paraId="1D9CF5ED" w14:textId="77777777" w:rsidR="00BD06D7" w:rsidRDefault="004C5C8A" w:rsidP="001E5537">
            <w:pPr>
              <w:spacing w:after="0" w:line="240" w:lineRule="auto"/>
              <w:ind w:left="65" w:right="60"/>
              <w:jc w:val="center"/>
              <w:rPr>
                <w:rFonts w:ascii="Times New Roman" w:eastAsia="Times New Roman" w:hAnsi="Times New Roman" w:cs="Times New Roman"/>
                <w:b/>
                <w:bCs/>
                <w:sz w:val="24"/>
                <w:szCs w:val="24"/>
              </w:rPr>
            </w:pPr>
            <w:r w:rsidRPr="00D52B3A">
              <w:rPr>
                <w:rFonts w:ascii="Times New Roman" w:eastAsia="Times New Roman" w:hAnsi="Times New Roman" w:cs="Times New Roman"/>
                <w:b/>
                <w:bCs/>
                <w:sz w:val="24"/>
                <w:szCs w:val="24"/>
              </w:rPr>
              <w:t xml:space="preserve">xử lý được </w:t>
            </w:r>
          </w:p>
          <w:p w14:paraId="250C0ECA" w14:textId="6E67C27C" w:rsidR="004C5C8A" w:rsidRPr="00D52B3A" w:rsidRDefault="004C5C8A" w:rsidP="001E5537">
            <w:pPr>
              <w:spacing w:after="0" w:line="240" w:lineRule="auto"/>
              <w:ind w:left="65" w:right="60"/>
              <w:jc w:val="center"/>
              <w:rPr>
                <w:rFonts w:ascii="Times New Roman" w:eastAsia="Times New Roman" w:hAnsi="Times New Roman" w:cs="Times New Roman"/>
                <w:b/>
                <w:bCs/>
                <w:sz w:val="24"/>
                <w:szCs w:val="24"/>
              </w:rPr>
            </w:pPr>
            <w:r w:rsidRPr="00D52B3A">
              <w:rPr>
                <w:rFonts w:ascii="Times New Roman" w:eastAsia="Times New Roman" w:hAnsi="Times New Roman" w:cs="Times New Roman"/>
                <w:b/>
                <w:bCs/>
                <w:sz w:val="24"/>
                <w:szCs w:val="24"/>
              </w:rPr>
              <w:t>đề xuất</w:t>
            </w:r>
          </w:p>
        </w:tc>
        <w:tc>
          <w:tcPr>
            <w:tcW w:w="1267"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6261FD8A" w14:textId="77777777" w:rsidR="00A5504A" w:rsidRDefault="004C5C8A" w:rsidP="00D52B3A">
            <w:pPr>
              <w:spacing w:after="0" w:line="240" w:lineRule="auto"/>
              <w:jc w:val="center"/>
              <w:rPr>
                <w:rFonts w:ascii="Times New Roman" w:eastAsia="Times New Roman" w:hAnsi="Times New Roman" w:cs="Times New Roman"/>
                <w:b/>
                <w:bCs/>
                <w:sz w:val="24"/>
                <w:szCs w:val="24"/>
              </w:rPr>
            </w:pPr>
            <w:r w:rsidRPr="00D52B3A">
              <w:rPr>
                <w:rFonts w:ascii="Times New Roman" w:eastAsia="Times New Roman" w:hAnsi="Times New Roman" w:cs="Times New Roman"/>
                <w:b/>
                <w:bCs/>
                <w:sz w:val="24"/>
                <w:szCs w:val="24"/>
              </w:rPr>
              <w:t>Cơ quan, tổ chức</w:t>
            </w:r>
          </w:p>
          <w:p w14:paraId="5AA01D52" w14:textId="4421DE82" w:rsidR="004C5C8A" w:rsidRPr="00D52B3A" w:rsidRDefault="004C5C8A" w:rsidP="00D52B3A">
            <w:pPr>
              <w:spacing w:after="0" w:line="240" w:lineRule="auto"/>
              <w:jc w:val="center"/>
              <w:rPr>
                <w:rFonts w:ascii="Times New Roman" w:eastAsia="Times New Roman" w:hAnsi="Times New Roman" w:cs="Times New Roman"/>
                <w:b/>
                <w:bCs/>
                <w:sz w:val="24"/>
                <w:szCs w:val="24"/>
              </w:rPr>
            </w:pPr>
            <w:r w:rsidRPr="00D52B3A">
              <w:rPr>
                <w:rFonts w:ascii="Times New Roman" w:eastAsia="Times New Roman" w:hAnsi="Times New Roman" w:cs="Times New Roman"/>
                <w:b/>
                <w:bCs/>
                <w:sz w:val="24"/>
                <w:szCs w:val="24"/>
              </w:rPr>
              <w:t xml:space="preserve"> rà soát, phản ánh</w:t>
            </w:r>
          </w:p>
        </w:tc>
        <w:tc>
          <w:tcPr>
            <w:tcW w:w="2705"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2CB5CFE1" w14:textId="77777777" w:rsidR="00290985" w:rsidRDefault="00290985" w:rsidP="00290985">
            <w:pPr>
              <w:spacing w:after="0" w:line="240" w:lineRule="auto"/>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 xml:space="preserve">Ý kiến của </w:t>
            </w:r>
            <w:r>
              <w:rPr>
                <w:rFonts w:ascii="Times New Roman" w:eastAsia="Times New Roman" w:hAnsi="Times New Roman" w:cs="Times New Roman"/>
                <w:b/>
                <w:bCs/>
                <w:sz w:val="24"/>
                <w:szCs w:val="24"/>
              </w:rPr>
              <w:t xml:space="preserve">Ngân hàng </w:t>
            </w:r>
          </w:p>
          <w:p w14:paraId="55F4BA03" w14:textId="77777777" w:rsidR="00290985" w:rsidRDefault="00290985" w:rsidP="0029098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Nhà nước Việt Nam </w:t>
            </w:r>
          </w:p>
          <w:p w14:paraId="4B91A6A2" w14:textId="2890E5AD" w:rsidR="004C5C8A" w:rsidRPr="00D52B3A" w:rsidRDefault="00290985" w:rsidP="00290985">
            <w:pPr>
              <w:spacing w:after="0" w:line="240" w:lineRule="auto"/>
              <w:ind w:left="143" w:right="63"/>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về nội dung rà soát, phản ánh</w:t>
            </w:r>
          </w:p>
        </w:tc>
        <w:tc>
          <w:tcPr>
            <w:tcW w:w="3011"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vAlign w:val="center"/>
          </w:tcPr>
          <w:p w14:paraId="5268ECC3" w14:textId="36D06658" w:rsidR="004C5C8A" w:rsidRPr="00D52B3A" w:rsidRDefault="009E1B05" w:rsidP="008D2A2C">
            <w:pPr>
              <w:spacing w:after="0"/>
              <w:ind w:left="34" w:right="284"/>
              <w:jc w:val="center"/>
              <w:rPr>
                <w:rFonts w:ascii="Times New Roman" w:eastAsia="Times" w:hAnsi="Times New Roman" w:cs="Times New Roman"/>
                <w:b/>
                <w:sz w:val="24"/>
                <w:szCs w:val="24"/>
              </w:rPr>
            </w:pPr>
            <w:r>
              <w:rPr>
                <w:rFonts w:ascii="Times New Roman" w:eastAsia="Times" w:hAnsi="Times New Roman" w:cs="Times New Roman"/>
                <w:b/>
                <w:sz w:val="24"/>
                <w:szCs w:val="24"/>
              </w:rPr>
              <w:t>Tình hình xử lý</w:t>
            </w:r>
          </w:p>
        </w:tc>
      </w:tr>
      <w:tr w:rsidR="009E1B05" w:rsidRPr="00D52B3A" w14:paraId="0626CB33" w14:textId="6305F239" w:rsidTr="004C5C8A">
        <w:trPr>
          <w:trHeight w:val="315"/>
        </w:trPr>
        <w:tc>
          <w:tcPr>
            <w:tcW w:w="6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78C82E" w14:textId="6AEFAE81"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1</w:t>
            </w:r>
          </w:p>
        </w:tc>
        <w:tc>
          <w:tcPr>
            <w:tcW w:w="22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A45099" w14:textId="77777777" w:rsidR="009E1B05" w:rsidRPr="00D52B3A" w:rsidRDefault="009E1B05" w:rsidP="009E1B05">
            <w:pPr>
              <w:spacing w:after="0" w:line="240" w:lineRule="auto"/>
              <w:ind w:left="109" w:right="21"/>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Khoản 3 Điều 3 Thông tư 32/2024/TT-NHNN Quy định về mạng lưới hoạt động của ngân hàng thương mại</w:t>
            </w:r>
          </w:p>
        </w:tc>
        <w:tc>
          <w:tcPr>
            <w:tcW w:w="32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B4C6CA" w14:textId="77777777" w:rsidR="009E1B05" w:rsidRPr="00D52B3A" w:rsidRDefault="009E1B05" w:rsidP="009E1B05">
            <w:pPr>
              <w:spacing w:after="0" w:line="240" w:lineRule="auto"/>
              <w:ind w:left="173" w:right="128"/>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 xml:space="preserve">Vướng mắc về thẩm quyền phán quyết của Phòng giao dịch: Tại Khoản 3 Điều 3 Thông tư 32: “Phòng giao dịch không được thực hiện: a) Phê duyệt, quyết định cấp tín dụng cho một khách hàng vượt quá hai (02) tỷ đồng Việt </w:t>
            </w:r>
            <w:r w:rsidRPr="00D52B3A">
              <w:rPr>
                <w:rFonts w:ascii="Times New Roman" w:eastAsia="Times New Roman" w:hAnsi="Times New Roman" w:cs="Times New Roman"/>
                <w:sz w:val="24"/>
                <w:szCs w:val="24"/>
              </w:rPr>
              <w:lastRenderedPageBreak/>
              <w:t>Nam hoặc ngoại tệ quy đổi tương đương, trừ trường hợp khoản cấp tín dụng được đảm bảo toàn bộ bằng tiền, thẻ tiết kiệm, giấy tờ có giá do chính ngân hàng thương mại phát hành, trái phiếu chính phủ, tín phiếu kho bạc nhà nước;”. Đề xuất tăng mức phán quyết cấp tín dụng cho Phòng giao dịch do mức hai (02) tỷ đồng quy định từ năm 2013 tại Thông tư 21/2013/TT-NHNN nay không còn phù hợp với mức thu nhập và nhu cầu vay vốn của khách hàng.</w:t>
            </w:r>
          </w:p>
        </w:tc>
        <w:tc>
          <w:tcPr>
            <w:tcW w:w="17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3AF89F" w14:textId="77777777" w:rsidR="009E1B05" w:rsidRPr="00D52B3A" w:rsidRDefault="009E1B05" w:rsidP="009E1B05">
            <w:pPr>
              <w:spacing w:after="0" w:line="240" w:lineRule="auto"/>
              <w:ind w:left="65" w:right="60"/>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VBQPPL </w:t>
            </w:r>
            <w:r w:rsidRPr="00D52B3A">
              <w:rPr>
                <w:rFonts w:ascii="Times New Roman" w:eastAsia="Times New Roman" w:hAnsi="Times New Roman" w:cs="Times New Roman"/>
                <w:sz w:val="24"/>
                <w:szCs w:val="24"/>
              </w:rPr>
              <w:lastRenderedPageBreak/>
              <w:t>của Luật Ban hành VBQPPL)</w:t>
            </w:r>
          </w:p>
        </w:tc>
        <w:tc>
          <w:tcPr>
            <w:tcW w:w="1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098F2" w14:textId="77777777"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lastRenderedPageBreak/>
              <w:t>Ngân hàng TMCP Đầu tư và Phát triển Việt Nam</w:t>
            </w:r>
          </w:p>
        </w:tc>
        <w:tc>
          <w:tcPr>
            <w:tcW w:w="27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843B2" w14:textId="77777777" w:rsidR="009E1B05" w:rsidRPr="00D52B3A" w:rsidRDefault="009E1B05" w:rsidP="009E1B05">
            <w:pPr>
              <w:spacing w:after="0" w:line="240" w:lineRule="auto"/>
              <w:ind w:left="143" w:right="63"/>
              <w:jc w:val="both"/>
              <w:rPr>
                <w:rFonts w:ascii="Times New Roman" w:eastAsia="Times New Roman" w:hAnsi="Times New Roman" w:cs="Times New Roman"/>
                <w:sz w:val="24"/>
                <w:szCs w:val="24"/>
              </w:rPr>
            </w:pPr>
            <w:r w:rsidRPr="00D52B3A">
              <w:rPr>
                <w:rFonts w:ascii="Times New Roman" w:eastAsia="Times New Roman" w:hAnsi="Times New Roman" w:cs="Times New Roman"/>
                <w:b/>
                <w:sz w:val="24"/>
                <w:szCs w:val="24"/>
              </w:rPr>
              <w:t>Tiếp thu</w:t>
            </w:r>
          </w:p>
          <w:p w14:paraId="0FA9F4F3" w14:textId="6DAB6C09" w:rsidR="009E1B05" w:rsidRPr="00D52B3A" w:rsidRDefault="009E1B05" w:rsidP="009E1B05">
            <w:pPr>
              <w:spacing w:after="0" w:line="240" w:lineRule="auto"/>
              <w:ind w:left="143" w:right="63"/>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NHNN ghi nhận và sẽ nghiên cứu ý kiến của BIDV khi sửa đổi bổ sung Thông tư 32/2024/TT-NHNN</w:t>
            </w:r>
          </w:p>
        </w:tc>
        <w:tc>
          <w:tcPr>
            <w:tcW w:w="3011" w:type="dxa"/>
            <w:tcBorders>
              <w:top w:val="single" w:sz="6" w:space="0" w:color="CCCCCC"/>
              <w:left w:val="single" w:sz="6" w:space="0" w:color="CCCCCC"/>
              <w:bottom w:val="single" w:sz="6" w:space="0" w:color="000000"/>
              <w:right w:val="single" w:sz="6" w:space="0" w:color="000000"/>
            </w:tcBorders>
          </w:tcPr>
          <w:p w14:paraId="4A0DCC05" w14:textId="39A37182" w:rsidR="009E1B05" w:rsidRPr="009E1B05" w:rsidRDefault="009E1B05" w:rsidP="009E1B05">
            <w:pPr>
              <w:spacing w:after="0" w:line="240" w:lineRule="auto"/>
              <w:ind w:left="34" w:right="142" w:firstLine="284"/>
              <w:jc w:val="both"/>
              <w:rPr>
                <w:rFonts w:ascii="Times New Roman" w:hAnsi="Times New Roman" w:cs="Times New Roman"/>
                <w:b/>
                <w:bCs/>
                <w:sz w:val="24"/>
                <w:szCs w:val="24"/>
              </w:rPr>
            </w:pPr>
            <w:r w:rsidRPr="009E1B05">
              <w:rPr>
                <w:rFonts w:ascii="Times New Roman" w:hAnsi="Times New Roman" w:cs="Times New Roman"/>
                <w:b/>
                <w:bCs/>
                <w:sz w:val="24"/>
                <w:szCs w:val="24"/>
              </w:rPr>
              <w:t>Chưa xử lý</w:t>
            </w:r>
          </w:p>
          <w:p w14:paraId="0E58B62F" w14:textId="77777777" w:rsidR="009E1B05" w:rsidRDefault="009E1B05" w:rsidP="009E1B05">
            <w:pPr>
              <w:spacing w:after="0" w:line="240" w:lineRule="auto"/>
              <w:ind w:left="34" w:right="142" w:firstLine="284"/>
              <w:jc w:val="both"/>
              <w:rPr>
                <w:rFonts w:ascii="Times New Roman" w:hAnsi="Times New Roman" w:cs="Times New Roman"/>
                <w:sz w:val="24"/>
                <w:szCs w:val="24"/>
              </w:rPr>
            </w:pPr>
            <w:r w:rsidRPr="00A31B56">
              <w:rPr>
                <w:rFonts w:ascii="Times New Roman" w:hAnsi="Times New Roman" w:cs="Times New Roman"/>
                <w:sz w:val="24"/>
                <w:szCs w:val="24"/>
              </w:rPr>
              <w:t>NHNN nghiên cứu, sửa đổi nội dung này tại Thông tư số 32/2024/TT-NHNN</w:t>
            </w:r>
            <w:r>
              <w:rPr>
                <w:rFonts w:ascii="Times New Roman" w:hAnsi="Times New Roman" w:cs="Times New Roman"/>
                <w:sz w:val="24"/>
                <w:szCs w:val="24"/>
              </w:rPr>
              <w:t xml:space="preserve"> và đang xin ý kiến rộng rãi lần 2.</w:t>
            </w:r>
          </w:p>
          <w:p w14:paraId="762A5FED" w14:textId="7C51ED2E" w:rsidR="009E1B05" w:rsidRPr="00BF32B1" w:rsidRDefault="009E1B05" w:rsidP="009E1B05">
            <w:pPr>
              <w:spacing w:after="0" w:line="240" w:lineRule="auto"/>
              <w:ind w:left="34" w:right="142" w:firstLine="284"/>
              <w:jc w:val="both"/>
              <w:rPr>
                <w:rFonts w:ascii="Times New Roman" w:hAnsi="Times New Roman" w:cs="Times New Roman"/>
                <w:sz w:val="24"/>
                <w:szCs w:val="24"/>
              </w:rPr>
            </w:pPr>
            <w:r>
              <w:rPr>
                <w:rFonts w:ascii="Times New Roman" w:hAnsi="Times New Roman" w:cs="Times New Roman"/>
                <w:sz w:val="24"/>
                <w:szCs w:val="24"/>
              </w:rPr>
              <w:t xml:space="preserve">Dự thảo thông tư sửa đổi, bổ sung Thông tư số 32/2024/TT-NHNN dự kiến </w:t>
            </w:r>
            <w:r>
              <w:rPr>
                <w:rFonts w:ascii="Times New Roman" w:hAnsi="Times New Roman" w:cs="Times New Roman"/>
                <w:sz w:val="24"/>
                <w:szCs w:val="24"/>
              </w:rPr>
              <w:lastRenderedPageBreak/>
              <w:t>sẽ được ban hành trong tháng 12/2025</w:t>
            </w:r>
          </w:p>
        </w:tc>
      </w:tr>
      <w:tr w:rsidR="009E1B05" w:rsidRPr="00D52B3A" w14:paraId="2D2635B8" w14:textId="50ED78C1" w:rsidTr="004C5C8A">
        <w:trPr>
          <w:trHeight w:val="315"/>
        </w:trPr>
        <w:tc>
          <w:tcPr>
            <w:tcW w:w="6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F5B93A" w14:textId="7ADBC1E8"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lastRenderedPageBreak/>
              <w:t>2</w:t>
            </w:r>
          </w:p>
        </w:tc>
        <w:tc>
          <w:tcPr>
            <w:tcW w:w="22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FB040" w14:textId="77777777" w:rsidR="009E1B05" w:rsidRPr="00D52B3A" w:rsidRDefault="009E1B05" w:rsidP="009E1B05">
            <w:pPr>
              <w:spacing w:after="0" w:line="240" w:lineRule="auto"/>
              <w:ind w:left="109" w:right="21"/>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 xml:space="preserve">Thông tư 52/2018/TT-NHNN Quy định xếp hạng tổ chức tín dụng, chi nhánh ngân hàng nước ngoài; Thông </w:t>
            </w:r>
            <w:r w:rsidRPr="00D52B3A">
              <w:rPr>
                <w:rFonts w:ascii="Times New Roman" w:eastAsia="Times New Roman" w:hAnsi="Times New Roman" w:cs="Times New Roman"/>
                <w:sz w:val="24"/>
                <w:szCs w:val="24"/>
              </w:rPr>
              <w:lastRenderedPageBreak/>
              <w:t>tư 23/2021/TT-NHNN Sửa đổi, bổ sung một số điều của Thông tư số 52/2018/TT-NHNN ngày 31 tháng 12 năm 2018 của Thống đốc Ngân hàng Nhà nước Việt Nam quy định xếp hạng tổ chức tín dụng, chi nhánh ngân hàng nước ngoài</w:t>
            </w:r>
          </w:p>
        </w:tc>
        <w:tc>
          <w:tcPr>
            <w:tcW w:w="32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95A58" w14:textId="77777777" w:rsidR="009E1B05" w:rsidRPr="00D52B3A" w:rsidRDefault="009E1B05" w:rsidP="009E1B05">
            <w:pPr>
              <w:spacing w:after="0" w:line="240" w:lineRule="auto"/>
              <w:ind w:left="173" w:right="128"/>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lastRenderedPageBreak/>
              <w:t xml:space="preserve">Theo Khoản 2, Điều 4 Thông tư 52/2018/TT-NHNN: Tổ chức tín dụng, chi nhánh ngân hàng nước ngoài được chia thành các nhóm đồng hạng, cụ thể như sau: a) Nhóm 1: </w:t>
            </w:r>
            <w:r w:rsidRPr="00D52B3A">
              <w:rPr>
                <w:rFonts w:ascii="Times New Roman" w:eastAsia="Times New Roman" w:hAnsi="Times New Roman" w:cs="Times New Roman"/>
                <w:sz w:val="24"/>
                <w:szCs w:val="24"/>
              </w:rPr>
              <w:lastRenderedPageBreak/>
              <w:t xml:space="preserve">Ngân hàng thương mại có quy mô lớn (tổng giá trị tài sản bình quân theo quý trong năm xếp hạng trên 100.000 tỷ đồng); b) Nhóm 2: Ngân hàng thương mại có quy mô nhỏ (tổng giá trị tài sản bình quân theo quý trong năm xếp hạng bằng hoặc thấp hơn 100.000 tỷ đồng); - Việc xếp chung các NHTM có vốn nhà nước (Vietcombank, Vietinbank, Agribank, BIDV) vào nhóm NHTM có quy mô tổng tài sản bình quân trên 100.000 tỷ đồng là không phù hợp do các NHTM có vốn nhà nước hiện nay đã đạt quy mô tổng tài sản từ 1,5 đến trên 2 triệu tỷ đồng, lớn gấp 2-3 lần quy mô tổng tài sản của các ngân hàng TMCP tư nhân lớn nhất (như </w:t>
            </w:r>
            <w:r w:rsidRPr="00D52B3A">
              <w:rPr>
                <w:rFonts w:ascii="Times New Roman" w:eastAsia="Times New Roman" w:hAnsi="Times New Roman" w:cs="Times New Roman"/>
                <w:sz w:val="24"/>
                <w:szCs w:val="24"/>
              </w:rPr>
              <w:lastRenderedPageBreak/>
              <w:t xml:space="preserve">Techcombank, VPBank, MBBank… ). - Hoạt động của các NHTM có vốn nhà nước có sự khác biệt lớn so với nhóm các ngân hàng TMCP tư nhân do các NHTM có vốn nhà nước luôn tiên phong trong thực thi đường lối, chính sách của Đảng và Nhà nước, chủ trương, định hướng của Chính phủ, NHNN...; tập trung dòng vốn tín dụng vào các lĩnh vực ưu tiên, phấn đấu giảm mặt bằng lãi suất cho vay, tích cực hỗ trợ nền kinh tế vượt qua các giai đoạn khó khăn... dẫn đến giảm lợi nhuận của các ngân hàng này, mức độ rủi ro có thể gia tăng. Như vậy có thể thấy, các NHTM có vốn nhà nước mang nhiệm vụ thực thi </w:t>
            </w:r>
            <w:r w:rsidRPr="00D52B3A">
              <w:rPr>
                <w:rFonts w:ascii="Times New Roman" w:eastAsia="Times New Roman" w:hAnsi="Times New Roman" w:cs="Times New Roman"/>
                <w:sz w:val="24"/>
                <w:szCs w:val="24"/>
              </w:rPr>
              <w:lastRenderedPageBreak/>
              <w:t xml:space="preserve">chính sách quốc gia, trong khi nhóm các ngân hàng TMCP tư nhân chủ yếu tập trung vào tìm kiếm lợi nhuận cho cổ đông. Trên cơ sở khác biệt lớn về vai trò, trách nhiệm đối với cộng đồng, xã hội cũng như thực thi chính sách của Nhà nước, cần thiết phải tách riêng hai nhóm ngân hàng này để có đánh giá phù hợp hơn cho từng nhóm. Đề xuất NHNN xem xét bổ sung nhóm các NHTM có quy mô Tổng tài sản bình quân trên 2 triệu tỷ đồng (tương ứng với các NHTM có vốn nhà nước) để có thang điểm đánh giá phù hợp hơn, ghi nhận những đóng góp của nhóm NHTM này trong việc tiên phong </w:t>
            </w:r>
            <w:r w:rsidRPr="00D52B3A">
              <w:rPr>
                <w:rFonts w:ascii="Times New Roman" w:eastAsia="Times New Roman" w:hAnsi="Times New Roman" w:cs="Times New Roman"/>
                <w:sz w:val="24"/>
                <w:szCs w:val="24"/>
              </w:rPr>
              <w:lastRenderedPageBreak/>
              <w:t>thực thi đường lối chính sách của Chính phủ, NHNN.</w:t>
            </w:r>
          </w:p>
        </w:tc>
        <w:tc>
          <w:tcPr>
            <w:tcW w:w="17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FBCCAB" w14:textId="6E862E84" w:rsidR="009E1B05" w:rsidRPr="00D52B3A" w:rsidRDefault="009E1B05" w:rsidP="009E1B05">
            <w:pPr>
              <w:spacing w:after="0" w:line="240" w:lineRule="auto"/>
              <w:ind w:left="65" w:right="60"/>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lastRenderedPageBreak/>
              <w:t xml:space="preserve">C. Sửa đổi, bổ sung, thay thế, ban hành mới VBQPPL (theo trình tự, thủ tục rút gọn ban </w:t>
            </w:r>
            <w:r w:rsidRPr="00D52B3A">
              <w:rPr>
                <w:rFonts w:ascii="Times New Roman" w:eastAsia="Times New Roman" w:hAnsi="Times New Roman" w:cs="Times New Roman"/>
                <w:sz w:val="24"/>
                <w:szCs w:val="24"/>
              </w:rPr>
              <w:lastRenderedPageBreak/>
              <w:t>hành VBQPPL của Luật Ban hành VBQPPL)</w:t>
            </w:r>
          </w:p>
          <w:p w14:paraId="765A63E6" w14:textId="77777777" w:rsidR="009E1B05" w:rsidRPr="00D52B3A" w:rsidRDefault="009E1B05" w:rsidP="009E1B05">
            <w:pPr>
              <w:ind w:left="65" w:right="60"/>
              <w:rPr>
                <w:rFonts w:ascii="Times New Roman" w:eastAsia="Times New Roman" w:hAnsi="Times New Roman" w:cs="Times New Roman"/>
                <w:sz w:val="24"/>
                <w:szCs w:val="24"/>
              </w:rPr>
            </w:pPr>
          </w:p>
          <w:p w14:paraId="08E4FF79" w14:textId="77777777" w:rsidR="009E1B05" w:rsidRPr="00D52B3A" w:rsidRDefault="009E1B05" w:rsidP="009E1B05">
            <w:pPr>
              <w:ind w:left="65" w:right="60"/>
              <w:rPr>
                <w:rFonts w:ascii="Times New Roman" w:eastAsia="Times New Roman" w:hAnsi="Times New Roman" w:cs="Times New Roman"/>
                <w:sz w:val="24"/>
                <w:szCs w:val="24"/>
              </w:rPr>
            </w:pPr>
          </w:p>
          <w:p w14:paraId="569C24E2" w14:textId="77777777" w:rsidR="009E1B05" w:rsidRPr="00D52B3A" w:rsidRDefault="009E1B05" w:rsidP="009E1B05">
            <w:pPr>
              <w:ind w:left="65" w:right="60"/>
              <w:rPr>
                <w:rFonts w:ascii="Times New Roman" w:eastAsia="Times New Roman" w:hAnsi="Times New Roman" w:cs="Times New Roman"/>
                <w:sz w:val="24"/>
                <w:szCs w:val="24"/>
              </w:rPr>
            </w:pPr>
          </w:p>
          <w:p w14:paraId="0DF588EC" w14:textId="77777777" w:rsidR="009E1B05" w:rsidRPr="00D52B3A" w:rsidRDefault="009E1B05" w:rsidP="009E1B05">
            <w:pPr>
              <w:ind w:left="65" w:right="60"/>
              <w:rPr>
                <w:rFonts w:ascii="Times New Roman" w:eastAsia="Times New Roman" w:hAnsi="Times New Roman" w:cs="Times New Roman"/>
                <w:sz w:val="24"/>
                <w:szCs w:val="24"/>
              </w:rPr>
            </w:pPr>
          </w:p>
          <w:p w14:paraId="549C579F" w14:textId="77777777" w:rsidR="009E1B05" w:rsidRPr="00D52B3A" w:rsidRDefault="009E1B05" w:rsidP="009E1B05">
            <w:pPr>
              <w:ind w:left="65" w:right="60"/>
              <w:rPr>
                <w:rFonts w:ascii="Times New Roman" w:eastAsia="Times New Roman" w:hAnsi="Times New Roman" w:cs="Times New Roman"/>
                <w:sz w:val="24"/>
                <w:szCs w:val="24"/>
              </w:rPr>
            </w:pPr>
          </w:p>
          <w:p w14:paraId="2C5F7649" w14:textId="77777777" w:rsidR="009E1B05" w:rsidRPr="00D52B3A" w:rsidRDefault="009E1B05" w:rsidP="009E1B05">
            <w:pPr>
              <w:ind w:left="65" w:right="60"/>
              <w:rPr>
                <w:rFonts w:ascii="Times New Roman" w:eastAsia="Times New Roman" w:hAnsi="Times New Roman" w:cs="Times New Roman"/>
                <w:sz w:val="24"/>
                <w:szCs w:val="24"/>
              </w:rPr>
            </w:pPr>
          </w:p>
          <w:p w14:paraId="511DF906" w14:textId="77777777" w:rsidR="009E1B05" w:rsidRPr="00D52B3A" w:rsidRDefault="009E1B05" w:rsidP="009E1B05">
            <w:pPr>
              <w:ind w:left="65" w:right="60"/>
              <w:rPr>
                <w:rFonts w:ascii="Times New Roman" w:eastAsia="Times New Roman" w:hAnsi="Times New Roman" w:cs="Times New Roman"/>
                <w:sz w:val="24"/>
                <w:szCs w:val="24"/>
              </w:rPr>
            </w:pPr>
          </w:p>
          <w:p w14:paraId="10AAC0D9" w14:textId="77777777" w:rsidR="009E1B05" w:rsidRPr="00D52B3A" w:rsidRDefault="009E1B05" w:rsidP="009E1B05">
            <w:pPr>
              <w:ind w:left="65" w:right="60"/>
              <w:rPr>
                <w:rFonts w:ascii="Times New Roman" w:eastAsia="Times New Roman" w:hAnsi="Times New Roman" w:cs="Times New Roman"/>
                <w:sz w:val="24"/>
                <w:szCs w:val="24"/>
              </w:rPr>
            </w:pPr>
          </w:p>
          <w:p w14:paraId="16256632" w14:textId="77777777" w:rsidR="009E1B05" w:rsidRPr="00D52B3A" w:rsidRDefault="009E1B05" w:rsidP="009E1B05">
            <w:pPr>
              <w:ind w:left="65" w:right="60"/>
              <w:rPr>
                <w:rFonts w:ascii="Times New Roman" w:eastAsia="Times New Roman" w:hAnsi="Times New Roman" w:cs="Times New Roman"/>
                <w:sz w:val="24"/>
                <w:szCs w:val="24"/>
              </w:rPr>
            </w:pPr>
          </w:p>
          <w:p w14:paraId="0966CB06" w14:textId="77777777" w:rsidR="009E1B05" w:rsidRPr="00D52B3A" w:rsidRDefault="009E1B05" w:rsidP="009E1B05">
            <w:pPr>
              <w:ind w:left="65" w:right="60"/>
              <w:rPr>
                <w:rFonts w:ascii="Times New Roman" w:eastAsia="Times New Roman" w:hAnsi="Times New Roman" w:cs="Times New Roman"/>
                <w:sz w:val="24"/>
                <w:szCs w:val="24"/>
              </w:rPr>
            </w:pPr>
          </w:p>
          <w:p w14:paraId="316913C9" w14:textId="77777777" w:rsidR="009E1B05" w:rsidRPr="00D52B3A" w:rsidRDefault="009E1B05" w:rsidP="009E1B05">
            <w:pPr>
              <w:ind w:left="65" w:right="60"/>
              <w:rPr>
                <w:rFonts w:ascii="Times New Roman" w:eastAsia="Times New Roman" w:hAnsi="Times New Roman" w:cs="Times New Roman"/>
                <w:sz w:val="24"/>
                <w:szCs w:val="24"/>
              </w:rPr>
            </w:pPr>
          </w:p>
          <w:p w14:paraId="6609CDA0" w14:textId="77777777" w:rsidR="009E1B05" w:rsidRPr="00D52B3A" w:rsidRDefault="009E1B05" w:rsidP="009E1B05">
            <w:pPr>
              <w:ind w:left="65" w:right="60"/>
              <w:rPr>
                <w:rFonts w:ascii="Times New Roman" w:eastAsia="Times New Roman" w:hAnsi="Times New Roman" w:cs="Times New Roman"/>
                <w:sz w:val="24"/>
                <w:szCs w:val="24"/>
              </w:rPr>
            </w:pPr>
          </w:p>
          <w:p w14:paraId="40CEF946" w14:textId="77777777" w:rsidR="009E1B05" w:rsidRPr="00D52B3A" w:rsidRDefault="009E1B05" w:rsidP="009E1B05">
            <w:pPr>
              <w:ind w:left="65" w:right="60"/>
              <w:rPr>
                <w:rFonts w:ascii="Times New Roman" w:eastAsia="Times New Roman" w:hAnsi="Times New Roman" w:cs="Times New Roman"/>
                <w:sz w:val="24"/>
                <w:szCs w:val="24"/>
              </w:rPr>
            </w:pPr>
          </w:p>
          <w:p w14:paraId="2CB37CF5" w14:textId="21226D7C" w:rsidR="009E1B05" w:rsidRPr="00D52B3A" w:rsidRDefault="009E1B05" w:rsidP="009E1B05">
            <w:pPr>
              <w:ind w:left="65" w:right="60"/>
              <w:rPr>
                <w:rFonts w:ascii="Times New Roman" w:eastAsia="Times New Roman" w:hAnsi="Times New Roman" w:cs="Times New Roman"/>
                <w:sz w:val="24"/>
                <w:szCs w:val="24"/>
              </w:rPr>
            </w:pPr>
          </w:p>
        </w:tc>
        <w:tc>
          <w:tcPr>
            <w:tcW w:w="1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E788C5" w14:textId="77777777"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lastRenderedPageBreak/>
              <w:t>Ngân hàng TMCP Đầu tư và Phát triển Việt Nam</w:t>
            </w:r>
          </w:p>
        </w:tc>
        <w:tc>
          <w:tcPr>
            <w:tcW w:w="27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76E6CE" w14:textId="77777777" w:rsidR="009E1B05" w:rsidRPr="00D52B3A" w:rsidRDefault="009E1B05" w:rsidP="009E1B05">
            <w:pPr>
              <w:spacing w:after="0" w:line="240" w:lineRule="auto"/>
              <w:ind w:left="143" w:right="63"/>
              <w:jc w:val="both"/>
              <w:rPr>
                <w:rFonts w:ascii="Times New Roman" w:eastAsia="Times New Roman" w:hAnsi="Times New Roman" w:cs="Times New Roman"/>
                <w:b/>
                <w:sz w:val="24"/>
                <w:szCs w:val="24"/>
              </w:rPr>
            </w:pPr>
            <w:r w:rsidRPr="00D52B3A">
              <w:rPr>
                <w:rFonts w:ascii="Times New Roman" w:eastAsia="Times New Roman" w:hAnsi="Times New Roman" w:cs="Times New Roman"/>
                <w:b/>
                <w:sz w:val="24"/>
                <w:szCs w:val="24"/>
              </w:rPr>
              <w:t>Tiếp thu một phần</w:t>
            </w:r>
          </w:p>
          <w:p w14:paraId="0D811C45" w14:textId="11940BA3" w:rsidR="009E1B05" w:rsidRPr="00D52B3A" w:rsidRDefault="009E1B05" w:rsidP="009E1B05">
            <w:pPr>
              <w:spacing w:after="0" w:line="240" w:lineRule="auto"/>
              <w:ind w:left="143" w:right="63"/>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 xml:space="preserve">NHNN đang nghiên cứu sửa đổi, bổ sung Thông tư 52 trong đó có nội dung sửa đổi bổ sung khoản 2 Điều 4 về phân </w:t>
            </w:r>
            <w:r w:rsidRPr="00D52B3A">
              <w:rPr>
                <w:rFonts w:ascii="Times New Roman" w:eastAsia="Times New Roman" w:hAnsi="Times New Roman" w:cs="Times New Roman"/>
                <w:sz w:val="24"/>
                <w:szCs w:val="24"/>
              </w:rPr>
              <w:lastRenderedPageBreak/>
              <w:t>loại các nhóm đồng hạng theo hướng tăng tổng giá trị tài sản để phù hợp với thị trường. Việc áp dụng riêng chính sách cho Ngân hàng có vốn nhà nước là không phù hợp với Nghị quyết 68/NQ-TW và cam kết quốc tế về không phân biệt đối xử giữa các doanh nghiệp (tổ chức tín dụng) thuộc các thành phần kinh tế.</w:t>
            </w:r>
          </w:p>
        </w:tc>
        <w:tc>
          <w:tcPr>
            <w:tcW w:w="3011" w:type="dxa"/>
            <w:tcBorders>
              <w:top w:val="single" w:sz="6" w:space="0" w:color="CCCCCC"/>
              <w:left w:val="single" w:sz="6" w:space="0" w:color="CCCCCC"/>
              <w:bottom w:val="single" w:sz="6" w:space="0" w:color="000000"/>
              <w:right w:val="single" w:sz="6" w:space="0" w:color="000000"/>
            </w:tcBorders>
          </w:tcPr>
          <w:p w14:paraId="6E05022F" w14:textId="63A463F3" w:rsidR="009E1B05" w:rsidRDefault="009E1B05" w:rsidP="009E1B05">
            <w:pPr>
              <w:spacing w:after="0" w:line="240" w:lineRule="auto"/>
              <w:ind w:righ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Đã </w:t>
            </w:r>
            <w:r>
              <w:rPr>
                <w:rFonts w:ascii="Times New Roman" w:eastAsia="Times New Roman" w:hAnsi="Times New Roman" w:cs="Times New Roman"/>
                <w:b/>
                <w:sz w:val="24"/>
                <w:szCs w:val="24"/>
              </w:rPr>
              <w:t>xử lý</w:t>
            </w:r>
          </w:p>
          <w:p w14:paraId="413E5C14" w14:textId="5131A44F" w:rsidR="009E1B05" w:rsidRPr="00EC6155" w:rsidRDefault="009E1B05" w:rsidP="009E1B05">
            <w:pPr>
              <w:spacing w:after="0" w:line="240" w:lineRule="auto"/>
              <w:ind w:right="284"/>
              <w:jc w:val="both"/>
              <w:rPr>
                <w:rFonts w:ascii="Times New Roman" w:eastAsia="Times New Roman" w:hAnsi="Times New Roman" w:cs="Times New Roman"/>
                <w:bCs/>
                <w:sz w:val="24"/>
                <w:szCs w:val="24"/>
              </w:rPr>
            </w:pPr>
            <w:r w:rsidRPr="00EC6155">
              <w:rPr>
                <w:rFonts w:ascii="Times New Roman" w:eastAsia="Times New Roman" w:hAnsi="Times New Roman" w:cs="Times New Roman"/>
                <w:bCs/>
                <w:sz w:val="24"/>
                <w:szCs w:val="24"/>
              </w:rPr>
              <w:t xml:space="preserve">NHNN đã ban hành Thông tư số 21/2025/TT-NHNN ngày 31/7/2025 quy định xếp hạng tổ chức tín dụng, chi nhánh ngân hàng nước </w:t>
            </w:r>
            <w:r w:rsidRPr="00EC6155">
              <w:rPr>
                <w:rFonts w:ascii="Times New Roman" w:eastAsia="Times New Roman" w:hAnsi="Times New Roman" w:cs="Times New Roman"/>
                <w:bCs/>
                <w:sz w:val="24"/>
                <w:szCs w:val="24"/>
              </w:rPr>
              <w:lastRenderedPageBreak/>
              <w:t>ngoài thay thế cho Thông tư số 52/2018/TT-NHNN</w:t>
            </w:r>
          </w:p>
        </w:tc>
      </w:tr>
      <w:tr w:rsidR="009E1B05" w:rsidRPr="00D52B3A" w14:paraId="70BEF228" w14:textId="6373DC4B" w:rsidTr="004C5C8A">
        <w:trPr>
          <w:trHeight w:val="315"/>
        </w:trPr>
        <w:tc>
          <w:tcPr>
            <w:tcW w:w="6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8068F8" w14:textId="44FB0AD5"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lastRenderedPageBreak/>
              <w:t>3</w:t>
            </w:r>
          </w:p>
        </w:tc>
        <w:tc>
          <w:tcPr>
            <w:tcW w:w="22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47D214" w14:textId="77777777" w:rsidR="009E1B05" w:rsidRPr="00D52B3A" w:rsidRDefault="009E1B05" w:rsidP="009E1B05">
            <w:pPr>
              <w:spacing w:after="0" w:line="240" w:lineRule="auto"/>
              <w:ind w:left="109" w:right="21"/>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Khoản 1 Điều 40 Thông tư 13/2018/TT-NHNN Quy định về hệ thống kiểm soát nội bộ của ngân hàng thương mại, chi nhánh ngân hàng nước ngoài</w:t>
            </w:r>
          </w:p>
        </w:tc>
        <w:tc>
          <w:tcPr>
            <w:tcW w:w="32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5316F7" w14:textId="77777777" w:rsidR="009E1B05" w:rsidRPr="00D52B3A" w:rsidRDefault="009E1B05" w:rsidP="009E1B05">
            <w:pPr>
              <w:spacing w:after="0" w:line="240" w:lineRule="auto"/>
              <w:ind w:left="173" w:right="128"/>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Khoản 1 Điều 40 yêu cầu NHTM có báo cáo nội bộ về rủi ro thị trường chậm nhất cuối ngày làm việc, bao gồm các nội dung về trạng thái, mức lãi lỗ thực tế và dự kiến, các hạn mức giao dịch trong ngày và tình hình sử dụng hạn mức. Thực tế, cuối ngày các NHTM đều phải chạy batch các chương trình xong để có số liệu chính xác, thông thường chỉ kết thúc sáng sớm ngày tiếp theo, kéo theo việc gặp khó khăn trong việc đáp ứng quy định. Đề nghị NHNN xem xét thời gian báo cáo: chậm nhất ngày làm việc tiếp theo</w:t>
            </w:r>
          </w:p>
        </w:tc>
        <w:tc>
          <w:tcPr>
            <w:tcW w:w="17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A4E96E" w14:textId="77777777" w:rsidR="009E1B05" w:rsidRPr="00D52B3A" w:rsidRDefault="009E1B05" w:rsidP="009E1B05">
            <w:pPr>
              <w:spacing w:after="0" w:line="240" w:lineRule="auto"/>
              <w:ind w:left="65" w:right="60"/>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9C09CA" w14:textId="77777777"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Ngân hàng TMCP Đầu tư và Phát triển Việt Nam</w:t>
            </w:r>
          </w:p>
        </w:tc>
        <w:tc>
          <w:tcPr>
            <w:tcW w:w="27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304248" w14:textId="77777777" w:rsidR="009E1B05" w:rsidRPr="00D52B3A" w:rsidRDefault="009E1B05" w:rsidP="009E1B05">
            <w:pPr>
              <w:spacing w:after="0" w:line="240" w:lineRule="auto"/>
              <w:ind w:left="143" w:right="63"/>
              <w:jc w:val="both"/>
              <w:rPr>
                <w:rFonts w:ascii="Times New Roman" w:eastAsia="Times New Roman" w:hAnsi="Times New Roman" w:cs="Times New Roman"/>
                <w:b/>
                <w:sz w:val="24"/>
                <w:szCs w:val="24"/>
              </w:rPr>
            </w:pPr>
            <w:r w:rsidRPr="00D52B3A">
              <w:rPr>
                <w:rFonts w:ascii="Times New Roman" w:eastAsia="Times New Roman" w:hAnsi="Times New Roman" w:cs="Times New Roman"/>
                <w:b/>
                <w:sz w:val="24"/>
                <w:szCs w:val="24"/>
              </w:rPr>
              <w:t>Tiếp thu</w:t>
            </w:r>
          </w:p>
          <w:p w14:paraId="186B8AF7" w14:textId="77777777" w:rsidR="009E1B05" w:rsidRPr="00D52B3A" w:rsidRDefault="009E1B05" w:rsidP="009E1B05">
            <w:pPr>
              <w:spacing w:after="0" w:line="240" w:lineRule="auto"/>
              <w:ind w:left="143" w:right="63"/>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NHNN sẽ nghiên cứu ý kiến của BIDV khi sửa đổi, bổ sung Thông tư 13/2018/TT-NHNN/</w:t>
            </w:r>
          </w:p>
        </w:tc>
        <w:tc>
          <w:tcPr>
            <w:tcW w:w="3011" w:type="dxa"/>
            <w:tcBorders>
              <w:top w:val="single" w:sz="6" w:space="0" w:color="CCCCCC"/>
              <w:left w:val="single" w:sz="6" w:space="0" w:color="CCCCCC"/>
              <w:bottom w:val="single" w:sz="6" w:space="0" w:color="000000"/>
              <w:right w:val="single" w:sz="6" w:space="0" w:color="000000"/>
            </w:tcBorders>
          </w:tcPr>
          <w:p w14:paraId="78793F71" w14:textId="4EEDD22D" w:rsidR="009E1B05" w:rsidRPr="009E1B05" w:rsidRDefault="009E1B05" w:rsidP="009E1B05">
            <w:pPr>
              <w:spacing w:after="0" w:line="240" w:lineRule="auto"/>
              <w:ind w:left="34" w:right="142" w:firstLine="284"/>
              <w:jc w:val="both"/>
              <w:rPr>
                <w:rFonts w:ascii="Times New Roman" w:hAnsi="Times New Roman" w:cs="Times New Roman"/>
                <w:b/>
                <w:bCs/>
                <w:sz w:val="24"/>
                <w:szCs w:val="24"/>
              </w:rPr>
            </w:pPr>
            <w:r w:rsidRPr="009E1B05">
              <w:rPr>
                <w:rFonts w:ascii="Times New Roman" w:hAnsi="Times New Roman" w:cs="Times New Roman"/>
                <w:b/>
                <w:bCs/>
                <w:sz w:val="24"/>
                <w:szCs w:val="24"/>
              </w:rPr>
              <w:t>Chưa xử lý</w:t>
            </w:r>
          </w:p>
          <w:p w14:paraId="6ED726AC" w14:textId="5E83BC99" w:rsidR="009E1B05" w:rsidRPr="00D52B3A" w:rsidRDefault="009E1B05" w:rsidP="009E1B05">
            <w:pPr>
              <w:spacing w:after="0" w:line="240" w:lineRule="auto"/>
              <w:ind w:left="34" w:right="142" w:firstLine="284"/>
              <w:jc w:val="both"/>
              <w:rPr>
                <w:rFonts w:ascii="Times New Roman" w:eastAsia="Times New Roman" w:hAnsi="Times New Roman" w:cs="Times New Roman"/>
                <w:b/>
                <w:sz w:val="24"/>
                <w:szCs w:val="24"/>
              </w:rPr>
            </w:pPr>
            <w:r w:rsidRPr="00A31B56">
              <w:rPr>
                <w:rFonts w:ascii="Times New Roman" w:hAnsi="Times New Roman" w:cs="Times New Roman"/>
                <w:sz w:val="24"/>
                <w:szCs w:val="24"/>
              </w:rPr>
              <w:t xml:space="preserve">Hiện </w:t>
            </w:r>
            <w:r>
              <w:rPr>
                <w:rFonts w:ascii="Times New Roman" w:hAnsi="Times New Roman" w:cs="Times New Roman"/>
                <w:sz w:val="24"/>
                <w:szCs w:val="24"/>
              </w:rPr>
              <w:t>NHNN</w:t>
            </w:r>
            <w:r w:rsidRPr="00A31B56">
              <w:rPr>
                <w:rFonts w:ascii="Times New Roman" w:hAnsi="Times New Roman" w:cs="Times New Roman"/>
                <w:sz w:val="24"/>
                <w:szCs w:val="24"/>
              </w:rPr>
              <w:t xml:space="preserve"> đang xây dựng dự thảo Thông tư thay thế Thông tư số 13/2018/TT-NHNN, </w:t>
            </w:r>
            <w:r>
              <w:rPr>
                <w:rFonts w:ascii="Times New Roman" w:hAnsi="Times New Roman" w:cs="Times New Roman"/>
                <w:sz w:val="24"/>
                <w:szCs w:val="24"/>
              </w:rPr>
              <w:t>NHNN đã có công văn gửi  các TCTD và các đơn vị liên quan lấy ý kiến lần 2, hiện NHNN đang tiếp thu, giải trình ý kiến.</w:t>
            </w:r>
          </w:p>
        </w:tc>
      </w:tr>
      <w:tr w:rsidR="009E1B05" w:rsidRPr="00D52B3A" w14:paraId="676A3D63" w14:textId="3A8B115C" w:rsidTr="004C5C8A">
        <w:trPr>
          <w:trHeight w:val="315"/>
        </w:trPr>
        <w:tc>
          <w:tcPr>
            <w:tcW w:w="6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BA00CD2" w14:textId="147B47DF"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lastRenderedPageBreak/>
              <w:t>4</w:t>
            </w:r>
          </w:p>
        </w:tc>
        <w:tc>
          <w:tcPr>
            <w:tcW w:w="22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188C30" w14:textId="77777777" w:rsidR="009E1B05" w:rsidRPr="00D52B3A" w:rsidRDefault="009E1B05" w:rsidP="009E1B05">
            <w:pPr>
              <w:spacing w:after="0" w:line="240" w:lineRule="auto"/>
              <w:ind w:left="109" w:right="21"/>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Chưa có quy định pháp luật</w:t>
            </w:r>
          </w:p>
        </w:tc>
        <w:tc>
          <w:tcPr>
            <w:tcW w:w="32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C6D43E" w14:textId="77777777" w:rsidR="009E1B05" w:rsidRPr="00D52B3A" w:rsidRDefault="009E1B05" w:rsidP="009E1B05">
            <w:pPr>
              <w:spacing w:after="0" w:line="240" w:lineRule="auto"/>
              <w:ind w:left="173" w:right="128"/>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Nghị định 88/2019/NĐ-CP ngày 14/11/2019 quy định về xử phạt vi phạm hành chính trong lĩnh vực tiền tệ và ngân hàng căn cứ Luật Các TCTD 2010 (được sửa đổi năm 2017), Luật Phòng, chống rửa tiền năm 2012. Đây đều là các văn bản pháp luật đã hết hiệu lực và chưa có hướng dẫn cụ thể trong việc áp dụng pháp luật đối với những trường hợp này. Đề xuất rà soát, sửa đổi bổ sung Nghị định 88 phù hợp với căn quy định pháp luật hiện hành.</w:t>
            </w:r>
          </w:p>
        </w:tc>
        <w:tc>
          <w:tcPr>
            <w:tcW w:w="17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C94150" w14:textId="77777777" w:rsidR="009E1B05" w:rsidRPr="00D52B3A" w:rsidRDefault="009E1B05" w:rsidP="009E1B05">
            <w:pPr>
              <w:spacing w:after="0" w:line="240" w:lineRule="auto"/>
              <w:ind w:left="65" w:right="60"/>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DB7E64" w14:textId="77777777"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Ngân hàng TMCP Quân đội</w:t>
            </w:r>
          </w:p>
        </w:tc>
        <w:tc>
          <w:tcPr>
            <w:tcW w:w="27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CA48F" w14:textId="77777777" w:rsidR="009E1B05" w:rsidRPr="00D52B3A" w:rsidRDefault="009E1B05" w:rsidP="009E1B05">
            <w:pPr>
              <w:spacing w:after="0" w:line="240" w:lineRule="auto"/>
              <w:ind w:left="143" w:right="63"/>
              <w:jc w:val="both"/>
              <w:rPr>
                <w:rFonts w:ascii="Times New Roman" w:eastAsia="Times New Roman" w:hAnsi="Times New Roman" w:cs="Times New Roman"/>
                <w:b/>
                <w:sz w:val="24"/>
                <w:szCs w:val="24"/>
              </w:rPr>
            </w:pPr>
            <w:r w:rsidRPr="00D52B3A">
              <w:rPr>
                <w:rFonts w:ascii="Times New Roman" w:eastAsia="Times New Roman" w:hAnsi="Times New Roman" w:cs="Times New Roman"/>
                <w:b/>
                <w:sz w:val="24"/>
                <w:szCs w:val="24"/>
              </w:rPr>
              <w:t>Tiếp thu</w:t>
            </w:r>
          </w:p>
          <w:p w14:paraId="3091E0CF" w14:textId="77777777" w:rsidR="009E1B05" w:rsidRPr="00D52B3A" w:rsidRDefault="009E1B05" w:rsidP="009E1B05">
            <w:pPr>
              <w:spacing w:after="0" w:line="240" w:lineRule="auto"/>
              <w:ind w:left="143" w:right="63"/>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br/>
              <w:t>NHNN đang triển khai xây dựng Nghị định thay thế Nghị định 88/2019/NĐ-CP theo Luật xử lý vi phạm hành chính năm 2025 và các văn bản mới được ban hành.</w:t>
            </w:r>
          </w:p>
        </w:tc>
        <w:tc>
          <w:tcPr>
            <w:tcW w:w="3011" w:type="dxa"/>
            <w:tcBorders>
              <w:top w:val="single" w:sz="6" w:space="0" w:color="CCCCCC"/>
              <w:left w:val="single" w:sz="6" w:space="0" w:color="CCCCCC"/>
              <w:bottom w:val="single" w:sz="6" w:space="0" w:color="000000"/>
              <w:right w:val="single" w:sz="6" w:space="0" w:color="000000"/>
            </w:tcBorders>
          </w:tcPr>
          <w:p w14:paraId="7EE71ECE" w14:textId="62B51695" w:rsidR="009E1B05" w:rsidRPr="009E1B05" w:rsidRDefault="009E1B05" w:rsidP="009E1B05">
            <w:pPr>
              <w:ind w:right="142" w:firstLine="318"/>
              <w:jc w:val="both"/>
              <w:rPr>
                <w:rFonts w:ascii="Times New Roman" w:hAnsi="Times New Roman" w:cs="Times New Roman"/>
                <w:b/>
                <w:bCs/>
                <w:sz w:val="24"/>
                <w:szCs w:val="24"/>
              </w:rPr>
            </w:pPr>
            <w:r w:rsidRPr="009E1B05">
              <w:rPr>
                <w:rFonts w:ascii="Times New Roman" w:hAnsi="Times New Roman" w:cs="Times New Roman"/>
                <w:b/>
                <w:bCs/>
                <w:sz w:val="24"/>
                <w:szCs w:val="24"/>
              </w:rPr>
              <w:t>Chưa xử lý</w:t>
            </w:r>
          </w:p>
          <w:p w14:paraId="0395D441" w14:textId="77777777" w:rsidR="009E1B05" w:rsidRPr="002A4C18" w:rsidRDefault="009E1B05" w:rsidP="009E1B05">
            <w:pPr>
              <w:ind w:right="142" w:firstLine="318"/>
              <w:jc w:val="both"/>
              <w:rPr>
                <w:rFonts w:ascii="Times New Roman" w:hAnsi="Times New Roman" w:cs="Times New Roman"/>
                <w:sz w:val="24"/>
                <w:szCs w:val="24"/>
              </w:rPr>
            </w:pPr>
            <w:r w:rsidRPr="002A4C18">
              <w:rPr>
                <w:rFonts w:ascii="Times New Roman" w:hAnsi="Times New Roman" w:cs="Times New Roman"/>
                <w:sz w:val="24"/>
                <w:szCs w:val="24"/>
              </w:rPr>
              <w:t>Ngày 31/07/2025, NHNN có Tờ trình số 123/TTr-NHNN trình Chính phủ ký ban hành Nghị định thay thế Nghị định 88/2019/NĐ-CP.</w:t>
            </w:r>
          </w:p>
          <w:p w14:paraId="25FC6834" w14:textId="77777777" w:rsidR="009E1B05" w:rsidRDefault="009E1B05" w:rsidP="009E1B05">
            <w:pPr>
              <w:spacing w:after="0" w:line="240" w:lineRule="auto"/>
              <w:ind w:left="34" w:right="142" w:firstLine="318"/>
              <w:jc w:val="both"/>
              <w:rPr>
                <w:rFonts w:ascii="Times New Roman" w:hAnsi="Times New Roman" w:cs="Times New Roman"/>
                <w:sz w:val="24"/>
                <w:szCs w:val="24"/>
              </w:rPr>
            </w:pPr>
            <w:r w:rsidRPr="00A31B56">
              <w:rPr>
                <w:rFonts w:ascii="Times New Roman" w:hAnsi="Times New Roman" w:cs="Times New Roman"/>
                <w:sz w:val="24"/>
                <w:szCs w:val="24"/>
              </w:rPr>
              <w:t>Ngày 27/08/2025, Văn phòng Chính phủ gửi Phiếu lấy ý kiến thành viên Chính phủ số 702/PLYK/2025 đối với dự thảo Nghị định thay thế Nghị định 88/2019/NĐ-CP. NHNN có Công văn số 7747/NHNN-ATHT ngày 05/09/2025 ghi ý kiến thành viên Chính phủ đối với dự thảo Nghị định thay thế Nghị định 88/2019/NĐ-CP.</w:t>
            </w:r>
          </w:p>
          <w:p w14:paraId="5F365B45" w14:textId="77777777" w:rsidR="009E1B05" w:rsidRDefault="009E1B05" w:rsidP="009E1B05">
            <w:pPr>
              <w:spacing w:after="0" w:line="240" w:lineRule="auto"/>
              <w:ind w:left="34" w:right="142" w:firstLine="318"/>
              <w:jc w:val="both"/>
              <w:rPr>
                <w:rFonts w:ascii="Times New Roman" w:eastAsia="Times New Roman" w:hAnsi="Times New Roman" w:cs="Times New Roman"/>
                <w:b/>
                <w:sz w:val="24"/>
                <w:szCs w:val="24"/>
              </w:rPr>
            </w:pPr>
          </w:p>
          <w:p w14:paraId="0425C5ED" w14:textId="435851BD" w:rsidR="009E1B05" w:rsidRPr="0073390E" w:rsidRDefault="009E1B05" w:rsidP="009E1B05">
            <w:pPr>
              <w:spacing w:after="0" w:line="240" w:lineRule="auto"/>
              <w:ind w:left="34" w:right="142" w:firstLine="318"/>
              <w:jc w:val="both"/>
              <w:rPr>
                <w:rFonts w:ascii="Times New Roman" w:eastAsia="Times New Roman" w:hAnsi="Times New Roman" w:cs="Times New Roman"/>
                <w:bCs/>
                <w:sz w:val="24"/>
                <w:szCs w:val="24"/>
              </w:rPr>
            </w:pPr>
            <w:r w:rsidRPr="0073390E">
              <w:rPr>
                <w:rFonts w:ascii="Times New Roman" w:eastAsia="Times New Roman" w:hAnsi="Times New Roman" w:cs="Times New Roman"/>
                <w:bCs/>
                <w:sz w:val="24"/>
                <w:szCs w:val="24"/>
              </w:rPr>
              <w:t>Ngày 12/11/2025, NHNN đã có Tờ trình số 201/TTr-</w:t>
            </w:r>
            <w:r w:rsidRPr="0073390E">
              <w:rPr>
                <w:rFonts w:ascii="Times New Roman" w:eastAsia="Times New Roman" w:hAnsi="Times New Roman" w:cs="Times New Roman"/>
                <w:bCs/>
                <w:sz w:val="24"/>
                <w:szCs w:val="24"/>
              </w:rPr>
              <w:lastRenderedPageBreak/>
              <w:t>NHNN trình Thủ tướng Chính phủ tiếp thu, giải trình ý kiến Thành viên Chính phủ</w:t>
            </w:r>
          </w:p>
        </w:tc>
      </w:tr>
      <w:tr w:rsidR="009E1B05" w:rsidRPr="00D52B3A" w14:paraId="45B16864" w14:textId="31A2B4E5" w:rsidTr="004C5C8A">
        <w:trPr>
          <w:trHeight w:val="315"/>
        </w:trPr>
        <w:tc>
          <w:tcPr>
            <w:tcW w:w="6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D7B1FA" w14:textId="687844D1"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lastRenderedPageBreak/>
              <w:t>5</w:t>
            </w:r>
          </w:p>
        </w:tc>
        <w:tc>
          <w:tcPr>
            <w:tcW w:w="22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3BEDA" w14:textId="77777777" w:rsidR="009E1B05" w:rsidRPr="00D52B3A" w:rsidRDefault="009E1B05" w:rsidP="009E1B05">
            <w:pPr>
              <w:spacing w:after="0" w:line="240" w:lineRule="auto"/>
              <w:ind w:left="109" w:right="21"/>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Chưa có quy định pháp luật</w:t>
            </w:r>
          </w:p>
        </w:tc>
        <w:tc>
          <w:tcPr>
            <w:tcW w:w="32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D94EC" w14:textId="77777777" w:rsidR="009E1B05" w:rsidRPr="00D52B3A" w:rsidRDefault="009E1B05" w:rsidP="009E1B05">
            <w:pPr>
              <w:spacing w:after="0" w:line="240" w:lineRule="auto"/>
              <w:ind w:left="173" w:right="128"/>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 xml:space="preserve">Chưa có quy định chuyển tiếp đối với những yêu cầu mới, thủ tục mới tại Thông tư: ví dụ yêu cầu phải đối chiếu dữ liệu về số điện thoại với giấy tờ tùy thân: Chỉ yêu cầu đối với KH mở mới, đối với KH đã mở tài khoản trước đó thì phải có lộ trình để tuân thủ ít nhất 2 năm tới. Đề xuất bổ sung quy định chuyển tiếp đối với những yêu cầu mới, thủ tục mới tại Thông tư: ví dụ yêu cầu phải đối chiếu dữ liệu về số điện thoại với giấy tờ tùy thân: Chỉ yêu cầu đối với KH mở mới, đối với KH đã mở tài khoản trước đó thì phải có lộ trình để tuân thủ ít nhất </w:t>
            </w:r>
            <w:r w:rsidRPr="00D52B3A">
              <w:rPr>
                <w:rFonts w:ascii="Times New Roman" w:eastAsia="Times New Roman" w:hAnsi="Times New Roman" w:cs="Times New Roman"/>
                <w:sz w:val="24"/>
                <w:szCs w:val="24"/>
              </w:rPr>
              <w:lastRenderedPageBreak/>
              <w:t>2 năm tới. Để đảm bảo tính khả thi khi triển khai, tránh ách tắc mọi giao dịch, TCTD phải xây dựng hệ thống để kiểm tra, đối chiếu các thông tin này.</w:t>
            </w:r>
          </w:p>
        </w:tc>
        <w:tc>
          <w:tcPr>
            <w:tcW w:w="17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5718DF" w14:textId="77777777" w:rsidR="009E1B05" w:rsidRPr="00D52B3A" w:rsidRDefault="009E1B05" w:rsidP="009E1B05">
            <w:pPr>
              <w:spacing w:after="0" w:line="240" w:lineRule="auto"/>
              <w:ind w:left="65" w:right="60"/>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61F5A9" w14:textId="77777777"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Ngân hàng TMCP Quân đội</w:t>
            </w:r>
          </w:p>
        </w:tc>
        <w:tc>
          <w:tcPr>
            <w:tcW w:w="27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A1548" w14:textId="77777777" w:rsidR="009E1B05" w:rsidRPr="00D52B3A" w:rsidRDefault="009E1B05" w:rsidP="009E1B05">
            <w:pPr>
              <w:spacing w:after="0" w:line="240" w:lineRule="auto"/>
              <w:ind w:left="143" w:right="63"/>
              <w:jc w:val="both"/>
              <w:rPr>
                <w:rFonts w:ascii="Times New Roman" w:eastAsia="Times New Roman" w:hAnsi="Times New Roman" w:cs="Times New Roman"/>
                <w:b/>
                <w:sz w:val="24"/>
                <w:szCs w:val="24"/>
              </w:rPr>
            </w:pPr>
            <w:r w:rsidRPr="00D52B3A">
              <w:rPr>
                <w:rFonts w:ascii="Times New Roman" w:eastAsia="Times New Roman" w:hAnsi="Times New Roman" w:cs="Times New Roman"/>
                <w:b/>
                <w:sz w:val="24"/>
                <w:szCs w:val="24"/>
              </w:rPr>
              <w:t>Tiếp thu</w:t>
            </w:r>
          </w:p>
          <w:p w14:paraId="29AF5089" w14:textId="77777777" w:rsidR="009E1B05" w:rsidRPr="00D52B3A" w:rsidRDefault="009E1B05" w:rsidP="009E1B05">
            <w:pPr>
              <w:spacing w:after="0" w:line="240" w:lineRule="auto"/>
              <w:ind w:left="143" w:right="63"/>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br/>
              <w:t>Ghi nhận, NHNN sẽ nghiên cứu ý kiến của Ngân hàng TMCP Quân đội trong quá trình xây dựng dự thảo Thông tư sửa đổi, bổ sung một số điều của Thông tư số 17/2024/TT-NHNN.</w:t>
            </w:r>
          </w:p>
        </w:tc>
        <w:tc>
          <w:tcPr>
            <w:tcW w:w="3011" w:type="dxa"/>
            <w:tcBorders>
              <w:top w:val="single" w:sz="6" w:space="0" w:color="CCCCCC"/>
              <w:left w:val="single" w:sz="6" w:space="0" w:color="CCCCCC"/>
              <w:bottom w:val="single" w:sz="6" w:space="0" w:color="000000"/>
              <w:right w:val="single" w:sz="6" w:space="0" w:color="000000"/>
            </w:tcBorders>
          </w:tcPr>
          <w:p w14:paraId="2E449A2D" w14:textId="18963EA9" w:rsidR="009E1B05" w:rsidRPr="0066665E" w:rsidRDefault="009E1B05" w:rsidP="009E1B05">
            <w:pPr>
              <w:spacing w:after="0" w:line="240" w:lineRule="auto"/>
              <w:ind w:left="34" w:right="142" w:firstLine="318"/>
              <w:jc w:val="both"/>
              <w:rPr>
                <w:rFonts w:ascii="Times New Roman" w:hAnsi="Times New Roman" w:cs="Times New Roman"/>
                <w:b/>
                <w:sz w:val="24"/>
                <w:szCs w:val="24"/>
              </w:rPr>
            </w:pPr>
            <w:r w:rsidRPr="0066665E">
              <w:rPr>
                <w:rFonts w:ascii="Times New Roman" w:hAnsi="Times New Roman" w:cs="Times New Roman"/>
                <w:b/>
                <w:sz w:val="24"/>
                <w:szCs w:val="24"/>
              </w:rPr>
              <w:t xml:space="preserve">Đã </w:t>
            </w:r>
            <w:r>
              <w:rPr>
                <w:rFonts w:ascii="Times New Roman" w:hAnsi="Times New Roman" w:cs="Times New Roman"/>
                <w:b/>
                <w:sz w:val="24"/>
                <w:szCs w:val="24"/>
              </w:rPr>
              <w:t>xử lý</w:t>
            </w:r>
            <w:r w:rsidRPr="0066665E">
              <w:rPr>
                <w:rFonts w:ascii="Times New Roman" w:hAnsi="Times New Roman" w:cs="Times New Roman"/>
                <w:b/>
                <w:sz w:val="24"/>
                <w:szCs w:val="24"/>
              </w:rPr>
              <w:t xml:space="preserve"> </w:t>
            </w:r>
          </w:p>
          <w:p w14:paraId="18DB7403" w14:textId="77777777" w:rsidR="009E1B05" w:rsidRDefault="009E1B05" w:rsidP="009E1B05">
            <w:pPr>
              <w:spacing w:after="0" w:line="240" w:lineRule="auto"/>
              <w:ind w:left="34" w:right="142" w:firstLine="318"/>
              <w:jc w:val="both"/>
              <w:rPr>
                <w:rFonts w:ascii="Times New Roman" w:hAnsi="Times New Roman" w:cs="Times New Roman"/>
                <w:sz w:val="24"/>
                <w:szCs w:val="24"/>
              </w:rPr>
            </w:pPr>
            <w:r>
              <w:rPr>
                <w:rFonts w:ascii="Times New Roman" w:hAnsi="Times New Roman" w:cs="Times New Roman"/>
                <w:sz w:val="24"/>
                <w:szCs w:val="24"/>
              </w:rPr>
              <w:t xml:space="preserve">Đã ban hành thông tư 25/2025/TT-NHNN ngày 31/8/2025 sửa đổi, bổ sung một số điều </w:t>
            </w:r>
            <w:r w:rsidRPr="007A2C41">
              <w:rPr>
                <w:rFonts w:ascii="Times New Roman" w:hAnsi="Times New Roman" w:cs="Times New Roman"/>
                <w:sz w:val="24"/>
                <w:szCs w:val="24"/>
              </w:rPr>
              <w:t>Thông tư 17/2024/TT-NHNN ngày 28/6/2024 quy định về mở và sử dụng tài khoản thanh toán tại tổ chức cung ứng dịch vụ thanh toán</w:t>
            </w:r>
            <w:r>
              <w:rPr>
                <w:rFonts w:ascii="Times New Roman" w:hAnsi="Times New Roman" w:cs="Times New Roman"/>
                <w:sz w:val="24"/>
                <w:szCs w:val="24"/>
              </w:rPr>
              <w:t>.</w:t>
            </w:r>
          </w:p>
          <w:p w14:paraId="4A02715C" w14:textId="44E76D74" w:rsidR="009E1B05" w:rsidRPr="00D52B3A" w:rsidRDefault="009E1B05" w:rsidP="009E1B05">
            <w:pPr>
              <w:spacing w:after="0" w:line="240" w:lineRule="auto"/>
              <w:ind w:left="34" w:right="142" w:firstLine="318"/>
              <w:jc w:val="both"/>
              <w:rPr>
                <w:rFonts w:ascii="Times New Roman" w:eastAsia="Times New Roman" w:hAnsi="Times New Roman" w:cs="Times New Roman"/>
                <w:b/>
                <w:sz w:val="24"/>
                <w:szCs w:val="24"/>
              </w:rPr>
            </w:pPr>
          </w:p>
        </w:tc>
      </w:tr>
      <w:tr w:rsidR="009E1B05" w:rsidRPr="00D52B3A" w14:paraId="4A257517" w14:textId="54532D46" w:rsidTr="004C5C8A">
        <w:trPr>
          <w:trHeight w:val="315"/>
        </w:trPr>
        <w:tc>
          <w:tcPr>
            <w:tcW w:w="6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ED8C82" w14:textId="0C07DE72"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6</w:t>
            </w:r>
          </w:p>
        </w:tc>
        <w:tc>
          <w:tcPr>
            <w:tcW w:w="22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340742" w14:textId="77777777" w:rsidR="009E1B05" w:rsidRPr="00D52B3A" w:rsidRDefault="009E1B05" w:rsidP="009E1B05">
            <w:pPr>
              <w:spacing w:after="0" w:line="240" w:lineRule="auto"/>
              <w:ind w:left="109" w:right="21"/>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Chưa có quy định pháp luật</w:t>
            </w:r>
          </w:p>
        </w:tc>
        <w:tc>
          <w:tcPr>
            <w:tcW w:w="32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073302" w14:textId="77777777" w:rsidR="009E1B05" w:rsidRPr="00D52B3A" w:rsidRDefault="009E1B05" w:rsidP="009E1B05">
            <w:pPr>
              <w:spacing w:after="0" w:line="240" w:lineRule="auto"/>
              <w:ind w:left="173" w:right="128"/>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Chưa có quy định cụ thể trong việc sử dụng tên bí danh (nickname) của TKTT. Đề xuất vẫn giữ nickname (tên bí danh) của TKTT nhưng hoạt động theo cơ chế khi KH nhập nickname ra sẽ hiện đầy đủ thông tin số tài khoản và tên chủ tài khoản (nội dung đảm bảo theo Thông tư 17)</w:t>
            </w:r>
          </w:p>
        </w:tc>
        <w:tc>
          <w:tcPr>
            <w:tcW w:w="17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CD13C" w14:textId="77777777" w:rsidR="009E1B05" w:rsidRPr="00D52B3A" w:rsidRDefault="009E1B05" w:rsidP="009E1B05">
            <w:pPr>
              <w:spacing w:after="0" w:line="240" w:lineRule="auto"/>
              <w:ind w:left="65" w:right="60"/>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33A7DC" w14:textId="77777777" w:rsidR="009E1B05" w:rsidRPr="00D52B3A" w:rsidRDefault="009E1B05" w:rsidP="009E1B05">
            <w:pPr>
              <w:spacing w:after="0" w:line="240" w:lineRule="auto"/>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t>Ngân hàng TMCP Quân đội</w:t>
            </w:r>
          </w:p>
        </w:tc>
        <w:tc>
          <w:tcPr>
            <w:tcW w:w="27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BBA48D" w14:textId="77777777" w:rsidR="009E1B05" w:rsidRPr="00D52B3A" w:rsidRDefault="009E1B05" w:rsidP="009E1B05">
            <w:pPr>
              <w:spacing w:after="0" w:line="240" w:lineRule="auto"/>
              <w:ind w:left="143" w:right="63"/>
              <w:jc w:val="both"/>
              <w:rPr>
                <w:rFonts w:ascii="Times New Roman" w:eastAsia="Times New Roman" w:hAnsi="Times New Roman" w:cs="Times New Roman"/>
                <w:b/>
                <w:sz w:val="24"/>
                <w:szCs w:val="24"/>
              </w:rPr>
            </w:pPr>
            <w:r w:rsidRPr="00D52B3A">
              <w:rPr>
                <w:rFonts w:ascii="Times New Roman" w:eastAsia="Times New Roman" w:hAnsi="Times New Roman" w:cs="Times New Roman"/>
                <w:b/>
                <w:sz w:val="24"/>
                <w:szCs w:val="24"/>
              </w:rPr>
              <w:t>Tiếp thu</w:t>
            </w:r>
          </w:p>
          <w:p w14:paraId="33A488EB" w14:textId="77777777" w:rsidR="009E1B05" w:rsidRPr="00D52B3A" w:rsidRDefault="009E1B05" w:rsidP="009E1B05">
            <w:pPr>
              <w:spacing w:after="0" w:line="240" w:lineRule="auto"/>
              <w:ind w:left="143" w:right="63"/>
              <w:jc w:val="both"/>
              <w:rPr>
                <w:rFonts w:ascii="Times New Roman" w:eastAsia="Times New Roman" w:hAnsi="Times New Roman" w:cs="Times New Roman"/>
                <w:sz w:val="24"/>
                <w:szCs w:val="24"/>
              </w:rPr>
            </w:pPr>
            <w:r w:rsidRPr="00D52B3A">
              <w:rPr>
                <w:rFonts w:ascii="Times New Roman" w:eastAsia="Times New Roman" w:hAnsi="Times New Roman" w:cs="Times New Roman"/>
                <w:sz w:val="24"/>
                <w:szCs w:val="24"/>
              </w:rPr>
              <w:br/>
              <w:t xml:space="preserve">Ghi nhận, đã bổ sung quy định dự thảo Thông tư sửa đổi, bổ sung một số điều của Thông tư số 17/2024/TT-NHNN. </w:t>
            </w:r>
          </w:p>
        </w:tc>
        <w:tc>
          <w:tcPr>
            <w:tcW w:w="3011" w:type="dxa"/>
            <w:tcBorders>
              <w:top w:val="single" w:sz="6" w:space="0" w:color="CCCCCC"/>
              <w:left w:val="single" w:sz="6" w:space="0" w:color="CCCCCC"/>
              <w:bottom w:val="single" w:sz="6" w:space="0" w:color="000000"/>
              <w:right w:val="single" w:sz="6" w:space="0" w:color="000000"/>
            </w:tcBorders>
          </w:tcPr>
          <w:p w14:paraId="35FE4B64" w14:textId="62EBF3E8" w:rsidR="009E1B05" w:rsidRPr="0066665E" w:rsidRDefault="009E1B05" w:rsidP="009E1B05">
            <w:pPr>
              <w:spacing w:after="0" w:line="240" w:lineRule="auto"/>
              <w:ind w:left="34" w:right="142" w:firstLine="284"/>
              <w:jc w:val="both"/>
              <w:rPr>
                <w:rFonts w:ascii="Times New Roman" w:hAnsi="Times New Roman" w:cs="Times New Roman"/>
                <w:b/>
                <w:sz w:val="24"/>
                <w:szCs w:val="24"/>
              </w:rPr>
            </w:pPr>
            <w:r w:rsidRPr="0066665E">
              <w:rPr>
                <w:rFonts w:ascii="Times New Roman" w:hAnsi="Times New Roman" w:cs="Times New Roman"/>
                <w:b/>
                <w:sz w:val="24"/>
                <w:szCs w:val="24"/>
              </w:rPr>
              <w:t xml:space="preserve">Đã </w:t>
            </w:r>
            <w:r>
              <w:rPr>
                <w:rFonts w:ascii="Times New Roman" w:hAnsi="Times New Roman" w:cs="Times New Roman"/>
                <w:b/>
                <w:sz w:val="24"/>
                <w:szCs w:val="24"/>
              </w:rPr>
              <w:t>xử lý</w:t>
            </w:r>
            <w:r w:rsidRPr="0066665E">
              <w:rPr>
                <w:rFonts w:ascii="Times New Roman" w:hAnsi="Times New Roman" w:cs="Times New Roman"/>
                <w:b/>
                <w:sz w:val="24"/>
                <w:szCs w:val="24"/>
              </w:rPr>
              <w:t xml:space="preserve"> </w:t>
            </w:r>
          </w:p>
          <w:p w14:paraId="15FCBA9D" w14:textId="779F0CEC" w:rsidR="009E1B05" w:rsidRPr="00D52B3A" w:rsidRDefault="009E1B05" w:rsidP="009E1B05">
            <w:pPr>
              <w:spacing w:after="0" w:line="240" w:lineRule="auto"/>
              <w:ind w:left="34" w:right="142" w:firstLine="284"/>
              <w:jc w:val="both"/>
              <w:rPr>
                <w:rFonts w:ascii="Times New Roman" w:eastAsia="Times New Roman" w:hAnsi="Times New Roman" w:cs="Times New Roman"/>
                <w:b/>
                <w:sz w:val="24"/>
                <w:szCs w:val="24"/>
              </w:rPr>
            </w:pPr>
            <w:r>
              <w:rPr>
                <w:rFonts w:ascii="Times New Roman" w:hAnsi="Times New Roman" w:cs="Times New Roman"/>
                <w:sz w:val="24"/>
                <w:szCs w:val="24"/>
              </w:rPr>
              <w:t xml:space="preserve">Đã ban hành thông tư 25/2025/TT-NHNN ngày 31/8/2025 sửa đổi, bổ sung một số điều </w:t>
            </w:r>
            <w:r w:rsidRPr="007A2C41">
              <w:rPr>
                <w:rFonts w:ascii="Times New Roman" w:hAnsi="Times New Roman" w:cs="Times New Roman"/>
                <w:sz w:val="24"/>
                <w:szCs w:val="24"/>
              </w:rPr>
              <w:t>Thông tư 17/2024/TT-NHNN ngày 28/6/2024 quy định về mở và sử dụng tài khoản thanh toán tại tổ chức cung ứng dịch vụ thanh toán</w:t>
            </w:r>
            <w:r>
              <w:rPr>
                <w:rFonts w:ascii="Times New Roman" w:hAnsi="Times New Roman" w:cs="Times New Roman"/>
                <w:sz w:val="24"/>
                <w:szCs w:val="24"/>
              </w:rPr>
              <w:t>.</w:t>
            </w:r>
          </w:p>
        </w:tc>
      </w:tr>
    </w:tbl>
    <w:p w14:paraId="4FC820C2" w14:textId="0C7CDC73" w:rsidR="005550E8" w:rsidRPr="00D52B3A" w:rsidRDefault="005550E8" w:rsidP="005550E8">
      <w:pPr>
        <w:jc w:val="center"/>
        <w:rPr>
          <w:rFonts w:ascii="Times New Roman" w:hAnsi="Times New Roman" w:cs="Times New Roman"/>
          <w:sz w:val="24"/>
          <w:szCs w:val="24"/>
        </w:rPr>
      </w:pPr>
    </w:p>
    <w:sectPr w:rsidR="005550E8" w:rsidRPr="00D52B3A" w:rsidSect="008D797A">
      <w:headerReference w:type="default" r:id="rId7"/>
      <w:footerReference w:type="default" r:id="rId8"/>
      <w:pgSz w:w="16839"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AECB" w14:textId="77777777" w:rsidR="00EF5840" w:rsidRDefault="00EF5840" w:rsidP="006926CE">
      <w:pPr>
        <w:spacing w:after="0" w:line="240" w:lineRule="auto"/>
      </w:pPr>
      <w:r>
        <w:separator/>
      </w:r>
    </w:p>
  </w:endnote>
  <w:endnote w:type="continuationSeparator" w:id="0">
    <w:p w14:paraId="3BB097EA" w14:textId="77777777" w:rsidR="00EF5840" w:rsidRDefault="00EF5840" w:rsidP="0069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CC1A" w14:textId="343AB9CD" w:rsidR="00D431A0" w:rsidRDefault="00D431A0" w:rsidP="00D52B3A">
    <w:pPr>
      <w:pStyle w:val="Footer"/>
    </w:pPr>
  </w:p>
  <w:p w14:paraId="40B6A915" w14:textId="77777777" w:rsidR="00D431A0" w:rsidRDefault="00D43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801F" w14:textId="77777777" w:rsidR="00EF5840" w:rsidRDefault="00EF5840" w:rsidP="006926CE">
      <w:pPr>
        <w:spacing w:after="0" w:line="240" w:lineRule="auto"/>
      </w:pPr>
      <w:r>
        <w:separator/>
      </w:r>
    </w:p>
  </w:footnote>
  <w:footnote w:type="continuationSeparator" w:id="0">
    <w:p w14:paraId="08B77F6C" w14:textId="77777777" w:rsidR="00EF5840" w:rsidRDefault="00EF5840" w:rsidP="00692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4812"/>
      <w:docPartObj>
        <w:docPartGallery w:val="Page Numbers (Top of Page)"/>
        <w:docPartUnique/>
      </w:docPartObj>
    </w:sdtPr>
    <w:sdtEndPr>
      <w:rPr>
        <w:noProof/>
      </w:rPr>
    </w:sdtEndPr>
    <w:sdtContent>
      <w:p w14:paraId="12E13C5B" w14:textId="67820E0D" w:rsidR="00D52B3A" w:rsidRDefault="00D52B3A">
        <w:pPr>
          <w:pStyle w:val="Header"/>
          <w:jc w:val="center"/>
        </w:pPr>
        <w:r w:rsidRPr="00D52B3A">
          <w:rPr>
            <w:rFonts w:ascii="Times New Roman" w:hAnsi="Times New Roman" w:cs="Times New Roman"/>
          </w:rPr>
          <w:fldChar w:fldCharType="begin"/>
        </w:r>
        <w:r w:rsidRPr="00D52B3A">
          <w:rPr>
            <w:rFonts w:ascii="Times New Roman" w:hAnsi="Times New Roman" w:cs="Times New Roman"/>
          </w:rPr>
          <w:instrText xml:space="preserve"> PAGE   \* MERGEFORMAT </w:instrText>
        </w:r>
        <w:r w:rsidRPr="00D52B3A">
          <w:rPr>
            <w:rFonts w:ascii="Times New Roman" w:hAnsi="Times New Roman" w:cs="Times New Roman"/>
          </w:rPr>
          <w:fldChar w:fldCharType="separate"/>
        </w:r>
        <w:r w:rsidR="008D2A2C">
          <w:rPr>
            <w:rFonts w:ascii="Times New Roman" w:hAnsi="Times New Roman" w:cs="Times New Roman"/>
            <w:noProof/>
          </w:rPr>
          <w:t>9</w:t>
        </w:r>
        <w:r w:rsidRPr="00D52B3A">
          <w:rPr>
            <w:rFonts w:ascii="Times New Roman" w:hAnsi="Times New Roman" w:cs="Times New Roman"/>
            <w:noProof/>
          </w:rPr>
          <w:fldChar w:fldCharType="end"/>
        </w:r>
      </w:p>
    </w:sdtContent>
  </w:sdt>
  <w:p w14:paraId="24046930" w14:textId="77777777" w:rsidR="00D52B3A" w:rsidRDefault="00D52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E8"/>
    <w:rsid w:val="00005053"/>
    <w:rsid w:val="00032BCC"/>
    <w:rsid w:val="00040D61"/>
    <w:rsid w:val="00052747"/>
    <w:rsid w:val="0005617E"/>
    <w:rsid w:val="00076469"/>
    <w:rsid w:val="0007738D"/>
    <w:rsid w:val="00083FDF"/>
    <w:rsid w:val="00091106"/>
    <w:rsid w:val="0009505D"/>
    <w:rsid w:val="000C767D"/>
    <w:rsid w:val="000D1C9E"/>
    <w:rsid w:val="000F6D45"/>
    <w:rsid w:val="000F7DD8"/>
    <w:rsid w:val="00113D8C"/>
    <w:rsid w:val="00125DA6"/>
    <w:rsid w:val="001516D3"/>
    <w:rsid w:val="001534D0"/>
    <w:rsid w:val="00160E6E"/>
    <w:rsid w:val="00170B2F"/>
    <w:rsid w:val="00172AAE"/>
    <w:rsid w:val="001750A2"/>
    <w:rsid w:val="001760A2"/>
    <w:rsid w:val="001813CD"/>
    <w:rsid w:val="00190A7F"/>
    <w:rsid w:val="001A69A4"/>
    <w:rsid w:val="001B271E"/>
    <w:rsid w:val="001B28A4"/>
    <w:rsid w:val="001D475C"/>
    <w:rsid w:val="001E08CA"/>
    <w:rsid w:val="001E3D4A"/>
    <w:rsid w:val="001E418F"/>
    <w:rsid w:val="001E5537"/>
    <w:rsid w:val="001E6447"/>
    <w:rsid w:val="001F0734"/>
    <w:rsid w:val="001F7A92"/>
    <w:rsid w:val="002064A9"/>
    <w:rsid w:val="00220D05"/>
    <w:rsid w:val="00227AEC"/>
    <w:rsid w:val="002337C3"/>
    <w:rsid w:val="00251F9F"/>
    <w:rsid w:val="00262137"/>
    <w:rsid w:val="0026619B"/>
    <w:rsid w:val="00266C86"/>
    <w:rsid w:val="002816AA"/>
    <w:rsid w:val="00290985"/>
    <w:rsid w:val="002A4C18"/>
    <w:rsid w:val="002A60D6"/>
    <w:rsid w:val="002E1D33"/>
    <w:rsid w:val="002E5D0D"/>
    <w:rsid w:val="002F6525"/>
    <w:rsid w:val="00306490"/>
    <w:rsid w:val="00307236"/>
    <w:rsid w:val="0033572B"/>
    <w:rsid w:val="00343FA4"/>
    <w:rsid w:val="0036175A"/>
    <w:rsid w:val="003714F9"/>
    <w:rsid w:val="003802FA"/>
    <w:rsid w:val="00382736"/>
    <w:rsid w:val="00393DC3"/>
    <w:rsid w:val="00397FF1"/>
    <w:rsid w:val="003C70EA"/>
    <w:rsid w:val="003E30BD"/>
    <w:rsid w:val="003E7339"/>
    <w:rsid w:val="003F5FCE"/>
    <w:rsid w:val="003F6210"/>
    <w:rsid w:val="004005AA"/>
    <w:rsid w:val="00404BF4"/>
    <w:rsid w:val="00414D7E"/>
    <w:rsid w:val="004343B9"/>
    <w:rsid w:val="00443F60"/>
    <w:rsid w:val="00444995"/>
    <w:rsid w:val="00461D84"/>
    <w:rsid w:val="00462C22"/>
    <w:rsid w:val="004860E7"/>
    <w:rsid w:val="00496DF0"/>
    <w:rsid w:val="004B0867"/>
    <w:rsid w:val="004C5C8A"/>
    <w:rsid w:val="004F7DD5"/>
    <w:rsid w:val="00500B30"/>
    <w:rsid w:val="00523990"/>
    <w:rsid w:val="00525DC0"/>
    <w:rsid w:val="00547158"/>
    <w:rsid w:val="005550E8"/>
    <w:rsid w:val="00597E8C"/>
    <w:rsid w:val="005E682E"/>
    <w:rsid w:val="00601AFF"/>
    <w:rsid w:val="00601EE5"/>
    <w:rsid w:val="0061506B"/>
    <w:rsid w:val="006206C1"/>
    <w:rsid w:val="00626127"/>
    <w:rsid w:val="006265D8"/>
    <w:rsid w:val="00632E02"/>
    <w:rsid w:val="0065247C"/>
    <w:rsid w:val="00656418"/>
    <w:rsid w:val="00657316"/>
    <w:rsid w:val="0066665E"/>
    <w:rsid w:val="00667189"/>
    <w:rsid w:val="00680F14"/>
    <w:rsid w:val="0069190E"/>
    <w:rsid w:val="006926CE"/>
    <w:rsid w:val="0069611F"/>
    <w:rsid w:val="006C6EF2"/>
    <w:rsid w:val="006E057C"/>
    <w:rsid w:val="007000CB"/>
    <w:rsid w:val="007006B9"/>
    <w:rsid w:val="00706D2D"/>
    <w:rsid w:val="00730BDA"/>
    <w:rsid w:val="0073390E"/>
    <w:rsid w:val="007516CB"/>
    <w:rsid w:val="0075417F"/>
    <w:rsid w:val="007606F3"/>
    <w:rsid w:val="007628F8"/>
    <w:rsid w:val="00776B19"/>
    <w:rsid w:val="007866DA"/>
    <w:rsid w:val="00792E4F"/>
    <w:rsid w:val="007C575E"/>
    <w:rsid w:val="007E35C0"/>
    <w:rsid w:val="008076EB"/>
    <w:rsid w:val="0082586A"/>
    <w:rsid w:val="0084129C"/>
    <w:rsid w:val="00847D97"/>
    <w:rsid w:val="00865B2E"/>
    <w:rsid w:val="008A2659"/>
    <w:rsid w:val="008A33F7"/>
    <w:rsid w:val="008C062F"/>
    <w:rsid w:val="008D2A2C"/>
    <w:rsid w:val="008D2C82"/>
    <w:rsid w:val="008D776E"/>
    <w:rsid w:val="008D797A"/>
    <w:rsid w:val="008E3A25"/>
    <w:rsid w:val="00914D72"/>
    <w:rsid w:val="00957152"/>
    <w:rsid w:val="009772F9"/>
    <w:rsid w:val="009814CE"/>
    <w:rsid w:val="009A113B"/>
    <w:rsid w:val="009D0106"/>
    <w:rsid w:val="009E1B05"/>
    <w:rsid w:val="00A11862"/>
    <w:rsid w:val="00A465D2"/>
    <w:rsid w:val="00A504E4"/>
    <w:rsid w:val="00A539CC"/>
    <w:rsid w:val="00A5504A"/>
    <w:rsid w:val="00A574E3"/>
    <w:rsid w:val="00A6649C"/>
    <w:rsid w:val="00A72116"/>
    <w:rsid w:val="00A73DDF"/>
    <w:rsid w:val="00A804CB"/>
    <w:rsid w:val="00AA34EC"/>
    <w:rsid w:val="00AA567B"/>
    <w:rsid w:val="00AB7D7B"/>
    <w:rsid w:val="00AF4EB5"/>
    <w:rsid w:val="00B13E61"/>
    <w:rsid w:val="00B16093"/>
    <w:rsid w:val="00B20A5A"/>
    <w:rsid w:val="00B27054"/>
    <w:rsid w:val="00B60A9D"/>
    <w:rsid w:val="00B62075"/>
    <w:rsid w:val="00B83A8E"/>
    <w:rsid w:val="00B83C36"/>
    <w:rsid w:val="00BB3405"/>
    <w:rsid w:val="00BB41AA"/>
    <w:rsid w:val="00BC31C7"/>
    <w:rsid w:val="00BD06D7"/>
    <w:rsid w:val="00BE1D47"/>
    <w:rsid w:val="00BF32B1"/>
    <w:rsid w:val="00BF777A"/>
    <w:rsid w:val="00C042C5"/>
    <w:rsid w:val="00C41FED"/>
    <w:rsid w:val="00C46632"/>
    <w:rsid w:val="00C47DD1"/>
    <w:rsid w:val="00C520F0"/>
    <w:rsid w:val="00C66873"/>
    <w:rsid w:val="00C95D57"/>
    <w:rsid w:val="00CB7BD2"/>
    <w:rsid w:val="00CC3130"/>
    <w:rsid w:val="00CC33F6"/>
    <w:rsid w:val="00CC3727"/>
    <w:rsid w:val="00CD64B9"/>
    <w:rsid w:val="00CE7148"/>
    <w:rsid w:val="00CF6728"/>
    <w:rsid w:val="00D15872"/>
    <w:rsid w:val="00D22628"/>
    <w:rsid w:val="00D272D5"/>
    <w:rsid w:val="00D42259"/>
    <w:rsid w:val="00D431A0"/>
    <w:rsid w:val="00D52B3A"/>
    <w:rsid w:val="00DA38C0"/>
    <w:rsid w:val="00DB3590"/>
    <w:rsid w:val="00DC4EA9"/>
    <w:rsid w:val="00DC5760"/>
    <w:rsid w:val="00DC6A86"/>
    <w:rsid w:val="00DC6B9E"/>
    <w:rsid w:val="00E021FC"/>
    <w:rsid w:val="00E057CF"/>
    <w:rsid w:val="00E15243"/>
    <w:rsid w:val="00E475F9"/>
    <w:rsid w:val="00E7011B"/>
    <w:rsid w:val="00E710F7"/>
    <w:rsid w:val="00E73993"/>
    <w:rsid w:val="00E83132"/>
    <w:rsid w:val="00E848AB"/>
    <w:rsid w:val="00EA4854"/>
    <w:rsid w:val="00EC189F"/>
    <w:rsid w:val="00EC25AB"/>
    <w:rsid w:val="00EC6155"/>
    <w:rsid w:val="00ED6514"/>
    <w:rsid w:val="00ED7FF0"/>
    <w:rsid w:val="00EF5840"/>
    <w:rsid w:val="00F00092"/>
    <w:rsid w:val="00F12F06"/>
    <w:rsid w:val="00F15BBD"/>
    <w:rsid w:val="00F21E9A"/>
    <w:rsid w:val="00F35CDB"/>
    <w:rsid w:val="00F51019"/>
    <w:rsid w:val="00F64D9E"/>
    <w:rsid w:val="00F66380"/>
    <w:rsid w:val="00F739C6"/>
    <w:rsid w:val="00F751D5"/>
    <w:rsid w:val="00F913EE"/>
    <w:rsid w:val="00FA508A"/>
    <w:rsid w:val="00FA5851"/>
    <w:rsid w:val="00FA7002"/>
    <w:rsid w:val="00FC00D9"/>
    <w:rsid w:val="00FE0A97"/>
    <w:rsid w:val="00FE21D8"/>
    <w:rsid w:val="00FE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3119E"/>
  <w15:chartTrackingRefBased/>
  <w15:docId w15:val="{6458A1FD-011F-45A5-8C65-47C2D3EF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50E8"/>
    <w:rPr>
      <w:color w:val="0000FF"/>
      <w:u w:val="single"/>
    </w:rPr>
  </w:style>
  <w:style w:type="paragraph" w:styleId="BalloonText">
    <w:name w:val="Balloon Text"/>
    <w:basedOn w:val="Normal"/>
    <w:link w:val="BalloonTextChar"/>
    <w:uiPriority w:val="99"/>
    <w:semiHidden/>
    <w:unhideWhenUsed/>
    <w:rsid w:val="00A72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116"/>
    <w:rPr>
      <w:rFonts w:ascii="Segoe UI" w:hAnsi="Segoe UI" w:cs="Segoe UI"/>
      <w:sz w:val="18"/>
      <w:szCs w:val="18"/>
    </w:rPr>
  </w:style>
  <w:style w:type="paragraph" w:styleId="Header">
    <w:name w:val="header"/>
    <w:basedOn w:val="Normal"/>
    <w:link w:val="HeaderChar"/>
    <w:uiPriority w:val="99"/>
    <w:unhideWhenUsed/>
    <w:rsid w:val="00692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CE"/>
  </w:style>
  <w:style w:type="paragraph" w:styleId="Footer">
    <w:name w:val="footer"/>
    <w:basedOn w:val="Normal"/>
    <w:link w:val="FooterChar"/>
    <w:unhideWhenUsed/>
    <w:rsid w:val="006926CE"/>
    <w:pPr>
      <w:tabs>
        <w:tab w:val="center" w:pos="4680"/>
        <w:tab w:val="right" w:pos="9360"/>
      </w:tabs>
      <w:spacing w:after="0" w:line="240" w:lineRule="auto"/>
    </w:pPr>
  </w:style>
  <w:style w:type="character" w:customStyle="1" w:styleId="FooterChar">
    <w:name w:val="Footer Char"/>
    <w:basedOn w:val="DefaultParagraphFont"/>
    <w:link w:val="Footer"/>
    <w:rsid w:val="006926CE"/>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
    <w:basedOn w:val="Normal"/>
    <w:link w:val="FootnoteTextChar"/>
    <w:uiPriority w:val="99"/>
    <w:unhideWhenUsed/>
    <w:qFormat/>
    <w:rsid w:val="00626127"/>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626127"/>
    <w:rPr>
      <w:sz w:val="20"/>
      <w:szCs w:val="20"/>
    </w:rPr>
  </w:style>
  <w:style w:type="character" w:styleId="FootnoteReference">
    <w:name w:val="footnote reference"/>
    <w:aliases w:val="Footnote,Footnote text,Footnote dich,ftref,BVI fnr,footnote ref, BVI fnr,SUPERS,Footnote Reference Number,Знак сноски 1,(NECG) Footnote Reference,16 Point,Superscript 6 Point,Footnote + Arial,10 pt,Black,Ref,de nota al pie,R,fr,f,Re"/>
    <w:basedOn w:val="DefaultParagraphFont"/>
    <w:link w:val="CharChar1CharCharCharChar1CharCharCharCharCharCharCharChar"/>
    <w:unhideWhenUsed/>
    <w:qFormat/>
    <w:rsid w:val="00626127"/>
    <w:rPr>
      <w:vertAlign w:val="superscript"/>
    </w:rPr>
  </w:style>
  <w:style w:type="character" w:styleId="CommentReference">
    <w:name w:val="annotation reference"/>
    <w:basedOn w:val="DefaultParagraphFont"/>
    <w:uiPriority w:val="99"/>
    <w:semiHidden/>
    <w:unhideWhenUsed/>
    <w:rsid w:val="00B60A9D"/>
    <w:rPr>
      <w:sz w:val="16"/>
      <w:szCs w:val="16"/>
    </w:rPr>
  </w:style>
  <w:style w:type="paragraph" w:styleId="CommentText">
    <w:name w:val="annotation text"/>
    <w:basedOn w:val="Normal"/>
    <w:link w:val="CommentTextChar"/>
    <w:uiPriority w:val="99"/>
    <w:semiHidden/>
    <w:unhideWhenUsed/>
    <w:rsid w:val="00B60A9D"/>
    <w:pPr>
      <w:spacing w:line="240" w:lineRule="auto"/>
    </w:pPr>
    <w:rPr>
      <w:sz w:val="20"/>
      <w:szCs w:val="20"/>
    </w:rPr>
  </w:style>
  <w:style w:type="character" w:customStyle="1" w:styleId="CommentTextChar">
    <w:name w:val="Comment Text Char"/>
    <w:basedOn w:val="DefaultParagraphFont"/>
    <w:link w:val="CommentText"/>
    <w:uiPriority w:val="99"/>
    <w:semiHidden/>
    <w:rsid w:val="00B60A9D"/>
    <w:rPr>
      <w:sz w:val="20"/>
      <w:szCs w:val="20"/>
    </w:rPr>
  </w:style>
  <w:style w:type="paragraph" w:styleId="CommentSubject">
    <w:name w:val="annotation subject"/>
    <w:basedOn w:val="CommentText"/>
    <w:next w:val="CommentText"/>
    <w:link w:val="CommentSubjectChar"/>
    <w:uiPriority w:val="99"/>
    <w:semiHidden/>
    <w:unhideWhenUsed/>
    <w:rsid w:val="00B60A9D"/>
    <w:rPr>
      <w:b/>
      <w:bCs/>
    </w:rPr>
  </w:style>
  <w:style w:type="character" w:customStyle="1" w:styleId="CommentSubjectChar">
    <w:name w:val="Comment Subject Char"/>
    <w:basedOn w:val="CommentTextChar"/>
    <w:link w:val="CommentSubject"/>
    <w:uiPriority w:val="99"/>
    <w:semiHidden/>
    <w:rsid w:val="00B60A9D"/>
    <w:rPr>
      <w:b/>
      <w:bCs/>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qFormat/>
    <w:rsid w:val="00414D7E"/>
    <w:pPr>
      <w:spacing w:line="240" w:lineRule="exact"/>
    </w:pPr>
    <w:rPr>
      <w:vertAlign w:val="superscript"/>
    </w:rPr>
  </w:style>
  <w:style w:type="paragraph" w:styleId="NormalWeb">
    <w:name w:val="Normal (Web)"/>
    <w:basedOn w:val="Normal"/>
    <w:uiPriority w:val="99"/>
    <w:unhideWhenUsed/>
    <w:rsid w:val="002337C3"/>
    <w:pPr>
      <w:spacing w:before="100" w:beforeAutospacing="1" w:after="100" w:afterAutospacing="1" w:line="240" w:lineRule="auto"/>
    </w:pPr>
    <w:rPr>
      <w:rFonts w:ascii="Times New Roman" w:eastAsiaTheme="minorEastAsia" w:hAnsi="Times New Roman" w:cs="Times New Roman"/>
      <w:sz w:val="24"/>
      <w:szCs w:val="24"/>
      <w14:ligatures w14:val="standardContextual"/>
    </w:rPr>
  </w:style>
  <w:style w:type="character" w:styleId="Strong">
    <w:name w:val="Strong"/>
    <w:basedOn w:val="DefaultParagraphFont"/>
    <w:uiPriority w:val="22"/>
    <w:qFormat/>
    <w:rsid w:val="002337C3"/>
    <w:rPr>
      <w:b/>
      <w:bCs/>
    </w:rPr>
  </w:style>
  <w:style w:type="character" w:styleId="Emphasis">
    <w:name w:val="Emphasis"/>
    <w:basedOn w:val="DefaultParagraphFont"/>
    <w:uiPriority w:val="20"/>
    <w:qFormat/>
    <w:rsid w:val="002337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7767">
      <w:bodyDiv w:val="1"/>
      <w:marLeft w:val="0"/>
      <w:marRight w:val="0"/>
      <w:marTop w:val="0"/>
      <w:marBottom w:val="0"/>
      <w:divBdr>
        <w:top w:val="none" w:sz="0" w:space="0" w:color="auto"/>
        <w:left w:val="none" w:sz="0" w:space="0" w:color="auto"/>
        <w:bottom w:val="none" w:sz="0" w:space="0" w:color="auto"/>
        <w:right w:val="none" w:sz="0" w:space="0" w:color="auto"/>
      </w:divBdr>
    </w:div>
    <w:div w:id="1270818282">
      <w:bodyDiv w:val="1"/>
      <w:marLeft w:val="0"/>
      <w:marRight w:val="0"/>
      <w:marTop w:val="0"/>
      <w:marBottom w:val="0"/>
      <w:divBdr>
        <w:top w:val="none" w:sz="0" w:space="0" w:color="auto"/>
        <w:left w:val="none" w:sz="0" w:space="0" w:color="auto"/>
        <w:bottom w:val="none" w:sz="0" w:space="0" w:color="auto"/>
        <w:right w:val="none" w:sz="0" w:space="0" w:color="auto"/>
      </w:divBdr>
    </w:div>
    <w:div w:id="1420709787">
      <w:bodyDiv w:val="1"/>
      <w:marLeft w:val="0"/>
      <w:marRight w:val="0"/>
      <w:marTop w:val="0"/>
      <w:marBottom w:val="0"/>
      <w:divBdr>
        <w:top w:val="none" w:sz="0" w:space="0" w:color="auto"/>
        <w:left w:val="none" w:sz="0" w:space="0" w:color="auto"/>
        <w:bottom w:val="none" w:sz="0" w:space="0" w:color="auto"/>
        <w:right w:val="none" w:sz="0" w:space="0" w:color="auto"/>
      </w:divBdr>
      <w:divsChild>
        <w:div w:id="1381516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0FD5-D50F-4388-91F0-D4A708ED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Song Thuong (PC)</dc:creator>
  <cp:keywords/>
  <dc:description/>
  <cp:lastModifiedBy>DELL</cp:lastModifiedBy>
  <cp:revision>23</cp:revision>
  <cp:lastPrinted>2025-09-19T13:21:00Z</cp:lastPrinted>
  <dcterms:created xsi:type="dcterms:W3CDTF">2025-09-17T07:47:00Z</dcterms:created>
  <dcterms:modified xsi:type="dcterms:W3CDTF">2025-12-14T06:00:00Z</dcterms:modified>
</cp:coreProperties>
</file>