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22928F" w14:textId="5515D164" w:rsidR="009D7171" w:rsidRPr="004B7DD7" w:rsidRDefault="009D7171" w:rsidP="007F165D">
      <w:pPr>
        <w:pStyle w:val="NormalWeb"/>
        <w:spacing w:before="0" w:beforeAutospacing="0" w:after="0" w:afterAutospacing="0" w:line="264" w:lineRule="auto"/>
        <w:jc w:val="center"/>
        <w:rPr>
          <w:color w:val="000000"/>
          <w:sz w:val="25"/>
          <w:szCs w:val="25"/>
          <w14:ligatures w14:val="none"/>
        </w:rPr>
      </w:pPr>
      <w:r w:rsidRPr="00733864">
        <w:rPr>
          <w:rStyle w:val="Strong"/>
          <w:color w:val="000000"/>
          <w:sz w:val="25"/>
          <w:szCs w:val="25"/>
        </w:rPr>
        <w:t>Phụ lụ</w:t>
      </w:r>
      <w:r w:rsidR="00833644">
        <w:rPr>
          <w:rStyle w:val="Strong"/>
          <w:color w:val="000000"/>
          <w:sz w:val="25"/>
          <w:szCs w:val="25"/>
        </w:rPr>
        <w:t xml:space="preserve">c </w:t>
      </w:r>
      <w:r w:rsidR="00C159CF">
        <w:rPr>
          <w:rStyle w:val="Strong"/>
          <w:color w:val="000000"/>
          <w:sz w:val="25"/>
          <w:szCs w:val="25"/>
        </w:rPr>
        <w:t>I</w:t>
      </w:r>
      <w:r w:rsidR="00833644">
        <w:rPr>
          <w:rStyle w:val="Strong"/>
          <w:color w:val="000000"/>
          <w:sz w:val="25"/>
          <w:szCs w:val="25"/>
        </w:rPr>
        <w:t>.</w:t>
      </w:r>
      <w:r w:rsidR="00647B05" w:rsidRPr="00733864">
        <w:rPr>
          <w:rStyle w:val="Strong"/>
          <w:color w:val="000000"/>
          <w:sz w:val="25"/>
          <w:szCs w:val="25"/>
        </w:rPr>
        <w:t>5</w:t>
      </w:r>
      <w:r w:rsidRPr="00733864">
        <w:rPr>
          <w:rStyle w:val="Strong"/>
          <w:color w:val="000000"/>
          <w:sz w:val="25"/>
          <w:szCs w:val="25"/>
        </w:rPr>
        <w:t>.2.B</w:t>
      </w:r>
    </w:p>
    <w:p w14:paraId="005D4594" w14:textId="615F92B8" w:rsidR="009D7171" w:rsidRPr="004B7DD7" w:rsidRDefault="004635CE" w:rsidP="007F165D">
      <w:pPr>
        <w:pStyle w:val="NormalWeb"/>
        <w:spacing w:before="0" w:beforeAutospacing="0" w:after="0" w:afterAutospacing="0" w:line="264" w:lineRule="auto"/>
        <w:jc w:val="center"/>
        <w:rPr>
          <w:rStyle w:val="Strong"/>
          <w:sz w:val="25"/>
          <w:szCs w:val="25"/>
        </w:rPr>
      </w:pPr>
      <w:r>
        <w:rPr>
          <w:b/>
          <w:sz w:val="26"/>
          <w:szCs w:val="26"/>
        </w:rPr>
        <w:t xml:space="preserve">TÌNH HÌNH XỬ LÝ ĐỐI VỚI </w:t>
      </w:r>
      <w:r w:rsidR="009D7171" w:rsidRPr="004B7DD7">
        <w:rPr>
          <w:rStyle w:val="Strong"/>
          <w:sz w:val="25"/>
          <w:szCs w:val="25"/>
        </w:rPr>
        <w:t>KHÓ KHĂN, VƯỚNG MẮC DO QUY ĐỊNH PHÁP LUẬT</w:t>
      </w:r>
    </w:p>
    <w:p w14:paraId="1542F923" w14:textId="70E30402" w:rsidR="009D7171" w:rsidRPr="004B7DD7" w:rsidRDefault="009D7171" w:rsidP="007F165D">
      <w:pPr>
        <w:pStyle w:val="NormalWeb"/>
        <w:spacing w:before="0" w:beforeAutospacing="0" w:after="0" w:afterAutospacing="0" w:line="264" w:lineRule="auto"/>
        <w:jc w:val="center"/>
        <w:rPr>
          <w:color w:val="000000"/>
          <w:sz w:val="25"/>
          <w:szCs w:val="25"/>
        </w:rPr>
      </w:pPr>
      <w:r w:rsidRPr="004B7DD7">
        <w:rPr>
          <w:rStyle w:val="Strong"/>
          <w:color w:val="000000"/>
          <w:sz w:val="25"/>
          <w:szCs w:val="25"/>
        </w:rPr>
        <w:t xml:space="preserve">THUỘC PHẠM VI PHỤ TRÁCH </w:t>
      </w:r>
      <w:r w:rsidRPr="004B7DD7">
        <w:rPr>
          <w:b/>
          <w:bCs/>
          <w:spacing w:val="-4"/>
          <w:sz w:val="25"/>
          <w:szCs w:val="25"/>
          <w:lang w:val="de-DE"/>
        </w:rPr>
        <w:t xml:space="preserve">CỦA </w:t>
      </w:r>
      <w:r>
        <w:rPr>
          <w:b/>
          <w:bCs/>
          <w:spacing w:val="-4"/>
          <w:sz w:val="25"/>
          <w:szCs w:val="25"/>
          <w:lang w:val="de-DE"/>
        </w:rPr>
        <w:t>NGÂN HÀNG NHÀ NƯỚC VIỆT NAM</w:t>
      </w:r>
    </w:p>
    <w:p w14:paraId="455C7A4C" w14:textId="77777777" w:rsidR="009D7171" w:rsidRPr="004B7DD7" w:rsidRDefault="009D7171" w:rsidP="007F165D">
      <w:pPr>
        <w:pStyle w:val="NormalWeb"/>
        <w:spacing w:before="0" w:beforeAutospacing="0" w:after="0" w:afterAutospacing="0" w:line="264" w:lineRule="auto"/>
        <w:jc w:val="center"/>
        <w:rPr>
          <w:rStyle w:val="Strong"/>
          <w:sz w:val="25"/>
          <w:szCs w:val="25"/>
        </w:rPr>
      </w:pPr>
      <w:r w:rsidRPr="004B7DD7">
        <w:rPr>
          <w:rStyle w:val="Strong"/>
          <w:sz w:val="25"/>
          <w:szCs w:val="25"/>
        </w:rPr>
        <w:t xml:space="preserve">Tiêu chí: Quy định của VBQPPL không rõ ràng, có nhiều cách hiểu khác nhau, không hợp lý, </w:t>
      </w:r>
    </w:p>
    <w:p w14:paraId="07CCA1DE" w14:textId="77777777" w:rsidR="009D7171" w:rsidRPr="004B7DD7" w:rsidRDefault="009D7171" w:rsidP="007F165D">
      <w:pPr>
        <w:pStyle w:val="NormalWeb"/>
        <w:spacing w:before="0" w:beforeAutospacing="0" w:after="0" w:afterAutospacing="0" w:line="264" w:lineRule="auto"/>
        <w:jc w:val="center"/>
        <w:rPr>
          <w:sz w:val="25"/>
          <w:szCs w:val="25"/>
        </w:rPr>
      </w:pPr>
      <w:r w:rsidRPr="004B7DD7">
        <w:rPr>
          <w:rStyle w:val="Strong"/>
          <w:sz w:val="25"/>
          <w:szCs w:val="25"/>
        </w:rPr>
        <w:t>không khả thi, gây khó khăn trong áp dụng, thực hiện pháp luật</w:t>
      </w:r>
      <w:r w:rsidRPr="004B7DD7">
        <w:rPr>
          <w:sz w:val="25"/>
          <w:szCs w:val="25"/>
        </w:rPr>
        <w:t xml:space="preserve"> </w:t>
      </w:r>
    </w:p>
    <w:p w14:paraId="5E74FE67" w14:textId="77777777" w:rsidR="00894094" w:rsidRDefault="009D7171" w:rsidP="007F165D">
      <w:pPr>
        <w:pStyle w:val="NormalWeb"/>
        <w:spacing w:before="0" w:beforeAutospacing="0" w:after="0" w:afterAutospacing="0" w:line="264" w:lineRule="auto"/>
        <w:jc w:val="center"/>
        <w:rPr>
          <w:b/>
          <w:bCs/>
          <w:sz w:val="25"/>
          <w:szCs w:val="25"/>
        </w:rPr>
      </w:pPr>
      <w:r w:rsidRPr="004B7DD7">
        <w:rPr>
          <w:b/>
          <w:bCs/>
          <w:sz w:val="25"/>
          <w:szCs w:val="25"/>
        </w:rPr>
        <w:t xml:space="preserve">B. Nhóm các nội dung cho ý kiến nhất trí nhưng không áp dụng phương án, quy trình xử lý </w:t>
      </w:r>
    </w:p>
    <w:p w14:paraId="506A68AF" w14:textId="6549E221" w:rsidR="009D7171" w:rsidRDefault="009D7171" w:rsidP="007F165D">
      <w:pPr>
        <w:pStyle w:val="NormalWeb"/>
        <w:spacing w:before="0" w:beforeAutospacing="0" w:after="0" w:afterAutospacing="0" w:line="264" w:lineRule="auto"/>
        <w:jc w:val="center"/>
        <w:rPr>
          <w:b/>
          <w:bCs/>
          <w:sz w:val="25"/>
          <w:szCs w:val="25"/>
        </w:rPr>
      </w:pPr>
      <w:r w:rsidRPr="004B7DD7">
        <w:rPr>
          <w:b/>
          <w:bCs/>
          <w:sz w:val="25"/>
          <w:szCs w:val="25"/>
        </w:rPr>
        <w:t>nêu tại khoản 1 Điều 4 Nghị quyết số 206/2025/QH15 (xử lý theo quy trình thông thường)</w:t>
      </w:r>
    </w:p>
    <w:p w14:paraId="131A7927" w14:textId="77777777" w:rsidR="009D7171" w:rsidRPr="004B7DD7" w:rsidRDefault="009D7171" w:rsidP="009D7171">
      <w:pPr>
        <w:pStyle w:val="NormalWeb"/>
        <w:spacing w:before="0" w:beforeAutospacing="0" w:after="0" w:afterAutospacing="0" w:line="264" w:lineRule="auto"/>
        <w:jc w:val="center"/>
        <w:rPr>
          <w:i/>
          <w:color w:val="000000"/>
          <w:sz w:val="25"/>
          <w:szCs w:val="25"/>
        </w:rPr>
      </w:pPr>
      <w:r>
        <w:rPr>
          <w:i/>
          <w:iCs/>
          <w:noProof/>
          <w:color w:val="000000"/>
          <w:sz w:val="25"/>
          <w:szCs w:val="25"/>
        </w:rPr>
        <mc:AlternateContent>
          <mc:Choice Requires="wps">
            <w:drawing>
              <wp:anchor distT="0" distB="0" distL="114300" distR="114300" simplePos="0" relativeHeight="251660288" behindDoc="0" locked="0" layoutInCell="1" allowOverlap="1" wp14:anchorId="475E813C" wp14:editId="67D260DC">
                <wp:simplePos x="0" y="0"/>
                <wp:positionH relativeFrom="column">
                  <wp:posOffset>3317026</wp:posOffset>
                </wp:positionH>
                <wp:positionV relativeFrom="paragraph">
                  <wp:posOffset>12065</wp:posOffset>
                </wp:positionV>
                <wp:extent cx="2306955" cy="6985"/>
                <wp:effectExtent l="0" t="0" r="36195" b="31115"/>
                <wp:wrapNone/>
                <wp:docPr id="1" name="Straight Connector 1"/>
                <wp:cNvGraphicFramePr/>
                <a:graphic xmlns:a="http://schemas.openxmlformats.org/drawingml/2006/main">
                  <a:graphicData uri="http://schemas.microsoft.com/office/word/2010/wordprocessingShape">
                    <wps:wsp>
                      <wps:cNvCnPr/>
                      <wps:spPr>
                        <a:xfrm flipV="1">
                          <a:off x="0" y="0"/>
                          <a:ext cx="2306955" cy="69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3B93BB" id="Straight Connector 1"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61.2pt,.95pt" to="442.8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" strokecolor="black [3200]" strokeweight=".5pt">
                <v:stroke joinstyle="miter"/>
              </v:line>
            </w:pict>
          </mc:Fallback>
        </mc:AlternateContent>
      </w:r>
    </w:p>
    <w:tbl>
      <w:tblPr>
        <w:tblW w:w="14884" w:type="dxa"/>
        <w:tblInd w:w="-575" w:type="dxa"/>
        <w:tblLayout w:type="fixed"/>
        <w:tblCellMar>
          <w:left w:w="0" w:type="dxa"/>
          <w:right w:w="0" w:type="dxa"/>
        </w:tblCellMar>
        <w:tblLook w:val="04A0" w:firstRow="1" w:lastRow="0" w:firstColumn="1" w:lastColumn="0" w:noHBand="0" w:noVBand="1"/>
      </w:tblPr>
      <w:tblGrid>
        <w:gridCol w:w="709"/>
        <w:gridCol w:w="1843"/>
        <w:gridCol w:w="3544"/>
        <w:gridCol w:w="1842"/>
        <w:gridCol w:w="1162"/>
        <w:gridCol w:w="3374"/>
        <w:gridCol w:w="2410"/>
      </w:tblGrid>
      <w:tr w:rsidR="006D2AAA" w:rsidRPr="00833644" w14:paraId="5772A2B2" w14:textId="61C0E63C" w:rsidTr="009E1079">
        <w:trPr>
          <w:trHeight w:val="315"/>
          <w:tblHeader/>
        </w:trPr>
        <w:tc>
          <w:tcPr>
            <w:tcW w:w="709" w:type="dxa"/>
            <w:tcBorders>
              <w:top w:val="single" w:sz="6" w:space="0" w:color="000000"/>
              <w:left w:val="single" w:sz="6" w:space="0" w:color="000000"/>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655B8411" w14:textId="77777777" w:rsidR="006D2AAA" w:rsidRPr="00833644" w:rsidRDefault="006D2AAA" w:rsidP="00531A05">
            <w:pPr>
              <w:spacing w:after="0" w:line="240" w:lineRule="auto"/>
              <w:jc w:val="center"/>
              <w:rPr>
                <w:rFonts w:ascii="Times New Roman" w:eastAsia="Times New Roman" w:hAnsi="Times New Roman" w:cs="Times New Roman"/>
                <w:b/>
                <w:bCs/>
                <w:sz w:val="24"/>
                <w:szCs w:val="24"/>
              </w:rPr>
            </w:pPr>
            <w:r w:rsidRPr="00833644">
              <w:rPr>
                <w:rFonts w:ascii="Times New Roman" w:eastAsia="Times New Roman" w:hAnsi="Times New Roman" w:cs="Times New Roman"/>
                <w:b/>
                <w:bCs/>
                <w:sz w:val="24"/>
                <w:szCs w:val="24"/>
              </w:rPr>
              <w:t>STT</w:t>
            </w:r>
          </w:p>
        </w:tc>
        <w:tc>
          <w:tcPr>
            <w:tcW w:w="1843"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1D00B31F" w14:textId="77777777" w:rsidR="00441F68" w:rsidRDefault="006D2AAA" w:rsidP="00531A05">
            <w:pPr>
              <w:spacing w:after="0" w:line="240" w:lineRule="auto"/>
              <w:jc w:val="center"/>
              <w:rPr>
                <w:rFonts w:ascii="Times New Roman" w:eastAsia="Times New Roman" w:hAnsi="Times New Roman" w:cs="Times New Roman"/>
                <w:b/>
                <w:bCs/>
                <w:sz w:val="24"/>
                <w:szCs w:val="24"/>
              </w:rPr>
            </w:pPr>
            <w:r w:rsidRPr="00833644">
              <w:rPr>
                <w:rFonts w:ascii="Times New Roman" w:eastAsia="Times New Roman" w:hAnsi="Times New Roman" w:cs="Times New Roman"/>
                <w:b/>
                <w:bCs/>
                <w:sz w:val="24"/>
                <w:szCs w:val="24"/>
              </w:rPr>
              <w:t>Điều, khoản, điểm, tên văn bản đề xuất</w:t>
            </w:r>
          </w:p>
          <w:p w14:paraId="02E65E71" w14:textId="4819B34F" w:rsidR="006D2AAA" w:rsidRPr="00833644" w:rsidRDefault="006D2AAA" w:rsidP="00531A05">
            <w:pPr>
              <w:spacing w:after="0" w:line="240" w:lineRule="auto"/>
              <w:jc w:val="center"/>
              <w:rPr>
                <w:rFonts w:ascii="Times New Roman" w:eastAsia="Times New Roman" w:hAnsi="Times New Roman" w:cs="Times New Roman"/>
                <w:b/>
                <w:bCs/>
                <w:sz w:val="24"/>
                <w:szCs w:val="24"/>
              </w:rPr>
            </w:pPr>
            <w:r w:rsidRPr="00833644">
              <w:rPr>
                <w:rFonts w:ascii="Times New Roman" w:eastAsia="Times New Roman" w:hAnsi="Times New Roman" w:cs="Times New Roman"/>
                <w:b/>
                <w:bCs/>
                <w:sz w:val="24"/>
                <w:szCs w:val="24"/>
              </w:rPr>
              <w:t xml:space="preserve"> xử lý</w:t>
            </w:r>
          </w:p>
        </w:tc>
        <w:tc>
          <w:tcPr>
            <w:tcW w:w="3544"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4D3C660E" w14:textId="192E1F66" w:rsidR="00531A05" w:rsidRPr="00531A05" w:rsidRDefault="006D2AAA" w:rsidP="00531A05">
            <w:pPr>
              <w:pStyle w:val="NormalWeb"/>
              <w:spacing w:before="0" w:beforeAutospacing="0" w:after="0" w:afterAutospacing="0" w:line="264" w:lineRule="auto"/>
              <w:jc w:val="center"/>
              <w:rPr>
                <w:b/>
                <w:bCs/>
                <w:sz w:val="25"/>
                <w:szCs w:val="25"/>
              </w:rPr>
            </w:pPr>
            <w:r w:rsidRPr="00833644">
              <w:rPr>
                <w:rFonts w:eastAsia="Times New Roman"/>
                <w:b/>
                <w:bCs/>
              </w:rPr>
              <w:t>Nội dung quy định được phản ánh không rõ ràng</w:t>
            </w:r>
            <w:r w:rsidR="00531A05" w:rsidRPr="004B7DD7">
              <w:rPr>
                <w:rStyle w:val="Strong"/>
                <w:sz w:val="25"/>
                <w:szCs w:val="25"/>
              </w:rPr>
              <w:t>, có nhiều cách hiểu khác nhau, không hợp lý, không khả thi, gây khó khăn trong áp dụng, thực hiện pháp luật</w:t>
            </w:r>
          </w:p>
          <w:p w14:paraId="5AC1B57E" w14:textId="1CEBA65C" w:rsidR="006D2AAA" w:rsidRPr="00833644" w:rsidRDefault="006D2AAA" w:rsidP="00531A05">
            <w:pPr>
              <w:spacing w:after="0" w:line="240" w:lineRule="auto"/>
              <w:jc w:val="center"/>
              <w:rPr>
                <w:rFonts w:ascii="Times New Roman" w:eastAsia="Times New Roman" w:hAnsi="Times New Roman" w:cs="Times New Roman"/>
                <w:b/>
                <w:bCs/>
                <w:sz w:val="24"/>
                <w:szCs w:val="24"/>
              </w:rPr>
            </w:pPr>
          </w:p>
        </w:tc>
        <w:tc>
          <w:tcPr>
            <w:tcW w:w="1842"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545C9591" w14:textId="77777777" w:rsidR="006D2AAA" w:rsidRPr="00833644" w:rsidRDefault="006D2AAA" w:rsidP="00531A05">
            <w:pPr>
              <w:spacing w:after="0" w:line="240" w:lineRule="auto"/>
              <w:jc w:val="center"/>
              <w:rPr>
                <w:rFonts w:ascii="Times New Roman" w:eastAsia="Times New Roman" w:hAnsi="Times New Roman" w:cs="Times New Roman"/>
                <w:b/>
                <w:bCs/>
                <w:sz w:val="24"/>
                <w:szCs w:val="24"/>
              </w:rPr>
            </w:pPr>
            <w:r w:rsidRPr="00833644">
              <w:rPr>
                <w:rFonts w:ascii="Times New Roman" w:eastAsia="Times New Roman" w:hAnsi="Times New Roman" w:cs="Times New Roman"/>
                <w:b/>
                <w:bCs/>
                <w:sz w:val="24"/>
                <w:szCs w:val="24"/>
              </w:rPr>
              <w:t>Phương án xử lý được đề xuất</w:t>
            </w:r>
          </w:p>
        </w:tc>
        <w:tc>
          <w:tcPr>
            <w:tcW w:w="1162"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7EE2B0A4" w14:textId="62042B04" w:rsidR="006D2AAA" w:rsidRPr="00833644" w:rsidRDefault="00833644" w:rsidP="00531A05">
            <w:pPr>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Cơ quan, tổ chức</w:t>
            </w:r>
            <w:r w:rsidR="006D2AAA" w:rsidRPr="00833644">
              <w:rPr>
                <w:rFonts w:ascii="Times New Roman" w:eastAsia="Times New Roman" w:hAnsi="Times New Roman" w:cs="Times New Roman"/>
                <w:b/>
                <w:bCs/>
                <w:sz w:val="24"/>
                <w:szCs w:val="24"/>
              </w:rPr>
              <w:t xml:space="preserve"> phản ánh</w:t>
            </w:r>
          </w:p>
        </w:tc>
        <w:tc>
          <w:tcPr>
            <w:tcW w:w="3374"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tcMar>
              <w:top w:w="30" w:type="dxa"/>
              <w:left w:w="45" w:type="dxa"/>
              <w:bottom w:w="30" w:type="dxa"/>
              <w:right w:w="45" w:type="dxa"/>
            </w:tcMar>
            <w:vAlign w:val="center"/>
            <w:hideMark/>
          </w:tcPr>
          <w:p w14:paraId="6ECE496C" w14:textId="77777777" w:rsidR="00441F68" w:rsidRDefault="006D2AAA" w:rsidP="00531A05">
            <w:pPr>
              <w:spacing w:after="0" w:line="240" w:lineRule="auto"/>
              <w:jc w:val="center"/>
              <w:rPr>
                <w:rFonts w:ascii="Times New Roman" w:eastAsia="Times New Roman" w:hAnsi="Times New Roman" w:cs="Times New Roman"/>
                <w:b/>
                <w:bCs/>
                <w:sz w:val="24"/>
                <w:szCs w:val="24"/>
              </w:rPr>
            </w:pPr>
            <w:r w:rsidRPr="00833644">
              <w:rPr>
                <w:rFonts w:ascii="Times New Roman" w:eastAsia="Times New Roman" w:hAnsi="Times New Roman" w:cs="Times New Roman"/>
                <w:b/>
                <w:bCs/>
                <w:sz w:val="24"/>
                <w:szCs w:val="24"/>
              </w:rPr>
              <w:t xml:space="preserve">Ý kiến của </w:t>
            </w:r>
            <w:r w:rsidR="00833644" w:rsidRPr="00833644">
              <w:rPr>
                <w:rFonts w:ascii="Times New Roman" w:eastAsia="Times New Roman" w:hAnsi="Times New Roman" w:cs="Times New Roman"/>
                <w:b/>
                <w:bCs/>
                <w:sz w:val="24"/>
                <w:szCs w:val="24"/>
              </w:rPr>
              <w:t xml:space="preserve">Ngân hàng nhà nước </w:t>
            </w:r>
            <w:r w:rsidR="00CB00FC">
              <w:rPr>
                <w:rFonts w:ascii="Times New Roman" w:eastAsia="Times New Roman" w:hAnsi="Times New Roman" w:cs="Times New Roman"/>
                <w:b/>
                <w:bCs/>
                <w:sz w:val="24"/>
                <w:szCs w:val="24"/>
              </w:rPr>
              <w:t xml:space="preserve">Việt Nam </w:t>
            </w:r>
            <w:r w:rsidRPr="00833644">
              <w:rPr>
                <w:rFonts w:ascii="Times New Roman" w:eastAsia="Times New Roman" w:hAnsi="Times New Roman" w:cs="Times New Roman"/>
                <w:b/>
                <w:bCs/>
                <w:sz w:val="24"/>
                <w:szCs w:val="24"/>
              </w:rPr>
              <w:t xml:space="preserve">về nội dung </w:t>
            </w:r>
          </w:p>
          <w:p w14:paraId="599F8308" w14:textId="577CEE49" w:rsidR="006D2AAA" w:rsidRPr="00833644" w:rsidRDefault="006D2AAA" w:rsidP="00531A05">
            <w:pPr>
              <w:spacing w:after="0" w:line="240" w:lineRule="auto"/>
              <w:jc w:val="center"/>
              <w:rPr>
                <w:rFonts w:ascii="Times New Roman" w:eastAsia="Times New Roman" w:hAnsi="Times New Roman" w:cs="Times New Roman"/>
                <w:b/>
                <w:bCs/>
                <w:sz w:val="24"/>
                <w:szCs w:val="24"/>
              </w:rPr>
            </w:pPr>
            <w:r w:rsidRPr="00833644">
              <w:rPr>
                <w:rFonts w:ascii="Times New Roman" w:eastAsia="Times New Roman" w:hAnsi="Times New Roman" w:cs="Times New Roman"/>
                <w:b/>
                <w:bCs/>
                <w:sz w:val="24"/>
                <w:szCs w:val="24"/>
              </w:rPr>
              <w:t>rà soát, phản ánh</w:t>
            </w:r>
          </w:p>
        </w:tc>
        <w:tc>
          <w:tcPr>
            <w:tcW w:w="2410" w:type="dxa"/>
            <w:tcBorders>
              <w:top w:val="single" w:sz="6" w:space="0" w:color="000000"/>
              <w:left w:val="single" w:sz="6" w:space="0" w:color="CCCCCC"/>
              <w:bottom w:val="single" w:sz="6" w:space="0" w:color="000000"/>
              <w:right w:val="single" w:sz="6" w:space="0" w:color="000000"/>
            </w:tcBorders>
            <w:shd w:val="clear" w:color="auto" w:fill="F7CAAC" w:themeFill="accent2" w:themeFillTint="66"/>
            <w:vAlign w:val="center"/>
          </w:tcPr>
          <w:p w14:paraId="404D7B24" w14:textId="70AE8F03" w:rsidR="006D2AAA" w:rsidRPr="00833644" w:rsidRDefault="004635CE" w:rsidP="00721792">
            <w:pPr>
              <w:spacing w:after="0"/>
              <w:ind w:right="110"/>
              <w:jc w:val="center"/>
              <w:rPr>
                <w:rFonts w:ascii="Times New Roman" w:eastAsia="Times" w:hAnsi="Times New Roman" w:cs="Times New Roman"/>
                <w:b/>
                <w:sz w:val="24"/>
                <w:szCs w:val="24"/>
              </w:rPr>
            </w:pPr>
            <w:r>
              <w:rPr>
                <w:rFonts w:ascii="Times New Roman" w:hAnsi="Times New Roman" w:cs="Times New Roman"/>
                <w:b/>
                <w:bCs/>
                <w:sz w:val="25"/>
                <w:szCs w:val="25"/>
              </w:rPr>
              <w:t xml:space="preserve">Tình hình xử lý </w:t>
            </w:r>
          </w:p>
        </w:tc>
      </w:tr>
      <w:tr w:rsidR="006D2AAA" w:rsidRPr="00833644" w14:paraId="5C78AF9B" w14:textId="3ED13469" w:rsidTr="009E1079">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29B09E98" w14:textId="5A244B76" w:rsidR="006D2AAA" w:rsidRPr="00833644" w:rsidRDefault="006D2AAA" w:rsidP="009D7171">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1</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C0EF9A"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Khoản 2, khoản 3 Điều 15 và Khoản 5 Điều 17 Thông tư 17/2024/TT-NHNN quy định về mở và sử dụng tài khoản thanh toán tại tổ chức cung ứng dịch vụ thanh toán (“Thông tư 17”) - Điểm b khoản 1 Luật Phòng, chống rửa tiền năm 2022</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FB4E49A"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 xml:space="preserve">. Doanh nghiệp có vốn đầu tư nước ngoài đã được thành lập theo quy định chặt chẽ của Luật Đầu tư. Thực tế người đại diện theo pháp luật của nhóm doanh nghiệp có vốn đầu tư nước ngoài thường không có mặt tại Việt Nam, rất khó gặp mặt trực tiếp để thực hiện sinh trắc học. Quy định tại Luật Đầu tư 2020 về nhà đầu tư, cụ thể: “Điều 33. Hồ sơ, nội dung thẩm định đề nghị chấp thuận chủ trương đầu tư 1. Hồ sơ đề nghị chấp thuận chủ trương đầu tư dự án đầu tư do nhà đầu tư đề xuất bao gồm: a) Văn bản đề nghị thực hiện dự án đầu tư, gồm cả cam kết chịu mọi chi phí, </w:t>
            </w:r>
            <w:r w:rsidRPr="00833644">
              <w:rPr>
                <w:rFonts w:ascii="Times New Roman" w:eastAsia="Times New Roman" w:hAnsi="Times New Roman" w:cs="Times New Roman"/>
                <w:sz w:val="24"/>
                <w:szCs w:val="24"/>
              </w:rPr>
              <w:lastRenderedPageBreak/>
              <w:t xml:space="preserve">rủi ro nếu dự án không được chấp thuận; b) Tài liệu về tư cách pháp lý của nhà đầu tư; c) Tài liệu chứng minh năng lực tài chính của nhà đầu tư gồm ít nhất một trong các tài liệu sau: báo cáo tài chính 02 năm gần nhất của nhà đầu tư; cam kết hỗ trợ tài chính của công ty mẹ; cam kết hỗ trợ tài chính của tổ chức tài chính; bảo lãnh về năng lực tài chính của nhà đầu tư; tài liệu khác chứng minh năng lực tài chính của nhà đầu tư; ….. h) Tài liệu khác liên quan đến dự án đầu tư, yêu cầu về điều kiện, năng lực của nhà đầu tư theo quy định của pháp luật (nếu có).” 2. Các TCTD nước ngoài đã thành lập theo quy định chặt chẽ của pháp luật nước ngoài, việc yêu cầu phải định danh bằng hình thức gặp mặt trực tiếp cả người đại diện theo pháp luật và đại diện theo ủy quyền đối với nhóm KH này là rất khó khăn, chưa phù hợp với thực tế, ảnh hưởng đến việc thiết lập quan hệ giữa các </w:t>
            </w:r>
            <w:r w:rsidRPr="00833644">
              <w:rPr>
                <w:rFonts w:ascii="Times New Roman" w:eastAsia="Times New Roman" w:hAnsi="Times New Roman" w:cs="Times New Roman"/>
                <w:sz w:val="24"/>
                <w:szCs w:val="24"/>
              </w:rPr>
              <w:lastRenderedPageBreak/>
              <w:t>TCTD với các TCTD nước ngoài. "Đề xuất NHNN xem xét điều chỉnh quy định về đối chiếu sinh trắc học được loại trừ đối với người đại diện theo pháp luật của tổ chức, doanh nghiệp bao gồm: - Doanh nghiệp có vốn nước ngoài vẫn đang hoạt động - Các TCTD nước ngoài mở tài khoản tại tổ chức cung ứng dịch vụ thanh toán Đối với nhóm khách hàng tổ chức không cung cấp được quyết định thành lập (do yếu tố bảo mật hoặc chưa cung cấp được - ví dụ như trường hợp tổ chức lại chính quyền theo chủ trương của Đảng và Nhà nước); điều lệ (có thể do yếu tố pháp luật không ghi nhận tổ chức phải có tài liệu này); tài liệu về người thành lập (khó tiếp cận thông tin) thì theo Thông tư 17/2024/TT-NHNN, ngân hàng sẽ phải từ chối hoặc yêu cầu khách hàng bổ sung. "</w:t>
            </w:r>
          </w:p>
        </w:tc>
        <w:tc>
          <w:tcPr>
            <w:tcW w:w="18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B2B2F4"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C. Sửa đổi, bổ sung, thay thế, ban hành mới VBQPPL (theo trình tự, thủ tục rút gọn ban hành VBQPPL của Luật Ban hành VBQPPL)</w:t>
            </w:r>
          </w:p>
        </w:tc>
        <w:tc>
          <w:tcPr>
            <w:tcW w:w="11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787E74B"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Ngân hàng TMCP Quân đội</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C13257" w14:textId="77777777" w:rsidR="006D2AAA" w:rsidRPr="00833644" w:rsidRDefault="006D2AAA" w:rsidP="00E00B5A">
            <w:pPr>
              <w:spacing w:after="0" w:line="240" w:lineRule="auto"/>
              <w:rPr>
                <w:rFonts w:ascii="Times New Roman" w:eastAsia="Times New Roman" w:hAnsi="Times New Roman" w:cs="Times New Roman"/>
                <w:b/>
                <w:sz w:val="24"/>
                <w:szCs w:val="24"/>
              </w:rPr>
            </w:pPr>
            <w:r w:rsidRPr="00833644">
              <w:rPr>
                <w:rFonts w:ascii="Times New Roman" w:eastAsia="Times New Roman" w:hAnsi="Times New Roman" w:cs="Times New Roman"/>
                <w:b/>
                <w:sz w:val="24"/>
                <w:szCs w:val="24"/>
              </w:rPr>
              <w:t>Tiếp thu</w:t>
            </w:r>
          </w:p>
          <w:p w14:paraId="15B50475" w14:textId="77777777" w:rsidR="006D2AAA" w:rsidRPr="00833644" w:rsidRDefault="006D2AAA" w:rsidP="00E00B5A">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br/>
              <w:t>Ghi nhận đang sửa tại dự thảo Thông tư sửa đổi, bổ sung một số điều của Thông tư số 17/2024/TT-NHNN, dự kiến ban hành tháng 9/2025.</w:t>
            </w:r>
          </w:p>
        </w:tc>
        <w:tc>
          <w:tcPr>
            <w:tcW w:w="2410" w:type="dxa"/>
            <w:tcBorders>
              <w:top w:val="single" w:sz="6" w:space="0" w:color="CCCCCC"/>
              <w:left w:val="single" w:sz="6" w:space="0" w:color="CCCCCC"/>
              <w:bottom w:val="single" w:sz="6" w:space="0" w:color="000000"/>
              <w:right w:val="single" w:sz="6" w:space="0" w:color="000000"/>
            </w:tcBorders>
          </w:tcPr>
          <w:p w14:paraId="00291250" w14:textId="67BC8938" w:rsidR="0030617C" w:rsidRPr="0030617C" w:rsidRDefault="0030617C" w:rsidP="00231028">
            <w:pPr>
              <w:spacing w:after="0" w:line="240" w:lineRule="auto"/>
              <w:ind w:left="142" w:right="142"/>
              <w:rPr>
                <w:rFonts w:ascii="Times New Roman" w:hAnsi="Times New Roman" w:cs="Times New Roman"/>
                <w:b/>
                <w:sz w:val="24"/>
                <w:szCs w:val="24"/>
              </w:rPr>
            </w:pPr>
            <w:r>
              <w:rPr>
                <w:rFonts w:ascii="Times New Roman" w:hAnsi="Times New Roman" w:cs="Times New Roman"/>
                <w:sz w:val="24"/>
                <w:szCs w:val="24"/>
              </w:rPr>
              <w:t xml:space="preserve"> </w:t>
            </w:r>
            <w:r w:rsidRPr="0030617C">
              <w:rPr>
                <w:rFonts w:ascii="Times New Roman" w:hAnsi="Times New Roman" w:cs="Times New Roman"/>
                <w:b/>
                <w:sz w:val="24"/>
                <w:szCs w:val="24"/>
              </w:rPr>
              <w:t xml:space="preserve">Đã </w:t>
            </w:r>
            <w:r w:rsidR="004E3D9B">
              <w:rPr>
                <w:rFonts w:ascii="Times New Roman" w:hAnsi="Times New Roman" w:cs="Times New Roman"/>
                <w:b/>
                <w:sz w:val="24"/>
                <w:szCs w:val="24"/>
              </w:rPr>
              <w:t>xử lý</w:t>
            </w:r>
          </w:p>
          <w:p w14:paraId="7AD48153" w14:textId="0F575900" w:rsidR="006D2AAA" w:rsidRPr="00833644" w:rsidRDefault="00470056" w:rsidP="00231028">
            <w:pPr>
              <w:spacing w:after="0" w:line="240" w:lineRule="auto"/>
              <w:ind w:left="142" w:right="142"/>
              <w:jc w:val="both"/>
              <w:rPr>
                <w:rFonts w:ascii="Times New Roman" w:eastAsia="Times New Roman" w:hAnsi="Times New Roman" w:cs="Times New Roman"/>
                <w:b/>
                <w:sz w:val="24"/>
                <w:szCs w:val="24"/>
              </w:rPr>
            </w:pPr>
            <w:r>
              <w:rPr>
                <w:rFonts w:ascii="Times New Roman" w:hAnsi="Times New Roman" w:cs="Times New Roman"/>
                <w:sz w:val="24"/>
                <w:szCs w:val="24"/>
              </w:rPr>
              <w:t xml:space="preserve"> </w:t>
            </w:r>
            <w:r w:rsidR="00A71A1B" w:rsidRPr="00C546AE">
              <w:rPr>
                <w:rFonts w:ascii="Times New Roman" w:hAnsi="Times New Roman" w:cs="Times New Roman"/>
                <w:sz w:val="26"/>
                <w:szCs w:val="26"/>
              </w:rPr>
              <w:t xml:space="preserve">Đã ban hành thông tư 25/2025/TT-NHNN ngày 31/8/2025 sửa đổi, bổ sung một số điều Thông tư 17/2024/TT-NHNN ngày 28/6/2024 quy định về mở và sử dụng tài khoản thanh toán tại tổ chức cung ứng dịch </w:t>
            </w:r>
            <w:r w:rsidR="00A71A1B" w:rsidRPr="00C546AE">
              <w:rPr>
                <w:rFonts w:ascii="Times New Roman" w:hAnsi="Times New Roman" w:cs="Times New Roman"/>
                <w:sz w:val="26"/>
                <w:szCs w:val="26"/>
              </w:rPr>
              <w:lastRenderedPageBreak/>
              <w:t xml:space="preserve">vụ thanh toán. </w:t>
            </w:r>
            <w:r w:rsidR="00A71A1B">
              <w:rPr>
                <w:rFonts w:ascii="Times New Roman" w:hAnsi="Times New Roman" w:cs="Times New Roman"/>
                <w:sz w:val="26"/>
                <w:szCs w:val="26"/>
              </w:rPr>
              <w:t xml:space="preserve">(Điều 5, Điều 6, Điều 8) </w:t>
            </w:r>
          </w:p>
        </w:tc>
      </w:tr>
      <w:tr w:rsidR="006D2AAA" w:rsidRPr="00833644" w14:paraId="44AD838A" w14:textId="41D7F4A1" w:rsidTr="009E1079">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D5BC0CC" w14:textId="42B031EC" w:rsidR="006D2AAA" w:rsidRPr="00833644" w:rsidRDefault="00F462ED" w:rsidP="009D7171">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2</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4004B45"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 xml:space="preserve">"Luật Các tổ chức tín dụng 2024 và Thông tư </w:t>
            </w:r>
            <w:r w:rsidRPr="00833644">
              <w:rPr>
                <w:rFonts w:ascii="Times New Roman" w:eastAsia="Times New Roman" w:hAnsi="Times New Roman" w:cs="Times New Roman"/>
                <w:sz w:val="24"/>
                <w:szCs w:val="24"/>
              </w:rPr>
              <w:lastRenderedPageBreak/>
              <w:t>32/2024/TT-NHNN ngày 30/06/2024 quy định về mạng lưới hoạt động của NHTM (Thông tư 32) "</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A5464E4"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 xml:space="preserve">" Vướng mắc về công tác đăng ký doanh nghiệp của ngân hàng thương mại Khoản 3 Điều 38 Luật Các </w:t>
            </w:r>
            <w:r w:rsidRPr="00833644">
              <w:rPr>
                <w:rFonts w:ascii="Times New Roman" w:eastAsia="Times New Roman" w:hAnsi="Times New Roman" w:cs="Times New Roman"/>
                <w:sz w:val="24"/>
                <w:szCs w:val="24"/>
              </w:rPr>
              <w:lastRenderedPageBreak/>
              <w:t xml:space="preserve">TCTD 2024: “Văn bản chấp thuận việc thành lập CN/VPĐD ở trong nước của TCTD đồng thời là Giấy chứng nhận đăng ký hoạt động CN/VPĐD.” Khoản 4 Điều 38 Luật Các TCTD 2024: “Thống đốc NHNN quy định việc thông báo thông tin về thành lập, giải thể, chấm dứt hoạt động CN/VPĐD ở trong nước và các thông tin liên quan cho cơ quan ĐKKD để cập nhật vào hệ thống thông tin quốc gia về đăng ký DN/HTX.” Thông tư 32 không quy định hướng dẫn về nội dung tại Khoản 3 Điều 38 và việc thông báo các nội dung liên quan khác cho cơ quan ĐKKD tại Khoản 4 Điều 38 Giấy chứng nhận đăng ký hoạt động của CN/VPĐD theo Luật Doanh nghiệp 2020 gồm nhiều nội dung (mã số doanh nghiệp/mã địa điểm kinh doanh, thuế, ngành nghề, địa chỉ, thông tin về người đứng đầu). Khoản 3 Điều 3 Thông tư 32/2024/TT-NHNN đã định nghĩa </w:t>
            </w:r>
            <w:r w:rsidRPr="00833644">
              <w:rPr>
                <w:rFonts w:ascii="Times New Roman" w:eastAsia="Times New Roman" w:hAnsi="Times New Roman" w:cs="Times New Roman"/>
                <w:sz w:val="24"/>
                <w:szCs w:val="24"/>
              </w:rPr>
              <w:lastRenderedPageBreak/>
              <w:t xml:space="preserve">“PGD là loại hình chi nhánh”. Văn bản chấp thuận của NHNN chung cho nhiều PGD chưa có các nội dung cụ thể như Giấy chứng nhận đăng ký hoạt động theo Luật DN 2020. Thông tư 32 không quy định nên có nhiều nội dung hiện nay về đăng ký doanh nghiệp như thuế, ngành nghề kinh doanh, đóng mã địa điểm kinh doanh của các phòng nội bộ (không phải là địa điểm kinh doanh), VPĐD đã chấm dứt hoạt động nhưng vẫn còn trên hệ thống đăng ký doanh nghiệp, các trường thông tin trên hệ thống đăng ký thuế không chính xác… không rõ cơ quan xử lý . "" * Về thông tin đăng ký doanh nghiệp của CN/VPĐD/PGD: Bổ sung 1 điều tại Thông tư 32 hướng dẫn: - Mỗi CN/VPĐD/PGD có một văn bản chấp thuận riêng, gồm: Tên, Địa chỉ. - Ngành nghề của CN/VPĐD/PGD của NHTM theo ngành nghề của Trụ sở chính NHTM. Trụ sở chính </w:t>
            </w:r>
            <w:r w:rsidRPr="00833644">
              <w:rPr>
                <w:rFonts w:ascii="Times New Roman" w:eastAsia="Times New Roman" w:hAnsi="Times New Roman" w:cs="Times New Roman"/>
                <w:sz w:val="24"/>
                <w:szCs w:val="24"/>
              </w:rPr>
              <w:lastRenderedPageBreak/>
              <w:t>NHTM có văn bản ủy quyền về phạm vi, lĩnh vực hoạt động kinh doanh của CN/VPĐD. - Hình thức hạch toán: CN/VPĐD hạch toán phụ thuộc, PGD hạch toán báo sổ với chi nhánh quản lý. - Mã số doanh nghiệp của CN/VPĐD và mã địa điểm kinh doanh của PGD do Cơ quan đăng ký kinh doanh cấp. * Về việc cung cấp thông tin cho cơ quan ĐKKD quy định tại Chương VI Thông tư 32, đề nghị bổ sung: - Đối với việc đính chính thông tin đăng ký doanh nghiệp của CN/VPĐD/PGD của NHTM trên cổng thông tin quốc gia về đăng ký doanh nghiệp trước thời điểm 01/07/2024: NHTM gửi công văn cho NHNN, NHNN gửi sang Cơ quan ĐKKD để thực hiện. "" "</w:t>
            </w:r>
          </w:p>
        </w:tc>
        <w:tc>
          <w:tcPr>
            <w:tcW w:w="18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2AF5BF7"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 xml:space="preserve">C. Sửa đổi, bổ sung, thay thế, ban hành mới </w:t>
            </w:r>
            <w:r w:rsidRPr="00833644">
              <w:rPr>
                <w:rFonts w:ascii="Times New Roman" w:eastAsia="Times New Roman" w:hAnsi="Times New Roman" w:cs="Times New Roman"/>
                <w:sz w:val="24"/>
                <w:szCs w:val="24"/>
              </w:rPr>
              <w:lastRenderedPageBreak/>
              <w:t>VBQPPL (theo trình tự, thủ tục rút gọn ban hành VBQPPL của Luật Ban hành VBQPPL)</w:t>
            </w:r>
          </w:p>
        </w:tc>
        <w:tc>
          <w:tcPr>
            <w:tcW w:w="11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C67E41B"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 xml:space="preserve">Ngân hàng TMCP Đầu tư và </w:t>
            </w:r>
            <w:r w:rsidRPr="00833644">
              <w:rPr>
                <w:rFonts w:ascii="Times New Roman" w:eastAsia="Times New Roman" w:hAnsi="Times New Roman" w:cs="Times New Roman"/>
                <w:sz w:val="24"/>
                <w:szCs w:val="24"/>
              </w:rPr>
              <w:lastRenderedPageBreak/>
              <w:t>Phát triển Việt Nam</w:t>
            </w:r>
          </w:p>
        </w:tc>
        <w:tc>
          <w:tcPr>
            <w:tcW w:w="337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28A69D54" w14:textId="77777777" w:rsidR="006D2AAA" w:rsidRPr="00833644" w:rsidRDefault="006D2AAA" w:rsidP="00D77CBC">
            <w:pPr>
              <w:spacing w:after="0" w:line="240" w:lineRule="auto"/>
              <w:jc w:val="both"/>
              <w:rPr>
                <w:rFonts w:ascii="Times New Roman" w:eastAsia="Times New Roman" w:hAnsi="Times New Roman" w:cs="Times New Roman"/>
                <w:b/>
                <w:sz w:val="24"/>
                <w:szCs w:val="24"/>
              </w:rPr>
            </w:pPr>
            <w:r w:rsidRPr="00833644">
              <w:rPr>
                <w:rFonts w:ascii="Times New Roman" w:eastAsia="Times New Roman" w:hAnsi="Times New Roman" w:cs="Times New Roman"/>
                <w:b/>
                <w:sz w:val="24"/>
                <w:szCs w:val="24"/>
              </w:rPr>
              <w:lastRenderedPageBreak/>
              <w:t>Tiếp thu</w:t>
            </w:r>
          </w:p>
          <w:p w14:paraId="1AEE57DD" w14:textId="27220BA3"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 xml:space="preserve">NHNN sẽ nghiên cứu các kiến nghị khi sửa đổi, bổ sung các </w:t>
            </w:r>
            <w:r w:rsidRPr="00833644">
              <w:rPr>
                <w:rFonts w:ascii="Times New Roman" w:eastAsia="Times New Roman" w:hAnsi="Times New Roman" w:cs="Times New Roman"/>
                <w:sz w:val="24"/>
                <w:szCs w:val="24"/>
              </w:rPr>
              <w:lastRenderedPageBreak/>
              <w:t>Thông tư về cấp phép lần đầu; sửa đổi, bổ sung Giấy phép; mạng lưới hoạt động của TCTD… để bổ sung các nội dung liên quan đến việc NHNN gửi thông báo thông tin cho cơ quan đăng ký kinh doanh để cập nhật vào hệ thống thông tin quốc gia về đăng ký doanh nghiệp các trường thông tin khác ngoài các thông tin đang được quy định tại Giấy phép và các văn bản chấp thuận hiện hành của NHNN (bao gồm các thông tin liên quan đến mã số doanh nghiệp đồng thời là mã số thuế, thông báo thay đổi thông tin của người đại diện theo pháp luật, Tổng Giám đốc, Trưởng văn phòng đại diện nước ngoài, người đứng đầu chi nhánh, phòng giao dịch, văn phòng đại diện)</w:t>
            </w:r>
          </w:p>
        </w:tc>
        <w:tc>
          <w:tcPr>
            <w:tcW w:w="2410" w:type="dxa"/>
            <w:tcBorders>
              <w:top w:val="single" w:sz="6" w:space="0" w:color="CCCCCC"/>
              <w:left w:val="single" w:sz="6" w:space="0" w:color="CCCCCC"/>
              <w:bottom w:val="single" w:sz="6" w:space="0" w:color="000000"/>
              <w:right w:val="single" w:sz="6" w:space="0" w:color="000000"/>
            </w:tcBorders>
            <w:shd w:val="clear" w:color="auto" w:fill="FFFFFF"/>
          </w:tcPr>
          <w:p w14:paraId="5EE1A492" w14:textId="3B9DCF93" w:rsidR="00E239FC" w:rsidRPr="004E3D9B" w:rsidRDefault="0030617C" w:rsidP="008A5B5E">
            <w:pPr>
              <w:spacing w:after="0" w:line="240" w:lineRule="auto"/>
              <w:ind w:left="142" w:right="142"/>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w:t>
            </w:r>
            <w:r w:rsidR="004E3D9B" w:rsidRPr="004E3D9B">
              <w:rPr>
                <w:rFonts w:ascii="Times New Roman" w:hAnsi="Times New Roman" w:cs="Times New Roman"/>
                <w:b/>
                <w:bCs/>
                <w:sz w:val="24"/>
                <w:szCs w:val="24"/>
              </w:rPr>
              <w:t>Chưa xử lý</w:t>
            </w:r>
          </w:p>
          <w:p w14:paraId="4C7372A7" w14:textId="5479C1A5" w:rsidR="006D2AAA" w:rsidRDefault="0030617C" w:rsidP="008A5B5E">
            <w:pPr>
              <w:spacing w:after="0" w:line="240" w:lineRule="auto"/>
              <w:ind w:left="142" w:right="142"/>
              <w:jc w:val="both"/>
              <w:rPr>
                <w:rFonts w:ascii="Times New Roman" w:hAnsi="Times New Roman" w:cs="Times New Roman"/>
                <w:sz w:val="24"/>
                <w:szCs w:val="24"/>
              </w:rPr>
            </w:pPr>
            <w:r>
              <w:rPr>
                <w:rFonts w:ascii="Times New Roman" w:hAnsi="Times New Roman" w:cs="Times New Roman"/>
                <w:sz w:val="24"/>
                <w:szCs w:val="24"/>
              </w:rPr>
              <w:t xml:space="preserve"> Hiện nay </w:t>
            </w:r>
            <w:r w:rsidRPr="00A31B56">
              <w:rPr>
                <w:rFonts w:ascii="Times New Roman" w:hAnsi="Times New Roman" w:cs="Times New Roman"/>
                <w:sz w:val="24"/>
                <w:szCs w:val="24"/>
              </w:rPr>
              <w:t xml:space="preserve">NHNN </w:t>
            </w:r>
            <w:r>
              <w:rPr>
                <w:rFonts w:ascii="Times New Roman" w:hAnsi="Times New Roman" w:cs="Times New Roman"/>
                <w:sz w:val="24"/>
                <w:szCs w:val="24"/>
              </w:rPr>
              <w:t>đang</w:t>
            </w:r>
            <w:r w:rsidRPr="00A31B56">
              <w:rPr>
                <w:rFonts w:ascii="Times New Roman" w:hAnsi="Times New Roman" w:cs="Times New Roman"/>
                <w:sz w:val="24"/>
                <w:szCs w:val="24"/>
              </w:rPr>
              <w:t xml:space="preserve"> nghiên cứu, sửa </w:t>
            </w:r>
            <w:r w:rsidRPr="00A31B56">
              <w:rPr>
                <w:rFonts w:ascii="Times New Roman" w:hAnsi="Times New Roman" w:cs="Times New Roman"/>
                <w:sz w:val="24"/>
                <w:szCs w:val="24"/>
              </w:rPr>
              <w:lastRenderedPageBreak/>
              <w:t xml:space="preserve">đổi nội dung này tại Thông tư số 32/2024/TT-NHNN </w:t>
            </w:r>
            <w:r w:rsidR="007E6B2B">
              <w:rPr>
                <w:rFonts w:ascii="Times New Roman" w:hAnsi="Times New Roman" w:cs="Times New Roman"/>
                <w:sz w:val="24"/>
                <w:szCs w:val="24"/>
              </w:rPr>
              <w:t>và đang xin ý kiến rộng rãi lần 2</w:t>
            </w:r>
          </w:p>
          <w:p w14:paraId="14D096EA" w14:textId="6EB9BAFD" w:rsidR="004866F5" w:rsidRPr="004866F5" w:rsidRDefault="004866F5" w:rsidP="008A5B5E">
            <w:pPr>
              <w:spacing w:after="0" w:line="240" w:lineRule="auto"/>
              <w:ind w:left="142" w:right="142"/>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Thông tư </w:t>
            </w:r>
            <w:r w:rsidRPr="004866F5">
              <w:rPr>
                <w:rFonts w:ascii="Times New Roman" w:eastAsia="Times New Roman" w:hAnsi="Times New Roman" w:cs="Times New Roman"/>
                <w:bCs/>
                <w:sz w:val="24"/>
                <w:szCs w:val="24"/>
              </w:rPr>
              <w:t>sửa đổi</w:t>
            </w:r>
            <w:r>
              <w:rPr>
                <w:rFonts w:ascii="Times New Roman" w:eastAsia="Times New Roman" w:hAnsi="Times New Roman" w:cs="Times New Roman"/>
                <w:bCs/>
                <w:sz w:val="24"/>
                <w:szCs w:val="24"/>
              </w:rPr>
              <w:t>, bổ sung</w:t>
            </w:r>
            <w:r w:rsidRPr="004866F5">
              <w:rPr>
                <w:rFonts w:ascii="Times New Roman" w:eastAsia="Times New Roman" w:hAnsi="Times New Roman" w:cs="Times New Roman"/>
                <w:bCs/>
                <w:sz w:val="24"/>
                <w:szCs w:val="24"/>
              </w:rPr>
              <w:t xml:space="preserve"> Thông tư 32/2024/TT-NHNN dự kiến ban hành trong tháng 12/2025</w:t>
            </w:r>
          </w:p>
        </w:tc>
      </w:tr>
      <w:tr w:rsidR="006D2AAA" w:rsidRPr="00833644" w14:paraId="4DFC959A" w14:textId="213A3AFE" w:rsidTr="009E1079">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4F9C1F32" w14:textId="5A72F3E8" w:rsidR="006D2AAA" w:rsidRPr="00833644" w:rsidRDefault="009D7171"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3</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365A7BE"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 xml:space="preserve">"Luật Các tổ chức tín dụng 2024 Thông tư 32/2024/TT-NHNN ngày </w:t>
            </w:r>
            <w:r w:rsidRPr="00833644">
              <w:rPr>
                <w:rFonts w:ascii="Times New Roman" w:eastAsia="Times New Roman" w:hAnsi="Times New Roman" w:cs="Times New Roman"/>
                <w:sz w:val="24"/>
                <w:szCs w:val="24"/>
              </w:rPr>
              <w:lastRenderedPageBreak/>
              <w:t>30/06/2024 quy định về mạng lưới hoạt động của NHTM (Thông tư 32) "</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DE0F10C"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 xml:space="preserve">" Khoản 4, Điều 38, Luật Các TCTD 2024: “Thống đốc NHNN quy định việc thông báo thông tin về thành lập, giải thể, chấm dứt hoạt động CN/VPĐD ở trong nước và các </w:t>
            </w:r>
            <w:r w:rsidRPr="00833644">
              <w:rPr>
                <w:rFonts w:ascii="Times New Roman" w:eastAsia="Times New Roman" w:hAnsi="Times New Roman" w:cs="Times New Roman"/>
                <w:sz w:val="24"/>
                <w:szCs w:val="24"/>
              </w:rPr>
              <w:lastRenderedPageBreak/>
              <w:t>thông tin liên quan cho cơ quan ĐKKD để cập nhật vào hệ thống thông tin quốc gia về đăng ký DN/HTX.” không quy định đối với trường hợp thay đổi chi nhánh quản lý PGD, chuyển chi nhánh thành PGD, Thông tư 32 cũng không quy định NHTM phải gửi thông tin để chi nhánh NHNN cung cấp cho cơ quan ĐKKD, chi nhánh NHNN không nhận hồ sơ từ NHTM để chuyển cho cơ quan ĐKKD. Vì vậy khi phát sinh thay đổi chi nhánh quản lý PGD, chuyển chi nhánh thành PGD thì các PGD mới này hoạt động không có đăng ký doanh nghiệp, không phù hợp với quy định của pháp luật. ""Bổ sung việc cung cấp thông tin cho cơ quan đăng ký kinh doanh đối với tất cả các trường hợp thay đổi mạng lưới của NHTM"""</w:t>
            </w:r>
          </w:p>
        </w:tc>
        <w:tc>
          <w:tcPr>
            <w:tcW w:w="18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198C4F13"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 xml:space="preserve">C. Sửa đổi, bổ sung, thay thế, ban hành mới VBQPPL (theo trình tự, thủ tục </w:t>
            </w:r>
            <w:r w:rsidRPr="00833644">
              <w:rPr>
                <w:rFonts w:ascii="Times New Roman" w:eastAsia="Times New Roman" w:hAnsi="Times New Roman" w:cs="Times New Roman"/>
                <w:sz w:val="24"/>
                <w:szCs w:val="24"/>
              </w:rPr>
              <w:lastRenderedPageBreak/>
              <w:t>rút gọn ban hành VBQPPL của Luật Ban hành VBQPPL)</w:t>
            </w:r>
          </w:p>
        </w:tc>
        <w:tc>
          <w:tcPr>
            <w:tcW w:w="11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6C24D17"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Ngân hàng TMCP Đầu tư và Phát triển Việt Nam</w:t>
            </w:r>
          </w:p>
        </w:tc>
        <w:tc>
          <w:tcPr>
            <w:tcW w:w="3374" w:type="dxa"/>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vAlign w:val="center"/>
            <w:hideMark/>
          </w:tcPr>
          <w:p w14:paraId="5714463E" w14:textId="77777777" w:rsidR="006D2AAA" w:rsidRPr="00833644" w:rsidRDefault="006D2AAA" w:rsidP="00D77CBC">
            <w:pPr>
              <w:spacing w:after="0" w:line="240" w:lineRule="auto"/>
              <w:jc w:val="both"/>
              <w:rPr>
                <w:rFonts w:ascii="Times New Roman" w:eastAsia="Times New Roman" w:hAnsi="Times New Roman" w:cs="Times New Roman"/>
                <w:b/>
                <w:sz w:val="24"/>
                <w:szCs w:val="24"/>
              </w:rPr>
            </w:pPr>
            <w:r w:rsidRPr="00833644">
              <w:rPr>
                <w:rFonts w:ascii="Times New Roman" w:eastAsia="Times New Roman" w:hAnsi="Times New Roman" w:cs="Times New Roman"/>
                <w:b/>
                <w:sz w:val="24"/>
                <w:szCs w:val="24"/>
              </w:rPr>
              <w:t>Tiếp thu</w:t>
            </w:r>
          </w:p>
          <w:p w14:paraId="3FD79F07" w14:textId="06E56E4A" w:rsidR="006D2AAA" w:rsidRPr="00833644" w:rsidRDefault="006D2AAA" w:rsidP="001276B7">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br/>
              <w:t xml:space="preserve">NHNN sẽ nghiên cứu các kiến nghị khi sửa đổi, bổ sung các Thông tư về cấp phép lần đầu; sửa </w:t>
            </w:r>
            <w:r w:rsidRPr="00833644">
              <w:rPr>
                <w:rFonts w:ascii="Times New Roman" w:eastAsia="Times New Roman" w:hAnsi="Times New Roman" w:cs="Times New Roman"/>
                <w:sz w:val="24"/>
                <w:szCs w:val="24"/>
              </w:rPr>
              <w:lastRenderedPageBreak/>
              <w:t>đổi, bổ sung Giấy phép; mạng lưới hoạt động của TCTD… để bổ sung các nội dung liên quan đến việc NHNN gửi thông báo thông tin cho cơ quan đăng ký kinh doanh để cập nhật vào hệ thống thông tin quốc gia về đăng ký doanh nghiệp các trường thông tin khác ngoài các thông tin đang được quy định tại Giấy phép và các văn bản chấp thuận hiện hành của NHNN (bao gồm thông báo thay đổi thông tin của người đại diện theo pháp luật, Tổng Giám đốc, Trưởng văn phòng đại diện nước ngoài, người đứng đầu chi nhánh, phòng giao dịch, văn phòng đại diện)</w:t>
            </w:r>
          </w:p>
        </w:tc>
        <w:tc>
          <w:tcPr>
            <w:tcW w:w="2410" w:type="dxa"/>
            <w:tcBorders>
              <w:top w:val="single" w:sz="6" w:space="0" w:color="CCCCCC"/>
              <w:left w:val="single" w:sz="6" w:space="0" w:color="CCCCCC"/>
              <w:bottom w:val="single" w:sz="6" w:space="0" w:color="000000"/>
              <w:right w:val="single" w:sz="6" w:space="0" w:color="000000"/>
            </w:tcBorders>
            <w:shd w:val="clear" w:color="auto" w:fill="FFFFFF"/>
          </w:tcPr>
          <w:p w14:paraId="7E36ECFA" w14:textId="25C18B92" w:rsidR="00E239FC" w:rsidRPr="004E3D9B" w:rsidRDefault="004E3D9B" w:rsidP="00231028">
            <w:pPr>
              <w:spacing w:after="0"/>
              <w:ind w:left="142" w:right="142"/>
              <w:jc w:val="both"/>
              <w:rPr>
                <w:rFonts w:ascii="Times New Roman" w:eastAsia="Times New Roman" w:hAnsi="Times New Roman" w:cs="Times New Roman"/>
                <w:b/>
                <w:bCs/>
                <w:sz w:val="24"/>
                <w:szCs w:val="24"/>
              </w:rPr>
            </w:pPr>
            <w:r w:rsidRPr="004E3D9B">
              <w:rPr>
                <w:rFonts w:ascii="Times New Roman" w:eastAsia="Times New Roman" w:hAnsi="Times New Roman" w:cs="Times New Roman"/>
                <w:b/>
                <w:bCs/>
                <w:sz w:val="24"/>
                <w:szCs w:val="24"/>
              </w:rPr>
              <w:lastRenderedPageBreak/>
              <w:t>Chưa xử lý</w:t>
            </w:r>
          </w:p>
          <w:p w14:paraId="01A7C9AD" w14:textId="657A9F8F" w:rsidR="006D2AAA" w:rsidRDefault="0030617C" w:rsidP="00231028">
            <w:pPr>
              <w:spacing w:after="0"/>
              <w:ind w:left="142" w:right="142"/>
              <w:jc w:val="both"/>
              <w:rPr>
                <w:rFonts w:ascii="Times New Roman" w:eastAsia="Times New Roman" w:hAnsi="Times New Roman" w:cs="Times New Roman"/>
                <w:sz w:val="24"/>
                <w:szCs w:val="24"/>
              </w:rPr>
            </w:pPr>
            <w:r w:rsidRPr="0030617C">
              <w:rPr>
                <w:rFonts w:ascii="Times New Roman" w:eastAsia="Times New Roman" w:hAnsi="Times New Roman" w:cs="Times New Roman"/>
                <w:sz w:val="24"/>
                <w:szCs w:val="24"/>
              </w:rPr>
              <w:t xml:space="preserve">Hiện NHNN đang nghiên cứu, sửa đổi nội dung này tại </w:t>
            </w:r>
            <w:r w:rsidRPr="0030617C">
              <w:rPr>
                <w:rFonts w:ascii="Times New Roman" w:eastAsia="Times New Roman" w:hAnsi="Times New Roman" w:cs="Times New Roman"/>
                <w:sz w:val="24"/>
                <w:szCs w:val="24"/>
              </w:rPr>
              <w:lastRenderedPageBreak/>
              <w:t xml:space="preserve">Thông tư số 32/2024/TT-NHNN </w:t>
            </w:r>
            <w:r w:rsidR="00A43F05">
              <w:rPr>
                <w:rFonts w:ascii="Times New Roman" w:eastAsia="Times New Roman" w:hAnsi="Times New Roman" w:cs="Times New Roman"/>
                <w:sz w:val="24"/>
                <w:szCs w:val="24"/>
              </w:rPr>
              <w:t>và đang xin ý kiến rộng rãi lần 2.</w:t>
            </w:r>
          </w:p>
          <w:p w14:paraId="51F5EDA7" w14:textId="015B0BA8" w:rsidR="005C5F28" w:rsidRPr="0030617C" w:rsidRDefault="005C5F28" w:rsidP="00231028">
            <w:pPr>
              <w:spacing w:after="0"/>
              <w:ind w:left="142" w:right="14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Thông tư sửa đổi, bổ sung Thông tư 32/2024/TT-NHNN dự kiến sẽ được ban hành trong tháng 12/2025</w:t>
            </w:r>
          </w:p>
        </w:tc>
      </w:tr>
      <w:tr w:rsidR="006D2AAA" w:rsidRPr="00833644" w14:paraId="3EC5EFFE" w14:textId="111C0C50" w:rsidTr="009E1079">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74A367E1" w14:textId="3E9BA3DA" w:rsidR="006D2AAA" w:rsidRPr="00833644" w:rsidRDefault="009D7171" w:rsidP="00B9398E">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4</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BD518E7" w14:textId="225B9FFC" w:rsidR="006D2AAA" w:rsidRPr="00833644" w:rsidRDefault="00F6107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 xml:space="preserve">Quyết định 1789/2005/QĐ-NHNN về Chế độ </w:t>
            </w:r>
            <w:r w:rsidRPr="00833644">
              <w:rPr>
                <w:rFonts w:ascii="Times New Roman" w:eastAsia="Times New Roman" w:hAnsi="Times New Roman" w:cs="Times New Roman"/>
                <w:sz w:val="24"/>
                <w:szCs w:val="24"/>
              </w:rPr>
              <w:lastRenderedPageBreak/>
              <w:t>chứng từ kế toán ngân hàng</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9291AA0"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 xml:space="preserve">" Theo quy định tại Luật kế toán 2015: Chứng từ kế toán (bao gồm: hợp đồng, hóa đơn, đề nghị thanh </w:t>
            </w:r>
            <w:r w:rsidRPr="00833644">
              <w:rPr>
                <w:rFonts w:ascii="Times New Roman" w:eastAsia="Times New Roman" w:hAnsi="Times New Roman" w:cs="Times New Roman"/>
                <w:sz w:val="24"/>
                <w:szCs w:val="24"/>
              </w:rPr>
              <w:lastRenderedPageBreak/>
              <w:t xml:space="preserve">toán, đề nghị thanh toán, Uỷ nhiệm chi, ủy nhiệm thu…) phải có chữ ký của người lập, người duyệt và những người có liên quan đến chứng từ kế toán, chứng từ kế toán điện tử phải có chữ ký điện tử, Luật Kế toán 2015 không quy định về các hình thức xác thực không phải chữ ký điện tử. Quyết định 1789/2005/QĐ-NHNN về Chế độ chứng từ kế toán ngân hàng để tạo điều kiện thuận lợi cho các giao dịch điện tử ngân hàng cũng quy định thống nhất với Luật kế toán về nội dung này. Như vậy, để đáp ứng quy định của Luật Giao dịch điện tử 2024, Luật kế toán 2015 và Quyết định 1789/2005/QĐ-NHNN, khách hàng ký trên chứng từ kế toán để giao dịch với ngân hàng phải có chữ ký số công cộng. Đề nghị Ngân hàng nhà nước: Trao đổi với Bộ Tài chính, đề xuất Chính phủ xem xét sửa đổi, bố sung các quy định về chữ ký trên chứng từ kế toán theo hướng chấp nhận cả các </w:t>
            </w:r>
            <w:r w:rsidRPr="00833644">
              <w:rPr>
                <w:rFonts w:ascii="Times New Roman" w:eastAsia="Times New Roman" w:hAnsi="Times New Roman" w:cs="Times New Roman"/>
                <w:sz w:val="24"/>
                <w:szCs w:val="24"/>
              </w:rPr>
              <w:lastRenderedPageBreak/>
              <w:t>hình thức xác thực khác (không phải là chữ ký điện tử). Trên cơ sở đó, sửa đổi, bổ sung các nội dung về chữ ký điện tử Quyết định Quyết định 1789/2005/QĐ-NHNN về Chế độ chứng từ kế toán ngân hàng để tạo điều kiện thuận lợi cho các giao dịch điện tử ngân hàng."</w:t>
            </w:r>
          </w:p>
        </w:tc>
        <w:tc>
          <w:tcPr>
            <w:tcW w:w="18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8EF5B9E"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 xml:space="preserve">C. Sửa đổi, bổ sung, thay thế, ban hành mới </w:t>
            </w:r>
            <w:r w:rsidRPr="00833644">
              <w:rPr>
                <w:rFonts w:ascii="Times New Roman" w:eastAsia="Times New Roman" w:hAnsi="Times New Roman" w:cs="Times New Roman"/>
                <w:sz w:val="24"/>
                <w:szCs w:val="24"/>
              </w:rPr>
              <w:lastRenderedPageBreak/>
              <w:t>VBQPPL (theo trình tự, thủ tục rút gọn ban hành VBQPPL của Luật Ban hành VBQPPL)</w:t>
            </w:r>
          </w:p>
        </w:tc>
        <w:tc>
          <w:tcPr>
            <w:tcW w:w="11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519AA107"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 xml:space="preserve">Ngân hàng TMCP Đầu tư và </w:t>
            </w:r>
            <w:r w:rsidRPr="00833644">
              <w:rPr>
                <w:rFonts w:ascii="Times New Roman" w:eastAsia="Times New Roman" w:hAnsi="Times New Roman" w:cs="Times New Roman"/>
                <w:sz w:val="24"/>
                <w:szCs w:val="24"/>
              </w:rPr>
              <w:lastRenderedPageBreak/>
              <w:t>Phát triển Việt Nam</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4206136" w14:textId="77777777" w:rsidR="006D2AAA" w:rsidRPr="00833644" w:rsidRDefault="006D2AAA" w:rsidP="00D77CBC">
            <w:pPr>
              <w:spacing w:after="0" w:line="240" w:lineRule="auto"/>
              <w:jc w:val="both"/>
              <w:rPr>
                <w:rFonts w:ascii="Times New Roman" w:eastAsia="Times New Roman" w:hAnsi="Times New Roman" w:cs="Times New Roman"/>
                <w:b/>
                <w:sz w:val="24"/>
                <w:szCs w:val="24"/>
              </w:rPr>
            </w:pPr>
            <w:r w:rsidRPr="00833644">
              <w:rPr>
                <w:rFonts w:ascii="Times New Roman" w:eastAsia="Times New Roman" w:hAnsi="Times New Roman" w:cs="Times New Roman"/>
                <w:b/>
                <w:sz w:val="24"/>
                <w:szCs w:val="24"/>
              </w:rPr>
              <w:lastRenderedPageBreak/>
              <w:t>Tiếp thu</w:t>
            </w:r>
          </w:p>
          <w:p w14:paraId="327C288C"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br/>
              <w:t xml:space="preserve">- Luật Kế toán 2015 (sửa đổi, bổ </w:t>
            </w:r>
            <w:r w:rsidRPr="00833644">
              <w:rPr>
                <w:rFonts w:ascii="Times New Roman" w:eastAsia="Times New Roman" w:hAnsi="Times New Roman" w:cs="Times New Roman"/>
                <w:sz w:val="24"/>
                <w:szCs w:val="24"/>
              </w:rPr>
              <w:lastRenderedPageBreak/>
              <w:t>sung tại Luật số 56/2025/QH15) sửa đổi khoản 4 Điều 19, theo đó chứng từ điện tử ngoài chữ ký điện tử còn cho phép sử dụng các hình thức xác nhận khác bằng phương tiện điện tử theo quy định của pháp luật về giao dịch điện tử.</w:t>
            </w:r>
          </w:p>
          <w:p w14:paraId="1028623C" w14:textId="7FE01B92" w:rsidR="006D2AAA" w:rsidRPr="00833644" w:rsidRDefault="006D2AAA">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 xml:space="preserve">- Đối với ngành ngân hàng, Thông tư số 50/2024/TT-NHNN ngày 31/10/2024 của NHNN quy định về an toàn, bảo mật cho việc cung cấp dịch vụ trực tuyến trong ngành Ngân hàng, tại Điều 11 có quy định về các hình thức xác nhận giao dịch điện tử (mã khóa bí mật, mã PIN, OTP, sinh trắc học,... ). </w:t>
            </w:r>
            <w:r w:rsidRPr="00833644">
              <w:rPr>
                <w:rFonts w:ascii="Times New Roman" w:eastAsia="Times New Roman" w:hAnsi="Times New Roman" w:cs="Times New Roman"/>
                <w:sz w:val="24"/>
                <w:szCs w:val="24"/>
              </w:rPr>
              <w:br/>
              <w:t>- Quyết định 1789/2005/QĐ-NHNN về Chế độ chứng từ kế toán ngân hàng đang được NHNN rà soát, sửa đổi cho phù hợp các quy định tại Luật số 56/2025/QH15 (về thẩm quyền của NHNN ban hành Chế độ kế toán tổ chức tín dụng).</w:t>
            </w:r>
          </w:p>
          <w:p w14:paraId="593E1C06" w14:textId="538E9EA2" w:rsidR="006D2AAA" w:rsidRPr="00833644" w:rsidRDefault="006D2AAA">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NHNN  đề xuất với Bộ Tài chính trong quá trình nghiên cứu, sửa đổi Quyết định 1789/2005/QĐ-NHNN.</w:t>
            </w:r>
          </w:p>
        </w:tc>
        <w:tc>
          <w:tcPr>
            <w:tcW w:w="2410" w:type="dxa"/>
            <w:tcBorders>
              <w:top w:val="single" w:sz="6" w:space="0" w:color="CCCCCC"/>
              <w:left w:val="single" w:sz="6" w:space="0" w:color="CCCCCC"/>
              <w:bottom w:val="single" w:sz="6" w:space="0" w:color="000000"/>
              <w:right w:val="single" w:sz="6" w:space="0" w:color="000000"/>
            </w:tcBorders>
          </w:tcPr>
          <w:p w14:paraId="562B3DD9" w14:textId="3851079B" w:rsidR="008373AC" w:rsidRDefault="0030617C" w:rsidP="00231028">
            <w:pPr>
              <w:spacing w:after="0"/>
              <w:ind w:left="142" w:right="14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 </w:t>
            </w:r>
            <w:r w:rsidR="004E3D9B">
              <w:rPr>
                <w:rFonts w:ascii="Times New Roman" w:eastAsia="Times New Roman" w:hAnsi="Times New Roman" w:cs="Times New Roman"/>
                <w:b/>
                <w:sz w:val="24"/>
                <w:szCs w:val="24"/>
              </w:rPr>
              <w:t>Chưa xử lý</w:t>
            </w:r>
          </w:p>
          <w:p w14:paraId="7C11135A" w14:textId="53F09E73" w:rsidR="006D2AAA" w:rsidRPr="00833644" w:rsidRDefault="0030617C" w:rsidP="00231028">
            <w:pPr>
              <w:spacing w:after="0"/>
              <w:ind w:left="142" w:right="142"/>
              <w:jc w:val="both"/>
              <w:rPr>
                <w:rFonts w:ascii="Times New Roman" w:eastAsia="Times New Roman" w:hAnsi="Times New Roman" w:cs="Times New Roman"/>
                <w:b/>
                <w:sz w:val="24"/>
                <w:szCs w:val="24"/>
              </w:rPr>
            </w:pPr>
            <w:r w:rsidRPr="009A35E4">
              <w:rPr>
                <w:rFonts w:ascii="Times New Roman" w:hAnsi="Times New Roman" w:cs="Times New Roman"/>
                <w:sz w:val="24"/>
                <w:szCs w:val="24"/>
              </w:rPr>
              <w:lastRenderedPageBreak/>
              <w:t xml:space="preserve">Do vướng mắc liên quan đến quy định chữ ký điện tử giữa Luật Kế toán và Luật Giao dịch điện tử 2024 nên việc sửa đổi, bổ sung Quyết định 1789/2005/QĐ-NHNN về Chế độ chứng từ kế toán ngân hàng phụ thuộc vào tiến độ sửa đổi, hoàn thiện Luật Kế toán. Trước đây, NHNN đã có công văn số 7364/NHNN-TCKT gửi Bộ Tài chính, trong đó có kiến nghị liên quan đến vấn đề nêu trên. Sau khi Luật Kế toán được sửa đổi, NHNN sẽ thực hiện sửa đổi, bổ sung </w:t>
            </w:r>
            <w:r w:rsidRPr="009A35E4">
              <w:rPr>
                <w:rFonts w:ascii="Times New Roman" w:hAnsi="Times New Roman" w:cs="Times New Roman"/>
                <w:sz w:val="24"/>
                <w:szCs w:val="24"/>
              </w:rPr>
              <w:lastRenderedPageBreak/>
              <w:t>Quyết định 1789/2005/QĐ-NHNN cho phù hợp.</w:t>
            </w:r>
          </w:p>
        </w:tc>
      </w:tr>
      <w:tr w:rsidR="006D2AAA" w:rsidRPr="00833644" w14:paraId="4D630486" w14:textId="202D85A3" w:rsidTr="009E1079">
        <w:trPr>
          <w:trHeight w:val="315"/>
        </w:trPr>
        <w:tc>
          <w:tcPr>
            <w:tcW w:w="709"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14:paraId="5ED38294" w14:textId="68F955C6" w:rsidR="006D2AAA" w:rsidRPr="00833644" w:rsidRDefault="009D7171"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5</w:t>
            </w:r>
          </w:p>
        </w:tc>
        <w:tc>
          <w:tcPr>
            <w:tcW w:w="1843"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73455323"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"Luật Phòng, chống rửa tiền năm 2022"</w:t>
            </w:r>
          </w:p>
        </w:tc>
        <w:tc>
          <w:tcPr>
            <w:tcW w:w="354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45934AB8"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 xml:space="preserve">" Điều 64 và 65: “Tổ chức tài chính, tổ chức, cá nhân kinh doanh ngành, nghề phi tài chính có liên quan áp dụng quy định tại các điều từ Điều 9 đến Điều 40 của Luật Phòng, chống rửa tiền để nhận biết khách hàng, thu thập, cập nhật, xác minh thông tin nhận biết khách hàng; xây dựng quy định nội bộ và báo cáo, cung cấp, lưu trữ thông tin, hồ sơ, tài liệu, báo cáo về PC TTKB, TTPBVKHDHL” Hiện cơ quan chức năng chưa có hướng dẫn triển khai các Điều này (Nghị định 19, Thông tư 09 chỉ hướng dẫn về PCRT), dẫn đến các ngân hàng rất khó triển khai hoặc triển khai không đầy đủ theo quy </w:t>
            </w:r>
            <w:r w:rsidRPr="00833644">
              <w:rPr>
                <w:rFonts w:ascii="Times New Roman" w:eastAsia="Times New Roman" w:hAnsi="Times New Roman" w:cs="Times New Roman"/>
                <w:sz w:val="24"/>
                <w:szCs w:val="24"/>
              </w:rPr>
              <w:lastRenderedPageBreak/>
              <w:t>định. Ví dụ, với nội dung báo cáo giao dịch đáng ngờ, áp dụng các biện pháp tạm thời, kiểm toán nội bộ không có quy định về thời gian, hình thức, đơn vị nhận báo cáo (báo cáo về NHNN – Cục PCRT hay Bộ Công an (đầu mối QĐ PCKB), Bộ Quốc Phòng (đầu mối QĐ PC PBVKHDHL)); tiêu chí đánh giá rủi ro của tổ chức về TTKB, TTPBVKHDHL,.. ""Đề nghị NHNN bổ sung văn bản hướng dẫn cụ thể triển khai Điều 64, 65 Luật PCRT nêu trên để Ngân hàng thực hiện triển khai đầy đủ, đúng quy định."""</w:t>
            </w:r>
          </w:p>
        </w:tc>
        <w:tc>
          <w:tcPr>
            <w:tcW w:w="184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EA648FD"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lastRenderedPageBreak/>
              <w:t>A. Giải thích luật, nghị quyết của Quốc hội, pháp lệnh, nghị quyết của Ủy ban Thường vụ Quốc hội theo quy định tại Điều 60 Luật Ban hành VBQPPL năm 2025</w:t>
            </w:r>
          </w:p>
        </w:tc>
        <w:tc>
          <w:tcPr>
            <w:tcW w:w="1162"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0C4AEB14" w14:textId="77777777" w:rsidR="006D2AAA" w:rsidRPr="00833644" w:rsidRDefault="006D2AAA" w:rsidP="00D77CBC">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Ngân hàng TMCP Đầu tư và Phát triển Việt Nam</w:t>
            </w:r>
          </w:p>
        </w:tc>
        <w:tc>
          <w:tcPr>
            <w:tcW w:w="3374"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31291796" w14:textId="77777777" w:rsidR="006D2AAA" w:rsidRPr="00833644" w:rsidRDefault="006D2AAA" w:rsidP="00D77CBC">
            <w:pPr>
              <w:spacing w:after="0" w:line="240" w:lineRule="auto"/>
              <w:jc w:val="both"/>
              <w:rPr>
                <w:rFonts w:ascii="Times New Roman" w:eastAsia="Times New Roman" w:hAnsi="Times New Roman" w:cs="Times New Roman"/>
                <w:b/>
                <w:sz w:val="24"/>
                <w:szCs w:val="24"/>
              </w:rPr>
            </w:pPr>
            <w:r w:rsidRPr="00833644">
              <w:rPr>
                <w:rFonts w:ascii="Times New Roman" w:eastAsia="Times New Roman" w:hAnsi="Times New Roman" w:cs="Times New Roman"/>
                <w:b/>
                <w:sz w:val="24"/>
                <w:szCs w:val="24"/>
              </w:rPr>
              <w:t>Tiếp thu một phần</w:t>
            </w:r>
          </w:p>
          <w:p w14:paraId="0AC32C28" w14:textId="77777777" w:rsidR="006D2AAA" w:rsidRPr="00833644" w:rsidRDefault="006D2AAA" w:rsidP="00E67448">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 xml:space="preserve"> </w:t>
            </w:r>
            <w:r w:rsidRPr="00833644">
              <w:rPr>
                <w:rFonts w:ascii="Times New Roman" w:eastAsia="Times New Roman" w:hAnsi="Times New Roman" w:cs="Times New Roman"/>
                <w:sz w:val="24"/>
                <w:szCs w:val="24"/>
              </w:rPr>
              <w:br/>
              <w:t>1. Tại dự thảo Thông tư sửa đổi Thông tư 09/2023/TT-NHNN đã giải quyết một phần nội dung liên quan đến trách nhiệm nhận biết khách hàng, báo cáo giao dịch đáng ngờ, báo cáo chuyển tiền điện tử...</w:t>
            </w:r>
            <w:r w:rsidRPr="00833644">
              <w:rPr>
                <w:rFonts w:ascii="Times New Roman" w:eastAsia="Times New Roman" w:hAnsi="Times New Roman" w:cs="Times New Roman"/>
                <w:sz w:val="24"/>
                <w:szCs w:val="24"/>
              </w:rPr>
              <w:br/>
              <w:t>2. Theo quy định của pháp luật về TTKB và TTPBVKHDHL, nội dung liên quan đến TTKB thuộc trách nhiệm của Bộ Công an; VKHDHL thuộc trách nhiệm của Bộ Quốc phòng.</w:t>
            </w:r>
          </w:p>
          <w:p w14:paraId="5AE68D79" w14:textId="57D47F3A" w:rsidR="006D2AAA" w:rsidRPr="00833644" w:rsidRDefault="006D2AAA" w:rsidP="00E67448">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 xml:space="preserve">Điều 39  Luật Phòng, chống khủng bố 2013 quy định cơ quan quản lý </w:t>
            </w:r>
            <w:r w:rsidRPr="00833644">
              <w:rPr>
                <w:rFonts w:ascii="Times New Roman" w:eastAsia="Times New Roman" w:hAnsi="Times New Roman" w:cs="Times New Roman"/>
                <w:sz w:val="24"/>
                <w:szCs w:val="24"/>
              </w:rPr>
              <w:lastRenderedPageBreak/>
              <w:t>nhà nước về phòng, chống khủng bố: “2. Bộ Công an chịu trách nhiệm trước Chính phủ chủ trì, phối hợp với Bộ Quốc phòng, các bộ, ngành liên quan thực hiện quản lý nhà nước về phòng, chống khủng bố.”</w:t>
            </w:r>
          </w:p>
          <w:p w14:paraId="107AAD9C" w14:textId="0E21B9D4" w:rsidR="006D2AAA" w:rsidRPr="00833644" w:rsidRDefault="006D2AAA" w:rsidP="00E67448">
            <w:pPr>
              <w:spacing w:after="0" w:line="240" w:lineRule="auto"/>
              <w:jc w:val="both"/>
              <w:rPr>
                <w:rFonts w:ascii="Times New Roman" w:eastAsia="Times New Roman" w:hAnsi="Times New Roman" w:cs="Times New Roman"/>
                <w:sz w:val="24"/>
                <w:szCs w:val="24"/>
              </w:rPr>
            </w:pPr>
            <w:r w:rsidRPr="00833644">
              <w:rPr>
                <w:rFonts w:ascii="Times New Roman" w:eastAsia="Times New Roman" w:hAnsi="Times New Roman" w:cs="Times New Roman"/>
                <w:sz w:val="24"/>
                <w:szCs w:val="24"/>
              </w:rPr>
              <w:t>Khoản 1, Điều 10, Luật PCRT quy định: “1. Bộ Quốc phòng là Cơ quan đầu mối quốc gia Việt Nam về thực hiện phòng, chống phổ biến vũ khí hủy diệt hàng loạt (sau đây gọi tắt là Cơ quan đầu mối quốc gia).”.</w:t>
            </w:r>
            <w:r w:rsidRPr="00833644">
              <w:rPr>
                <w:rFonts w:ascii="Times New Roman" w:eastAsia="Times New Roman" w:hAnsi="Times New Roman" w:cs="Times New Roman"/>
                <w:sz w:val="24"/>
                <w:szCs w:val="24"/>
              </w:rPr>
              <w:br/>
              <w:t>Trong thời gian tới, NHNN sẽ tiếp tục làm việc với Bộ Công an, Bộ Quốc phòng để nghiên cứu, hướng dẫn các nội dung còn lại.</w:t>
            </w:r>
          </w:p>
        </w:tc>
        <w:tc>
          <w:tcPr>
            <w:tcW w:w="2410" w:type="dxa"/>
            <w:tcBorders>
              <w:top w:val="single" w:sz="6" w:space="0" w:color="CCCCCC"/>
              <w:left w:val="single" w:sz="6" w:space="0" w:color="CCCCCC"/>
              <w:bottom w:val="single" w:sz="6" w:space="0" w:color="000000"/>
              <w:right w:val="single" w:sz="6" w:space="0" w:color="000000"/>
            </w:tcBorders>
          </w:tcPr>
          <w:p w14:paraId="423070FD" w14:textId="1A6B6B81" w:rsidR="00470056" w:rsidRPr="00470056" w:rsidRDefault="00470056" w:rsidP="00231028">
            <w:pPr>
              <w:spacing w:after="0"/>
              <w:ind w:left="142" w:right="142" w:firstLine="397"/>
              <w:jc w:val="both"/>
              <w:rPr>
                <w:rFonts w:ascii="Times New Roman" w:hAnsi="Times New Roman" w:cs="Times New Roman"/>
                <w:b/>
                <w:sz w:val="24"/>
                <w:szCs w:val="24"/>
              </w:rPr>
            </w:pPr>
            <w:r w:rsidRPr="00470056">
              <w:rPr>
                <w:rFonts w:ascii="Times New Roman" w:hAnsi="Times New Roman" w:cs="Times New Roman"/>
                <w:b/>
                <w:sz w:val="24"/>
                <w:szCs w:val="24"/>
              </w:rPr>
              <w:lastRenderedPageBreak/>
              <w:t xml:space="preserve">Đã </w:t>
            </w:r>
            <w:r w:rsidR="004E3D9B">
              <w:rPr>
                <w:rFonts w:ascii="Times New Roman" w:hAnsi="Times New Roman" w:cs="Times New Roman"/>
                <w:b/>
                <w:sz w:val="24"/>
                <w:szCs w:val="24"/>
              </w:rPr>
              <w:t>xử lý</w:t>
            </w:r>
          </w:p>
          <w:p w14:paraId="0D6C86F9" w14:textId="6D6DC67A" w:rsidR="006D2AAA" w:rsidRPr="00833644" w:rsidRDefault="00470056" w:rsidP="00231028">
            <w:pPr>
              <w:spacing w:after="0"/>
              <w:ind w:left="142" w:right="142"/>
              <w:jc w:val="both"/>
              <w:rPr>
                <w:rFonts w:ascii="Times New Roman" w:eastAsia="Times" w:hAnsi="Times New Roman" w:cs="Times New Roman"/>
                <w:sz w:val="24"/>
                <w:szCs w:val="24"/>
              </w:rPr>
            </w:pPr>
            <w:r>
              <w:rPr>
                <w:rFonts w:ascii="Times New Roman" w:hAnsi="Times New Roman" w:cs="Times New Roman"/>
                <w:sz w:val="24"/>
                <w:szCs w:val="24"/>
              </w:rPr>
              <w:t xml:space="preserve"> </w:t>
            </w:r>
            <w:r w:rsidRPr="00705BE4">
              <w:rPr>
                <w:rFonts w:ascii="Times New Roman" w:hAnsi="Times New Roman" w:cs="Times New Roman"/>
                <w:sz w:val="24"/>
                <w:szCs w:val="24"/>
              </w:rPr>
              <w:t xml:space="preserve">Ngày 15/9/2025, NHNN ban hành Thông tư số 27/2025/TT-NHNN hướng dẫn thực hiện một số điều của Luật Phòng, chống rửa tiền thay thế Thông tư số 09/2023/TT-NHNN ngày 28 tháng 7 năm 2023. Thông tư 27/2025/TT-NHNN đã giải quyết một số nội dung vướng mắc </w:t>
            </w:r>
            <w:r w:rsidRPr="00705BE4">
              <w:rPr>
                <w:rFonts w:ascii="Times New Roman" w:hAnsi="Times New Roman" w:cs="Times New Roman"/>
                <w:sz w:val="24"/>
                <w:szCs w:val="24"/>
              </w:rPr>
              <w:lastRenderedPageBreak/>
              <w:t>liên quan đến trách nhiệm nhận biết khách hàng, báo cáo giao dịch đáng ngờ, báo cáo chuyển tiền điện tử trong phòng, chống rửa tiền, tài trợ khủng bố, tài trợ phổ biến vũ khí hủy diệt hàng loạt…</w:t>
            </w:r>
          </w:p>
        </w:tc>
      </w:tr>
    </w:tbl>
    <w:p w14:paraId="47A5A03A" w14:textId="77777777" w:rsidR="00D77CBC" w:rsidRPr="00833644" w:rsidRDefault="00D77CBC" w:rsidP="00D77CBC">
      <w:pPr>
        <w:jc w:val="both"/>
        <w:rPr>
          <w:rFonts w:ascii="Times New Roman" w:hAnsi="Times New Roman" w:cs="Times New Roman"/>
          <w:sz w:val="24"/>
          <w:szCs w:val="24"/>
        </w:rPr>
      </w:pPr>
    </w:p>
    <w:sectPr w:rsidR="00D77CBC" w:rsidRPr="00833644" w:rsidSect="00367309">
      <w:headerReference w:type="default" r:id="rId7"/>
      <w:footerReference w:type="default" r:id="rId8"/>
      <w:pgSz w:w="16839" w:h="11907" w:orient="landscape" w:code="9"/>
      <w:pgMar w:top="1440" w:right="1440" w:bottom="144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22B88" w14:textId="77777777" w:rsidR="00257A4A" w:rsidRDefault="00257A4A" w:rsidP="00195A45">
      <w:pPr>
        <w:spacing w:after="0" w:line="240" w:lineRule="auto"/>
      </w:pPr>
      <w:r>
        <w:separator/>
      </w:r>
    </w:p>
  </w:endnote>
  <w:endnote w:type="continuationSeparator" w:id="0">
    <w:p w14:paraId="1E3E8E6D" w14:textId="77777777" w:rsidR="00257A4A" w:rsidRDefault="00257A4A" w:rsidP="00195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9F0D6" w14:textId="32BB4B7D" w:rsidR="00195A45" w:rsidRDefault="00195A45" w:rsidP="00833644">
    <w:pPr>
      <w:pStyle w:val="Footer"/>
    </w:pPr>
  </w:p>
  <w:p w14:paraId="69491B34" w14:textId="77777777" w:rsidR="00195A45" w:rsidRDefault="00195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E10E4" w14:textId="77777777" w:rsidR="00257A4A" w:rsidRDefault="00257A4A" w:rsidP="00195A45">
      <w:pPr>
        <w:spacing w:after="0" w:line="240" w:lineRule="auto"/>
      </w:pPr>
      <w:r>
        <w:separator/>
      </w:r>
    </w:p>
  </w:footnote>
  <w:footnote w:type="continuationSeparator" w:id="0">
    <w:p w14:paraId="2A82FFA0" w14:textId="77777777" w:rsidR="00257A4A" w:rsidRDefault="00257A4A" w:rsidP="00195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5096350"/>
      <w:docPartObj>
        <w:docPartGallery w:val="Page Numbers (Top of Page)"/>
        <w:docPartUnique/>
      </w:docPartObj>
    </w:sdtPr>
    <w:sdtEndPr>
      <w:rPr>
        <w:rFonts w:ascii="Times New Roman" w:hAnsi="Times New Roman" w:cs="Times New Roman"/>
        <w:noProof/>
      </w:rPr>
    </w:sdtEndPr>
    <w:sdtContent>
      <w:p w14:paraId="7EDCCFBA" w14:textId="3DCD96FB" w:rsidR="00833644" w:rsidRPr="00833644" w:rsidRDefault="00833644">
        <w:pPr>
          <w:pStyle w:val="Header"/>
          <w:jc w:val="center"/>
          <w:rPr>
            <w:rFonts w:ascii="Times New Roman" w:hAnsi="Times New Roman" w:cs="Times New Roman"/>
          </w:rPr>
        </w:pPr>
        <w:r w:rsidRPr="00833644">
          <w:rPr>
            <w:rFonts w:ascii="Times New Roman" w:hAnsi="Times New Roman" w:cs="Times New Roman"/>
          </w:rPr>
          <w:fldChar w:fldCharType="begin"/>
        </w:r>
        <w:r w:rsidRPr="00833644">
          <w:rPr>
            <w:rFonts w:ascii="Times New Roman" w:hAnsi="Times New Roman" w:cs="Times New Roman"/>
          </w:rPr>
          <w:instrText xml:space="preserve"> PAGE   \* MERGEFORMAT </w:instrText>
        </w:r>
        <w:r w:rsidRPr="00833644">
          <w:rPr>
            <w:rFonts w:ascii="Times New Roman" w:hAnsi="Times New Roman" w:cs="Times New Roman"/>
          </w:rPr>
          <w:fldChar w:fldCharType="separate"/>
        </w:r>
        <w:r w:rsidR="00721792">
          <w:rPr>
            <w:rFonts w:ascii="Times New Roman" w:hAnsi="Times New Roman" w:cs="Times New Roman"/>
            <w:noProof/>
          </w:rPr>
          <w:t>11</w:t>
        </w:r>
        <w:r w:rsidRPr="00833644">
          <w:rPr>
            <w:rFonts w:ascii="Times New Roman" w:hAnsi="Times New Roman" w:cs="Times New Roman"/>
            <w:noProof/>
          </w:rPr>
          <w:fldChar w:fldCharType="end"/>
        </w:r>
      </w:p>
    </w:sdtContent>
  </w:sdt>
  <w:p w14:paraId="0921296A" w14:textId="77777777" w:rsidR="00833644" w:rsidRDefault="008336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CBC"/>
    <w:rsid w:val="00001976"/>
    <w:rsid w:val="00002361"/>
    <w:rsid w:val="000273C4"/>
    <w:rsid w:val="0003018C"/>
    <w:rsid w:val="00070981"/>
    <w:rsid w:val="00073875"/>
    <w:rsid w:val="000962CA"/>
    <w:rsid w:val="000A7CD6"/>
    <w:rsid w:val="000B05DA"/>
    <w:rsid w:val="000B6598"/>
    <w:rsid w:val="000B66A3"/>
    <w:rsid w:val="000D35D7"/>
    <w:rsid w:val="000D5FA3"/>
    <w:rsid w:val="000E296F"/>
    <w:rsid w:val="000E71DD"/>
    <w:rsid w:val="000F4ED1"/>
    <w:rsid w:val="000F769B"/>
    <w:rsid w:val="00104D87"/>
    <w:rsid w:val="00107845"/>
    <w:rsid w:val="001276B7"/>
    <w:rsid w:val="00147FDD"/>
    <w:rsid w:val="00151D04"/>
    <w:rsid w:val="00185B0C"/>
    <w:rsid w:val="00195A45"/>
    <w:rsid w:val="001A6C37"/>
    <w:rsid w:val="001A744E"/>
    <w:rsid w:val="001B5562"/>
    <w:rsid w:val="001C2F28"/>
    <w:rsid w:val="00206136"/>
    <w:rsid w:val="0020676D"/>
    <w:rsid w:val="00224F1B"/>
    <w:rsid w:val="00231028"/>
    <w:rsid w:val="00252670"/>
    <w:rsid w:val="00257A4A"/>
    <w:rsid w:val="00264E87"/>
    <w:rsid w:val="00276BDF"/>
    <w:rsid w:val="00284CBA"/>
    <w:rsid w:val="00295CA7"/>
    <w:rsid w:val="002B1041"/>
    <w:rsid w:val="002B7AB3"/>
    <w:rsid w:val="002C6B29"/>
    <w:rsid w:val="002D50B8"/>
    <w:rsid w:val="002E5CED"/>
    <w:rsid w:val="0030617C"/>
    <w:rsid w:val="00317BB3"/>
    <w:rsid w:val="00367309"/>
    <w:rsid w:val="00397CEF"/>
    <w:rsid w:val="003A14F0"/>
    <w:rsid w:val="003A75C3"/>
    <w:rsid w:val="003B7BFE"/>
    <w:rsid w:val="003E5914"/>
    <w:rsid w:val="004005AA"/>
    <w:rsid w:val="00403B43"/>
    <w:rsid w:val="00441F68"/>
    <w:rsid w:val="004556B9"/>
    <w:rsid w:val="00461E58"/>
    <w:rsid w:val="00462DB8"/>
    <w:rsid w:val="004635CE"/>
    <w:rsid w:val="00464AA2"/>
    <w:rsid w:val="00470056"/>
    <w:rsid w:val="00473481"/>
    <w:rsid w:val="0047439F"/>
    <w:rsid w:val="004866F5"/>
    <w:rsid w:val="004B40D8"/>
    <w:rsid w:val="004C4DC4"/>
    <w:rsid w:val="004D37BF"/>
    <w:rsid w:val="004E3D9B"/>
    <w:rsid w:val="004F7969"/>
    <w:rsid w:val="00531A05"/>
    <w:rsid w:val="00546E7B"/>
    <w:rsid w:val="00550AB7"/>
    <w:rsid w:val="00563C9B"/>
    <w:rsid w:val="00567B2A"/>
    <w:rsid w:val="005967C1"/>
    <w:rsid w:val="005A43DE"/>
    <w:rsid w:val="005C38B4"/>
    <w:rsid w:val="005C5F28"/>
    <w:rsid w:val="005D6485"/>
    <w:rsid w:val="005D7305"/>
    <w:rsid w:val="00600575"/>
    <w:rsid w:val="0060441E"/>
    <w:rsid w:val="00647B05"/>
    <w:rsid w:val="006620B8"/>
    <w:rsid w:val="00675CA4"/>
    <w:rsid w:val="00690A13"/>
    <w:rsid w:val="006A08B0"/>
    <w:rsid w:val="006B1FAB"/>
    <w:rsid w:val="006C5173"/>
    <w:rsid w:val="006D2AAA"/>
    <w:rsid w:val="006E1A94"/>
    <w:rsid w:val="006E59CE"/>
    <w:rsid w:val="00706A20"/>
    <w:rsid w:val="00713D25"/>
    <w:rsid w:val="00721792"/>
    <w:rsid w:val="00733864"/>
    <w:rsid w:val="00752089"/>
    <w:rsid w:val="007B44C1"/>
    <w:rsid w:val="007D5082"/>
    <w:rsid w:val="007E6B2B"/>
    <w:rsid w:val="00833644"/>
    <w:rsid w:val="008373AC"/>
    <w:rsid w:val="008514EB"/>
    <w:rsid w:val="00867776"/>
    <w:rsid w:val="00874349"/>
    <w:rsid w:val="00882929"/>
    <w:rsid w:val="00894094"/>
    <w:rsid w:val="008A5B5E"/>
    <w:rsid w:val="008A6FDE"/>
    <w:rsid w:val="008B3703"/>
    <w:rsid w:val="008C0657"/>
    <w:rsid w:val="008F4C65"/>
    <w:rsid w:val="009318CF"/>
    <w:rsid w:val="00952201"/>
    <w:rsid w:val="00961FFA"/>
    <w:rsid w:val="0096499D"/>
    <w:rsid w:val="00983AD6"/>
    <w:rsid w:val="00994BA7"/>
    <w:rsid w:val="009B7C6F"/>
    <w:rsid w:val="009D7171"/>
    <w:rsid w:val="009D7AF9"/>
    <w:rsid w:val="009E1079"/>
    <w:rsid w:val="009F4D8B"/>
    <w:rsid w:val="00A0775D"/>
    <w:rsid w:val="00A43F05"/>
    <w:rsid w:val="00A703DA"/>
    <w:rsid w:val="00A71A1B"/>
    <w:rsid w:val="00A72D9B"/>
    <w:rsid w:val="00A72E1B"/>
    <w:rsid w:val="00A83283"/>
    <w:rsid w:val="00A95CE0"/>
    <w:rsid w:val="00AC2B69"/>
    <w:rsid w:val="00AF7F92"/>
    <w:rsid w:val="00B115BA"/>
    <w:rsid w:val="00B12FDA"/>
    <w:rsid w:val="00B16DB9"/>
    <w:rsid w:val="00B16E59"/>
    <w:rsid w:val="00B22391"/>
    <w:rsid w:val="00B3145C"/>
    <w:rsid w:val="00B4050B"/>
    <w:rsid w:val="00B5524E"/>
    <w:rsid w:val="00B62075"/>
    <w:rsid w:val="00B7592B"/>
    <w:rsid w:val="00B9398E"/>
    <w:rsid w:val="00BB5725"/>
    <w:rsid w:val="00BB7437"/>
    <w:rsid w:val="00BF34FA"/>
    <w:rsid w:val="00C159CF"/>
    <w:rsid w:val="00C33623"/>
    <w:rsid w:val="00C37E2A"/>
    <w:rsid w:val="00C423F2"/>
    <w:rsid w:val="00C433B6"/>
    <w:rsid w:val="00C66873"/>
    <w:rsid w:val="00C8234C"/>
    <w:rsid w:val="00CB00FC"/>
    <w:rsid w:val="00CB2EA0"/>
    <w:rsid w:val="00CD487C"/>
    <w:rsid w:val="00D170AB"/>
    <w:rsid w:val="00D257C8"/>
    <w:rsid w:val="00D32B18"/>
    <w:rsid w:val="00D55633"/>
    <w:rsid w:val="00D77CBC"/>
    <w:rsid w:val="00D8118D"/>
    <w:rsid w:val="00DC06C8"/>
    <w:rsid w:val="00DC2770"/>
    <w:rsid w:val="00DD2DE4"/>
    <w:rsid w:val="00E00B5A"/>
    <w:rsid w:val="00E11C83"/>
    <w:rsid w:val="00E239FC"/>
    <w:rsid w:val="00E3254F"/>
    <w:rsid w:val="00E32E8D"/>
    <w:rsid w:val="00E67448"/>
    <w:rsid w:val="00E82183"/>
    <w:rsid w:val="00EB44BB"/>
    <w:rsid w:val="00EE1890"/>
    <w:rsid w:val="00EF679C"/>
    <w:rsid w:val="00F1250F"/>
    <w:rsid w:val="00F1257F"/>
    <w:rsid w:val="00F24E45"/>
    <w:rsid w:val="00F308A8"/>
    <w:rsid w:val="00F30D32"/>
    <w:rsid w:val="00F462ED"/>
    <w:rsid w:val="00F6107A"/>
    <w:rsid w:val="00FB01C1"/>
    <w:rsid w:val="00FC47BE"/>
    <w:rsid w:val="00FC6823"/>
    <w:rsid w:val="00FC799D"/>
    <w:rsid w:val="00FE2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9180"/>
  <w15:chartTrackingRefBased/>
  <w15:docId w15:val="{193FCE83-5C25-41B8-B5C0-37ABC295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62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7CBC"/>
    <w:rPr>
      <w:color w:val="0000FF"/>
      <w:u w:val="single"/>
    </w:rPr>
  </w:style>
  <w:style w:type="paragraph" w:styleId="BalloonText">
    <w:name w:val="Balloon Text"/>
    <w:basedOn w:val="Normal"/>
    <w:link w:val="BalloonTextChar"/>
    <w:uiPriority w:val="99"/>
    <w:semiHidden/>
    <w:unhideWhenUsed/>
    <w:rsid w:val="00C82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4C"/>
    <w:rPr>
      <w:rFonts w:ascii="Segoe UI" w:hAnsi="Segoe UI" w:cs="Segoe UI"/>
      <w:sz w:val="18"/>
      <w:szCs w:val="18"/>
    </w:rPr>
  </w:style>
  <w:style w:type="paragraph" w:styleId="Header">
    <w:name w:val="header"/>
    <w:basedOn w:val="Normal"/>
    <w:link w:val="HeaderChar"/>
    <w:uiPriority w:val="99"/>
    <w:unhideWhenUsed/>
    <w:rsid w:val="00195A4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5A45"/>
  </w:style>
  <w:style w:type="paragraph" w:styleId="Footer">
    <w:name w:val="footer"/>
    <w:basedOn w:val="Normal"/>
    <w:link w:val="FooterChar"/>
    <w:unhideWhenUsed/>
    <w:rsid w:val="00195A45"/>
    <w:pPr>
      <w:tabs>
        <w:tab w:val="center" w:pos="4680"/>
        <w:tab w:val="right" w:pos="9360"/>
      </w:tabs>
      <w:spacing w:after="0" w:line="240" w:lineRule="auto"/>
    </w:pPr>
  </w:style>
  <w:style w:type="character" w:customStyle="1" w:styleId="FooterChar">
    <w:name w:val="Footer Char"/>
    <w:basedOn w:val="DefaultParagraphFont"/>
    <w:link w:val="Footer"/>
    <w:rsid w:val="00195A45"/>
  </w:style>
  <w:style w:type="character" w:styleId="CommentReference">
    <w:name w:val="annotation reference"/>
    <w:basedOn w:val="DefaultParagraphFont"/>
    <w:uiPriority w:val="99"/>
    <w:semiHidden/>
    <w:unhideWhenUsed/>
    <w:rsid w:val="0020676D"/>
    <w:rPr>
      <w:sz w:val="16"/>
      <w:szCs w:val="16"/>
    </w:rPr>
  </w:style>
  <w:style w:type="paragraph" w:styleId="CommentText">
    <w:name w:val="annotation text"/>
    <w:basedOn w:val="Normal"/>
    <w:link w:val="CommentTextChar"/>
    <w:uiPriority w:val="99"/>
    <w:semiHidden/>
    <w:unhideWhenUsed/>
    <w:rsid w:val="0020676D"/>
    <w:pPr>
      <w:spacing w:line="240" w:lineRule="auto"/>
    </w:pPr>
    <w:rPr>
      <w:sz w:val="20"/>
      <w:szCs w:val="20"/>
    </w:rPr>
  </w:style>
  <w:style w:type="character" w:customStyle="1" w:styleId="CommentTextChar">
    <w:name w:val="Comment Text Char"/>
    <w:basedOn w:val="DefaultParagraphFont"/>
    <w:link w:val="CommentText"/>
    <w:uiPriority w:val="99"/>
    <w:semiHidden/>
    <w:rsid w:val="0020676D"/>
    <w:rPr>
      <w:sz w:val="20"/>
      <w:szCs w:val="20"/>
    </w:rPr>
  </w:style>
  <w:style w:type="paragraph" w:styleId="CommentSubject">
    <w:name w:val="annotation subject"/>
    <w:basedOn w:val="CommentText"/>
    <w:next w:val="CommentText"/>
    <w:link w:val="CommentSubjectChar"/>
    <w:uiPriority w:val="99"/>
    <w:semiHidden/>
    <w:unhideWhenUsed/>
    <w:rsid w:val="0020676D"/>
    <w:rPr>
      <w:b/>
      <w:bCs/>
    </w:rPr>
  </w:style>
  <w:style w:type="character" w:customStyle="1" w:styleId="CommentSubjectChar">
    <w:name w:val="Comment Subject Char"/>
    <w:basedOn w:val="CommentTextChar"/>
    <w:link w:val="CommentSubject"/>
    <w:uiPriority w:val="99"/>
    <w:semiHidden/>
    <w:rsid w:val="0020676D"/>
    <w:rPr>
      <w:b/>
      <w:bCs/>
      <w:sz w:val="20"/>
      <w:szCs w:val="20"/>
    </w:rPr>
  </w:style>
  <w:style w:type="paragraph" w:styleId="ListParagraph">
    <w:name w:val="List Paragraph"/>
    <w:basedOn w:val="Normal"/>
    <w:uiPriority w:val="34"/>
    <w:qFormat/>
    <w:rsid w:val="00713D25"/>
    <w:pPr>
      <w:ind w:left="720"/>
      <w:contextualSpacing/>
    </w:pPr>
  </w:style>
  <w:style w:type="paragraph" w:styleId="NormalWeb">
    <w:name w:val="Normal (Web)"/>
    <w:basedOn w:val="Normal"/>
    <w:uiPriority w:val="99"/>
    <w:unhideWhenUsed/>
    <w:rsid w:val="009D7171"/>
    <w:pPr>
      <w:spacing w:before="100" w:beforeAutospacing="1" w:after="100" w:afterAutospacing="1" w:line="240" w:lineRule="auto"/>
    </w:pPr>
    <w:rPr>
      <w:rFonts w:ascii="Times New Roman" w:eastAsiaTheme="minorEastAsia" w:hAnsi="Times New Roman" w:cs="Times New Roman"/>
      <w:sz w:val="24"/>
      <w:szCs w:val="24"/>
      <w14:ligatures w14:val="standardContextual"/>
    </w:rPr>
  </w:style>
  <w:style w:type="character" w:styleId="Strong">
    <w:name w:val="Strong"/>
    <w:basedOn w:val="DefaultParagraphFont"/>
    <w:uiPriority w:val="22"/>
    <w:qFormat/>
    <w:rsid w:val="009D7171"/>
    <w:rPr>
      <w:b/>
      <w:bCs/>
    </w:rPr>
  </w:style>
  <w:style w:type="character" w:styleId="Emphasis">
    <w:name w:val="Emphasis"/>
    <w:basedOn w:val="DefaultParagraphFont"/>
    <w:uiPriority w:val="20"/>
    <w:qFormat/>
    <w:rsid w:val="009D7171"/>
    <w:rPr>
      <w:i/>
      <w:iCs/>
    </w:rPr>
  </w:style>
  <w:style w:type="paragraph" w:styleId="FootnoteText">
    <w:name w:val="footnote text"/>
    <w:basedOn w:val="Normal"/>
    <w:link w:val="FootnoteTextChar"/>
    <w:uiPriority w:val="99"/>
    <w:semiHidden/>
    <w:unhideWhenUsed/>
    <w:rsid w:val="00F1250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250F"/>
    <w:rPr>
      <w:sz w:val="20"/>
      <w:szCs w:val="20"/>
    </w:rPr>
  </w:style>
  <w:style w:type="character" w:styleId="FootnoteReference">
    <w:name w:val="footnote reference"/>
    <w:basedOn w:val="DefaultParagraphFont"/>
    <w:uiPriority w:val="99"/>
    <w:semiHidden/>
    <w:unhideWhenUsed/>
    <w:rsid w:val="00F1250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73850">
      <w:bodyDiv w:val="1"/>
      <w:marLeft w:val="0"/>
      <w:marRight w:val="0"/>
      <w:marTop w:val="0"/>
      <w:marBottom w:val="0"/>
      <w:divBdr>
        <w:top w:val="none" w:sz="0" w:space="0" w:color="auto"/>
        <w:left w:val="none" w:sz="0" w:space="0" w:color="auto"/>
        <w:bottom w:val="none" w:sz="0" w:space="0" w:color="auto"/>
        <w:right w:val="none" w:sz="0" w:space="0" w:color="auto"/>
      </w:divBdr>
    </w:div>
    <w:div w:id="179708391">
      <w:bodyDiv w:val="1"/>
      <w:marLeft w:val="0"/>
      <w:marRight w:val="0"/>
      <w:marTop w:val="0"/>
      <w:marBottom w:val="0"/>
      <w:divBdr>
        <w:top w:val="none" w:sz="0" w:space="0" w:color="auto"/>
        <w:left w:val="none" w:sz="0" w:space="0" w:color="auto"/>
        <w:bottom w:val="none" w:sz="0" w:space="0" w:color="auto"/>
        <w:right w:val="none" w:sz="0" w:space="0" w:color="auto"/>
      </w:divBdr>
    </w:div>
    <w:div w:id="1638143731">
      <w:bodyDiv w:val="1"/>
      <w:marLeft w:val="0"/>
      <w:marRight w:val="0"/>
      <w:marTop w:val="0"/>
      <w:marBottom w:val="0"/>
      <w:divBdr>
        <w:top w:val="none" w:sz="0" w:space="0" w:color="auto"/>
        <w:left w:val="none" w:sz="0" w:space="0" w:color="auto"/>
        <w:bottom w:val="none" w:sz="0" w:space="0" w:color="auto"/>
        <w:right w:val="none" w:sz="0" w:space="0" w:color="auto"/>
      </w:divBdr>
    </w:div>
    <w:div w:id="1837190002">
      <w:bodyDiv w:val="1"/>
      <w:marLeft w:val="0"/>
      <w:marRight w:val="0"/>
      <w:marTop w:val="0"/>
      <w:marBottom w:val="0"/>
      <w:divBdr>
        <w:top w:val="none" w:sz="0" w:space="0" w:color="auto"/>
        <w:left w:val="none" w:sz="0" w:space="0" w:color="auto"/>
        <w:bottom w:val="none" w:sz="0" w:space="0" w:color="auto"/>
        <w:right w:val="none" w:sz="0" w:space="0" w:color="auto"/>
      </w:divBdr>
    </w:div>
    <w:div w:id="2000183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4F2B7-600F-418F-A514-BA9C5F6C2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10</Pages>
  <Words>2212</Words>
  <Characters>12615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Song Thuong (PC)</dc:creator>
  <cp:keywords/>
  <dc:description/>
  <cp:lastModifiedBy>DELL</cp:lastModifiedBy>
  <cp:revision>22</cp:revision>
  <cp:lastPrinted>2025-09-19T13:37:00Z</cp:lastPrinted>
  <dcterms:created xsi:type="dcterms:W3CDTF">2025-09-19T10:35:00Z</dcterms:created>
  <dcterms:modified xsi:type="dcterms:W3CDTF">2025-12-14T05:57:00Z</dcterms:modified>
</cp:coreProperties>
</file>