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1C68" w14:textId="77777777" w:rsidR="00233CF0" w:rsidRPr="009D32EF" w:rsidRDefault="00233CF0" w:rsidP="00233CF0">
      <w:pPr>
        <w:pStyle w:val="NormalWeb"/>
        <w:spacing w:before="0" w:beforeAutospacing="0" w:after="0" w:afterAutospacing="0" w:line="264" w:lineRule="auto"/>
        <w:jc w:val="center"/>
        <w:rPr>
          <w:color w:val="000000"/>
          <w:sz w:val="26"/>
          <w:szCs w:val="26"/>
          <w14:ligatures w14:val="none"/>
        </w:rPr>
      </w:pPr>
      <w:r w:rsidRPr="009D32EF">
        <w:rPr>
          <w:rStyle w:val="Strong"/>
          <w:color w:val="000000"/>
          <w:sz w:val="26"/>
          <w:szCs w:val="26"/>
        </w:rPr>
        <w:t>Phụ lụ</w:t>
      </w:r>
      <w:r>
        <w:rPr>
          <w:rStyle w:val="Strong"/>
          <w:color w:val="000000"/>
          <w:sz w:val="26"/>
          <w:szCs w:val="26"/>
        </w:rPr>
        <w:t>c I</w:t>
      </w:r>
      <w:r w:rsidRPr="009D32EF">
        <w:rPr>
          <w:rStyle w:val="Strong"/>
          <w:color w:val="000000"/>
          <w:sz w:val="26"/>
          <w:szCs w:val="26"/>
        </w:rPr>
        <w:t>.5.1.B</w:t>
      </w:r>
    </w:p>
    <w:p w14:paraId="2A5ABE8A" w14:textId="77777777" w:rsidR="00233CF0" w:rsidRPr="009D32EF" w:rsidRDefault="00233CF0" w:rsidP="00233CF0">
      <w:pPr>
        <w:pStyle w:val="NormalWeb"/>
        <w:spacing w:before="0" w:beforeAutospacing="0" w:after="0" w:afterAutospacing="0" w:line="264" w:lineRule="auto"/>
        <w:jc w:val="center"/>
        <w:rPr>
          <w:rStyle w:val="Strong"/>
          <w:color w:val="000000"/>
          <w:sz w:val="26"/>
          <w:szCs w:val="26"/>
        </w:rPr>
      </w:pPr>
      <w:r>
        <w:rPr>
          <w:b/>
          <w:sz w:val="26"/>
          <w:szCs w:val="26"/>
        </w:rPr>
        <w:t xml:space="preserve">TÌNH HÌNH XỬ LÝ ĐỐI VỚI </w:t>
      </w:r>
      <w:r w:rsidRPr="009D32EF">
        <w:rPr>
          <w:rStyle w:val="Strong"/>
          <w:color w:val="000000"/>
          <w:sz w:val="26"/>
          <w:szCs w:val="26"/>
        </w:rPr>
        <w:t xml:space="preserve">KHÓ KHĂN, VƯỚNG MẮC DO QUY ĐỊNH PHÁP LUẬT </w:t>
      </w:r>
    </w:p>
    <w:p w14:paraId="764C783D" w14:textId="77777777" w:rsidR="00233CF0" w:rsidRPr="009D32EF" w:rsidRDefault="00233CF0" w:rsidP="00233CF0">
      <w:pPr>
        <w:pStyle w:val="NormalWeb"/>
        <w:spacing w:before="0" w:beforeAutospacing="0" w:after="0" w:afterAutospacing="0" w:line="264" w:lineRule="auto"/>
        <w:jc w:val="center"/>
        <w:rPr>
          <w:color w:val="000000"/>
          <w:sz w:val="26"/>
          <w:szCs w:val="26"/>
        </w:rPr>
      </w:pPr>
      <w:r w:rsidRPr="009D32EF">
        <w:rPr>
          <w:rStyle w:val="Strong"/>
          <w:color w:val="000000"/>
          <w:sz w:val="26"/>
          <w:szCs w:val="26"/>
        </w:rPr>
        <w:t xml:space="preserve">THUỘC PHẠM VI PHỤ TRÁCH </w:t>
      </w:r>
      <w:r w:rsidRPr="009D32EF">
        <w:rPr>
          <w:b/>
          <w:bCs/>
          <w:spacing w:val="-4"/>
          <w:sz w:val="26"/>
          <w:szCs w:val="26"/>
          <w:lang w:val="de-DE"/>
        </w:rPr>
        <w:t>CỦA NGÂN HÀNG NHÀ NƯỚC VIỆT NAM</w:t>
      </w:r>
    </w:p>
    <w:p w14:paraId="6EADC0A1" w14:textId="77777777" w:rsidR="00233CF0" w:rsidRPr="009D32EF" w:rsidRDefault="00233CF0" w:rsidP="00233CF0">
      <w:pPr>
        <w:pStyle w:val="NormalWeb"/>
        <w:spacing w:before="0" w:beforeAutospacing="0" w:after="0" w:afterAutospacing="0" w:line="264" w:lineRule="auto"/>
        <w:jc w:val="center"/>
        <w:rPr>
          <w:rStyle w:val="Strong"/>
          <w:color w:val="000000"/>
          <w:sz w:val="26"/>
          <w:szCs w:val="26"/>
        </w:rPr>
      </w:pPr>
      <w:r w:rsidRPr="009D32EF">
        <w:rPr>
          <w:rStyle w:val="Strong"/>
          <w:color w:val="000000"/>
          <w:sz w:val="26"/>
          <w:szCs w:val="26"/>
        </w:rPr>
        <w:t>Tiêu chí: Quy định mâu thuẫn, chồng chéo trong cùng một VBQPPL hoặc giữa các VBQPPL</w:t>
      </w:r>
    </w:p>
    <w:p w14:paraId="1AC3E617" w14:textId="77777777" w:rsidR="00233CF0" w:rsidRDefault="00233CF0" w:rsidP="00233CF0">
      <w:pPr>
        <w:pStyle w:val="NormalWeb"/>
        <w:spacing w:before="0" w:beforeAutospacing="0" w:after="0" w:afterAutospacing="0" w:line="264" w:lineRule="auto"/>
        <w:jc w:val="center"/>
        <w:rPr>
          <w:rStyle w:val="Strong"/>
          <w:color w:val="000000"/>
          <w:sz w:val="26"/>
          <w:szCs w:val="26"/>
        </w:rPr>
      </w:pPr>
      <w:r w:rsidRPr="009D32EF">
        <w:rPr>
          <w:rStyle w:val="Strong"/>
          <w:color w:val="000000"/>
          <w:sz w:val="26"/>
          <w:szCs w:val="26"/>
        </w:rPr>
        <w:t xml:space="preserve">B. Nhóm các nội dung cho ý kiến nhất trí nhưng không áp dụng phương án, quy trình xử lý </w:t>
      </w:r>
    </w:p>
    <w:p w14:paraId="64645A5A" w14:textId="2CE4E797" w:rsidR="00296337" w:rsidRPr="00233CF0" w:rsidRDefault="00233CF0" w:rsidP="00233CF0">
      <w:pPr>
        <w:pStyle w:val="NormalWeb"/>
        <w:spacing w:before="0" w:beforeAutospacing="0" w:after="0" w:afterAutospacing="0" w:line="264" w:lineRule="auto"/>
        <w:jc w:val="center"/>
        <w:rPr>
          <w:rStyle w:val="Strong"/>
          <w:color w:val="000000"/>
          <w:sz w:val="26"/>
          <w:szCs w:val="26"/>
        </w:rPr>
      </w:pPr>
      <w:r w:rsidRPr="009D32EF">
        <w:rPr>
          <w:rStyle w:val="Strong"/>
          <w:color w:val="000000"/>
          <w:sz w:val="26"/>
          <w:szCs w:val="26"/>
        </w:rPr>
        <w:t>nêu tại khoản 1 Điều 4 Nghị quyết số 206/2025/QH15 (xử lý theo quy trình thông thường)</w:t>
      </w:r>
    </w:p>
    <w:p w14:paraId="41A2CBDC" w14:textId="77777777" w:rsidR="00233CF0" w:rsidRDefault="00233CF0" w:rsidP="00233CF0">
      <w:pPr>
        <w:pStyle w:val="NormalWeb"/>
        <w:spacing w:before="0" w:beforeAutospacing="0" w:after="0" w:afterAutospacing="0" w:line="264" w:lineRule="auto"/>
        <w:jc w:val="center"/>
        <w:rPr>
          <w:rStyle w:val="Strong"/>
          <w:color w:val="000000"/>
          <w:sz w:val="26"/>
          <w:szCs w:val="26"/>
        </w:rPr>
      </w:pPr>
    </w:p>
    <w:p w14:paraId="1D73A19F" w14:textId="7F0F13C7" w:rsidR="00233CF0" w:rsidRPr="00BB2FB1" w:rsidRDefault="00233CF0" w:rsidP="00233CF0">
      <w:pPr>
        <w:pStyle w:val="NormalWeb"/>
        <w:spacing w:before="0" w:beforeAutospacing="0" w:after="0" w:afterAutospacing="0" w:line="264" w:lineRule="auto"/>
        <w:jc w:val="center"/>
        <w:rPr>
          <w:i/>
          <w:color w:val="000000"/>
          <w:sz w:val="26"/>
          <w:szCs w:val="26"/>
          <w:lang w:val="vi-VN"/>
        </w:rPr>
      </w:pPr>
    </w:p>
    <w:p w14:paraId="780C1D69" w14:textId="5EE62C6A" w:rsidR="00233CF0" w:rsidRPr="006B0BE5" w:rsidRDefault="00233CF0" w:rsidP="00233CF0">
      <w:pPr>
        <w:pStyle w:val="NormalWeb"/>
        <w:spacing w:before="0" w:beforeAutospacing="0" w:after="0" w:afterAutospacing="0" w:line="264" w:lineRule="auto"/>
        <w:jc w:val="center"/>
        <w:rPr>
          <w:i/>
          <w:color w:val="000000"/>
          <w:sz w:val="25"/>
          <w:szCs w:val="25"/>
        </w:rPr>
      </w:pPr>
      <w:r w:rsidRPr="009D32EF">
        <w:rPr>
          <w:i/>
          <w:noProof/>
          <w:sz w:val="26"/>
          <w:szCs w:val="26"/>
        </w:rPr>
        <mc:AlternateContent>
          <mc:Choice Requires="wps">
            <w:drawing>
              <wp:anchor distT="0" distB="0" distL="114300" distR="114300" simplePos="0" relativeHeight="251660288" behindDoc="0" locked="0" layoutInCell="1" allowOverlap="1" wp14:anchorId="4FE349E4" wp14:editId="1EA7F814">
                <wp:simplePos x="0" y="0"/>
                <wp:positionH relativeFrom="column">
                  <wp:posOffset>2856230</wp:posOffset>
                </wp:positionH>
                <wp:positionV relativeFrom="paragraph">
                  <wp:posOffset>105963</wp:posOffset>
                </wp:positionV>
                <wp:extent cx="30054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005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364C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4.9pt,8.35pt" to="461.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0L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" strokecolor="black [3200]" strokeweight=".5pt">
                <v:stroke joinstyle="miter"/>
              </v:line>
            </w:pict>
          </mc:Fallback>
        </mc:AlternateContent>
      </w:r>
    </w:p>
    <w:p w14:paraId="313C58B2" w14:textId="2B14FACC" w:rsidR="00296337" w:rsidRPr="009D32EF" w:rsidRDefault="00296337" w:rsidP="00537745">
      <w:pPr>
        <w:jc w:val="center"/>
        <w:rPr>
          <w:rFonts w:ascii="Times New Roman" w:hAnsi="Times New Roman" w:cs="Times New Roman"/>
          <w:i/>
          <w:sz w:val="26"/>
          <w:szCs w:val="26"/>
        </w:rPr>
      </w:pPr>
    </w:p>
    <w:tbl>
      <w:tblPr>
        <w:tblW w:w="14850" w:type="dxa"/>
        <w:tblInd w:w="-638" w:type="dxa"/>
        <w:tblCellMar>
          <w:left w:w="0" w:type="dxa"/>
          <w:right w:w="0" w:type="dxa"/>
        </w:tblCellMar>
        <w:tblLook w:val="04A0" w:firstRow="1" w:lastRow="0" w:firstColumn="1" w:lastColumn="0" w:noHBand="0" w:noVBand="1"/>
      </w:tblPr>
      <w:tblGrid>
        <w:gridCol w:w="630"/>
        <w:gridCol w:w="2790"/>
        <w:gridCol w:w="3074"/>
        <w:gridCol w:w="1344"/>
        <w:gridCol w:w="1065"/>
        <w:gridCol w:w="3337"/>
        <w:gridCol w:w="2610"/>
      </w:tblGrid>
      <w:tr w:rsidR="007F1100" w:rsidRPr="00D0376F" w14:paraId="16BC37B3" w14:textId="77777777" w:rsidTr="00692355">
        <w:trPr>
          <w:trHeight w:val="315"/>
          <w:tblHeader/>
        </w:trPr>
        <w:tc>
          <w:tcPr>
            <w:tcW w:w="630"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73237150" w14:textId="77777777" w:rsidR="007F1100" w:rsidRPr="00D0376F"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STT</w:t>
            </w:r>
          </w:p>
        </w:tc>
        <w:tc>
          <w:tcPr>
            <w:tcW w:w="2790"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31BF034C" w14:textId="77777777" w:rsidR="007F1100" w:rsidRPr="00D0376F"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Điều, khoản, điểm, tên văn bản đề xuất xử lý</w:t>
            </w:r>
          </w:p>
        </w:tc>
        <w:tc>
          <w:tcPr>
            <w:tcW w:w="307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32C382A4" w14:textId="77777777" w:rsidR="00DA2CC0"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 xml:space="preserve">Nội dung quy định </w:t>
            </w:r>
          </w:p>
          <w:p w14:paraId="18F83E22" w14:textId="77777777" w:rsidR="00642D0E"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 xml:space="preserve">được phản ánh </w:t>
            </w:r>
          </w:p>
          <w:p w14:paraId="07EE508E" w14:textId="6E6AF9A6" w:rsidR="007F1100" w:rsidRPr="00D0376F"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mâu thuẫn, chồng chéo</w:t>
            </w:r>
          </w:p>
        </w:tc>
        <w:tc>
          <w:tcPr>
            <w:tcW w:w="134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5C95182C" w14:textId="77777777" w:rsidR="007F1100" w:rsidRPr="00D0376F"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Phương án xử lý được đề xuất</w:t>
            </w:r>
          </w:p>
        </w:tc>
        <w:tc>
          <w:tcPr>
            <w:tcW w:w="1065"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5ECD3FDA" w14:textId="77777777" w:rsidR="007F1100" w:rsidRPr="00D0376F" w:rsidRDefault="00D0376F"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Cơ quan, tổ chức</w:t>
            </w:r>
            <w:r w:rsidR="007F1100" w:rsidRPr="00D0376F">
              <w:rPr>
                <w:rFonts w:ascii="Times New Roman" w:eastAsia="Times New Roman" w:hAnsi="Times New Roman" w:cs="Times New Roman"/>
                <w:b/>
                <w:bCs/>
                <w:sz w:val="24"/>
                <w:szCs w:val="24"/>
              </w:rPr>
              <w:t xml:space="preserve"> phản ánh</w:t>
            </w:r>
          </w:p>
        </w:tc>
        <w:tc>
          <w:tcPr>
            <w:tcW w:w="3337"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03176F4E" w14:textId="270C036E" w:rsidR="00BC5739"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 xml:space="preserve">Ý kiến của </w:t>
            </w:r>
            <w:r w:rsidR="00D0376F">
              <w:rPr>
                <w:rFonts w:ascii="Times New Roman" w:eastAsia="Times New Roman" w:hAnsi="Times New Roman" w:cs="Times New Roman"/>
                <w:b/>
                <w:bCs/>
                <w:sz w:val="24"/>
                <w:szCs w:val="24"/>
              </w:rPr>
              <w:t>Ngân hàng</w:t>
            </w:r>
          </w:p>
          <w:p w14:paraId="5BA72426" w14:textId="77777777" w:rsidR="00642D0E" w:rsidRDefault="00D0376F" w:rsidP="00F32A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Nhà nước </w:t>
            </w:r>
            <w:r w:rsidR="006C10B1">
              <w:rPr>
                <w:rFonts w:ascii="Times New Roman" w:eastAsia="Times New Roman" w:hAnsi="Times New Roman" w:cs="Times New Roman"/>
                <w:b/>
                <w:bCs/>
                <w:sz w:val="24"/>
                <w:szCs w:val="24"/>
              </w:rPr>
              <w:t xml:space="preserve">Việt </w:t>
            </w:r>
            <w:r w:rsidR="004E7BD5">
              <w:rPr>
                <w:rFonts w:ascii="Times New Roman" w:eastAsia="Times New Roman" w:hAnsi="Times New Roman" w:cs="Times New Roman"/>
                <w:b/>
                <w:bCs/>
                <w:sz w:val="24"/>
                <w:szCs w:val="24"/>
              </w:rPr>
              <w:t xml:space="preserve">Nam </w:t>
            </w:r>
          </w:p>
          <w:p w14:paraId="1F690057" w14:textId="425540E3" w:rsidR="007F1100" w:rsidRPr="00D0376F" w:rsidRDefault="007F1100" w:rsidP="00F32A14">
            <w:pPr>
              <w:spacing w:after="0" w:line="240" w:lineRule="auto"/>
              <w:jc w:val="center"/>
              <w:rPr>
                <w:rFonts w:ascii="Times New Roman" w:eastAsia="Times New Roman" w:hAnsi="Times New Roman" w:cs="Times New Roman"/>
                <w:b/>
                <w:bCs/>
                <w:sz w:val="24"/>
                <w:szCs w:val="24"/>
              </w:rPr>
            </w:pPr>
            <w:r w:rsidRPr="00D0376F">
              <w:rPr>
                <w:rFonts w:ascii="Times New Roman" w:eastAsia="Times New Roman" w:hAnsi="Times New Roman" w:cs="Times New Roman"/>
                <w:b/>
                <w:bCs/>
                <w:sz w:val="24"/>
                <w:szCs w:val="24"/>
              </w:rPr>
              <w:t>về nội dung rà soát, phản ánh</w:t>
            </w:r>
          </w:p>
        </w:tc>
        <w:tc>
          <w:tcPr>
            <w:tcW w:w="2610"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vAlign w:val="center"/>
          </w:tcPr>
          <w:p w14:paraId="754FF022" w14:textId="4F190D53" w:rsidR="007F1100" w:rsidRPr="00D0376F" w:rsidRDefault="0022450F" w:rsidP="00824C00">
            <w:pPr>
              <w:spacing w:after="0"/>
              <w:ind w:right="110"/>
              <w:jc w:val="center"/>
              <w:rPr>
                <w:rFonts w:ascii="Times New Roman" w:eastAsia="Times" w:hAnsi="Times New Roman" w:cs="Times New Roman"/>
                <w:b/>
                <w:sz w:val="24"/>
                <w:szCs w:val="24"/>
              </w:rPr>
            </w:pPr>
            <w:r>
              <w:rPr>
                <w:rFonts w:ascii="Times New Roman" w:hAnsi="Times New Roman" w:cs="Times New Roman"/>
                <w:b/>
                <w:bCs/>
                <w:sz w:val="25"/>
                <w:szCs w:val="25"/>
              </w:rPr>
              <w:t xml:space="preserve">Tình hình xử lý </w:t>
            </w:r>
          </w:p>
        </w:tc>
      </w:tr>
      <w:tr w:rsidR="00692355" w:rsidRPr="00D0376F" w14:paraId="272A5D63" w14:textId="77777777" w:rsidTr="00692355">
        <w:trPr>
          <w:trHeight w:val="31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B17E81"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1</w:t>
            </w:r>
          </w:p>
        </w:tc>
        <w:tc>
          <w:tcPr>
            <w:tcW w:w="27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4F08B6"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Điều 17a Thông tư 50/2018/TT-NHNN ngày 31/12/2018 quy định về hồ sơ, trình tự, thủ tục chấp thuận nội dung thay đổi của ngân hàng thương mại, chi nhánh ngân hàng nước ngoài (được sửa đổi, bổ sung bởi Thông tư số 06/2022/TT-NHNN, Thông tư số 22/2024/TT-NHNN)</w:t>
            </w:r>
          </w:p>
        </w:tc>
        <w:tc>
          <w:tcPr>
            <w:tcW w:w="307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0DEC88"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 xml:space="preserve">Theo quy định tại Nghị định số 01/2020/NĐ-CP, việc thay đổi chủ sở hữu là một trong các nội dung bắt buộc phải thực hiện đăng ký doanh nghiệp. Bên cạnh đó, theo Luật Các tổ chức tín dụng năm 2024, Giấy phép hoạt động đồng thời là Giấy chứng nhận đăng ký doanh nghiệp của tổ chức tín dụng. Tuy nhiên, thực tế Giấy phép không thể hiện thông tin về chủ sở hữu. Trong khi đó, Điều 17a Thông tư số 50/2018/TT-NHNN chỉ quy định việc cập nhật các nội dung thay đổi trên Giấy phép đến cơ quan đăng ký kinh doanh. Do vậy, hiện chưa </w:t>
            </w:r>
            <w:r w:rsidRPr="00D0376F">
              <w:rPr>
                <w:rFonts w:ascii="Times New Roman" w:eastAsia="Times New Roman" w:hAnsi="Times New Roman" w:cs="Times New Roman"/>
                <w:sz w:val="24"/>
                <w:szCs w:val="24"/>
              </w:rPr>
              <w:lastRenderedPageBreak/>
              <w:t>có quy định cụ thể về việc bên nhận chuyển giao bắt buộc sau khi trở thành chủ sở hữu tổ chức tín dụng được chuyển giao bắt buộc phải thực hiện cập nhật thông tin chủ sở hữu đến cơ quan đăng ký doanh nghiệp để điều chỉnh thông tin trên Cơ sở dữ liệu quốc gia về đăng ký doanh nghiệp. Đề xuất NHNN nghiên cứu sửa đổi, bổ sung quy định về Mẫu Giấy phép để đảm bảo Giấy phép của NHTM bao gồm đầy đủ các thông tin trên GCN đăng ký doanh nghiệp (người đại diện theo pháp luật, chủ sở hữu, thành viên góp vốn...).</w:t>
            </w:r>
          </w:p>
        </w:tc>
        <w:tc>
          <w:tcPr>
            <w:tcW w:w="134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380302"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D84940"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Ngân hàng TMCP Quân đội</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7F212D" w14:textId="77777777" w:rsidR="00692355" w:rsidRPr="00D0376F" w:rsidRDefault="00692355" w:rsidP="00692355">
            <w:pPr>
              <w:spacing w:after="0" w:line="240" w:lineRule="auto"/>
              <w:jc w:val="both"/>
              <w:rPr>
                <w:rFonts w:ascii="Times New Roman" w:eastAsia="Times New Roman" w:hAnsi="Times New Roman" w:cs="Times New Roman"/>
                <w:b/>
                <w:sz w:val="24"/>
                <w:szCs w:val="24"/>
              </w:rPr>
            </w:pPr>
            <w:r w:rsidRPr="00D0376F">
              <w:rPr>
                <w:rFonts w:ascii="Times New Roman" w:eastAsia="Times New Roman" w:hAnsi="Times New Roman" w:cs="Times New Roman"/>
                <w:b/>
                <w:sz w:val="24"/>
                <w:szCs w:val="24"/>
              </w:rPr>
              <w:t>Tiếp thu</w:t>
            </w:r>
          </w:p>
          <w:p w14:paraId="542877D0"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 xml:space="preserve">NHNN sẽ nghiên cứu các kiến nghị của MB khi sửa đổi, bổ sung các Thông tư về cấp phép lần đầu; sửa đổi, bổ sung Giấy phép; mạng lưới hoạt động của TCTD… để bổ sung các nội dung liên quan đến việc NHNN gửi thông báo thông tin cho cơ quan đăng ký kinh doanh để cập nhật vào hệ thống thông tin quốc gia về đăng ký doanh nghiệp các trường thông tin khác ngoài các thông tin đang được quy định tại Giấy phép và các văn bản chấp thuận hiện hành của NHNN (bao gồm các thông tin liên quan đến thông báo thay đổi thông tin của người đại diện </w:t>
            </w:r>
            <w:r w:rsidRPr="00D0376F">
              <w:rPr>
                <w:rFonts w:ascii="Times New Roman" w:eastAsia="Times New Roman" w:hAnsi="Times New Roman" w:cs="Times New Roman"/>
                <w:sz w:val="24"/>
                <w:szCs w:val="24"/>
              </w:rPr>
              <w:lastRenderedPageBreak/>
              <w:t>theo pháp luật, Tổng Giám đốc, Trưởng văn phòng đại diện nước ngoài, người đứng đầu chi nhánh, phòng giao dịch, văn phòng đại diện)</w:t>
            </w:r>
          </w:p>
          <w:p w14:paraId="2F8956CE" w14:textId="77777777" w:rsidR="00692355" w:rsidRPr="00D0376F" w:rsidRDefault="00692355" w:rsidP="00692355">
            <w:pPr>
              <w:pStyle w:val="ListParagraph"/>
              <w:numPr>
                <w:ilvl w:val="0"/>
                <w:numId w:val="3"/>
              </w:numPr>
              <w:tabs>
                <w:tab w:val="left" w:pos="323"/>
                <w:tab w:val="left" w:pos="1371"/>
              </w:tabs>
              <w:ind w:left="39" w:firstLine="0"/>
              <w:jc w:val="both"/>
              <w:rPr>
                <w:rFonts w:ascii="Times New Roman" w:hAnsi="Times New Roman" w:cs="Times New Roman"/>
                <w:sz w:val="24"/>
                <w:szCs w:val="24"/>
              </w:rPr>
            </w:pPr>
            <w:r w:rsidRPr="00D0376F">
              <w:rPr>
                <w:rFonts w:ascii="Times New Roman" w:eastAsia="Times New Roman" w:hAnsi="Times New Roman" w:cs="Times New Roman"/>
                <w:sz w:val="24"/>
                <w:szCs w:val="24"/>
              </w:rPr>
              <w:t xml:space="preserve">Nghị định số 01/2020/NĐ-CP đã được thay thế bởi </w:t>
            </w:r>
            <w:r w:rsidRPr="00D0376F">
              <w:rPr>
                <w:rFonts w:ascii="Times New Roman" w:hAnsi="Times New Roman" w:cs="Times New Roman"/>
                <w:sz w:val="24"/>
                <w:szCs w:val="24"/>
              </w:rPr>
              <w:t>Nghị định 168/2025/NĐ-CP ngày 4/01/2021 về đăng ký doanh nghiệp. Tuy nhiên, Điều 46 Nghị định 168 vẫn quy định nội dung về thay đổi chủ sở hữu phải thay đổi đăng ký kinh doanh như Nghị định 01/2020/NĐ-CP</w:t>
            </w:r>
          </w:p>
          <w:p w14:paraId="42D3FA6C"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p>
        </w:tc>
        <w:tc>
          <w:tcPr>
            <w:tcW w:w="2610" w:type="dxa"/>
            <w:tcBorders>
              <w:top w:val="single" w:sz="6" w:space="0" w:color="CCCCCC"/>
              <w:left w:val="single" w:sz="6" w:space="0" w:color="CCCCCC"/>
              <w:bottom w:val="single" w:sz="6" w:space="0" w:color="000000"/>
              <w:right w:val="single" w:sz="6" w:space="0" w:color="000000"/>
            </w:tcBorders>
            <w:shd w:val="clear" w:color="auto" w:fill="FFFFFF"/>
          </w:tcPr>
          <w:p w14:paraId="160879F1" w14:textId="2C1CD4F5" w:rsidR="00692355" w:rsidRDefault="003F781F" w:rsidP="00692355">
            <w:pPr>
              <w:spacing w:after="0" w:line="240" w:lineRule="auto"/>
              <w:ind w:left="142" w:righ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Chưa </w:t>
            </w:r>
            <w:r w:rsidR="00692355" w:rsidRPr="00FC2D9F">
              <w:rPr>
                <w:rFonts w:ascii="Times New Roman" w:hAnsi="Times New Roman" w:cs="Times New Roman"/>
                <w:b/>
                <w:sz w:val="24"/>
                <w:szCs w:val="24"/>
              </w:rPr>
              <w:t>xử</w:t>
            </w:r>
            <w:r w:rsidR="00692355">
              <w:rPr>
                <w:rFonts w:ascii="Times New Roman" w:hAnsi="Times New Roman" w:cs="Times New Roman"/>
                <w:b/>
                <w:sz w:val="24"/>
                <w:szCs w:val="24"/>
              </w:rPr>
              <w:t xml:space="preserve"> lý</w:t>
            </w:r>
          </w:p>
          <w:p w14:paraId="4E86DF1E" w14:textId="5E3ADE4D" w:rsidR="00692355" w:rsidRPr="00AF2EE8" w:rsidRDefault="00692355" w:rsidP="00692355">
            <w:pPr>
              <w:ind w:left="142" w:right="142"/>
              <w:jc w:val="both"/>
              <w:rPr>
                <w:rFonts w:ascii="Times New Roman" w:eastAsia="Times New Roman" w:hAnsi="Times New Roman" w:cs="Times New Roman"/>
                <w:sz w:val="24"/>
                <w:szCs w:val="24"/>
              </w:rPr>
            </w:pPr>
            <w:r w:rsidRPr="00590E62">
              <w:rPr>
                <w:rFonts w:ascii="Times New Roman" w:hAnsi="Times New Roman" w:cs="Times New Roman"/>
                <w:sz w:val="24"/>
                <w:szCs w:val="24"/>
              </w:rPr>
              <w:t>NHNN đã đưa nội dung này vào dự thảo Thông tư thay thế Thông tư 50/2018/TT-NHNN. Hiện NHNN đang lấy ý kiến rộng rãi đối với dự thảo Thông tư (dự kiến ban hành</w:t>
            </w:r>
            <w:r>
              <w:rPr>
                <w:rFonts w:ascii="Times New Roman" w:hAnsi="Times New Roman" w:cs="Times New Roman"/>
                <w:sz w:val="24"/>
                <w:szCs w:val="24"/>
              </w:rPr>
              <w:t xml:space="preserve"> trong</w:t>
            </w:r>
            <w:r w:rsidRPr="00590E62">
              <w:rPr>
                <w:rFonts w:ascii="Times New Roman" w:hAnsi="Times New Roman" w:cs="Times New Roman"/>
                <w:sz w:val="24"/>
                <w:szCs w:val="24"/>
              </w:rPr>
              <w:t xml:space="preserve"> Tháng 12/2025).</w:t>
            </w:r>
          </w:p>
        </w:tc>
      </w:tr>
      <w:tr w:rsidR="00692355" w:rsidRPr="00D0376F" w14:paraId="74754799" w14:textId="77777777" w:rsidTr="00692355">
        <w:trPr>
          <w:trHeight w:val="31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4D707D"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2</w:t>
            </w:r>
          </w:p>
        </w:tc>
        <w:tc>
          <w:tcPr>
            <w:tcW w:w="27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E136DC"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Khoản 1 Điều 2 và Điều 8 Thông tư 45/2011/TT-NHNN ngày 30/12/2011 quy định về quản lý ngoại hối đối với việc cho vay, thu hồi nợ nước ngoài của TCTD (“Thông tư 45”) - Điểm b khoản 1 Điều 8 Luật Nhà ở năm 2023</w:t>
            </w:r>
          </w:p>
        </w:tc>
        <w:tc>
          <w:tcPr>
            <w:tcW w:w="307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0292C0"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 xml:space="preserve">Trường hợp TCTD cho vay đối với người không cư trú thì hoạt động này là “cho vay ra nước ngoài và phải thực hiện theo Thông tư 45 (đăng ký khoản vay...) và việc cho vay phải xin chấp thuận của NHNN (Khoản 2 Điều 8), không phân biệt có dòng tiền ra nước ngoài hay không. Theo điểm b khoản 1 Điều 8 Luật Nhà ở 2023thì “Người Việt Nam định cư ở </w:t>
            </w:r>
            <w:r w:rsidRPr="00D0376F">
              <w:rPr>
                <w:rFonts w:ascii="Times New Roman" w:eastAsia="Times New Roman" w:hAnsi="Times New Roman" w:cs="Times New Roman"/>
                <w:sz w:val="24"/>
                <w:szCs w:val="24"/>
              </w:rPr>
              <w:lastRenderedPageBreak/>
              <w:t>nước ngoài” (người không cư trú) được mua nhà ở tại Việt Nam. Trường hợp này nếu khách hàng có nhu cầu vay vốn tại TCTD để mua nhà ở thì không thể thực hiện được vì vướng quy định tại Thông tư 45 như đã nêu trên mặc dù toàn bộ tiền giải ngân bằng VNĐ và giải ngân cho bên thụ hưởng tại Việt Nam (không có dòng tiền ra nước ngoài). Đề xuất: NHNN nghiên cứu sửa Thông tư 45 theo hướng, chỉ xác định khoản cho vay ra nước ngoài nếu có dòng tiền chuyển ra nước ngoài để tháo gỡ vướng mắc, tạo điều kiện cho người Việt Nam được tiếp cận vốn vay mua nhà.</w:t>
            </w:r>
          </w:p>
        </w:tc>
        <w:tc>
          <w:tcPr>
            <w:tcW w:w="134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C4C144"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Ban </w:t>
            </w:r>
            <w:r w:rsidRPr="00D0376F">
              <w:rPr>
                <w:rFonts w:ascii="Times New Roman" w:eastAsia="Times New Roman" w:hAnsi="Times New Roman" w:cs="Times New Roman"/>
                <w:sz w:val="24"/>
                <w:szCs w:val="24"/>
              </w:rPr>
              <w:lastRenderedPageBreak/>
              <w:t>hành VBQPPL)</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372EBC"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lastRenderedPageBreak/>
              <w:t>Ngân hàng TMCP Quân đội</w:t>
            </w:r>
          </w:p>
        </w:tc>
        <w:tc>
          <w:tcPr>
            <w:tcW w:w="333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08C4C1" w14:textId="77777777" w:rsidR="00692355" w:rsidRPr="00D0376F" w:rsidRDefault="00692355" w:rsidP="00692355">
            <w:pPr>
              <w:spacing w:after="0" w:line="240" w:lineRule="auto"/>
              <w:jc w:val="both"/>
              <w:rPr>
                <w:rFonts w:ascii="Times New Roman" w:eastAsia="Times New Roman" w:hAnsi="Times New Roman" w:cs="Times New Roman"/>
                <w:b/>
                <w:sz w:val="24"/>
                <w:szCs w:val="24"/>
              </w:rPr>
            </w:pPr>
            <w:r w:rsidRPr="00D0376F">
              <w:rPr>
                <w:rFonts w:ascii="Times New Roman" w:eastAsia="Times New Roman" w:hAnsi="Times New Roman" w:cs="Times New Roman"/>
                <w:b/>
                <w:sz w:val="24"/>
                <w:szCs w:val="24"/>
              </w:rPr>
              <w:t>Tiếp thu</w:t>
            </w:r>
          </w:p>
          <w:p w14:paraId="2E70ED84"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 xml:space="preserve"> </w:t>
            </w:r>
            <w:r w:rsidRPr="00D0376F">
              <w:rPr>
                <w:rFonts w:ascii="Times New Roman" w:eastAsia="Times New Roman" w:hAnsi="Times New Roman" w:cs="Times New Roman"/>
                <w:sz w:val="24"/>
                <w:szCs w:val="24"/>
              </w:rPr>
              <w:br/>
              <w:t xml:space="preserve">Hiện nay, NHNN đang trong quá trình xây dựng Thông tư thay thế Thông tư 45/2011/TT-NHNN. Bản chất hoạt động cho vay ra nước ngoài cũng như các giao dịch vốn khác không dựa vào sự luân chuyển vào/ra lãnh thổ của dòng tiền mà dựa trên tính chất cư trú của bên nhận vốn/bên chuyển vốn. Do đó, đối với đề xuất cho </w:t>
            </w:r>
            <w:r w:rsidRPr="00D0376F">
              <w:rPr>
                <w:rFonts w:ascii="Times New Roman" w:eastAsia="Times New Roman" w:hAnsi="Times New Roman" w:cs="Times New Roman"/>
                <w:sz w:val="24"/>
                <w:szCs w:val="24"/>
              </w:rPr>
              <w:lastRenderedPageBreak/>
              <w:t>vay Việt Kiều (không cư trú) để mua nhà tại Việt Nam, NHNN ghi nhận ý kiến này và sẽ xem xét, đánh giá sự phù hợp của đề xuất với các mục tiêu quản lý dòng vốn, quản lý tín dụng, các rủi ro có thể phát sinh…để có quy định phù hợp.</w:t>
            </w:r>
          </w:p>
        </w:tc>
        <w:tc>
          <w:tcPr>
            <w:tcW w:w="2610" w:type="dxa"/>
            <w:tcBorders>
              <w:top w:val="single" w:sz="6" w:space="0" w:color="CCCCCC"/>
              <w:left w:val="single" w:sz="6" w:space="0" w:color="CCCCCC"/>
              <w:bottom w:val="single" w:sz="6" w:space="0" w:color="000000"/>
              <w:right w:val="single" w:sz="6" w:space="0" w:color="000000"/>
            </w:tcBorders>
            <w:shd w:val="clear" w:color="auto" w:fill="FFFFFF"/>
          </w:tcPr>
          <w:p w14:paraId="298437F2" w14:textId="5A68C666" w:rsidR="00692355" w:rsidRPr="003F781F" w:rsidRDefault="003F781F" w:rsidP="00692355">
            <w:pPr>
              <w:spacing w:after="0" w:line="240" w:lineRule="auto"/>
              <w:ind w:left="142" w:right="142" w:firstLine="284"/>
              <w:jc w:val="both"/>
              <w:rPr>
                <w:rFonts w:ascii="Times New Roman" w:eastAsia="Times New Roman" w:hAnsi="Times New Roman" w:cs="Times New Roman"/>
                <w:b/>
                <w:bCs/>
                <w:sz w:val="24"/>
                <w:szCs w:val="24"/>
              </w:rPr>
            </w:pPr>
            <w:r w:rsidRPr="003F781F">
              <w:rPr>
                <w:rFonts w:ascii="Times New Roman" w:eastAsia="Times New Roman" w:hAnsi="Times New Roman" w:cs="Times New Roman"/>
                <w:b/>
                <w:bCs/>
                <w:sz w:val="24"/>
                <w:szCs w:val="24"/>
              </w:rPr>
              <w:lastRenderedPageBreak/>
              <w:t>Chưa xử lý</w:t>
            </w:r>
          </w:p>
          <w:p w14:paraId="3D54ACC8" w14:textId="5063136F" w:rsidR="00692355" w:rsidRPr="00F964D5" w:rsidRDefault="00692355" w:rsidP="00692355">
            <w:pPr>
              <w:spacing w:after="0" w:line="240" w:lineRule="auto"/>
              <w:ind w:left="142" w:right="142" w:firstLine="284"/>
              <w:jc w:val="both"/>
              <w:rPr>
                <w:rFonts w:ascii="Times New Roman" w:eastAsia="Times New Roman" w:hAnsi="Times New Roman" w:cs="Times New Roman"/>
                <w:sz w:val="24"/>
                <w:szCs w:val="24"/>
              </w:rPr>
            </w:pPr>
            <w:r w:rsidRPr="00F964D5">
              <w:rPr>
                <w:rFonts w:ascii="Times New Roman" w:eastAsia="Times New Roman" w:hAnsi="Times New Roman" w:cs="Times New Roman"/>
                <w:sz w:val="24"/>
                <w:szCs w:val="24"/>
              </w:rPr>
              <w:t xml:space="preserve">Hiện NHNN đang trong quá trình xây dựng </w:t>
            </w:r>
            <w:r w:rsidRPr="00F964D5">
              <w:rPr>
                <w:rFonts w:ascii="Times New Roman" w:hAnsi="Times New Roman" w:cs="Times New Roman"/>
                <w:sz w:val="24"/>
                <w:szCs w:val="24"/>
              </w:rPr>
              <w:t>Thông tư thay thế</w:t>
            </w:r>
            <w:r>
              <w:rPr>
                <w:rFonts w:ascii="Times New Roman" w:hAnsi="Times New Roman" w:cs="Times New Roman"/>
                <w:sz w:val="24"/>
                <w:szCs w:val="24"/>
              </w:rPr>
              <w:t xml:space="preserve"> Thông tư 45/2011/TT-NHNN</w:t>
            </w:r>
            <w:r w:rsidRPr="00F964D5">
              <w:rPr>
                <w:rFonts w:ascii="Times New Roman" w:hAnsi="Times New Roman" w:cs="Times New Roman"/>
                <w:sz w:val="24"/>
                <w:szCs w:val="24"/>
              </w:rPr>
              <w:t xml:space="preserve"> sẽ được trình ban hành trong </w:t>
            </w:r>
            <w:r>
              <w:rPr>
                <w:rFonts w:ascii="Times New Roman" w:hAnsi="Times New Roman" w:cs="Times New Roman"/>
                <w:sz w:val="24"/>
                <w:szCs w:val="24"/>
              </w:rPr>
              <w:t xml:space="preserve"> tháng 12</w:t>
            </w:r>
            <w:r w:rsidRPr="00F964D5">
              <w:rPr>
                <w:rFonts w:ascii="Times New Roman" w:hAnsi="Times New Roman" w:cs="Times New Roman"/>
                <w:sz w:val="24"/>
                <w:szCs w:val="24"/>
              </w:rPr>
              <w:t>/2025.</w:t>
            </w:r>
          </w:p>
        </w:tc>
      </w:tr>
      <w:tr w:rsidR="00692355" w:rsidRPr="00D0376F" w14:paraId="591E58AF" w14:textId="77777777" w:rsidTr="00692355">
        <w:trPr>
          <w:trHeight w:val="315"/>
        </w:trPr>
        <w:tc>
          <w:tcPr>
            <w:tcW w:w="630"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48BBB5"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3</w:t>
            </w:r>
          </w:p>
        </w:tc>
        <w:tc>
          <w:tcPr>
            <w:tcW w:w="279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55E3CC"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 xml:space="preserve">Khoản 8 Điều 11 Thông tư 50/2024/TT-NHNN quy định về an toàn, bảo mật cho việc cung cấp dịch vụ trực tuyến trong ngành ngân hàng quy định: “8. Hình thức xác nhận bằng chữ ký điện tử theo quy định của pháp luật về chữ ký điện tử (không bao gồm chữ ký điện </w:t>
            </w:r>
            <w:r w:rsidRPr="00D0376F">
              <w:rPr>
                <w:rFonts w:ascii="Times New Roman" w:eastAsia="Times New Roman" w:hAnsi="Times New Roman" w:cs="Times New Roman"/>
                <w:sz w:val="24"/>
                <w:szCs w:val="24"/>
              </w:rPr>
              <w:lastRenderedPageBreak/>
              <w:t>tử an toàn quy định tại khoản 9 Điều này)”</w:t>
            </w:r>
          </w:p>
        </w:tc>
        <w:tc>
          <w:tcPr>
            <w:tcW w:w="307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10E92B"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lastRenderedPageBreak/>
              <w:t xml:space="preserve">- Theo quy định của Luật Giao dịch điện tử, chữ ký điện tử gồm 03 loại: chữ ký điện tử chuyên dùng (trong đó bao gồm chữ ký điện tử chuyên dùng thông thường và chữ ký điện tử chuyên dùng bảo đảm an toàn), chữ ký số công cộng và chữ ký số công vụ. - Theo quy định tại Khoản 8 Điều 11 </w:t>
            </w:r>
            <w:r w:rsidRPr="00D0376F">
              <w:rPr>
                <w:rFonts w:ascii="Times New Roman" w:eastAsia="Times New Roman" w:hAnsi="Times New Roman" w:cs="Times New Roman"/>
                <w:sz w:val="24"/>
                <w:szCs w:val="24"/>
              </w:rPr>
              <w:lastRenderedPageBreak/>
              <w:t xml:space="preserve">Thông tư 50/2024/TT-NHNN và Phụ lục 02 đính kèm Thông tư 50/2024/TT-NHNN (Xác nhận giao dịch trực tuyến), chữ ký điện tử theo quy định tại Khoản 8 Điều 11 Thông tư 50/2024/TT-NHNN là một hình thức xác nhận giao dịch thanh toán trực tuyến của khách hàng cá nhân.- Khoản 8 Điều 11 Thông tư 50/2024/TT-NHNN đã loại trừ chữ ký điện tử chuyên dùng đảm bảo an toàn và chữ ký số (đã được quy định tại Khoản 9 Điều 11). Như vậy được hiểu chữ ký điện tử được nhắc đến tại Khoản 8 Điều 11 Thông tư 50/2024/TT-NHNN là chữ ký điện tử chuyên dùng thông thường. - Tuy nhiên, theo quy định của Luật Giao dịch điện tử, chữ ký điện tử chuyên dùng là loại chữ ký cơ quan, tổ chức tạo lập, sử dụng riêng cho hoạt động của cơ quan, tổ chức đó. Như vậy được hiểu là chữ ký điện tử chuyên dùng thông thường (không phải CKĐTCD đảm bảo an toàn) sẽ chỉ do cơ quan, </w:t>
            </w:r>
            <w:r w:rsidRPr="00D0376F">
              <w:rPr>
                <w:rFonts w:ascii="Times New Roman" w:eastAsia="Times New Roman" w:hAnsi="Times New Roman" w:cs="Times New Roman"/>
                <w:sz w:val="24"/>
                <w:szCs w:val="24"/>
              </w:rPr>
              <w:lastRenderedPageBreak/>
              <w:t>tổ chức tạo lập và phục vụ riêng cho hoạt động của cơ quan, tổ chức đó chứ không thể cấp phát cho 1 cá nhân nào nằm ngoài cơ quan, tổ chức đó được. - Tuy nhiên, Thông tư 50 lại cho phép KHCN sử dụng chữ ký điện tử chuyên dùng thông thường để thực hiện xác nhận giao dịch thanh toán trực tuyến, trong khi theo Luật GDĐT thì cá nhân này không thể tự tạo lập CKĐTCD thông thường cũng như sử dụng CKĐTCD thông thường trong 1 giao dịch khác nằm ngoài phạm vi hoạt động của cơ quan, tổ chức. Như vậy, Thông tư 50 đang mâu thuẫn với quy định của Luật Giao dịch điện tử trong việc sử dụng chữ ký điện tử chuyên dùng thông thường để xác nhận giao dịch thanh toán trực tuyến.</w:t>
            </w:r>
          </w:p>
        </w:tc>
        <w:tc>
          <w:tcPr>
            <w:tcW w:w="134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CDEB37"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lastRenderedPageBreak/>
              <w:t>B. Hướng dẫn áp dụng VBQPPL theo quy định tại Điều 61 Luật Ban hành VBQPPL năm 2025</w:t>
            </w:r>
          </w:p>
        </w:tc>
        <w:tc>
          <w:tcPr>
            <w:tcW w:w="106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C57997"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Tập đoàn Công nghiệp - Năng lượng Quốc gia Việt Nam</w:t>
            </w:r>
          </w:p>
        </w:tc>
        <w:tc>
          <w:tcPr>
            <w:tcW w:w="33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D6832D" w14:textId="77777777" w:rsidR="00692355" w:rsidRPr="00D0376F" w:rsidRDefault="00692355" w:rsidP="00692355">
            <w:pPr>
              <w:spacing w:after="0" w:line="240" w:lineRule="auto"/>
              <w:jc w:val="both"/>
              <w:rPr>
                <w:rFonts w:ascii="Times New Roman" w:eastAsia="Times New Roman" w:hAnsi="Times New Roman" w:cs="Times New Roman"/>
                <w:b/>
                <w:sz w:val="24"/>
                <w:szCs w:val="24"/>
              </w:rPr>
            </w:pPr>
            <w:r w:rsidRPr="00D0376F">
              <w:rPr>
                <w:rFonts w:ascii="Times New Roman" w:eastAsia="Times New Roman" w:hAnsi="Times New Roman" w:cs="Times New Roman"/>
                <w:b/>
                <w:sz w:val="24"/>
                <w:szCs w:val="24"/>
              </w:rPr>
              <w:t>Tiếp thu</w:t>
            </w:r>
          </w:p>
          <w:p w14:paraId="48732FC9" w14:textId="77777777" w:rsidR="00692355" w:rsidRPr="00D0376F" w:rsidRDefault="00692355" w:rsidP="00692355">
            <w:pPr>
              <w:spacing w:after="0" w:line="240" w:lineRule="auto"/>
              <w:jc w:val="both"/>
              <w:rPr>
                <w:rFonts w:ascii="Times New Roman" w:eastAsia="Times New Roman" w:hAnsi="Times New Roman" w:cs="Times New Roman"/>
                <w:sz w:val="24"/>
                <w:szCs w:val="24"/>
              </w:rPr>
            </w:pPr>
            <w:r w:rsidRPr="00D0376F">
              <w:rPr>
                <w:rFonts w:ascii="Times New Roman" w:eastAsia="Times New Roman" w:hAnsi="Times New Roman" w:cs="Times New Roman"/>
                <w:sz w:val="24"/>
                <w:szCs w:val="24"/>
              </w:rPr>
              <w:t>NHNN ghi nhận ý kiến phản ánh để sửa đổi, bổ sung Thông tư 50/2024/TT-NHNN trong thời gian tới.</w:t>
            </w:r>
          </w:p>
        </w:tc>
        <w:tc>
          <w:tcPr>
            <w:tcW w:w="2610" w:type="dxa"/>
            <w:tcBorders>
              <w:top w:val="single" w:sz="6" w:space="0" w:color="CCCCCC"/>
              <w:left w:val="single" w:sz="6" w:space="0" w:color="CCCCCC"/>
              <w:bottom w:val="single" w:sz="6" w:space="0" w:color="000000"/>
              <w:right w:val="single" w:sz="6" w:space="0" w:color="000000"/>
            </w:tcBorders>
          </w:tcPr>
          <w:p w14:paraId="5C5C40F9" w14:textId="6EEB293F" w:rsidR="00692355" w:rsidRPr="003F781F" w:rsidRDefault="003F781F" w:rsidP="00692355">
            <w:pPr>
              <w:spacing w:after="0" w:line="240" w:lineRule="auto"/>
              <w:ind w:left="142" w:right="142" w:firstLine="284"/>
              <w:jc w:val="both"/>
              <w:rPr>
                <w:rFonts w:ascii="Times New Roman" w:hAnsi="Times New Roman" w:cs="Times New Roman"/>
                <w:b/>
                <w:bCs/>
                <w:color w:val="000000"/>
                <w:sz w:val="24"/>
                <w:szCs w:val="24"/>
                <w:lang w:val="sv-SE"/>
              </w:rPr>
            </w:pPr>
            <w:r w:rsidRPr="003F781F">
              <w:rPr>
                <w:rFonts w:ascii="Times New Roman" w:hAnsi="Times New Roman" w:cs="Times New Roman"/>
                <w:b/>
                <w:bCs/>
                <w:color w:val="000000"/>
                <w:sz w:val="24"/>
                <w:szCs w:val="24"/>
                <w:lang w:val="sv-SE"/>
              </w:rPr>
              <w:t>Chưa xử lý</w:t>
            </w:r>
          </w:p>
          <w:p w14:paraId="05FD1514" w14:textId="5A357010" w:rsidR="00692355" w:rsidRPr="00F964D5" w:rsidRDefault="00692355" w:rsidP="00692355">
            <w:pPr>
              <w:spacing w:after="0" w:line="240" w:lineRule="auto"/>
              <w:ind w:left="142" w:right="142" w:firstLine="284"/>
              <w:jc w:val="both"/>
              <w:rPr>
                <w:rFonts w:ascii="Times New Roman" w:eastAsia="Times New Roman" w:hAnsi="Times New Roman" w:cs="Times New Roman"/>
                <w:b/>
                <w:sz w:val="24"/>
                <w:szCs w:val="24"/>
              </w:rPr>
            </w:pPr>
            <w:r>
              <w:rPr>
                <w:rFonts w:ascii="Times New Roman" w:hAnsi="Times New Roman" w:cs="Times New Roman"/>
                <w:color w:val="000000"/>
                <w:sz w:val="24"/>
                <w:szCs w:val="24"/>
                <w:lang w:val="sv-SE"/>
              </w:rPr>
              <w:t xml:space="preserve">Hiện NHNN đang </w:t>
            </w:r>
            <w:r w:rsidRPr="00F964D5">
              <w:rPr>
                <w:rFonts w:ascii="Times New Roman" w:hAnsi="Times New Roman" w:cs="Times New Roman"/>
                <w:color w:val="000000"/>
                <w:sz w:val="24"/>
                <w:szCs w:val="24"/>
                <w:lang w:val="sv-SE"/>
              </w:rPr>
              <w:t xml:space="preserve">dự thảo Thông tư sửa đổi bổ sung Thông tư 50/2024/TT-NHNN quy định về an toàn bảo mật cho việc cung cấp dịch vụ trực tuyến trong ngành Ngân hàng, dự </w:t>
            </w:r>
            <w:r w:rsidRPr="00F964D5">
              <w:rPr>
                <w:rFonts w:ascii="Times New Roman" w:hAnsi="Times New Roman" w:cs="Times New Roman"/>
                <w:color w:val="000000"/>
                <w:sz w:val="24"/>
                <w:szCs w:val="24"/>
                <w:lang w:val="sv-SE"/>
              </w:rPr>
              <w:lastRenderedPageBreak/>
              <w:t xml:space="preserve">kiến ban hành </w:t>
            </w:r>
            <w:r>
              <w:rPr>
                <w:rFonts w:ascii="Times New Roman" w:hAnsi="Times New Roman" w:cs="Times New Roman"/>
                <w:color w:val="000000"/>
                <w:sz w:val="24"/>
                <w:szCs w:val="24"/>
                <w:lang w:val="sv-SE"/>
              </w:rPr>
              <w:t>trong</w:t>
            </w:r>
            <w:r w:rsidRPr="00F964D5">
              <w:rPr>
                <w:rFonts w:ascii="Times New Roman" w:hAnsi="Times New Roman" w:cs="Times New Roman"/>
                <w:color w:val="000000"/>
                <w:sz w:val="24"/>
                <w:szCs w:val="24"/>
                <w:lang w:val="sv-SE"/>
              </w:rPr>
              <w:t xml:space="preserve"> tháng 12/2025</w:t>
            </w:r>
          </w:p>
        </w:tc>
      </w:tr>
    </w:tbl>
    <w:p w14:paraId="7C3D2928" w14:textId="77777777" w:rsidR="00537745" w:rsidRPr="00D0376F" w:rsidRDefault="00537745" w:rsidP="00537745">
      <w:pPr>
        <w:jc w:val="center"/>
        <w:rPr>
          <w:rFonts w:ascii="Times New Roman" w:hAnsi="Times New Roman" w:cs="Times New Roman"/>
          <w:sz w:val="24"/>
          <w:szCs w:val="24"/>
        </w:rPr>
      </w:pPr>
    </w:p>
    <w:p w14:paraId="5160DFD6" w14:textId="77777777" w:rsidR="00B60F81" w:rsidRPr="000D65C7" w:rsidRDefault="00B60F81" w:rsidP="00537745">
      <w:pPr>
        <w:jc w:val="center"/>
        <w:rPr>
          <w:rFonts w:ascii="Times New Roman" w:hAnsi="Times New Roman" w:cs="Times New Roman"/>
          <w:sz w:val="26"/>
          <w:szCs w:val="26"/>
        </w:rPr>
      </w:pPr>
    </w:p>
    <w:sectPr w:rsidR="00B60F81" w:rsidRPr="000D65C7" w:rsidSect="00F638A9">
      <w:headerReference w:type="default" r:id="rId8"/>
      <w:pgSz w:w="16839"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272C" w14:textId="77777777" w:rsidR="0083394B" w:rsidRDefault="0083394B" w:rsidP="003A2EDF">
      <w:pPr>
        <w:spacing w:after="0" w:line="240" w:lineRule="auto"/>
      </w:pPr>
      <w:r>
        <w:separator/>
      </w:r>
    </w:p>
  </w:endnote>
  <w:endnote w:type="continuationSeparator" w:id="0">
    <w:p w14:paraId="165596D8" w14:textId="77777777" w:rsidR="0083394B" w:rsidRDefault="0083394B" w:rsidP="003A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CDA5" w14:textId="77777777" w:rsidR="0083394B" w:rsidRDefault="0083394B" w:rsidP="003A2EDF">
      <w:pPr>
        <w:spacing w:after="0" w:line="240" w:lineRule="auto"/>
      </w:pPr>
      <w:r>
        <w:separator/>
      </w:r>
    </w:p>
  </w:footnote>
  <w:footnote w:type="continuationSeparator" w:id="0">
    <w:p w14:paraId="531771E9" w14:textId="77777777" w:rsidR="0083394B" w:rsidRDefault="0083394B" w:rsidP="003A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07748893"/>
      <w:docPartObj>
        <w:docPartGallery w:val="Page Numbers (Top of Page)"/>
        <w:docPartUnique/>
      </w:docPartObj>
    </w:sdtPr>
    <w:sdtEndPr>
      <w:rPr>
        <w:noProof/>
      </w:rPr>
    </w:sdtEndPr>
    <w:sdtContent>
      <w:p w14:paraId="72028509" w14:textId="0F530227" w:rsidR="00D0376F" w:rsidRPr="00D0376F" w:rsidRDefault="00D0376F">
        <w:pPr>
          <w:pStyle w:val="Header"/>
          <w:jc w:val="center"/>
          <w:rPr>
            <w:rFonts w:ascii="Times New Roman" w:hAnsi="Times New Roman" w:cs="Times New Roman"/>
          </w:rPr>
        </w:pPr>
        <w:r w:rsidRPr="00D0376F">
          <w:rPr>
            <w:rFonts w:ascii="Times New Roman" w:hAnsi="Times New Roman" w:cs="Times New Roman"/>
          </w:rPr>
          <w:fldChar w:fldCharType="begin"/>
        </w:r>
        <w:r w:rsidRPr="00D0376F">
          <w:rPr>
            <w:rFonts w:ascii="Times New Roman" w:hAnsi="Times New Roman" w:cs="Times New Roman"/>
          </w:rPr>
          <w:instrText xml:space="preserve"> PAGE   \* MERGEFORMAT </w:instrText>
        </w:r>
        <w:r w:rsidRPr="00D0376F">
          <w:rPr>
            <w:rFonts w:ascii="Times New Roman" w:hAnsi="Times New Roman" w:cs="Times New Roman"/>
          </w:rPr>
          <w:fldChar w:fldCharType="separate"/>
        </w:r>
        <w:r w:rsidR="00824C00">
          <w:rPr>
            <w:rFonts w:ascii="Times New Roman" w:hAnsi="Times New Roman" w:cs="Times New Roman"/>
            <w:noProof/>
          </w:rPr>
          <w:t>5</w:t>
        </w:r>
        <w:r w:rsidRPr="00D0376F">
          <w:rPr>
            <w:rFonts w:ascii="Times New Roman" w:hAnsi="Times New Roman" w:cs="Times New Roman"/>
            <w:noProof/>
          </w:rPr>
          <w:fldChar w:fldCharType="end"/>
        </w:r>
      </w:p>
    </w:sdtContent>
  </w:sdt>
  <w:p w14:paraId="65B6AD9E" w14:textId="77777777" w:rsidR="00D0376F" w:rsidRDefault="00D0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6E20"/>
    <w:multiLevelType w:val="hybridMultilevel"/>
    <w:tmpl w:val="E03CEA24"/>
    <w:lvl w:ilvl="0" w:tplc="9C14268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8130F"/>
    <w:multiLevelType w:val="hybridMultilevel"/>
    <w:tmpl w:val="D4DCB910"/>
    <w:lvl w:ilvl="0" w:tplc="768C62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C3D49"/>
    <w:multiLevelType w:val="hybridMultilevel"/>
    <w:tmpl w:val="90300D34"/>
    <w:lvl w:ilvl="0" w:tplc="9886B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643209">
    <w:abstractNumId w:val="2"/>
  </w:num>
  <w:num w:numId="2" w16cid:durableId="2043435195">
    <w:abstractNumId w:val="1"/>
  </w:num>
  <w:num w:numId="3" w16cid:durableId="109413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45"/>
    <w:rsid w:val="00020F15"/>
    <w:rsid w:val="00021B5F"/>
    <w:rsid w:val="000278DD"/>
    <w:rsid w:val="000368F5"/>
    <w:rsid w:val="00045689"/>
    <w:rsid w:val="000458B9"/>
    <w:rsid w:val="000A37C0"/>
    <w:rsid w:val="000D65C7"/>
    <w:rsid w:val="000E3E2B"/>
    <w:rsid w:val="000F0A13"/>
    <w:rsid w:val="0011274A"/>
    <w:rsid w:val="0017796F"/>
    <w:rsid w:val="001E6DF7"/>
    <w:rsid w:val="0022450F"/>
    <w:rsid w:val="00233CF0"/>
    <w:rsid w:val="0024438F"/>
    <w:rsid w:val="00266682"/>
    <w:rsid w:val="00267329"/>
    <w:rsid w:val="002766DA"/>
    <w:rsid w:val="00296337"/>
    <w:rsid w:val="002F0120"/>
    <w:rsid w:val="00362A05"/>
    <w:rsid w:val="003A2EDF"/>
    <w:rsid w:val="003D4FDE"/>
    <w:rsid w:val="003E6675"/>
    <w:rsid w:val="003F25BC"/>
    <w:rsid w:val="003F781F"/>
    <w:rsid w:val="004005AA"/>
    <w:rsid w:val="00407EF3"/>
    <w:rsid w:val="00467ED3"/>
    <w:rsid w:val="004E7BD5"/>
    <w:rsid w:val="00537745"/>
    <w:rsid w:val="005569FE"/>
    <w:rsid w:val="00562F36"/>
    <w:rsid w:val="005B40F5"/>
    <w:rsid w:val="005F618F"/>
    <w:rsid w:val="0060487A"/>
    <w:rsid w:val="00611FA0"/>
    <w:rsid w:val="006401FE"/>
    <w:rsid w:val="00640629"/>
    <w:rsid w:val="00642D0E"/>
    <w:rsid w:val="006540FD"/>
    <w:rsid w:val="00692355"/>
    <w:rsid w:val="006A0B33"/>
    <w:rsid w:val="006A6601"/>
    <w:rsid w:val="006C10B1"/>
    <w:rsid w:val="006F40D7"/>
    <w:rsid w:val="00717528"/>
    <w:rsid w:val="007210D5"/>
    <w:rsid w:val="00724C43"/>
    <w:rsid w:val="007306C1"/>
    <w:rsid w:val="0075431F"/>
    <w:rsid w:val="00780951"/>
    <w:rsid w:val="00795D4C"/>
    <w:rsid w:val="007C62A0"/>
    <w:rsid w:val="007F1100"/>
    <w:rsid w:val="00824C00"/>
    <w:rsid w:val="00825E0C"/>
    <w:rsid w:val="0083394B"/>
    <w:rsid w:val="00854AB2"/>
    <w:rsid w:val="008742A6"/>
    <w:rsid w:val="008A4661"/>
    <w:rsid w:val="008B5B1C"/>
    <w:rsid w:val="008D5A94"/>
    <w:rsid w:val="00922EB0"/>
    <w:rsid w:val="00954FCB"/>
    <w:rsid w:val="00961798"/>
    <w:rsid w:val="009A2DD3"/>
    <w:rsid w:val="009C1BF3"/>
    <w:rsid w:val="009C3AC3"/>
    <w:rsid w:val="009D32EF"/>
    <w:rsid w:val="009D6161"/>
    <w:rsid w:val="009E2FB0"/>
    <w:rsid w:val="00A012EE"/>
    <w:rsid w:val="00A3584D"/>
    <w:rsid w:val="00A47E45"/>
    <w:rsid w:val="00AA5384"/>
    <w:rsid w:val="00AD02D6"/>
    <w:rsid w:val="00AF2EE8"/>
    <w:rsid w:val="00B25A4E"/>
    <w:rsid w:val="00B60F81"/>
    <w:rsid w:val="00B62075"/>
    <w:rsid w:val="00BB2FB1"/>
    <w:rsid w:val="00BC5739"/>
    <w:rsid w:val="00C02380"/>
    <w:rsid w:val="00C07985"/>
    <w:rsid w:val="00C24DAF"/>
    <w:rsid w:val="00C459B7"/>
    <w:rsid w:val="00C62ECC"/>
    <w:rsid w:val="00C66873"/>
    <w:rsid w:val="00C731F0"/>
    <w:rsid w:val="00C7767B"/>
    <w:rsid w:val="00C87B56"/>
    <w:rsid w:val="00C96BA2"/>
    <w:rsid w:val="00CC331D"/>
    <w:rsid w:val="00CD51F4"/>
    <w:rsid w:val="00CE087F"/>
    <w:rsid w:val="00D0376F"/>
    <w:rsid w:val="00D06072"/>
    <w:rsid w:val="00D40320"/>
    <w:rsid w:val="00D6272D"/>
    <w:rsid w:val="00DA1DF1"/>
    <w:rsid w:val="00DA2CC0"/>
    <w:rsid w:val="00DD0D3A"/>
    <w:rsid w:val="00DD560A"/>
    <w:rsid w:val="00E033D4"/>
    <w:rsid w:val="00E06F72"/>
    <w:rsid w:val="00E22F98"/>
    <w:rsid w:val="00E61365"/>
    <w:rsid w:val="00E67D1A"/>
    <w:rsid w:val="00E81877"/>
    <w:rsid w:val="00EF1273"/>
    <w:rsid w:val="00EF6E76"/>
    <w:rsid w:val="00F32A14"/>
    <w:rsid w:val="00F374E8"/>
    <w:rsid w:val="00F62E4B"/>
    <w:rsid w:val="00F638A9"/>
    <w:rsid w:val="00F66CD6"/>
    <w:rsid w:val="00F964D5"/>
    <w:rsid w:val="00FA64BB"/>
    <w:rsid w:val="00FD0465"/>
    <w:rsid w:val="00FE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D00F"/>
  <w15:chartTrackingRefBased/>
  <w15:docId w15:val="{2B0C56B5-7FED-461F-BD5B-8B0682A4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18F"/>
    <w:rPr>
      <w:rFonts w:ascii="Segoe UI" w:hAnsi="Segoe UI" w:cs="Segoe UI"/>
      <w:sz w:val="18"/>
      <w:szCs w:val="18"/>
    </w:rPr>
  </w:style>
  <w:style w:type="paragraph" w:styleId="Header">
    <w:name w:val="header"/>
    <w:basedOn w:val="Normal"/>
    <w:link w:val="HeaderChar"/>
    <w:uiPriority w:val="99"/>
    <w:unhideWhenUsed/>
    <w:rsid w:val="003A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EDF"/>
  </w:style>
  <w:style w:type="paragraph" w:styleId="Footer">
    <w:name w:val="footer"/>
    <w:basedOn w:val="Normal"/>
    <w:link w:val="FooterChar"/>
    <w:unhideWhenUsed/>
    <w:rsid w:val="003A2EDF"/>
    <w:pPr>
      <w:tabs>
        <w:tab w:val="center" w:pos="4680"/>
        <w:tab w:val="right" w:pos="9360"/>
      </w:tabs>
      <w:spacing w:after="0" w:line="240" w:lineRule="auto"/>
    </w:pPr>
  </w:style>
  <w:style w:type="character" w:customStyle="1" w:styleId="FooterChar">
    <w:name w:val="Footer Char"/>
    <w:basedOn w:val="DefaultParagraphFont"/>
    <w:link w:val="Footer"/>
    <w:rsid w:val="003A2EDF"/>
  </w:style>
  <w:style w:type="paragraph" w:styleId="ListParagraph">
    <w:name w:val="List Paragraph"/>
    <w:basedOn w:val="Normal"/>
    <w:uiPriority w:val="34"/>
    <w:qFormat/>
    <w:rsid w:val="00EF6E76"/>
    <w:pPr>
      <w:ind w:left="720"/>
      <w:contextualSpacing/>
    </w:pPr>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qFormat/>
    <w:rsid w:val="00AA5384"/>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AA5384"/>
    <w:pPr>
      <w:spacing w:line="240" w:lineRule="exact"/>
    </w:pPr>
    <w:rPr>
      <w:vertAlign w:val="superscript"/>
    </w:rPr>
  </w:style>
  <w:style w:type="paragraph" w:styleId="NormalWeb">
    <w:name w:val="Normal (Web)"/>
    <w:basedOn w:val="Normal"/>
    <w:uiPriority w:val="99"/>
    <w:unhideWhenUsed/>
    <w:rsid w:val="00296337"/>
    <w:pPr>
      <w:spacing w:before="100" w:beforeAutospacing="1" w:after="100" w:afterAutospacing="1" w:line="240" w:lineRule="auto"/>
    </w:pPr>
    <w:rPr>
      <w:rFonts w:ascii="Times New Roman" w:eastAsiaTheme="minorEastAsia" w:hAnsi="Times New Roman" w:cs="Times New Roman"/>
      <w:sz w:val="24"/>
      <w:szCs w:val="24"/>
      <w14:ligatures w14:val="standardContextual"/>
    </w:rPr>
  </w:style>
  <w:style w:type="character" w:styleId="Strong">
    <w:name w:val="Strong"/>
    <w:basedOn w:val="DefaultParagraphFont"/>
    <w:qFormat/>
    <w:rsid w:val="00296337"/>
    <w:rPr>
      <w:b/>
      <w:bCs/>
    </w:rPr>
  </w:style>
  <w:style w:type="character" w:styleId="Emphasis">
    <w:name w:val="Emphasis"/>
    <w:basedOn w:val="DefaultParagraphFont"/>
    <w:uiPriority w:val="20"/>
    <w:qFormat/>
    <w:rsid w:val="00296337"/>
    <w:rPr>
      <w:i/>
      <w:iCs/>
    </w:rPr>
  </w:style>
  <w:style w:type="paragraph" w:styleId="FootnoteText">
    <w:name w:val="footnote text"/>
    <w:basedOn w:val="Normal"/>
    <w:link w:val="FootnoteTextChar"/>
    <w:uiPriority w:val="99"/>
    <w:semiHidden/>
    <w:unhideWhenUsed/>
    <w:rsid w:val="00724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5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1829-F80C-484D-95D3-030F53CF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Song Thuong (PC)</dc:creator>
  <cp:keywords/>
  <dc:description/>
  <cp:lastModifiedBy>DELL</cp:lastModifiedBy>
  <cp:revision>7</cp:revision>
  <cp:lastPrinted>2025-09-19T13:25:00Z</cp:lastPrinted>
  <dcterms:created xsi:type="dcterms:W3CDTF">2025-12-10T09:22:00Z</dcterms:created>
  <dcterms:modified xsi:type="dcterms:W3CDTF">2025-12-14T05:52:00Z</dcterms:modified>
</cp:coreProperties>
</file>