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80" w:type="dxa"/>
        <w:tblInd w:w="-635" w:type="dxa"/>
        <w:tblLook w:val="04A0" w:firstRow="1" w:lastRow="0" w:firstColumn="1" w:lastColumn="0" w:noHBand="0" w:noVBand="1"/>
      </w:tblPr>
      <w:tblGrid>
        <w:gridCol w:w="6475"/>
        <w:gridCol w:w="8105"/>
      </w:tblGrid>
      <w:tr w:rsidR="00E7782F" w:rsidRPr="00E7782F" w14:paraId="25320022" w14:textId="77777777" w:rsidTr="007A6438">
        <w:tc>
          <w:tcPr>
            <w:tcW w:w="6475" w:type="dxa"/>
            <w:tcBorders>
              <w:top w:val="nil"/>
              <w:left w:val="nil"/>
              <w:bottom w:val="nil"/>
              <w:right w:val="nil"/>
            </w:tcBorders>
            <w:vAlign w:val="center"/>
          </w:tcPr>
          <w:p w14:paraId="3C212D2E" w14:textId="07F03AA7" w:rsidR="0081100C" w:rsidRPr="00E7782F" w:rsidRDefault="0081100C" w:rsidP="0081100C">
            <w:pPr>
              <w:jc w:val="center"/>
              <w:rPr>
                <w:rFonts w:ascii="Times New Roman" w:hAnsi="Times New Roman" w:cs="Times New Roman"/>
                <w:sz w:val="27"/>
                <w:szCs w:val="27"/>
              </w:rPr>
            </w:pPr>
          </w:p>
        </w:tc>
        <w:tc>
          <w:tcPr>
            <w:tcW w:w="8105" w:type="dxa"/>
            <w:tcBorders>
              <w:top w:val="nil"/>
              <w:left w:val="nil"/>
              <w:bottom w:val="nil"/>
              <w:right w:val="nil"/>
            </w:tcBorders>
            <w:vAlign w:val="bottom"/>
          </w:tcPr>
          <w:p w14:paraId="5FCF0CFC" w14:textId="04BDFF1A" w:rsidR="0081100C" w:rsidRPr="00E7782F" w:rsidRDefault="0081100C" w:rsidP="0081100C">
            <w:pPr>
              <w:jc w:val="center"/>
              <w:rPr>
                <w:rFonts w:ascii="Times New Roman" w:hAnsi="Times New Roman" w:cs="Times New Roman"/>
                <w:sz w:val="27"/>
                <w:szCs w:val="27"/>
              </w:rPr>
            </w:pPr>
          </w:p>
        </w:tc>
      </w:tr>
      <w:tr w:rsidR="00E7782F" w:rsidRPr="00E7782F" w14:paraId="5DD2B228" w14:textId="77777777" w:rsidTr="009104E8">
        <w:trPr>
          <w:trHeight w:val="80"/>
        </w:trPr>
        <w:tc>
          <w:tcPr>
            <w:tcW w:w="6475" w:type="dxa"/>
            <w:tcBorders>
              <w:top w:val="nil"/>
              <w:left w:val="nil"/>
              <w:bottom w:val="nil"/>
              <w:right w:val="nil"/>
            </w:tcBorders>
            <w:vAlign w:val="center"/>
          </w:tcPr>
          <w:p w14:paraId="11863907" w14:textId="6C17CD07" w:rsidR="0081100C" w:rsidRPr="00E7782F" w:rsidRDefault="0081100C" w:rsidP="0081100C">
            <w:pPr>
              <w:jc w:val="center"/>
              <w:rPr>
                <w:rFonts w:ascii="Times New Roman" w:hAnsi="Times New Roman" w:cs="Times New Roman"/>
                <w:sz w:val="27"/>
                <w:szCs w:val="27"/>
              </w:rPr>
            </w:pPr>
          </w:p>
        </w:tc>
        <w:tc>
          <w:tcPr>
            <w:tcW w:w="8105" w:type="dxa"/>
            <w:tcBorders>
              <w:top w:val="nil"/>
              <w:left w:val="nil"/>
              <w:bottom w:val="nil"/>
              <w:right w:val="nil"/>
            </w:tcBorders>
            <w:vAlign w:val="bottom"/>
          </w:tcPr>
          <w:p w14:paraId="654687C0" w14:textId="2606C09B" w:rsidR="0081100C" w:rsidRPr="00E7782F" w:rsidRDefault="0081100C" w:rsidP="0081100C">
            <w:pPr>
              <w:rPr>
                <w:rFonts w:ascii="Times New Roman" w:hAnsi="Times New Roman" w:cs="Times New Roman"/>
                <w:sz w:val="27"/>
                <w:szCs w:val="27"/>
              </w:rPr>
            </w:pPr>
          </w:p>
        </w:tc>
      </w:tr>
      <w:tr w:rsidR="00E7782F" w:rsidRPr="00231599" w14:paraId="513C7603" w14:textId="77777777" w:rsidTr="007A6438">
        <w:tc>
          <w:tcPr>
            <w:tcW w:w="14580" w:type="dxa"/>
            <w:gridSpan w:val="2"/>
            <w:tcBorders>
              <w:top w:val="nil"/>
              <w:left w:val="nil"/>
              <w:bottom w:val="nil"/>
              <w:right w:val="nil"/>
            </w:tcBorders>
            <w:vAlign w:val="center"/>
          </w:tcPr>
          <w:p w14:paraId="15469E88" w14:textId="2BB0F602" w:rsidR="0081100C" w:rsidRPr="00231599" w:rsidRDefault="0081100C" w:rsidP="00161E41">
            <w:pPr>
              <w:jc w:val="center"/>
              <w:rPr>
                <w:rFonts w:ascii="Times New Roman" w:hAnsi="Times New Roman" w:cs="Times New Roman"/>
                <w:sz w:val="26"/>
                <w:szCs w:val="26"/>
              </w:rPr>
            </w:pPr>
            <w:r w:rsidRPr="00231599">
              <w:rPr>
                <w:rFonts w:ascii="Times New Roman" w:eastAsia="Times New Roman" w:hAnsi="Times New Roman" w:cs="Times New Roman"/>
                <w:b/>
                <w:bCs/>
                <w:kern w:val="0"/>
                <w:sz w:val="26"/>
                <w:szCs w:val="26"/>
                <w14:ligatures w14:val="none"/>
              </w:rPr>
              <w:t xml:space="preserve">Phụ lục </w:t>
            </w:r>
            <w:r w:rsidR="009173B5" w:rsidRPr="00231599">
              <w:rPr>
                <w:rFonts w:ascii="Times New Roman" w:eastAsia="Times New Roman" w:hAnsi="Times New Roman" w:cs="Times New Roman"/>
                <w:b/>
                <w:bCs/>
                <w:kern w:val="0"/>
                <w:sz w:val="26"/>
                <w:szCs w:val="26"/>
                <w14:ligatures w14:val="none"/>
              </w:rPr>
              <w:t>I</w:t>
            </w:r>
            <w:r w:rsidRPr="00231599">
              <w:rPr>
                <w:rFonts w:ascii="Times New Roman" w:eastAsia="Times New Roman" w:hAnsi="Times New Roman" w:cs="Times New Roman"/>
                <w:b/>
                <w:bCs/>
                <w:kern w:val="0"/>
                <w:sz w:val="26"/>
                <w:szCs w:val="26"/>
                <w14:ligatures w14:val="none"/>
              </w:rPr>
              <w:t>.</w:t>
            </w:r>
            <w:r w:rsidR="00161E41" w:rsidRPr="00231599">
              <w:rPr>
                <w:rFonts w:ascii="Times New Roman" w:eastAsia="Times New Roman" w:hAnsi="Times New Roman" w:cs="Times New Roman"/>
                <w:b/>
                <w:bCs/>
                <w:kern w:val="0"/>
                <w:sz w:val="26"/>
                <w:szCs w:val="26"/>
                <w14:ligatures w14:val="none"/>
              </w:rPr>
              <w:t>4</w:t>
            </w:r>
            <w:r w:rsidRPr="00231599">
              <w:rPr>
                <w:rFonts w:ascii="Times New Roman" w:eastAsia="Times New Roman" w:hAnsi="Times New Roman" w:cs="Times New Roman"/>
                <w:b/>
                <w:bCs/>
                <w:kern w:val="0"/>
                <w:sz w:val="26"/>
                <w:szCs w:val="26"/>
                <w14:ligatures w14:val="none"/>
              </w:rPr>
              <w:t>.</w:t>
            </w:r>
            <w:proofErr w:type="gramStart"/>
            <w:r w:rsidR="0030385D" w:rsidRPr="00231599">
              <w:rPr>
                <w:rFonts w:ascii="Times New Roman" w:eastAsia="Times New Roman" w:hAnsi="Times New Roman" w:cs="Times New Roman"/>
                <w:b/>
                <w:bCs/>
                <w:kern w:val="0"/>
                <w:sz w:val="26"/>
                <w:szCs w:val="26"/>
                <w14:ligatures w14:val="none"/>
              </w:rPr>
              <w:t>3</w:t>
            </w:r>
            <w:r w:rsidR="00393C4D" w:rsidRPr="00231599">
              <w:rPr>
                <w:rFonts w:ascii="Times New Roman" w:eastAsia="Times New Roman" w:hAnsi="Times New Roman" w:cs="Times New Roman"/>
                <w:b/>
                <w:bCs/>
                <w:kern w:val="0"/>
                <w:sz w:val="26"/>
                <w:szCs w:val="26"/>
                <w14:ligatures w14:val="none"/>
              </w:rPr>
              <w:t>.</w:t>
            </w:r>
            <w:r w:rsidRPr="00231599">
              <w:rPr>
                <w:rFonts w:ascii="Times New Roman" w:eastAsia="Times New Roman" w:hAnsi="Times New Roman" w:cs="Times New Roman"/>
                <w:b/>
                <w:bCs/>
                <w:kern w:val="0"/>
                <w:sz w:val="26"/>
                <w:szCs w:val="26"/>
                <w14:ligatures w14:val="none"/>
              </w:rPr>
              <w:t>B</w:t>
            </w:r>
            <w:proofErr w:type="gramEnd"/>
          </w:p>
        </w:tc>
      </w:tr>
      <w:tr w:rsidR="00E7782F" w:rsidRPr="00231599" w14:paraId="50EDC559" w14:textId="77777777" w:rsidTr="007A6438">
        <w:tc>
          <w:tcPr>
            <w:tcW w:w="14580" w:type="dxa"/>
            <w:gridSpan w:val="2"/>
            <w:tcBorders>
              <w:top w:val="nil"/>
              <w:left w:val="nil"/>
              <w:bottom w:val="nil"/>
              <w:right w:val="nil"/>
            </w:tcBorders>
            <w:vAlign w:val="center"/>
          </w:tcPr>
          <w:p w14:paraId="0EF833CC" w14:textId="2C00779A" w:rsidR="007A6438" w:rsidRPr="00231599" w:rsidRDefault="009104E8" w:rsidP="007A6438">
            <w:pPr>
              <w:jc w:val="center"/>
              <w:rPr>
                <w:rFonts w:ascii="Times New Roman" w:eastAsia="Times New Roman" w:hAnsi="Times New Roman" w:cs="Times New Roman"/>
                <w:b/>
                <w:bCs/>
                <w:kern w:val="0"/>
                <w:sz w:val="26"/>
                <w:szCs w:val="26"/>
                <w14:ligatures w14:val="none"/>
              </w:rPr>
            </w:pPr>
            <w:r w:rsidRPr="00231599">
              <w:rPr>
                <w:rFonts w:ascii="Times New Roman" w:hAnsi="Times New Roman" w:cs="Times New Roman"/>
                <w:b/>
                <w:sz w:val="26"/>
                <w:szCs w:val="26"/>
              </w:rPr>
              <w:t xml:space="preserve">TÌNH HÌNH XỬ LÝ ĐỐI VỚI </w:t>
            </w:r>
            <w:r w:rsidR="0081100C" w:rsidRPr="00231599">
              <w:rPr>
                <w:rFonts w:ascii="Times New Roman" w:eastAsia="Times New Roman" w:hAnsi="Times New Roman" w:cs="Times New Roman"/>
                <w:b/>
                <w:bCs/>
                <w:kern w:val="0"/>
                <w:sz w:val="26"/>
                <w:szCs w:val="26"/>
                <w14:ligatures w14:val="none"/>
              </w:rPr>
              <w:t>KHÓ KHĂN, VƯỚNG MẮC DO QUY ĐỊNH PHÁP LUẬT</w:t>
            </w:r>
            <w:r w:rsidR="0081100C" w:rsidRPr="00231599">
              <w:rPr>
                <w:rFonts w:ascii="Times New Roman" w:eastAsia="Times New Roman" w:hAnsi="Times New Roman" w:cs="Times New Roman"/>
                <w:b/>
                <w:bCs/>
                <w:kern w:val="0"/>
                <w:sz w:val="26"/>
                <w:szCs w:val="26"/>
                <w14:ligatures w14:val="none"/>
              </w:rPr>
              <w:br/>
              <w:t>THUỘC PHẠM VI PHỤ TRÁCH CỦA BỘ CÔNG THƯƠNG</w:t>
            </w:r>
            <w:r w:rsidR="0081100C" w:rsidRPr="00231599">
              <w:rPr>
                <w:rFonts w:ascii="Times New Roman" w:eastAsia="Times New Roman" w:hAnsi="Times New Roman" w:cs="Times New Roman"/>
                <w:b/>
                <w:bCs/>
                <w:kern w:val="0"/>
                <w:sz w:val="26"/>
                <w:szCs w:val="26"/>
                <w14:ligatures w14:val="none"/>
              </w:rPr>
              <w:br/>
              <w:t xml:space="preserve">Tiêu chí: </w:t>
            </w:r>
            <w:r w:rsidR="0030385D" w:rsidRPr="00231599">
              <w:rPr>
                <w:rFonts w:ascii="Times New Roman" w:eastAsia="Times New Roman" w:hAnsi="Times New Roman" w:cs="Times New Roman"/>
                <w:b/>
                <w:bCs/>
                <w:kern w:val="0"/>
                <w:sz w:val="26"/>
                <w:szCs w:val="26"/>
                <w14:ligatures w14:val="none"/>
              </w:rPr>
              <w:t xml:space="preserve">Nội dung quy định được phản ánh tạo gánh nặng chi phí tuân thủ; chưa có quy định hoặc có quy định của </w:t>
            </w:r>
            <w:proofErr w:type="gramStart"/>
            <w:r w:rsidR="0030385D" w:rsidRPr="00231599">
              <w:rPr>
                <w:rFonts w:ascii="Times New Roman" w:eastAsia="Times New Roman" w:hAnsi="Times New Roman" w:cs="Times New Roman"/>
                <w:b/>
                <w:bCs/>
                <w:kern w:val="0"/>
                <w:sz w:val="26"/>
                <w:szCs w:val="26"/>
                <w14:ligatures w14:val="none"/>
              </w:rPr>
              <w:t>VBQPPL</w:t>
            </w:r>
            <w:proofErr w:type="gramEnd"/>
          </w:p>
          <w:p w14:paraId="70C3121F" w14:textId="77777777" w:rsidR="007A6438" w:rsidRPr="00231599" w:rsidRDefault="0030385D" w:rsidP="007A6438">
            <w:pPr>
              <w:jc w:val="center"/>
              <w:rPr>
                <w:rFonts w:ascii="Times New Roman" w:eastAsia="Times New Roman" w:hAnsi="Times New Roman" w:cs="Times New Roman"/>
                <w:b/>
                <w:bCs/>
                <w:kern w:val="0"/>
                <w:sz w:val="26"/>
                <w:szCs w:val="26"/>
                <w14:ligatures w14:val="none"/>
              </w:rPr>
            </w:pPr>
            <w:r w:rsidRPr="00231599">
              <w:rPr>
                <w:rFonts w:ascii="Times New Roman" w:eastAsia="Times New Roman" w:hAnsi="Times New Roman" w:cs="Times New Roman"/>
                <w:b/>
                <w:bCs/>
                <w:kern w:val="0"/>
                <w:sz w:val="26"/>
                <w:szCs w:val="26"/>
                <w14:ligatures w14:val="none"/>
              </w:rPr>
              <w:t xml:space="preserve"> nhưng hạn chế việc đổi mới sáng tạo, phát triển động lực tăng trưởng mới, khơi thông nguồn lực, thúc đẩy tăng trưởng kinh tế </w:t>
            </w:r>
          </w:p>
          <w:p w14:paraId="06374AEC" w14:textId="77777777" w:rsidR="007A6438" w:rsidRPr="00231599" w:rsidRDefault="0030385D" w:rsidP="007A6438">
            <w:pPr>
              <w:jc w:val="center"/>
              <w:rPr>
                <w:rFonts w:ascii="Times New Roman" w:eastAsia="Times New Roman" w:hAnsi="Times New Roman" w:cs="Times New Roman"/>
                <w:b/>
                <w:bCs/>
                <w:kern w:val="0"/>
                <w:sz w:val="26"/>
                <w:szCs w:val="26"/>
                <w14:ligatures w14:val="none"/>
              </w:rPr>
            </w:pPr>
            <w:r w:rsidRPr="00231599">
              <w:rPr>
                <w:rFonts w:ascii="Times New Roman" w:eastAsia="Times New Roman" w:hAnsi="Times New Roman" w:cs="Times New Roman"/>
                <w:b/>
                <w:bCs/>
                <w:kern w:val="0"/>
                <w:sz w:val="26"/>
                <w:szCs w:val="26"/>
                <w14:ligatures w14:val="none"/>
              </w:rPr>
              <w:t>và hội nhập quốc tế</w:t>
            </w:r>
            <w:r w:rsidR="0081100C" w:rsidRPr="00231599">
              <w:rPr>
                <w:rFonts w:ascii="Times New Roman" w:eastAsia="Times New Roman" w:hAnsi="Times New Roman" w:cs="Times New Roman"/>
                <w:b/>
                <w:bCs/>
                <w:kern w:val="0"/>
                <w:sz w:val="26"/>
                <w:szCs w:val="26"/>
                <w14:ligatures w14:val="none"/>
              </w:rPr>
              <w:br/>
              <w:t xml:space="preserve">Nhóm B: Nhóm nội dung cho ý kiến nhất trí nhưng đề xuất không áp dụng phương án, quy trình xử lý </w:t>
            </w:r>
          </w:p>
          <w:p w14:paraId="60E4FCEA" w14:textId="77777777" w:rsidR="0081100C" w:rsidRPr="00231599" w:rsidRDefault="0081100C" w:rsidP="007A6438">
            <w:pPr>
              <w:jc w:val="center"/>
              <w:rPr>
                <w:rFonts w:ascii="Times New Roman" w:eastAsia="Times New Roman" w:hAnsi="Times New Roman" w:cs="Times New Roman"/>
                <w:b/>
                <w:bCs/>
                <w:kern w:val="0"/>
                <w:sz w:val="26"/>
                <w:szCs w:val="26"/>
                <w14:ligatures w14:val="none"/>
              </w:rPr>
            </w:pPr>
            <w:r w:rsidRPr="00231599">
              <w:rPr>
                <w:rFonts w:ascii="Times New Roman" w:eastAsia="Times New Roman" w:hAnsi="Times New Roman" w:cs="Times New Roman"/>
                <w:b/>
                <w:bCs/>
                <w:kern w:val="0"/>
                <w:sz w:val="26"/>
                <w:szCs w:val="26"/>
                <w14:ligatures w14:val="none"/>
              </w:rPr>
              <w:t>nêu tại khoản 1 Điều 4 Nghị quyết số 206/2025/QH15 (xử l</w:t>
            </w:r>
            <w:r w:rsidR="007A6438" w:rsidRPr="00231599">
              <w:rPr>
                <w:rFonts w:ascii="Times New Roman" w:eastAsia="Times New Roman" w:hAnsi="Times New Roman" w:cs="Times New Roman"/>
                <w:b/>
                <w:bCs/>
                <w:kern w:val="0"/>
                <w:sz w:val="26"/>
                <w:szCs w:val="26"/>
                <w14:ligatures w14:val="none"/>
              </w:rPr>
              <w:t xml:space="preserve">ý theo quy trình thông thường) </w:t>
            </w:r>
          </w:p>
          <w:p w14:paraId="4EE8B828" w14:textId="34CA27FC" w:rsidR="009173B5" w:rsidRPr="00231599" w:rsidRDefault="009173B5" w:rsidP="00E7782F">
            <w:pPr>
              <w:jc w:val="center"/>
              <w:rPr>
                <w:rFonts w:ascii="Times New Roman" w:eastAsia="Times New Roman" w:hAnsi="Times New Roman" w:cs="Times New Roman"/>
                <w:i/>
                <w:iCs/>
                <w:sz w:val="26"/>
                <w:szCs w:val="26"/>
              </w:rPr>
            </w:pPr>
          </w:p>
        </w:tc>
      </w:tr>
    </w:tbl>
    <w:p w14:paraId="58DCDF8E" w14:textId="7F96D7B1" w:rsidR="006B5017" w:rsidRPr="00231599" w:rsidRDefault="00161E41">
      <w:pPr>
        <w:rPr>
          <w:rFonts w:ascii="Times New Roman" w:hAnsi="Times New Roman" w:cs="Times New Roman"/>
          <w:sz w:val="26"/>
          <w:szCs w:val="26"/>
        </w:rPr>
      </w:pPr>
      <w:r w:rsidRPr="00231599">
        <w:rPr>
          <w:rFonts w:ascii="Times New Roman" w:hAnsi="Times New Roman" w:cs="Times New Roman"/>
          <w:noProof/>
          <w:sz w:val="26"/>
          <w:szCs w:val="26"/>
        </w:rPr>
        <mc:AlternateContent>
          <mc:Choice Requires="wps">
            <w:drawing>
              <wp:anchor distT="4294967294" distB="4294967294" distL="114300" distR="114300" simplePos="0" relativeHeight="251658752" behindDoc="0" locked="0" layoutInCell="1" allowOverlap="1" wp14:anchorId="6A8EFBD9" wp14:editId="569A7CA9">
                <wp:simplePos x="0" y="0"/>
                <wp:positionH relativeFrom="margin">
                  <wp:align>center</wp:align>
                </wp:positionH>
                <wp:positionV relativeFrom="paragraph">
                  <wp:posOffset>84455</wp:posOffset>
                </wp:positionV>
                <wp:extent cx="2592000" cy="0"/>
                <wp:effectExtent l="0" t="0" r="37465" b="19050"/>
                <wp:wrapNone/>
                <wp:docPr id="697143563" name="Straight Connector 697143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A90F7" id="Straight Connector 697143563" o:spid="_x0000_s1026" style="position:absolute;flip:y;z-index:25165875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6.65pt" to="204.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" strokeweight="1pt">
                <w10:wrap anchorx="margin"/>
              </v:line>
            </w:pict>
          </mc:Fallback>
        </mc:AlternateContent>
      </w:r>
    </w:p>
    <w:tbl>
      <w:tblPr>
        <w:tblStyle w:val="TableGrid"/>
        <w:tblW w:w="15310" w:type="dxa"/>
        <w:tblInd w:w="-601" w:type="dxa"/>
        <w:tblLook w:val="04A0" w:firstRow="1" w:lastRow="0" w:firstColumn="1" w:lastColumn="0" w:noHBand="0" w:noVBand="1"/>
      </w:tblPr>
      <w:tblGrid>
        <w:gridCol w:w="670"/>
        <w:gridCol w:w="2591"/>
        <w:gridCol w:w="4252"/>
        <w:gridCol w:w="1985"/>
        <w:gridCol w:w="1210"/>
        <w:gridCol w:w="2277"/>
        <w:gridCol w:w="2325"/>
      </w:tblGrid>
      <w:tr w:rsidR="00E7782F" w:rsidRPr="00231599" w14:paraId="3C634EEC" w14:textId="77777777" w:rsidTr="00836D1D">
        <w:trPr>
          <w:tblHeader/>
        </w:trPr>
        <w:tc>
          <w:tcPr>
            <w:tcW w:w="670" w:type="dxa"/>
            <w:shd w:val="clear" w:color="auto" w:fill="F7CAAC" w:themeFill="accent2" w:themeFillTint="66"/>
            <w:vAlign w:val="center"/>
          </w:tcPr>
          <w:p w14:paraId="0978FCD3" w14:textId="08AC568C" w:rsidR="0081100C" w:rsidRPr="00231599" w:rsidRDefault="0081100C" w:rsidP="00161E41">
            <w:pPr>
              <w:jc w:val="center"/>
              <w:rPr>
                <w:rFonts w:ascii="Times New Roman" w:hAnsi="Times New Roman" w:cs="Times New Roman"/>
              </w:rPr>
            </w:pPr>
            <w:r w:rsidRPr="00231599">
              <w:rPr>
                <w:rFonts w:ascii="Times New Roman" w:eastAsia="Times New Roman" w:hAnsi="Times New Roman" w:cs="Times New Roman"/>
                <w:b/>
                <w:bCs/>
                <w:kern w:val="0"/>
                <w:sz w:val="24"/>
                <w:szCs w:val="24"/>
                <w14:ligatures w14:val="none"/>
              </w:rPr>
              <w:t>STT</w:t>
            </w:r>
          </w:p>
        </w:tc>
        <w:tc>
          <w:tcPr>
            <w:tcW w:w="2591" w:type="dxa"/>
            <w:shd w:val="clear" w:color="auto" w:fill="F7CAAC" w:themeFill="accent2" w:themeFillTint="66"/>
            <w:vAlign w:val="center"/>
          </w:tcPr>
          <w:p w14:paraId="5B9D7795" w14:textId="77777777" w:rsidR="003F5143" w:rsidRPr="00231599" w:rsidRDefault="0081100C" w:rsidP="00161E41">
            <w:pPr>
              <w:jc w:val="center"/>
              <w:rPr>
                <w:rFonts w:ascii="Times New Roman" w:eastAsia="Times New Roman" w:hAnsi="Times New Roman" w:cs="Times New Roman"/>
                <w:b/>
                <w:bCs/>
                <w:kern w:val="0"/>
                <w:sz w:val="24"/>
                <w:szCs w:val="24"/>
                <w14:ligatures w14:val="none"/>
              </w:rPr>
            </w:pPr>
            <w:r w:rsidRPr="00231599">
              <w:rPr>
                <w:rFonts w:ascii="Times New Roman" w:eastAsia="Times New Roman" w:hAnsi="Times New Roman" w:cs="Times New Roman"/>
                <w:b/>
                <w:bCs/>
                <w:kern w:val="0"/>
                <w:sz w:val="24"/>
                <w:szCs w:val="24"/>
                <w14:ligatures w14:val="none"/>
              </w:rPr>
              <w:t>Điều, khoản, điểm, tên văn bản đề xuất</w:t>
            </w:r>
          </w:p>
          <w:p w14:paraId="0187D4B1" w14:textId="4828ADB9" w:rsidR="0081100C" w:rsidRPr="00231599" w:rsidRDefault="0081100C" w:rsidP="00161E41">
            <w:pPr>
              <w:jc w:val="center"/>
              <w:rPr>
                <w:rFonts w:ascii="Times New Roman" w:hAnsi="Times New Roman" w:cs="Times New Roman"/>
              </w:rPr>
            </w:pPr>
            <w:r w:rsidRPr="00231599">
              <w:rPr>
                <w:rFonts w:ascii="Times New Roman" w:eastAsia="Times New Roman" w:hAnsi="Times New Roman" w:cs="Times New Roman"/>
                <w:b/>
                <w:bCs/>
                <w:kern w:val="0"/>
                <w:sz w:val="24"/>
                <w:szCs w:val="24"/>
                <w14:ligatures w14:val="none"/>
              </w:rPr>
              <w:t xml:space="preserve"> xử lý</w:t>
            </w:r>
          </w:p>
        </w:tc>
        <w:tc>
          <w:tcPr>
            <w:tcW w:w="4252" w:type="dxa"/>
            <w:shd w:val="clear" w:color="auto" w:fill="F7CAAC" w:themeFill="accent2" w:themeFillTint="66"/>
            <w:vAlign w:val="center"/>
          </w:tcPr>
          <w:p w14:paraId="35D0B677" w14:textId="77777777" w:rsidR="00B2005D" w:rsidRPr="00231599" w:rsidRDefault="005C10BE" w:rsidP="00161E41">
            <w:pPr>
              <w:jc w:val="center"/>
              <w:rPr>
                <w:rFonts w:ascii="Times New Roman" w:eastAsia="Times New Roman" w:hAnsi="Times New Roman" w:cs="Times New Roman"/>
                <w:b/>
                <w:bCs/>
                <w:sz w:val="24"/>
                <w:szCs w:val="24"/>
              </w:rPr>
            </w:pPr>
            <w:r w:rsidRPr="00231599">
              <w:rPr>
                <w:rFonts w:ascii="Times New Roman" w:eastAsia="Times New Roman" w:hAnsi="Times New Roman" w:cs="Times New Roman"/>
                <w:b/>
                <w:bCs/>
                <w:sz w:val="24"/>
                <w:szCs w:val="24"/>
              </w:rPr>
              <w:t xml:space="preserve">Nội dung quy định được phản ánh </w:t>
            </w:r>
          </w:p>
          <w:p w14:paraId="52F739F4" w14:textId="10C6CDC5" w:rsidR="0081100C" w:rsidRPr="00231599" w:rsidRDefault="005C10BE" w:rsidP="00161E41">
            <w:pPr>
              <w:jc w:val="center"/>
              <w:rPr>
                <w:rFonts w:ascii="Times New Roman" w:hAnsi="Times New Roman" w:cs="Times New Roman"/>
              </w:rPr>
            </w:pPr>
            <w:r w:rsidRPr="00231599">
              <w:rPr>
                <w:rFonts w:ascii="Times New Roman" w:eastAsia="Times New Roman" w:hAnsi="Times New Roman" w:cs="Times New Roman"/>
                <w:b/>
                <w:bCs/>
                <w:sz w:val="24"/>
                <w:szCs w:val="24"/>
              </w:rPr>
              <w:t>tạo gánh nặng chi phí tuân thủ; chưa có quy định hoặc có quy định của VBQPPL nhưng hạn chế việc đổi mới sáng tạo, phát triển động lực tăng trưởng mới, khơi thông nguồn lực, thúc đẩy tăng trưởng kinh tế và hội nhập quốc tế</w:t>
            </w:r>
          </w:p>
        </w:tc>
        <w:tc>
          <w:tcPr>
            <w:tcW w:w="1985" w:type="dxa"/>
            <w:shd w:val="clear" w:color="auto" w:fill="F7CAAC" w:themeFill="accent2" w:themeFillTint="66"/>
            <w:vAlign w:val="center"/>
          </w:tcPr>
          <w:p w14:paraId="7177338F" w14:textId="5BEE01F2" w:rsidR="0081100C" w:rsidRPr="00231599" w:rsidRDefault="0081100C" w:rsidP="00161E41">
            <w:pPr>
              <w:jc w:val="center"/>
              <w:rPr>
                <w:rFonts w:ascii="Times New Roman" w:hAnsi="Times New Roman" w:cs="Times New Roman"/>
              </w:rPr>
            </w:pPr>
            <w:r w:rsidRPr="00231599">
              <w:rPr>
                <w:rFonts w:ascii="Times New Roman" w:eastAsia="Times New Roman" w:hAnsi="Times New Roman" w:cs="Times New Roman"/>
                <w:b/>
                <w:bCs/>
                <w:kern w:val="0"/>
                <w:sz w:val="24"/>
                <w:szCs w:val="24"/>
                <w14:ligatures w14:val="none"/>
              </w:rPr>
              <w:t>Phương án xử lý được đề xuất</w:t>
            </w:r>
          </w:p>
        </w:tc>
        <w:tc>
          <w:tcPr>
            <w:tcW w:w="1210" w:type="dxa"/>
            <w:shd w:val="clear" w:color="auto" w:fill="F7CAAC" w:themeFill="accent2" w:themeFillTint="66"/>
            <w:vAlign w:val="center"/>
          </w:tcPr>
          <w:p w14:paraId="7571BCA1" w14:textId="77777777" w:rsidR="00EC20CC" w:rsidRPr="00231599" w:rsidRDefault="0081100C" w:rsidP="00161E41">
            <w:pPr>
              <w:jc w:val="center"/>
              <w:rPr>
                <w:rFonts w:ascii="Times New Roman" w:eastAsia="Times New Roman" w:hAnsi="Times New Roman" w:cs="Times New Roman"/>
                <w:b/>
                <w:bCs/>
                <w:kern w:val="0"/>
                <w:sz w:val="24"/>
                <w:szCs w:val="24"/>
                <w14:ligatures w14:val="none"/>
              </w:rPr>
            </w:pPr>
            <w:r w:rsidRPr="00231599">
              <w:rPr>
                <w:rFonts w:ascii="Times New Roman" w:eastAsia="Times New Roman" w:hAnsi="Times New Roman" w:cs="Times New Roman"/>
                <w:b/>
                <w:bCs/>
                <w:kern w:val="0"/>
                <w:sz w:val="24"/>
                <w:szCs w:val="24"/>
                <w14:ligatures w14:val="none"/>
              </w:rPr>
              <w:t>Cơ quan,</w:t>
            </w:r>
          </w:p>
          <w:p w14:paraId="0501EC2A" w14:textId="7516596E" w:rsidR="0081100C" w:rsidRPr="00231599" w:rsidRDefault="0081100C" w:rsidP="00161E41">
            <w:pPr>
              <w:jc w:val="center"/>
              <w:rPr>
                <w:rFonts w:ascii="Times New Roman" w:hAnsi="Times New Roman" w:cs="Times New Roman"/>
              </w:rPr>
            </w:pPr>
            <w:r w:rsidRPr="00231599">
              <w:rPr>
                <w:rFonts w:ascii="Times New Roman" w:eastAsia="Times New Roman" w:hAnsi="Times New Roman" w:cs="Times New Roman"/>
                <w:b/>
                <w:bCs/>
                <w:kern w:val="0"/>
                <w:sz w:val="24"/>
                <w:szCs w:val="24"/>
                <w14:ligatures w14:val="none"/>
              </w:rPr>
              <w:t xml:space="preserve"> tổ chức rà soát, phản ánh</w:t>
            </w:r>
          </w:p>
        </w:tc>
        <w:tc>
          <w:tcPr>
            <w:tcW w:w="2277" w:type="dxa"/>
            <w:shd w:val="clear" w:color="auto" w:fill="F7CAAC" w:themeFill="accent2" w:themeFillTint="66"/>
            <w:vAlign w:val="center"/>
          </w:tcPr>
          <w:p w14:paraId="35CDBA6F" w14:textId="2CF9A4A9" w:rsidR="0081100C" w:rsidRPr="00231599" w:rsidRDefault="00161E41" w:rsidP="00161E41">
            <w:pPr>
              <w:jc w:val="center"/>
              <w:rPr>
                <w:rFonts w:ascii="Times New Roman" w:hAnsi="Times New Roman" w:cs="Times New Roman"/>
              </w:rPr>
            </w:pPr>
            <w:r w:rsidRPr="00231599">
              <w:rPr>
                <w:rFonts w:ascii="Times New Roman" w:eastAsia="Times New Roman" w:hAnsi="Times New Roman" w:cs="Times New Roman"/>
                <w:b/>
                <w:bCs/>
                <w:kern w:val="0"/>
                <w:sz w:val="24"/>
                <w:szCs w:val="24"/>
                <w14:ligatures w14:val="none"/>
              </w:rPr>
              <w:t>Ý kiến của Bộ Công Thương</w:t>
            </w:r>
            <w:r w:rsidR="0081100C" w:rsidRPr="00231599">
              <w:rPr>
                <w:rFonts w:ascii="Times New Roman" w:eastAsia="Times New Roman" w:hAnsi="Times New Roman" w:cs="Times New Roman"/>
                <w:b/>
                <w:bCs/>
                <w:kern w:val="0"/>
                <w:sz w:val="24"/>
                <w:szCs w:val="24"/>
                <w14:ligatures w14:val="none"/>
              </w:rPr>
              <w:t xml:space="preserve"> về nội dung rà soát, phản ánh</w:t>
            </w:r>
          </w:p>
        </w:tc>
        <w:tc>
          <w:tcPr>
            <w:tcW w:w="2325" w:type="dxa"/>
            <w:shd w:val="clear" w:color="auto" w:fill="F7CAAC" w:themeFill="accent2" w:themeFillTint="66"/>
            <w:vAlign w:val="center"/>
          </w:tcPr>
          <w:p w14:paraId="3076107D" w14:textId="1FC33D85" w:rsidR="0081100C" w:rsidRPr="00231599" w:rsidRDefault="009104E8" w:rsidP="00FB1935">
            <w:pPr>
              <w:jc w:val="center"/>
              <w:rPr>
                <w:rFonts w:ascii="Times New Roman" w:eastAsia="Times New Roman" w:hAnsi="Times New Roman" w:cs="Times New Roman"/>
                <w:b/>
                <w:bCs/>
                <w:kern w:val="0"/>
                <w:sz w:val="24"/>
                <w:szCs w:val="24"/>
                <w14:ligatures w14:val="none"/>
              </w:rPr>
            </w:pPr>
            <w:r w:rsidRPr="00231599">
              <w:rPr>
                <w:rFonts w:ascii="Times New Roman" w:hAnsi="Times New Roman" w:cs="Times New Roman"/>
                <w:b/>
                <w:bCs/>
                <w:sz w:val="25"/>
                <w:szCs w:val="25"/>
              </w:rPr>
              <w:t xml:space="preserve">Tình hình xử lý </w:t>
            </w:r>
          </w:p>
        </w:tc>
      </w:tr>
      <w:tr w:rsidR="00E7782F" w:rsidRPr="00231599" w14:paraId="5D17F1EB" w14:textId="77777777" w:rsidTr="00836D1D">
        <w:tc>
          <w:tcPr>
            <w:tcW w:w="670" w:type="dxa"/>
            <w:vAlign w:val="center"/>
          </w:tcPr>
          <w:p w14:paraId="48D78076" w14:textId="7CFAC039"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t>1</w:t>
            </w:r>
          </w:p>
        </w:tc>
        <w:tc>
          <w:tcPr>
            <w:tcW w:w="2591" w:type="dxa"/>
            <w:vAlign w:val="center"/>
          </w:tcPr>
          <w:p w14:paraId="0E6808B6" w14:textId="3AAD4BA9"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Khoản 5 Điều 27 Nghị định số 58/2025 - Quy mô diện tích khảo sát</w:t>
            </w:r>
          </w:p>
        </w:tc>
        <w:tc>
          <w:tcPr>
            <w:tcW w:w="4252" w:type="dxa"/>
            <w:vAlign w:val="center"/>
          </w:tcPr>
          <w:p w14:paraId="4822D96D" w14:textId="253C5D1A"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Nội dung quy định về Quy mô diện tích khảo sát diện tích khu vực biển sử dụng để khảo sát tối đa 20 ha/MW, diện tích biểm để thực hiện dự án ĐGNK tối đa 05ha/</w:t>
            </w:r>
            <w:proofErr w:type="gramStart"/>
            <w:r w:rsidRPr="00231599">
              <w:rPr>
                <w:rFonts w:ascii="Times New Roman" w:eastAsia="Times New Roman" w:hAnsi="Times New Roman" w:cs="Times New Roman"/>
                <w:kern w:val="0"/>
                <w:sz w:val="24"/>
                <w:szCs w:val="24"/>
                <w14:ligatures w14:val="none"/>
              </w:rPr>
              <w:t>MW.Sau</w:t>
            </w:r>
            <w:proofErr w:type="gramEnd"/>
            <w:r w:rsidRPr="00231599">
              <w:rPr>
                <w:rFonts w:ascii="Times New Roman" w:eastAsia="Times New Roman" w:hAnsi="Times New Roman" w:cs="Times New Roman"/>
                <w:kern w:val="0"/>
                <w:sz w:val="24"/>
                <w:szCs w:val="24"/>
                <w14:ligatures w14:val="none"/>
              </w:rPr>
              <w:t xml:space="preserve"> khi nghiên cứu, khảo sát thì quy mô dự án khả thi triển khai có thể thấp hơn so với dự kiến ban đầu dẫn đến không phù hợp.</w:t>
            </w:r>
          </w:p>
        </w:tc>
        <w:tc>
          <w:tcPr>
            <w:tcW w:w="1985" w:type="dxa"/>
            <w:vAlign w:val="center"/>
          </w:tcPr>
          <w:p w14:paraId="7BFC03FC" w14:textId="17CC6598"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C. Sửa đổi, bổ sung, thay thế, ban hành mới VBQPPL (theo trình tự, thủ tục rút gọn ban hành VBQPPL của Luật Ban hành VBQPPL)</w:t>
            </w:r>
          </w:p>
        </w:tc>
        <w:tc>
          <w:tcPr>
            <w:tcW w:w="1210" w:type="dxa"/>
            <w:vAlign w:val="center"/>
          </w:tcPr>
          <w:p w14:paraId="0E31CF23" w14:textId="17624612"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 xml:space="preserve">Tập đoàn Công nghiệp - Năng lượng Quốc gia Việt Nam </w:t>
            </w:r>
          </w:p>
        </w:tc>
        <w:tc>
          <w:tcPr>
            <w:tcW w:w="2277" w:type="dxa"/>
            <w:vAlign w:val="center"/>
          </w:tcPr>
          <w:p w14:paraId="27E43D78" w14:textId="3026EFD1"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Không nhất trí</w:t>
            </w:r>
            <w:r w:rsidRPr="00231599">
              <w:rPr>
                <w:rFonts w:ascii="Times New Roman" w:eastAsia="Times New Roman" w:hAnsi="Times New Roman" w:cs="Times New Roman"/>
                <w:kern w:val="0"/>
                <w:sz w:val="24"/>
                <w:szCs w:val="24"/>
                <w14:ligatures w14:val="none"/>
              </w:rPr>
              <w:br/>
              <w:t xml:space="preserve">Lý </w:t>
            </w:r>
            <w:proofErr w:type="gramStart"/>
            <w:r w:rsidRPr="00231599">
              <w:rPr>
                <w:rFonts w:ascii="Times New Roman" w:eastAsia="Times New Roman" w:hAnsi="Times New Roman" w:cs="Times New Roman"/>
                <w:kern w:val="0"/>
                <w:sz w:val="24"/>
                <w:szCs w:val="24"/>
                <w14:ligatures w14:val="none"/>
              </w:rPr>
              <w:t>do</w:t>
            </w:r>
            <w:proofErr w:type="gramEnd"/>
            <w:r w:rsidRPr="00231599">
              <w:rPr>
                <w:rFonts w:ascii="Times New Roman" w:eastAsia="Times New Roman" w:hAnsi="Times New Roman" w:cs="Times New Roman"/>
                <w:kern w:val="0"/>
                <w:sz w:val="24"/>
                <w:szCs w:val="24"/>
                <w14:ligatures w14:val="none"/>
              </w:rPr>
              <w:t xml:space="preserve">: Quy định về diện tích khu vực biển để thực hiện dự án điện gió ngoài khơi được nghiên cứu, tham khảo kinh nghiệm quốc tế trong quá trình xây dựng Nghị định, phù hợp với điều kiện Việt Nam, đặc biệt là vấn đề quốc phòng, an ninh. Ngoài ra, hiện nay chưa có dự án </w:t>
            </w:r>
            <w:r w:rsidRPr="00231599">
              <w:rPr>
                <w:rFonts w:ascii="Times New Roman" w:eastAsia="Times New Roman" w:hAnsi="Times New Roman" w:cs="Times New Roman"/>
                <w:kern w:val="0"/>
                <w:sz w:val="24"/>
                <w:szCs w:val="24"/>
                <w14:ligatures w14:val="none"/>
              </w:rPr>
              <w:lastRenderedPageBreak/>
              <w:t>điện gió ngoài khơi nào được triển khai, nên cần phải có đánh giá trên thực tiễn.</w:t>
            </w:r>
            <w:r w:rsidRPr="00231599">
              <w:rPr>
                <w:rFonts w:ascii="Times New Roman" w:eastAsia="Times New Roman" w:hAnsi="Times New Roman" w:cs="Times New Roman"/>
                <w:kern w:val="0"/>
                <w:sz w:val="24"/>
                <w:szCs w:val="24"/>
                <w14:ligatures w14:val="none"/>
              </w:rPr>
              <w:br/>
              <w:t xml:space="preserve">Trường hợp cần phải nghiên cứu sửa đổi, </w:t>
            </w:r>
            <w:r w:rsidRPr="00231599">
              <w:rPr>
                <w:rFonts w:ascii="Times New Roman" w:eastAsia="Times New Roman" w:hAnsi="Times New Roman" w:cs="Times New Roman"/>
                <w:b/>
                <w:bCs/>
                <w:kern w:val="0"/>
                <w:sz w:val="24"/>
                <w:szCs w:val="24"/>
                <w14:ligatures w14:val="none"/>
              </w:rPr>
              <w:t>đề nghị chuyển sang nhóm B.</w:t>
            </w:r>
          </w:p>
        </w:tc>
        <w:tc>
          <w:tcPr>
            <w:tcW w:w="2325" w:type="dxa"/>
            <w:vAlign w:val="center"/>
          </w:tcPr>
          <w:p w14:paraId="2D9B727F" w14:textId="77777777" w:rsidR="00395D8F" w:rsidRPr="00231599" w:rsidRDefault="00395D8F" w:rsidP="00395D8F">
            <w:pPr>
              <w:jc w:val="both"/>
              <w:rPr>
                <w:rFonts w:ascii="Times New Roman" w:hAnsi="Times New Roman" w:cs="Times New Roman"/>
                <w:b/>
                <w:sz w:val="26"/>
                <w:szCs w:val="26"/>
              </w:rPr>
            </w:pPr>
            <w:r w:rsidRPr="00231599">
              <w:rPr>
                <w:rFonts w:ascii="Times New Roman" w:hAnsi="Times New Roman" w:cs="Times New Roman"/>
                <w:b/>
                <w:sz w:val="26"/>
                <w:szCs w:val="26"/>
              </w:rPr>
              <w:lastRenderedPageBreak/>
              <w:t xml:space="preserve">Đã xử lý </w:t>
            </w:r>
          </w:p>
          <w:p w14:paraId="7A16F091" w14:textId="3F8447B5" w:rsidR="001C1E00" w:rsidRPr="00231599" w:rsidRDefault="00395D8F" w:rsidP="00395D8F">
            <w:pPr>
              <w:jc w:val="both"/>
              <w:rPr>
                <w:rFonts w:ascii="Times New Roman" w:hAnsi="Times New Roman" w:cs="Times New Roman"/>
              </w:rPr>
            </w:pPr>
            <w:r w:rsidRPr="00231599">
              <w:rPr>
                <w:rFonts w:ascii="Times New Roman" w:hAnsi="Times New Roman" w:cs="Times New Roman"/>
                <w:sz w:val="26"/>
                <w:szCs w:val="26"/>
              </w:rPr>
              <w:t>Tại Nghị quyết của Quốc hội về các cơ chế, chính sách tháo gỡ khó khăn phát triển năng lượng quốc gia giai đoạn 2026 – 2030</w:t>
            </w:r>
          </w:p>
        </w:tc>
      </w:tr>
      <w:tr w:rsidR="00E7782F" w:rsidRPr="00231599" w14:paraId="4CA861EC" w14:textId="77777777" w:rsidTr="00836D1D">
        <w:tc>
          <w:tcPr>
            <w:tcW w:w="670" w:type="dxa"/>
            <w:vAlign w:val="center"/>
          </w:tcPr>
          <w:p w14:paraId="7AA8BF53" w14:textId="61DF6D73"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t>2</w:t>
            </w:r>
          </w:p>
        </w:tc>
        <w:tc>
          <w:tcPr>
            <w:tcW w:w="2591" w:type="dxa"/>
            <w:vAlign w:val="center"/>
          </w:tcPr>
          <w:p w14:paraId="36C0D621" w14:textId="5376BAE7"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Khoản 19, Điều 20; Khoản 5, Điều 22; Khoản 9, Điều 23; Khoản 12, Điều 32 tại Nghị định Chính phủ số 87/2018/NĐ-CP ngày 15/06/2018 về kinh doanh khí</w:t>
            </w:r>
          </w:p>
        </w:tc>
        <w:tc>
          <w:tcPr>
            <w:tcW w:w="4252" w:type="dxa"/>
            <w:vAlign w:val="center"/>
          </w:tcPr>
          <w:p w14:paraId="1EE376F3" w14:textId="0CED1FDD"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 xml:space="preserve">Quy định thương nhân phải lập sổ theo dõi hoặc cơ sở dữ liệu điện tử ứng dụng công nghệ thông tin theo dõi LPG chai bán cho thương nhân kinh doanh LPG khác hoặc khách hàng sử dụng. Trong sổ theo dõi hoặc cơ sở dữ liệu điện tử phải có các thông tin sau về chai LPG chai: Chủ sở hữu, loại chai, số sê ri chai, hạn kiểm định trên chai, tên và địa chỉ thương nhân mua LPG chai, khách hàng sử dụng, ngày giao nhận chai. Quy định này không có hiệu quả về quản lý chai LPG của doanh nghiệp cũng như của cơ quan quản lý, gây tốn kém rất nhiều chi phí, thời gian cho doanh nghiệp. Nếu ghi chép sổ sách thủ công sẽ phát sinh thêm lao động để thực hiện ghi chép, trường hợp áp dụng dữ liệu điện tử thì chi phí đầu tư rất </w:t>
            </w:r>
            <w:r w:rsidRPr="00231599">
              <w:rPr>
                <w:rFonts w:ascii="Times New Roman" w:eastAsia="Times New Roman" w:hAnsi="Times New Roman" w:cs="Times New Roman"/>
                <w:kern w:val="0"/>
                <w:sz w:val="24"/>
                <w:szCs w:val="24"/>
                <w14:ligatures w14:val="none"/>
              </w:rPr>
              <w:lastRenderedPageBreak/>
              <w:t xml:space="preserve">lớn lên tới hàng chục tỷ đồng, gây gánh nặng về tuân thủ quy định pháp luật cho doanh nghiệp. "Trong khi đó, việc truy tìm vỏ chai LPG dựa trên ghi chép hoặc cơ sở dữ liệu đã quét không có ý nghĩa trong công tác quản lý theo dõi khi tìm vị trí chai LPG, không truy tìm được từ khách hàng khi bị đổi chai LPG của hãng khác. Việc cập nhật cơ sở dữ liệu vỏ chai LPG, quy định bắt buộc các doanh nghiệp đầu tư việc ghi chép hay quét dữ liệu điện tử vỏ chai LPG hoàn toàn không có ý nghĩa khi muốn quản lý, định vị chai hay truy xuất nguồn gốc chai LPG đang lưu thông. Đối với thành phẩm chai LPG đã nạp LPG lưu thông trên thị trường thì việc quản lý truy xuất nguồn gốc rất dễ vì đã có sẵn thông tin dập trên vỏ chai, tem nhãn hàng hóa thương mại và các giải pháp đồng bộ về màng co, tem chống giả được dán trên van chai. Các vi phạm pháp luật trong kinh doanh khí LPG chủ yếu là các vụ việc: chiếm dụng chai LPG của các hãng khác để đóng nạp làm hàng giả, cắt quai, mài logo thay thế bằng chai LPG của thương hiệu khác, sang chiết </w:t>
            </w:r>
            <w:r w:rsidRPr="00231599">
              <w:rPr>
                <w:rFonts w:ascii="Times New Roman" w:eastAsia="Times New Roman" w:hAnsi="Times New Roman" w:cs="Times New Roman"/>
                <w:kern w:val="0"/>
                <w:sz w:val="24"/>
                <w:szCs w:val="24"/>
                <w14:ligatures w14:val="none"/>
              </w:rPr>
              <w:lastRenderedPageBreak/>
              <w:t>nạp LPG vào chai không đủ điều kiện... Khi xảy ra một vụ việc vi phạm pháp luật nói trên thì các thông tin cần truy xuất nguồn gốc về chai LPG đã được dập, có sẵn trên vỏ chai khi quai được giữ nguyên. Còn trong trường hợp các đối tượng cắt quai nhằm xóa thông tin đã đập trên quai thì cũng tương tự giống như cắt bỏ con chip điện tử hay xóa mã hiệu in phun trên vỏ chai. Như vậy các giải pháp ghi chép, dữ liệu điện tử hoàn toàn không có ý nghĩa truy xuất nguồn gốc hay quản lý vỏ chai khi xử lý vụ việc phát sinh. Do vậy chúng tôi kiến nghị bỏ quy định này.</w:t>
            </w:r>
          </w:p>
        </w:tc>
        <w:tc>
          <w:tcPr>
            <w:tcW w:w="1985" w:type="dxa"/>
            <w:vAlign w:val="center"/>
          </w:tcPr>
          <w:p w14:paraId="1756FC48" w14:textId="7FEC22FE"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lastRenderedPageBreak/>
              <w:t>C. Sửa đổi, bổ sung, thay thế, ban hành mới VBQPPL (theo trình tự, thủ tục rút gọn ban hành VBQPPL của Luật Ban hành VBQPPL)</w:t>
            </w:r>
          </w:p>
        </w:tc>
        <w:tc>
          <w:tcPr>
            <w:tcW w:w="1210" w:type="dxa"/>
            <w:vAlign w:val="center"/>
          </w:tcPr>
          <w:p w14:paraId="7F190BE0" w14:textId="210775F1"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 xml:space="preserve">Tập đoàn xăng dầu Việt Nam </w:t>
            </w:r>
          </w:p>
        </w:tc>
        <w:tc>
          <w:tcPr>
            <w:tcW w:w="2277" w:type="dxa"/>
            <w:vAlign w:val="center"/>
          </w:tcPr>
          <w:p w14:paraId="7EE999A4" w14:textId="36446835"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 xml:space="preserve">Ngày 08/7/2025, Bộ Công Thương đã có Tờ trình số 5044/TTr-BCT gửi Chính phủ về dự thảo Nghị định thay thế Nghị định số 87/2018/NĐ-CP ngày 15 tháng 6 năm 2018 của Chính phủ về kinh doanh khí. Theo đó, sửa đổi quy định về việc quản lý dữ liệu về LPG chai, theo đó, dự thảo Nghị định đã lược bỏ một số thương nhân phải tuân thủ, chỉ </w:t>
            </w:r>
            <w:r w:rsidRPr="00231599">
              <w:rPr>
                <w:rFonts w:ascii="Times New Roman" w:eastAsia="Times New Roman" w:hAnsi="Times New Roman" w:cs="Times New Roman"/>
                <w:kern w:val="0"/>
                <w:sz w:val="24"/>
                <w:szCs w:val="24"/>
                <w14:ligatures w14:val="none"/>
              </w:rPr>
              <w:lastRenderedPageBreak/>
              <w:t xml:space="preserve">yêu cầu các thương nhân kinh doanh LPG chai, thương nhân có cửa hàng bán lẻ LPG chai, thương nhân có trạm nạp LPG vào chai LPG. Quy định này hướng đến mục tiêu truy xuất được nguồn gốc, tình trạng chai LPG và LPG chai, tăng tính minh bạch và trách nhiệm trong các khâu kinh doanh LPG chai. Đây cũng là một trong những giải pháp tạo tiền đề cho việc số hóa dữ liệu quản lý chai LPG. Từng chai LPG lưu thông đều có thể được định danh, theo dõi bởi doanh nghiệp và cơ quan chức </w:t>
            </w:r>
            <w:r w:rsidRPr="00231599">
              <w:rPr>
                <w:rFonts w:ascii="Times New Roman" w:eastAsia="Times New Roman" w:hAnsi="Times New Roman" w:cs="Times New Roman"/>
                <w:kern w:val="0"/>
                <w:sz w:val="24"/>
                <w:szCs w:val="24"/>
                <w14:ligatures w14:val="none"/>
              </w:rPr>
              <w:lastRenderedPageBreak/>
              <w:t>năng, hạn chế tình trạng chiếm dụng, sang chiết trái phép chai LPG vốn gây nhức nhối lâu nay.</w:t>
            </w:r>
          </w:p>
        </w:tc>
        <w:tc>
          <w:tcPr>
            <w:tcW w:w="2325" w:type="dxa"/>
            <w:vAlign w:val="center"/>
          </w:tcPr>
          <w:p w14:paraId="527938F7" w14:textId="4016F36E" w:rsidR="00395D8F" w:rsidRPr="00231599" w:rsidRDefault="00DD04AA" w:rsidP="00161E41">
            <w:pPr>
              <w:jc w:val="both"/>
              <w:rPr>
                <w:rFonts w:ascii="Times New Roman" w:hAnsi="Times New Roman" w:cs="Times New Roman"/>
                <w:b/>
              </w:rPr>
            </w:pPr>
            <w:r w:rsidRPr="00231599">
              <w:rPr>
                <w:rFonts w:ascii="Times New Roman" w:hAnsi="Times New Roman" w:cs="Times New Roman"/>
                <w:b/>
              </w:rPr>
              <w:lastRenderedPageBreak/>
              <w:t>Chưa xử lý</w:t>
            </w:r>
          </w:p>
          <w:p w14:paraId="62B81FCA" w14:textId="2B99479D" w:rsidR="001C1E00" w:rsidRPr="00231599" w:rsidRDefault="000338D6" w:rsidP="00755DB4">
            <w:pPr>
              <w:jc w:val="both"/>
              <w:rPr>
                <w:rFonts w:ascii="Times New Roman" w:hAnsi="Times New Roman" w:cs="Times New Roman"/>
              </w:rPr>
            </w:pPr>
            <w:r w:rsidRPr="00231599">
              <w:rPr>
                <w:rFonts w:ascii="Times New Roman" w:hAnsi="Times New Roman" w:cs="Times New Roman"/>
                <w:spacing w:val="3"/>
                <w:sz w:val="23"/>
                <w:szCs w:val="23"/>
                <w:shd w:val="clear" w:color="auto" w:fill="FFFFFF"/>
              </w:rPr>
              <w:t xml:space="preserve">- Ngày 08/7/2025, Bộ Công Thương đã có Tờ trình số 5044/TTr-BCT trình Chính phủ về việc hoàn thiện dự thảo Nghị định thay thế Nghị định số 87/2018/NĐ-CP ngày 15/6/2018 của Chính phủ về kinh doanh khí. - Ngày 22 tháng 9 năm 2025, Bộ Công Thương có Tờ trình số 7166/TTr-BCT gửi Thủ tướng Chính phủ giải trình tiếp thu ý kiến Thành viên Chính phủ về dự thảo </w:t>
            </w:r>
            <w:r w:rsidRPr="00231599">
              <w:rPr>
                <w:rFonts w:ascii="Times New Roman" w:hAnsi="Times New Roman" w:cs="Times New Roman"/>
                <w:spacing w:val="3"/>
                <w:sz w:val="23"/>
                <w:szCs w:val="23"/>
                <w:shd w:val="clear" w:color="auto" w:fill="FFFFFF"/>
              </w:rPr>
              <w:lastRenderedPageBreak/>
              <w:t>Nghị định thay thế Nghị định số 87/2018/NĐ-CP ngày 15 tháng 6 năm 2018 của Chính phủ về kinh doanh khí.</w:t>
            </w:r>
          </w:p>
        </w:tc>
      </w:tr>
      <w:tr w:rsidR="00E7782F" w:rsidRPr="00231599" w14:paraId="2264CC71" w14:textId="77777777" w:rsidTr="00836D1D">
        <w:tc>
          <w:tcPr>
            <w:tcW w:w="670" w:type="dxa"/>
            <w:vAlign w:val="center"/>
          </w:tcPr>
          <w:p w14:paraId="72C176E5" w14:textId="39AB8F02"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lastRenderedPageBreak/>
              <w:t>3</w:t>
            </w:r>
          </w:p>
        </w:tc>
        <w:tc>
          <w:tcPr>
            <w:tcW w:w="2591" w:type="dxa"/>
            <w:vAlign w:val="center"/>
          </w:tcPr>
          <w:p w14:paraId="02FB1912" w14:textId="059A09D6"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Điều 10, Điều 39, Nghị định Chính phủ số 87/2018/NĐ-CP ngày 15/06/2018 về kinh doanh khí</w:t>
            </w:r>
          </w:p>
        </w:tc>
        <w:tc>
          <w:tcPr>
            <w:tcW w:w="4252" w:type="dxa"/>
            <w:vAlign w:val="center"/>
          </w:tcPr>
          <w:p w14:paraId="75FD6DF9" w14:textId="0177FC83"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 xml:space="preserve">Khoản 3, Điều 10, Khoản 3, Điều 39 quy định cửa hàng có tài liệu chứng minh đủ điều kiện phòng cháy chữa cháy là sẽ được cấp Giấy chứng nhận đủ điều kiện cửa hàng bán lẻ LPG chai. Tuy nhiên, thực tế thực hiện tại nhiều địa phương hiện nay, bên cạnh tài liệu về phòng cháy chữa cháy, các cơ quan chức năng ở địa phương lại yêu cầu các tài liệu nằm ngoài quy định hoặc lập đoàn kiểm tra với nhiều thành phần để kiểm tra cửa hàng trước khi cấp Giấy đủ điều kiện kinh </w:t>
            </w:r>
            <w:r w:rsidRPr="00231599">
              <w:rPr>
                <w:rFonts w:ascii="Times New Roman" w:eastAsia="Times New Roman" w:hAnsi="Times New Roman" w:cs="Times New Roman"/>
                <w:kern w:val="0"/>
                <w:sz w:val="24"/>
                <w:szCs w:val="24"/>
                <w14:ligatures w14:val="none"/>
              </w:rPr>
              <w:lastRenderedPageBreak/>
              <w:t xml:space="preserve">doanh gas, điều này khiển thời gian cấp giấy kéo dài và gây phát sinh chi phí cho doanh nghiệp. Do vậy, chúng tôi kiến nghị của hàng thương nhân chỉ cần cung cấp đầy đủ hồ sơ theo quy định tại Điều 10, Điều 39 của Nghị định số 87/2018/NĐ-CP về kinh doanh khí là được cấp Giấy chứng nhận đủ điều kiện cửa hàng bán lẻ LPG chai. </w:t>
            </w:r>
          </w:p>
        </w:tc>
        <w:tc>
          <w:tcPr>
            <w:tcW w:w="1985" w:type="dxa"/>
            <w:vAlign w:val="center"/>
          </w:tcPr>
          <w:p w14:paraId="1670F0A2" w14:textId="731ECFAE"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lastRenderedPageBreak/>
              <w:t>C. Sửa đổi, bổ sung, thay thế, ban hành mới VBQPPL (theo trình tự, thủ tục rút gọn ban hành VBQPPL của Luật Ban hành VBQPPL)</w:t>
            </w:r>
          </w:p>
        </w:tc>
        <w:tc>
          <w:tcPr>
            <w:tcW w:w="1210" w:type="dxa"/>
            <w:vAlign w:val="center"/>
          </w:tcPr>
          <w:p w14:paraId="05CC351F" w14:textId="001238DB"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 xml:space="preserve">Tập đoàn xăng dầu Việt Nam </w:t>
            </w:r>
          </w:p>
        </w:tc>
        <w:tc>
          <w:tcPr>
            <w:tcW w:w="2277" w:type="dxa"/>
            <w:vAlign w:val="center"/>
          </w:tcPr>
          <w:p w14:paraId="061E9792" w14:textId="561BE520"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 xml:space="preserve">Ngày 08/7/2025, Bộ Công Thương đã có Tờ trình số 5044/TTr-BCT gửi Chính phủ về dự thảo Nghị định thay thế Nghị định số 87/2018/NĐ-CP ngày 15 tháng 6 năm 2018 của Chính phủ về kinh doanh khí. Theo đó, tại khoản 2 </w:t>
            </w:r>
            <w:r w:rsidRPr="00231599">
              <w:rPr>
                <w:rFonts w:ascii="Times New Roman" w:eastAsia="Times New Roman" w:hAnsi="Times New Roman" w:cs="Times New Roman"/>
                <w:kern w:val="0"/>
                <w:sz w:val="24"/>
                <w:szCs w:val="24"/>
                <w14:ligatures w14:val="none"/>
              </w:rPr>
              <w:lastRenderedPageBreak/>
              <w:t>Điều 28 dự thảo Nghị định quy định hồ sơ đề nghị cấp Giấy chứng nhận cửa hàng bán lẻ LPG chai "2. Bản sao tài liệu đáp ứng các điều kiện về an toàn, phòng cháy và chữa cháy bao gồm: Văn bản chấp thuận kết quả nghiệm thu về phòng cháy và chữa cháy của cơ quan Cảnh sát phòng cháy và chữa cháy hoặc Biên bản kiểm tra về phòng cháy và chữa cháy định kỳ gần nhất của cơ quan có thẩm quyền trong quản lý về phòng cháy và chữa cháy."</w:t>
            </w:r>
          </w:p>
        </w:tc>
        <w:tc>
          <w:tcPr>
            <w:tcW w:w="2325" w:type="dxa"/>
            <w:vAlign w:val="center"/>
          </w:tcPr>
          <w:p w14:paraId="1DC488C1" w14:textId="5E59279A" w:rsidR="00395D8F" w:rsidRPr="00231599" w:rsidRDefault="00DD04AA" w:rsidP="00395D8F">
            <w:pPr>
              <w:jc w:val="both"/>
              <w:rPr>
                <w:rFonts w:ascii="Times New Roman" w:hAnsi="Times New Roman" w:cs="Times New Roman"/>
                <w:b/>
              </w:rPr>
            </w:pPr>
            <w:r w:rsidRPr="00231599">
              <w:rPr>
                <w:rFonts w:ascii="Times New Roman" w:hAnsi="Times New Roman" w:cs="Times New Roman"/>
                <w:b/>
              </w:rPr>
              <w:lastRenderedPageBreak/>
              <w:t>Chưa xử lý</w:t>
            </w:r>
          </w:p>
          <w:p w14:paraId="5EA95D15" w14:textId="3A287F63" w:rsidR="001C1E00" w:rsidRPr="00231599" w:rsidRDefault="000338D6" w:rsidP="00395D8F">
            <w:pPr>
              <w:jc w:val="both"/>
              <w:rPr>
                <w:rFonts w:ascii="Times New Roman" w:hAnsi="Times New Roman" w:cs="Times New Roman"/>
              </w:rPr>
            </w:pPr>
            <w:r w:rsidRPr="00231599">
              <w:rPr>
                <w:rFonts w:ascii="Times New Roman" w:hAnsi="Times New Roman" w:cs="Times New Roman"/>
                <w:spacing w:val="3"/>
                <w:sz w:val="23"/>
                <w:szCs w:val="23"/>
                <w:shd w:val="clear" w:color="auto" w:fill="FFFFFF"/>
              </w:rPr>
              <w:t xml:space="preserve">- Ngày 08/7/2025, Bộ Công Thương đã có Tờ trình số 5044/TTr-BCT trình Chính phủ về việc hoàn thiện dự thảo Nghị định thay thế Nghị định số 87/2018/NĐ-CP ngày 15/6/2018 của Chính phủ về kinh doanh khí. - Ngày 22 tháng </w:t>
            </w:r>
            <w:r w:rsidRPr="00231599">
              <w:rPr>
                <w:rFonts w:ascii="Times New Roman" w:hAnsi="Times New Roman" w:cs="Times New Roman"/>
                <w:spacing w:val="3"/>
                <w:sz w:val="23"/>
                <w:szCs w:val="23"/>
                <w:shd w:val="clear" w:color="auto" w:fill="FFFFFF"/>
              </w:rPr>
              <w:lastRenderedPageBreak/>
              <w:t>9 năm 2025, Bộ Công Thương có Tờ trình số 7166/TTr-BCT gửi Thủ tướng Chính phủ giải trình tiếp thu ý kiến Thành viên Chính phủ về dự thảo Nghị định thay thế Nghị định số 87/2018/NĐ-CP ngày 15 tháng 6 năm 2018 của Chính phủ về kinh doanh khí.</w:t>
            </w:r>
          </w:p>
        </w:tc>
      </w:tr>
      <w:tr w:rsidR="00E7782F" w:rsidRPr="00231599" w14:paraId="6429626A" w14:textId="77777777" w:rsidTr="00836D1D">
        <w:tc>
          <w:tcPr>
            <w:tcW w:w="670" w:type="dxa"/>
            <w:vAlign w:val="center"/>
          </w:tcPr>
          <w:p w14:paraId="1003CE6A" w14:textId="205077C5"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lastRenderedPageBreak/>
              <w:t>4</w:t>
            </w:r>
          </w:p>
        </w:tc>
        <w:tc>
          <w:tcPr>
            <w:tcW w:w="2591" w:type="dxa"/>
            <w:vAlign w:val="center"/>
          </w:tcPr>
          <w:p w14:paraId="7D12774B" w14:textId="4A0F9323"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t xml:space="preserve">Chưa quy định (Nghị định số 87/2018/NĐ-CP ngày 15/6/2018 của </w:t>
            </w:r>
            <w:r w:rsidRPr="00231599">
              <w:rPr>
                <w:rFonts w:ascii="Times New Roman" w:eastAsia="Times New Roman" w:hAnsi="Times New Roman" w:cs="Times New Roman"/>
                <w:kern w:val="0"/>
                <w:sz w:val="24"/>
                <w:szCs w:val="24"/>
                <w14:ligatures w14:val="none"/>
              </w:rPr>
              <w:lastRenderedPageBreak/>
              <w:t>Chính phủ về kinh doanh khí)</w:t>
            </w:r>
          </w:p>
        </w:tc>
        <w:tc>
          <w:tcPr>
            <w:tcW w:w="4252" w:type="dxa"/>
            <w:vAlign w:val="center"/>
          </w:tcPr>
          <w:p w14:paraId="487780B1" w14:textId="528C85FF"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lastRenderedPageBreak/>
              <w:t xml:space="preserve">Có hướng dẫn cụ thể đối với trường hợp thương nhân sở hữu trạm cấp LPG từ hệ thống dàn chai mà không có bồn chứa khí </w:t>
            </w:r>
            <w:r w:rsidRPr="00231599">
              <w:rPr>
                <w:rFonts w:ascii="Times New Roman" w:eastAsia="Times New Roman" w:hAnsi="Times New Roman" w:cs="Times New Roman"/>
                <w:kern w:val="0"/>
                <w:sz w:val="24"/>
                <w:szCs w:val="24"/>
                <w14:ligatures w14:val="none"/>
              </w:rPr>
              <w:lastRenderedPageBreak/>
              <w:t>hoặc thương nhân có bồn chứa khí, có đường ống vận chuyển khí nhưng trạm cấp khí của thương nhân không cấp khí từ bồn chứa cố định mà cấp khí qua hệ thống dàn chai LPG của thương nhân khác phục vụ hoạt động kinh doanh khác của thương nhân có thuộc trường hợp phải xin cấp Giấy chứng nhận đủ điều kiện kinh doanh khí theo quy định tại Nghị định số 87/2018/NĐ-CP ngày 15/6/2018 của Chính phủ về kinh doanh khí hay không?</w:t>
            </w:r>
          </w:p>
        </w:tc>
        <w:tc>
          <w:tcPr>
            <w:tcW w:w="1985" w:type="dxa"/>
            <w:vAlign w:val="center"/>
          </w:tcPr>
          <w:p w14:paraId="2B90D74D" w14:textId="73FD7122"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lastRenderedPageBreak/>
              <w:t xml:space="preserve">D. Ban hành nghị quyết QPPL của Chính phủ, nghị </w:t>
            </w:r>
            <w:r w:rsidRPr="00231599">
              <w:rPr>
                <w:rFonts w:ascii="Times New Roman" w:eastAsia="Times New Roman" w:hAnsi="Times New Roman" w:cs="Times New Roman"/>
                <w:kern w:val="0"/>
                <w:sz w:val="24"/>
                <w:szCs w:val="24"/>
                <w14:ligatures w14:val="none"/>
              </w:rPr>
              <w:lastRenderedPageBreak/>
              <w:t>quyết của UBTVQH theo quy định tại điểm c khoản 1 Điều 4 Nghị quyết số 206/2025/QH15</w:t>
            </w:r>
          </w:p>
        </w:tc>
        <w:tc>
          <w:tcPr>
            <w:tcW w:w="1210" w:type="dxa"/>
            <w:vAlign w:val="center"/>
          </w:tcPr>
          <w:p w14:paraId="6EA06602" w14:textId="5CEA1BF6"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lastRenderedPageBreak/>
              <w:t xml:space="preserve">Sở Tư pháp thành phố </w:t>
            </w:r>
            <w:r w:rsidRPr="00231599">
              <w:rPr>
                <w:rFonts w:ascii="Times New Roman" w:eastAsia="Times New Roman" w:hAnsi="Times New Roman" w:cs="Times New Roman"/>
                <w:kern w:val="0"/>
                <w:sz w:val="24"/>
                <w:szCs w:val="24"/>
                <w14:ligatures w14:val="none"/>
              </w:rPr>
              <w:lastRenderedPageBreak/>
              <w:t>Hà Nội</w:t>
            </w:r>
          </w:p>
        </w:tc>
        <w:tc>
          <w:tcPr>
            <w:tcW w:w="2277" w:type="dxa"/>
            <w:vAlign w:val="center"/>
          </w:tcPr>
          <w:p w14:paraId="1A764E0B" w14:textId="1C3F9AE4"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lastRenderedPageBreak/>
              <w:t xml:space="preserve">Ngày 08/7/2025, Bộ Công Thương đã có Tờ trình số </w:t>
            </w:r>
            <w:r w:rsidRPr="00231599">
              <w:rPr>
                <w:rFonts w:ascii="Times New Roman" w:eastAsia="Times New Roman" w:hAnsi="Times New Roman" w:cs="Times New Roman"/>
                <w:kern w:val="0"/>
                <w:sz w:val="24"/>
                <w:szCs w:val="24"/>
                <w14:ligatures w14:val="none"/>
              </w:rPr>
              <w:lastRenderedPageBreak/>
              <w:t>5044/TTr-BCT gửi Chính phủ về dự thảo Nghị định thay thế Nghị định số 87/2018/NĐ-CP ngày 15 tháng 6 năm 2018 của Chính phủ về kinh doanh khí. Theo đó, trạm cấp khí không thuộc trường hợp phải cấp Giấy chứng nhận đủ điều kiện. Đồng thời, chỉ yêu cầu “Đối với trạm cấp khí được cấp từ bồn chứa cố định, trạm cấp phải được cấp có thẩm quyền cho phép xây dựng, đáp ứng các điều kiện về phòng cháy và chữa cháy theo quy định của pháp luật về phòng cháy, chữa cháy và cứu nạn cứu hộ.”</w:t>
            </w:r>
          </w:p>
        </w:tc>
        <w:tc>
          <w:tcPr>
            <w:tcW w:w="2325" w:type="dxa"/>
            <w:vAlign w:val="center"/>
          </w:tcPr>
          <w:p w14:paraId="7098B821" w14:textId="4E02283B" w:rsidR="00395D8F" w:rsidRPr="00231599" w:rsidRDefault="00DD04AA" w:rsidP="00395D8F">
            <w:pPr>
              <w:jc w:val="both"/>
              <w:rPr>
                <w:rFonts w:ascii="Times New Roman" w:hAnsi="Times New Roman" w:cs="Times New Roman"/>
                <w:b/>
              </w:rPr>
            </w:pPr>
            <w:r w:rsidRPr="00231599">
              <w:rPr>
                <w:rFonts w:ascii="Times New Roman" w:hAnsi="Times New Roman" w:cs="Times New Roman"/>
                <w:b/>
              </w:rPr>
              <w:lastRenderedPageBreak/>
              <w:t>Chưa xử lý</w:t>
            </w:r>
          </w:p>
          <w:p w14:paraId="479CC474" w14:textId="3B5EBB88" w:rsidR="001C1E00" w:rsidRPr="00231599" w:rsidRDefault="000338D6" w:rsidP="00E7782F">
            <w:pPr>
              <w:jc w:val="both"/>
              <w:rPr>
                <w:rFonts w:ascii="Times New Roman" w:hAnsi="Times New Roman" w:cs="Times New Roman"/>
              </w:rPr>
            </w:pPr>
            <w:r w:rsidRPr="00231599">
              <w:rPr>
                <w:rFonts w:ascii="Times New Roman" w:hAnsi="Times New Roman" w:cs="Times New Roman"/>
                <w:spacing w:val="3"/>
                <w:sz w:val="23"/>
                <w:szCs w:val="23"/>
                <w:shd w:val="clear" w:color="auto" w:fill="FFFFFF"/>
              </w:rPr>
              <w:t xml:space="preserve">- Ngày 08/7/2025, Bộ Công Thương đã có </w:t>
            </w:r>
            <w:r w:rsidRPr="00231599">
              <w:rPr>
                <w:rFonts w:ascii="Times New Roman" w:hAnsi="Times New Roman" w:cs="Times New Roman"/>
                <w:spacing w:val="3"/>
                <w:sz w:val="23"/>
                <w:szCs w:val="23"/>
                <w:shd w:val="clear" w:color="auto" w:fill="FFFFFF"/>
              </w:rPr>
              <w:lastRenderedPageBreak/>
              <w:t>Tờ trình số 5044/TTr-BCT trình Chính phủ về việc hoàn thiện dự thảo Nghị định thay thế Nghị định số 87/2018/NĐ-CP ngày 15/6/2018 của Chính phủ về kinh doanh khí. - Ngày 22 tháng 9 năm 2025, Bộ Công Thương có Tờ trình số 7166/TTr-BCT gửi Thủ tướng Chính phủ giải trình tiếp thu ý kiến Thành viên Chính phủ về dự thảo Nghị định thay thế Nghị định số 87/2018/NĐ-CP ngày 15 tháng 6 năm 2018 của Chính phủ về kinh doanh khí.</w:t>
            </w:r>
          </w:p>
        </w:tc>
      </w:tr>
      <w:tr w:rsidR="00E7782F" w:rsidRPr="00231599" w14:paraId="7C2A7FDF" w14:textId="77777777" w:rsidTr="00836D1D">
        <w:tc>
          <w:tcPr>
            <w:tcW w:w="670" w:type="dxa"/>
            <w:vAlign w:val="center"/>
          </w:tcPr>
          <w:p w14:paraId="22B17944" w14:textId="783F374F"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lastRenderedPageBreak/>
              <w:t>5</w:t>
            </w:r>
          </w:p>
        </w:tc>
        <w:tc>
          <w:tcPr>
            <w:tcW w:w="2591" w:type="dxa"/>
            <w:vAlign w:val="center"/>
          </w:tcPr>
          <w:p w14:paraId="0D85E9BE" w14:textId="2C39BA9A"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t>Khoản 3 Điều 133 Luật Thương mại</w:t>
            </w:r>
          </w:p>
        </w:tc>
        <w:tc>
          <w:tcPr>
            <w:tcW w:w="4252" w:type="dxa"/>
            <w:vAlign w:val="center"/>
          </w:tcPr>
          <w:p w14:paraId="6564CECD" w14:textId="3DB864D0"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t>Khó khăn, vướng mắc: có quy định của văn bản QPPL nhưng hạn chế việc đổi mới sáng tạo, phát triển động lực tăng trưởng mới, khơi thông nguồn lực, thúc đẩy tăng trưởng kinh tế và hội nhập quốc tế. Theo quy định tại Khoản 3 Điều 133 Luật Thương mại thì thương nhân không đăng ký kinh doanh dịch vụ hội chợ, triển lãm thương mại không được tổ chức cho thương nhân khác tham gia hội chợ, triển lãm thương mại ở nước ngoài. Nội dung quy định này gây hạn chế hoạt động kinh doanh của doanh nghiệp. Như vậy cần cắt giảm điều kiện kinh doanh này để tạo điều kiện cho tất cả các thương nhân thuộc mọi thành phần, lĩnh vực kinh tế có thể thực hiện hoạt động tổ chức cho thương nhân khác tham gia hội chợ, triển lãm thương mại ở nước ngoài</w:t>
            </w:r>
          </w:p>
        </w:tc>
        <w:tc>
          <w:tcPr>
            <w:tcW w:w="1985" w:type="dxa"/>
            <w:vAlign w:val="center"/>
          </w:tcPr>
          <w:p w14:paraId="675E71D3" w14:textId="6600423F"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t>D. Ban hành nghị quyết QPPL của Chính phủ, nghị quyết của UBTVQH theo quy định tại điểm c khoản 1 Điều 4 Nghị quyết số 206/2025/QH15</w:t>
            </w:r>
          </w:p>
        </w:tc>
        <w:tc>
          <w:tcPr>
            <w:tcW w:w="1210" w:type="dxa"/>
            <w:vAlign w:val="center"/>
          </w:tcPr>
          <w:p w14:paraId="2D41A650" w14:textId="32FA5E0D"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t>Bộ Công Thương</w:t>
            </w:r>
          </w:p>
        </w:tc>
        <w:tc>
          <w:tcPr>
            <w:tcW w:w="2277" w:type="dxa"/>
            <w:vAlign w:val="center"/>
          </w:tcPr>
          <w:p w14:paraId="4A960BCD" w14:textId="49F6F988"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sz w:val="24"/>
                <w:szCs w:val="24"/>
                <w14:ligatures w14:val="none"/>
              </w:rPr>
              <w:t>BCT rà soát, sửa Luật Thương mại sang 2026</w:t>
            </w:r>
          </w:p>
        </w:tc>
        <w:tc>
          <w:tcPr>
            <w:tcW w:w="2325" w:type="dxa"/>
            <w:vAlign w:val="center"/>
          </w:tcPr>
          <w:p w14:paraId="14FDE7DA" w14:textId="77777777" w:rsidR="001C1E00" w:rsidRPr="00231599" w:rsidRDefault="00395D8F" w:rsidP="0081100C">
            <w:pPr>
              <w:rPr>
                <w:rFonts w:ascii="Times New Roman" w:hAnsi="Times New Roman" w:cs="Times New Roman"/>
                <w:b/>
              </w:rPr>
            </w:pPr>
            <w:r w:rsidRPr="00231599">
              <w:rPr>
                <w:rFonts w:ascii="Times New Roman" w:hAnsi="Times New Roman" w:cs="Times New Roman"/>
                <w:b/>
              </w:rPr>
              <w:t>Chưa xử lý</w:t>
            </w:r>
          </w:p>
          <w:p w14:paraId="794F8EE9" w14:textId="3DF68B10" w:rsidR="00395D8F" w:rsidRPr="00231599" w:rsidRDefault="00395D8F" w:rsidP="0081100C">
            <w:pPr>
              <w:rPr>
                <w:rFonts w:ascii="Times New Roman" w:hAnsi="Times New Roman" w:cs="Times New Roman"/>
              </w:rPr>
            </w:pPr>
            <w:r w:rsidRPr="00231599">
              <w:rPr>
                <w:rFonts w:ascii="Times New Roman" w:hAnsi="Times New Roman" w:cs="Times New Roman"/>
              </w:rPr>
              <w:t>Theo Chương trình lập pháp 2026</w:t>
            </w:r>
          </w:p>
        </w:tc>
      </w:tr>
      <w:tr w:rsidR="00E7782F" w:rsidRPr="00E7782F" w14:paraId="55AC0243" w14:textId="77777777" w:rsidTr="00836D1D">
        <w:tc>
          <w:tcPr>
            <w:tcW w:w="670" w:type="dxa"/>
            <w:vAlign w:val="center"/>
          </w:tcPr>
          <w:p w14:paraId="05787857" w14:textId="12D1C7C5" w:rsidR="001C1E00" w:rsidRPr="00231599" w:rsidRDefault="001C1E00" w:rsidP="0081100C">
            <w:pPr>
              <w:rPr>
                <w:rFonts w:ascii="Times New Roman" w:hAnsi="Times New Roman" w:cs="Times New Roman"/>
              </w:rPr>
            </w:pPr>
            <w:r w:rsidRPr="00231599">
              <w:rPr>
                <w:rFonts w:ascii="Times New Roman" w:eastAsia="Times New Roman" w:hAnsi="Times New Roman" w:cs="Times New Roman"/>
                <w:kern w:val="0"/>
                <w14:ligatures w14:val="none"/>
              </w:rPr>
              <w:t>6</w:t>
            </w:r>
          </w:p>
        </w:tc>
        <w:tc>
          <w:tcPr>
            <w:tcW w:w="2591" w:type="dxa"/>
            <w:vAlign w:val="center"/>
          </w:tcPr>
          <w:p w14:paraId="79AD4B7D" w14:textId="14E99B46"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 xml:space="preserve">Phụ lục IV Nghị định số 113/2017/NĐ-CP ngày 09/10/2017 của Chính phủ quy định chi tiết một số điều của Luật hóa chất và các văn bản pháp luật khác có liên </w:t>
            </w:r>
            <w:r w:rsidRPr="00231599">
              <w:rPr>
                <w:rFonts w:ascii="Times New Roman" w:eastAsia="Times New Roman" w:hAnsi="Times New Roman" w:cs="Times New Roman"/>
                <w:kern w:val="0"/>
                <w:sz w:val="24"/>
                <w:szCs w:val="24"/>
                <w14:ligatures w14:val="none"/>
              </w:rPr>
              <w:lastRenderedPageBreak/>
              <w:t>quan và 82/2022/NĐ-CP ngày 18/10/2022 của Chính phủ sửa đổi, bổ sung</w:t>
            </w:r>
          </w:p>
        </w:tc>
        <w:tc>
          <w:tcPr>
            <w:tcW w:w="4252" w:type="dxa"/>
            <w:vAlign w:val="center"/>
          </w:tcPr>
          <w:p w14:paraId="0835E8DC" w14:textId="60F68393"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lastRenderedPageBreak/>
              <w:t xml:space="preserve">Đối với các cơ sở tồn chứa hoá chất dưới ngưỡng phải xây dựng Kế hoạch thì hàng năm phải tổ chức diễn tập phương án ứng phó sự cố hóa chất đã được xây dựng trong Biện pháp/kế hoạch phòng ngừa ứng phó sự cố hoá chất với sự chứng kiến hoặc chỉ đạo của đại diện cơ quan quản lý </w:t>
            </w:r>
            <w:r w:rsidRPr="00231599">
              <w:rPr>
                <w:rFonts w:ascii="Times New Roman" w:eastAsia="Times New Roman" w:hAnsi="Times New Roman" w:cs="Times New Roman"/>
                <w:kern w:val="0"/>
                <w:sz w:val="24"/>
                <w:szCs w:val="24"/>
                <w14:ligatures w14:val="none"/>
              </w:rPr>
              <w:lastRenderedPageBreak/>
              <w:t>chuyên ngành địa phương, tuy nhiên có một số cơ sở sử dụng tồn chứa rất ít hoá chất nguy hiểm trong danh mục (Vd 1 năm sử dụng, tồn chứa 20 lit Methanol hoặc 1 chai chứa LPG loại nhỏ) việc cơ quan quản lý phải tham gia chứng kiến phát sinh nhiều chi phí đi lại, thời gian, khó khăn cho cơ quan quản lý. Do vậy, đề xuất xây dựng quy định ngưỡng hoá chất nguy hiểm diễn tập không cần chứng kiến của cơ quan quản lý hoặc bỏ giám sát đối với việc diễn tập theo Biện pháp PNƯPSCHC</w:t>
            </w:r>
          </w:p>
        </w:tc>
        <w:tc>
          <w:tcPr>
            <w:tcW w:w="1985" w:type="dxa"/>
            <w:vAlign w:val="center"/>
          </w:tcPr>
          <w:p w14:paraId="1732E983" w14:textId="6C22929D"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lastRenderedPageBreak/>
              <w:t xml:space="preserve">C. Sửa đổi, bổ sung, thay thế, ban hành mới VBQPPL (theo trình tự, thủ tục rút gọn ban hành VBQPPL của </w:t>
            </w:r>
            <w:r w:rsidRPr="00231599">
              <w:rPr>
                <w:rFonts w:ascii="Times New Roman" w:eastAsia="Times New Roman" w:hAnsi="Times New Roman" w:cs="Times New Roman"/>
                <w:kern w:val="0"/>
                <w:sz w:val="24"/>
                <w:szCs w:val="24"/>
                <w14:ligatures w14:val="none"/>
              </w:rPr>
              <w:lastRenderedPageBreak/>
              <w:t>Luật Ban hành VBQPPL)</w:t>
            </w:r>
          </w:p>
        </w:tc>
        <w:tc>
          <w:tcPr>
            <w:tcW w:w="1210" w:type="dxa"/>
            <w:vAlign w:val="center"/>
          </w:tcPr>
          <w:p w14:paraId="1734F2CD" w14:textId="055F86AD" w:rsidR="001C1E00" w:rsidRPr="00231599" w:rsidRDefault="001C1E00" w:rsidP="00161E41">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lastRenderedPageBreak/>
              <w:t>Sở Tư pháp tỉnh Ninh Bình</w:t>
            </w:r>
          </w:p>
        </w:tc>
        <w:tc>
          <w:tcPr>
            <w:tcW w:w="2277" w:type="dxa"/>
            <w:vAlign w:val="center"/>
          </w:tcPr>
          <w:p w14:paraId="65535C64" w14:textId="51193223" w:rsidR="001C1E00" w:rsidRPr="00231599" w:rsidRDefault="001C1E00" w:rsidP="004B5B3F">
            <w:pPr>
              <w:jc w:val="both"/>
              <w:rPr>
                <w:rFonts w:ascii="Times New Roman" w:hAnsi="Times New Roman" w:cs="Times New Roman"/>
              </w:rPr>
            </w:pPr>
            <w:r w:rsidRPr="00231599">
              <w:rPr>
                <w:rFonts w:ascii="Times New Roman" w:eastAsia="Times New Roman" w:hAnsi="Times New Roman" w:cs="Times New Roman"/>
                <w:kern w:val="0"/>
                <w:sz w:val="24"/>
                <w:szCs w:val="24"/>
                <w14:ligatures w14:val="none"/>
              </w:rPr>
              <w:t xml:space="preserve">Nhất trí với nội dung phản ánh. Bộ Công Thương sẽ nghiên cứu tiếp thu theo hướng quy định chi tiết nội dung này tại các văn bản hướng </w:t>
            </w:r>
            <w:r w:rsidRPr="00231599">
              <w:rPr>
                <w:rFonts w:ascii="Times New Roman" w:eastAsia="Times New Roman" w:hAnsi="Times New Roman" w:cs="Times New Roman"/>
                <w:kern w:val="0"/>
                <w:sz w:val="24"/>
                <w:szCs w:val="24"/>
                <w14:ligatures w14:val="none"/>
              </w:rPr>
              <w:lastRenderedPageBreak/>
              <w:t xml:space="preserve">dẫn thi hành Luật Hóa chất 2025 (dự kiến trình T10/2025) theo hướng các tổ chức, cá nhân thực hiện diễn tập ứng phó sự cố hóa chất hằng năm sẽ tuân thủ chế độ cập nhật thông tin trên hệ thống cơ sở dữ liệu chuyên ngành hóa chất. Như vậy, vừa đảm bảo yêu cầu về việc tuân thủ chế độ cập nhật thông tin định kì hằng năm trên cơ sở dữ liệu chuyên ngành hóa chất của các tổ chức, cá nhân vừa đáp ứng cung cấp đầy đủ thông tin phục vụ mục đích giám sát hoạt động hóa chất của các cơ quan quản </w:t>
            </w:r>
            <w:r w:rsidRPr="00231599">
              <w:rPr>
                <w:rFonts w:ascii="Times New Roman" w:eastAsia="Times New Roman" w:hAnsi="Times New Roman" w:cs="Times New Roman"/>
                <w:kern w:val="0"/>
                <w:sz w:val="24"/>
                <w:szCs w:val="24"/>
                <w14:ligatures w14:val="none"/>
              </w:rPr>
              <w:lastRenderedPageBreak/>
              <w:t xml:space="preserve">lý nhà nước có thẩm quyền. </w:t>
            </w:r>
            <w:r w:rsidRPr="00231599">
              <w:rPr>
                <w:rFonts w:ascii="Times New Roman" w:eastAsia="Times New Roman" w:hAnsi="Times New Roman" w:cs="Times New Roman"/>
                <w:kern w:val="0"/>
                <w:sz w:val="24"/>
                <w:szCs w:val="24"/>
                <w14:ligatures w14:val="none"/>
              </w:rPr>
              <w:br/>
              <w:t>Bộ Công Thương sẽ nghiên cứu, tiếp thu ý kiến trong quá trình xây dựng Nghị định. Vì vậy việc xây dựng Nghị định sửa đổi/bổ sung/thay thế Nghị định số 113/20</w:t>
            </w:r>
            <w:r w:rsidR="004B5B3F" w:rsidRPr="00231599">
              <w:rPr>
                <w:rFonts w:ascii="Times New Roman" w:eastAsia="Times New Roman" w:hAnsi="Times New Roman" w:cs="Times New Roman"/>
                <w:kern w:val="0"/>
                <w:sz w:val="24"/>
                <w:szCs w:val="24"/>
                <w14:ligatures w14:val="none"/>
              </w:rPr>
              <w:t>1</w:t>
            </w:r>
            <w:r w:rsidRPr="00231599">
              <w:rPr>
                <w:rFonts w:ascii="Times New Roman" w:eastAsia="Times New Roman" w:hAnsi="Times New Roman" w:cs="Times New Roman"/>
                <w:kern w:val="0"/>
                <w:sz w:val="24"/>
                <w:szCs w:val="24"/>
                <w14:ligatures w14:val="none"/>
              </w:rPr>
              <w:t>7/NĐ-CP không cần theo trình tự thủ tục rút gọn.</w:t>
            </w:r>
          </w:p>
        </w:tc>
        <w:tc>
          <w:tcPr>
            <w:tcW w:w="2325" w:type="dxa"/>
            <w:vAlign w:val="center"/>
          </w:tcPr>
          <w:p w14:paraId="546B7F28" w14:textId="599D626B" w:rsidR="001C1E00" w:rsidRPr="00231599" w:rsidRDefault="00DD04AA" w:rsidP="0081100C">
            <w:pPr>
              <w:rPr>
                <w:rFonts w:ascii="Times New Roman" w:hAnsi="Times New Roman" w:cs="Times New Roman"/>
                <w:b/>
              </w:rPr>
            </w:pPr>
            <w:r w:rsidRPr="00231599">
              <w:rPr>
                <w:rFonts w:ascii="Times New Roman" w:hAnsi="Times New Roman" w:cs="Times New Roman"/>
                <w:b/>
              </w:rPr>
              <w:lastRenderedPageBreak/>
              <w:t>Chưa xử lý</w:t>
            </w:r>
          </w:p>
          <w:p w14:paraId="4A0C51D4" w14:textId="21CDD59F" w:rsidR="00395D8F" w:rsidRPr="00231599" w:rsidRDefault="00395D8F" w:rsidP="007974F6">
            <w:pPr>
              <w:rPr>
                <w:rFonts w:ascii="Times New Roman" w:hAnsi="Times New Roman" w:cs="Times New Roman"/>
              </w:rPr>
            </w:pPr>
            <w:r w:rsidRPr="00231599">
              <w:rPr>
                <w:rFonts w:ascii="Times New Roman" w:hAnsi="Times New Roman" w:cs="Times New Roman"/>
              </w:rPr>
              <w:t xml:space="preserve">BCT trình Chính phủ theo Tờ trình số   </w:t>
            </w:r>
            <w:r w:rsidR="007974F6" w:rsidRPr="00231599">
              <w:rPr>
                <w:rFonts w:ascii="Times New Roman" w:hAnsi="Times New Roman" w:cs="Times New Roman"/>
              </w:rPr>
              <w:t>8018/TTr-BCT</w:t>
            </w:r>
            <w:r w:rsidRPr="00231599">
              <w:rPr>
                <w:rFonts w:ascii="Times New Roman" w:hAnsi="Times New Roman" w:cs="Times New Roman"/>
              </w:rPr>
              <w:t xml:space="preserve">   TTr-BCT ngày</w:t>
            </w:r>
            <w:r w:rsidR="007974F6" w:rsidRPr="00231599">
              <w:rPr>
                <w:rFonts w:ascii="Times New Roman" w:hAnsi="Times New Roman" w:cs="Times New Roman"/>
              </w:rPr>
              <w:t xml:space="preserve"> 15/10/2025</w:t>
            </w:r>
          </w:p>
        </w:tc>
      </w:tr>
    </w:tbl>
    <w:p w14:paraId="0216733E" w14:textId="77777777" w:rsidR="0081100C" w:rsidRPr="00E7782F" w:rsidRDefault="0081100C">
      <w:pPr>
        <w:rPr>
          <w:rFonts w:ascii="Times New Roman" w:hAnsi="Times New Roman" w:cs="Times New Roman"/>
        </w:rPr>
      </w:pPr>
    </w:p>
    <w:p w14:paraId="3B592AC0" w14:textId="77777777" w:rsidR="0081100C" w:rsidRPr="00E7782F" w:rsidRDefault="0081100C">
      <w:pPr>
        <w:rPr>
          <w:rFonts w:ascii="Times New Roman" w:hAnsi="Times New Roman" w:cs="Times New Roman"/>
        </w:rPr>
      </w:pPr>
    </w:p>
    <w:sectPr w:rsidR="0081100C" w:rsidRPr="00E7782F" w:rsidSect="00E7782F">
      <w:headerReference w:type="default" r:id="rId7"/>
      <w:pgSz w:w="16838" w:h="11906" w:orient="landscape" w:code="9"/>
      <w:pgMar w:top="450"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D7FB6" w14:textId="77777777" w:rsidR="00B81415" w:rsidRDefault="00B81415" w:rsidP="00730338">
      <w:pPr>
        <w:spacing w:after="0" w:line="240" w:lineRule="auto"/>
      </w:pPr>
      <w:r>
        <w:separator/>
      </w:r>
    </w:p>
  </w:endnote>
  <w:endnote w:type="continuationSeparator" w:id="0">
    <w:p w14:paraId="2D5ADFD9" w14:textId="77777777" w:rsidR="00B81415" w:rsidRDefault="00B81415" w:rsidP="0073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76E8" w14:textId="77777777" w:rsidR="00B81415" w:rsidRDefault="00B81415" w:rsidP="00730338">
      <w:pPr>
        <w:spacing w:after="0" w:line="240" w:lineRule="auto"/>
      </w:pPr>
      <w:r>
        <w:separator/>
      </w:r>
    </w:p>
  </w:footnote>
  <w:footnote w:type="continuationSeparator" w:id="0">
    <w:p w14:paraId="2CCA5647" w14:textId="77777777" w:rsidR="00B81415" w:rsidRDefault="00B81415" w:rsidP="00730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336282"/>
      <w:docPartObj>
        <w:docPartGallery w:val="Page Numbers (Top of Page)"/>
        <w:docPartUnique/>
      </w:docPartObj>
    </w:sdtPr>
    <w:sdtEndPr>
      <w:rPr>
        <w:noProof/>
      </w:rPr>
    </w:sdtEndPr>
    <w:sdtContent>
      <w:p w14:paraId="4AC205A2" w14:textId="0E2C0073" w:rsidR="00730338" w:rsidRDefault="00730338">
        <w:pPr>
          <w:pStyle w:val="Header"/>
          <w:jc w:val="center"/>
        </w:pPr>
        <w:r>
          <w:fldChar w:fldCharType="begin"/>
        </w:r>
        <w:r>
          <w:instrText xml:space="preserve"> PAGE   \* MERGEFORMAT </w:instrText>
        </w:r>
        <w:r>
          <w:fldChar w:fldCharType="separate"/>
        </w:r>
        <w:r w:rsidR="00FB1935">
          <w:rPr>
            <w:noProof/>
          </w:rPr>
          <w:t>9</w:t>
        </w:r>
        <w:r>
          <w:rPr>
            <w:noProof/>
          </w:rPr>
          <w:fldChar w:fldCharType="end"/>
        </w:r>
      </w:p>
    </w:sdtContent>
  </w:sdt>
  <w:p w14:paraId="0B5A6925" w14:textId="77777777" w:rsidR="00730338" w:rsidRDefault="007303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00C"/>
    <w:rsid w:val="00000E77"/>
    <w:rsid w:val="0001198B"/>
    <w:rsid w:val="000338D6"/>
    <w:rsid w:val="00144992"/>
    <w:rsid w:val="00161E41"/>
    <w:rsid w:val="00194F57"/>
    <w:rsid w:val="001B44D8"/>
    <w:rsid w:val="001C1E00"/>
    <w:rsid w:val="00231599"/>
    <w:rsid w:val="0027255D"/>
    <w:rsid w:val="0030385D"/>
    <w:rsid w:val="003737B6"/>
    <w:rsid w:val="00393C4D"/>
    <w:rsid w:val="00395D8F"/>
    <w:rsid w:val="003F5143"/>
    <w:rsid w:val="0040483F"/>
    <w:rsid w:val="00441208"/>
    <w:rsid w:val="004B5B3F"/>
    <w:rsid w:val="0054213E"/>
    <w:rsid w:val="0057162E"/>
    <w:rsid w:val="005B1010"/>
    <w:rsid w:val="005C10BE"/>
    <w:rsid w:val="006B5017"/>
    <w:rsid w:val="00730338"/>
    <w:rsid w:val="00755DB4"/>
    <w:rsid w:val="007974F6"/>
    <w:rsid w:val="007A6438"/>
    <w:rsid w:val="0081100C"/>
    <w:rsid w:val="00836D1D"/>
    <w:rsid w:val="008F506E"/>
    <w:rsid w:val="009104E8"/>
    <w:rsid w:val="009152E6"/>
    <w:rsid w:val="009173B5"/>
    <w:rsid w:val="00A90555"/>
    <w:rsid w:val="00AD4070"/>
    <w:rsid w:val="00B2005D"/>
    <w:rsid w:val="00B352D3"/>
    <w:rsid w:val="00B81415"/>
    <w:rsid w:val="00BE471E"/>
    <w:rsid w:val="00C15A62"/>
    <w:rsid w:val="00D5134A"/>
    <w:rsid w:val="00DD04AA"/>
    <w:rsid w:val="00E7782F"/>
    <w:rsid w:val="00EA3652"/>
    <w:rsid w:val="00EB047B"/>
    <w:rsid w:val="00EC20CC"/>
    <w:rsid w:val="00F14D0A"/>
    <w:rsid w:val="00F54C8A"/>
    <w:rsid w:val="00FB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67D1"/>
  <w15:docId w15:val="{C23351B5-7B92-4FF3-9153-471109CB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0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338"/>
  </w:style>
  <w:style w:type="paragraph" w:styleId="Footer">
    <w:name w:val="footer"/>
    <w:basedOn w:val="Normal"/>
    <w:link w:val="FooterChar"/>
    <w:uiPriority w:val="99"/>
    <w:unhideWhenUsed/>
    <w:rsid w:val="00730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338"/>
  </w:style>
  <w:style w:type="paragraph" w:styleId="FootnoteText">
    <w:name w:val="footnote text"/>
    <w:basedOn w:val="Normal"/>
    <w:link w:val="FootnoteTextChar"/>
    <w:uiPriority w:val="99"/>
    <w:semiHidden/>
    <w:unhideWhenUsed/>
    <w:rsid w:val="00836D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D1D"/>
    <w:rPr>
      <w:sz w:val="20"/>
      <w:szCs w:val="20"/>
    </w:rPr>
  </w:style>
  <w:style w:type="character" w:styleId="FootnoteReference">
    <w:name w:val="footnote reference"/>
    <w:basedOn w:val="DefaultParagraphFont"/>
    <w:uiPriority w:val="99"/>
    <w:semiHidden/>
    <w:unhideWhenUsed/>
    <w:rsid w:val="00836D1D"/>
    <w:rPr>
      <w:vertAlign w:val="superscript"/>
    </w:rPr>
  </w:style>
  <w:style w:type="paragraph" w:styleId="NormalWeb">
    <w:name w:val="Normal (Web)"/>
    <w:basedOn w:val="Normal"/>
    <w:uiPriority w:val="99"/>
    <w:semiHidden/>
    <w:unhideWhenUsed/>
    <w:rsid w:val="0040483F"/>
    <w:pPr>
      <w:spacing w:before="100" w:beforeAutospacing="1" w:after="100" w:afterAutospacing="1" w:line="240" w:lineRule="auto"/>
    </w:pPr>
    <w:rPr>
      <w:rFonts w:ascii="Times New Roman" w:eastAsia="Calibri" w:hAnsi="Times New Roman" w:cs="Times New Roman"/>
      <w:kern w:val="0"/>
      <w:sz w:val="24"/>
      <w:szCs w:val="24"/>
      <w14:ligatures w14:val="none"/>
    </w:rPr>
  </w:style>
  <w:style w:type="character" w:styleId="Emphasis">
    <w:name w:val="Emphasis"/>
    <w:uiPriority w:val="20"/>
    <w:qFormat/>
    <w:rsid w:val="004048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C2A4C-551B-48F6-BF5B-B3F41333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Tran Dang (BDN)</dc:creator>
  <cp:lastModifiedBy>Hoc, Tran Dang (BDN)</cp:lastModifiedBy>
  <cp:revision>30</cp:revision>
  <dcterms:created xsi:type="dcterms:W3CDTF">2025-07-31T08:05:00Z</dcterms:created>
  <dcterms:modified xsi:type="dcterms:W3CDTF">2025-12-14T02:57:00Z</dcterms:modified>
</cp:coreProperties>
</file>