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8105"/>
      </w:tblGrid>
      <w:tr w:rsidR="00EF59FC" w:rsidRPr="00EF59FC" w14:paraId="25320022" w14:textId="77777777" w:rsidTr="004C7235">
        <w:tc>
          <w:tcPr>
            <w:tcW w:w="6475" w:type="dxa"/>
            <w:vAlign w:val="center"/>
          </w:tcPr>
          <w:p w14:paraId="3C212D2E" w14:textId="691EDD46" w:rsidR="0081100C" w:rsidRPr="00EF59FC" w:rsidRDefault="0081100C" w:rsidP="00EF59FC">
            <w:pPr>
              <w:jc w:val="both"/>
              <w:rPr>
                <w:rFonts w:ascii="Times New Roman" w:hAnsi="Times New Roman" w:cs="Times New Roman"/>
                <w:sz w:val="27"/>
                <w:szCs w:val="27"/>
              </w:rPr>
            </w:pPr>
          </w:p>
        </w:tc>
        <w:tc>
          <w:tcPr>
            <w:tcW w:w="8105" w:type="dxa"/>
            <w:vAlign w:val="bottom"/>
          </w:tcPr>
          <w:p w14:paraId="5FCF0CFC" w14:textId="6CFE0BFD" w:rsidR="0081100C" w:rsidRPr="00EF59FC" w:rsidRDefault="0081100C" w:rsidP="00EF59FC">
            <w:pPr>
              <w:jc w:val="both"/>
              <w:rPr>
                <w:rFonts w:ascii="Times New Roman" w:hAnsi="Times New Roman" w:cs="Times New Roman"/>
                <w:sz w:val="27"/>
                <w:szCs w:val="27"/>
              </w:rPr>
            </w:pPr>
          </w:p>
        </w:tc>
      </w:tr>
      <w:tr w:rsidR="00EF59FC" w:rsidRPr="00EF59FC" w14:paraId="5DD2B228" w14:textId="77777777" w:rsidTr="004C7235">
        <w:tc>
          <w:tcPr>
            <w:tcW w:w="6475" w:type="dxa"/>
            <w:vAlign w:val="center"/>
          </w:tcPr>
          <w:p w14:paraId="11863907" w14:textId="1F6482CB" w:rsidR="0081100C" w:rsidRPr="00EF59FC" w:rsidRDefault="0081100C" w:rsidP="00EF59FC">
            <w:pPr>
              <w:jc w:val="both"/>
              <w:rPr>
                <w:rFonts w:ascii="Times New Roman" w:hAnsi="Times New Roman" w:cs="Times New Roman"/>
                <w:sz w:val="27"/>
                <w:szCs w:val="27"/>
              </w:rPr>
            </w:pPr>
          </w:p>
        </w:tc>
        <w:tc>
          <w:tcPr>
            <w:tcW w:w="8105" w:type="dxa"/>
            <w:vAlign w:val="bottom"/>
          </w:tcPr>
          <w:p w14:paraId="654687C0" w14:textId="601BA3B7" w:rsidR="0081100C" w:rsidRPr="00EF59FC" w:rsidRDefault="0081100C" w:rsidP="00EF59FC">
            <w:pPr>
              <w:jc w:val="both"/>
              <w:rPr>
                <w:rFonts w:ascii="Times New Roman" w:hAnsi="Times New Roman" w:cs="Times New Roman"/>
                <w:sz w:val="27"/>
                <w:szCs w:val="27"/>
              </w:rPr>
            </w:pPr>
          </w:p>
        </w:tc>
      </w:tr>
      <w:tr w:rsidR="00EF59FC" w:rsidRPr="00EF59FC" w14:paraId="28DA18EA" w14:textId="77777777" w:rsidTr="004C7235">
        <w:tc>
          <w:tcPr>
            <w:tcW w:w="6475" w:type="dxa"/>
            <w:vAlign w:val="bottom"/>
          </w:tcPr>
          <w:p w14:paraId="28CAB31B" w14:textId="16EDC653" w:rsidR="0081100C" w:rsidRPr="00EF59FC" w:rsidRDefault="0081100C" w:rsidP="00AD1E63">
            <w:pPr>
              <w:jc w:val="center"/>
              <w:rPr>
                <w:rFonts w:ascii="Times New Roman" w:hAnsi="Times New Roman" w:cs="Times New Roman"/>
              </w:rPr>
            </w:pPr>
          </w:p>
        </w:tc>
        <w:tc>
          <w:tcPr>
            <w:tcW w:w="8105" w:type="dxa"/>
            <w:vAlign w:val="bottom"/>
          </w:tcPr>
          <w:p w14:paraId="0345D3C7" w14:textId="1A4B48A5" w:rsidR="0081100C" w:rsidRPr="00EF59FC" w:rsidRDefault="0081100C" w:rsidP="00AD1E63">
            <w:pPr>
              <w:jc w:val="center"/>
              <w:rPr>
                <w:rFonts w:ascii="Times New Roman" w:hAnsi="Times New Roman" w:cs="Times New Roman"/>
              </w:rPr>
            </w:pPr>
          </w:p>
        </w:tc>
      </w:tr>
      <w:tr w:rsidR="00EF59FC" w:rsidRPr="00EF59FC" w14:paraId="513C7603" w14:textId="77777777" w:rsidTr="004C7235">
        <w:tc>
          <w:tcPr>
            <w:tcW w:w="14580" w:type="dxa"/>
            <w:gridSpan w:val="2"/>
            <w:vAlign w:val="center"/>
          </w:tcPr>
          <w:p w14:paraId="15469E88" w14:textId="73C44EEA" w:rsidR="0015396D" w:rsidRPr="00EF59FC" w:rsidRDefault="0015396D" w:rsidP="00AD1E63">
            <w:pPr>
              <w:jc w:val="center"/>
              <w:rPr>
                <w:rFonts w:ascii="Times New Roman" w:hAnsi="Times New Roman" w:cs="Times New Roman"/>
                <w:sz w:val="26"/>
                <w:szCs w:val="26"/>
              </w:rPr>
            </w:pPr>
            <w:r w:rsidRPr="00EF59FC">
              <w:rPr>
                <w:rFonts w:ascii="Times New Roman" w:eastAsia="Times New Roman" w:hAnsi="Times New Roman" w:cs="Times New Roman"/>
                <w:b/>
                <w:bCs/>
                <w:kern w:val="0"/>
                <w:sz w:val="26"/>
                <w:szCs w:val="26"/>
                <w14:ligatures w14:val="none"/>
              </w:rPr>
              <w:t xml:space="preserve">Phụ lục </w:t>
            </w:r>
            <w:r w:rsidR="008B42FC" w:rsidRPr="00EF59FC">
              <w:rPr>
                <w:rFonts w:ascii="Times New Roman" w:eastAsia="Times New Roman" w:hAnsi="Times New Roman" w:cs="Times New Roman"/>
                <w:b/>
                <w:bCs/>
                <w:kern w:val="0"/>
                <w:sz w:val="26"/>
                <w:szCs w:val="26"/>
                <w14:ligatures w14:val="none"/>
              </w:rPr>
              <w:t>I</w:t>
            </w:r>
            <w:r w:rsidRPr="00EF59FC">
              <w:rPr>
                <w:rFonts w:ascii="Times New Roman" w:eastAsia="Times New Roman" w:hAnsi="Times New Roman" w:cs="Times New Roman"/>
                <w:b/>
                <w:bCs/>
                <w:kern w:val="0"/>
                <w:sz w:val="26"/>
                <w:szCs w:val="26"/>
                <w14:ligatures w14:val="none"/>
              </w:rPr>
              <w:t>.</w:t>
            </w:r>
            <w:r w:rsidR="009F4F68" w:rsidRPr="00EF59FC">
              <w:rPr>
                <w:rFonts w:ascii="Times New Roman" w:eastAsia="Times New Roman" w:hAnsi="Times New Roman" w:cs="Times New Roman"/>
                <w:b/>
                <w:bCs/>
                <w:kern w:val="0"/>
                <w:sz w:val="26"/>
                <w:szCs w:val="26"/>
                <w14:ligatures w14:val="none"/>
              </w:rPr>
              <w:t>4</w:t>
            </w:r>
            <w:r w:rsidRPr="00EF59FC">
              <w:rPr>
                <w:rFonts w:ascii="Times New Roman" w:eastAsia="Times New Roman" w:hAnsi="Times New Roman" w:cs="Times New Roman"/>
                <w:b/>
                <w:bCs/>
                <w:kern w:val="0"/>
                <w:sz w:val="26"/>
                <w:szCs w:val="26"/>
                <w14:ligatures w14:val="none"/>
              </w:rPr>
              <w:t>.</w:t>
            </w:r>
            <w:proofErr w:type="gramStart"/>
            <w:r w:rsidR="008F5582" w:rsidRPr="00EF59FC">
              <w:rPr>
                <w:rFonts w:ascii="Times New Roman" w:eastAsia="Times New Roman" w:hAnsi="Times New Roman" w:cs="Times New Roman"/>
                <w:b/>
                <w:bCs/>
                <w:kern w:val="0"/>
                <w:sz w:val="26"/>
                <w:szCs w:val="26"/>
                <w14:ligatures w14:val="none"/>
              </w:rPr>
              <w:t>3</w:t>
            </w:r>
            <w:r w:rsidR="00C45505" w:rsidRPr="00EF59FC">
              <w:rPr>
                <w:rFonts w:ascii="Times New Roman" w:eastAsia="Times New Roman" w:hAnsi="Times New Roman" w:cs="Times New Roman"/>
                <w:b/>
                <w:bCs/>
                <w:kern w:val="0"/>
                <w:sz w:val="26"/>
                <w:szCs w:val="26"/>
                <w14:ligatures w14:val="none"/>
              </w:rPr>
              <w:t>.</w:t>
            </w:r>
            <w:r w:rsidR="008F5582" w:rsidRPr="00EF59FC">
              <w:rPr>
                <w:rFonts w:ascii="Times New Roman" w:eastAsia="Times New Roman" w:hAnsi="Times New Roman" w:cs="Times New Roman"/>
                <w:b/>
                <w:bCs/>
                <w:kern w:val="0"/>
                <w:sz w:val="26"/>
                <w:szCs w:val="26"/>
                <w14:ligatures w14:val="none"/>
              </w:rPr>
              <w:t>A</w:t>
            </w:r>
            <w:proofErr w:type="gramEnd"/>
          </w:p>
        </w:tc>
      </w:tr>
      <w:tr w:rsidR="00EF59FC" w:rsidRPr="00EF59FC" w14:paraId="50EDC559" w14:textId="77777777" w:rsidTr="004C7235">
        <w:tc>
          <w:tcPr>
            <w:tcW w:w="14580" w:type="dxa"/>
            <w:gridSpan w:val="2"/>
            <w:vAlign w:val="center"/>
          </w:tcPr>
          <w:p w14:paraId="72269726" w14:textId="4DF81919" w:rsidR="004C7235" w:rsidRPr="00EF59FC" w:rsidRDefault="000979BA" w:rsidP="00AD1E63">
            <w:pPr>
              <w:jc w:val="center"/>
              <w:rPr>
                <w:rFonts w:ascii="Times New Roman" w:eastAsia="Times New Roman" w:hAnsi="Times New Roman" w:cs="Times New Roman"/>
                <w:b/>
                <w:bCs/>
                <w:kern w:val="0"/>
                <w:sz w:val="26"/>
                <w:szCs w:val="26"/>
                <w14:ligatures w14:val="none"/>
              </w:rPr>
            </w:pPr>
            <w:r w:rsidRPr="00EF59FC">
              <w:rPr>
                <w:rFonts w:ascii="Times New Roman" w:hAnsi="Times New Roman" w:cs="Times New Roman"/>
                <w:b/>
                <w:sz w:val="26"/>
                <w:szCs w:val="26"/>
              </w:rPr>
              <w:t>TÌNH HÌNH XỬ LÝ ĐỐI VỚI</w:t>
            </w:r>
            <w:r w:rsidRPr="00EF59FC">
              <w:rPr>
                <w:b/>
                <w:sz w:val="26"/>
                <w:szCs w:val="26"/>
              </w:rPr>
              <w:t xml:space="preserve"> </w:t>
            </w:r>
            <w:r w:rsidR="0015396D" w:rsidRPr="00EF59FC">
              <w:rPr>
                <w:rFonts w:ascii="Times New Roman" w:eastAsia="Times New Roman" w:hAnsi="Times New Roman" w:cs="Times New Roman"/>
                <w:b/>
                <w:bCs/>
                <w:kern w:val="0"/>
                <w:sz w:val="26"/>
                <w:szCs w:val="26"/>
                <w14:ligatures w14:val="none"/>
              </w:rPr>
              <w:t>KHÓ KHĂN, VƯỚNG MẮC DO QUY ĐỊNH PHÁP LUẬT</w:t>
            </w:r>
            <w:r w:rsidR="0015396D" w:rsidRPr="00EF59FC">
              <w:rPr>
                <w:rFonts w:ascii="Times New Roman" w:eastAsia="Times New Roman" w:hAnsi="Times New Roman" w:cs="Times New Roman"/>
                <w:b/>
                <w:bCs/>
                <w:kern w:val="0"/>
                <w:sz w:val="26"/>
                <w:szCs w:val="26"/>
                <w14:ligatures w14:val="none"/>
              </w:rPr>
              <w:br/>
              <w:t>THUỘC PHẠM VI PHỤ TRÁCH CỦA BỘ CÔNG THƯƠNG</w:t>
            </w:r>
            <w:r w:rsidR="0015396D" w:rsidRPr="00EF59FC">
              <w:rPr>
                <w:rFonts w:ascii="Times New Roman" w:eastAsia="Times New Roman" w:hAnsi="Times New Roman" w:cs="Times New Roman"/>
                <w:b/>
                <w:bCs/>
                <w:kern w:val="0"/>
                <w:sz w:val="26"/>
                <w:szCs w:val="26"/>
                <w14:ligatures w14:val="none"/>
              </w:rPr>
              <w:br/>
              <w:t xml:space="preserve">Tiêu chí: </w:t>
            </w:r>
            <w:r w:rsidR="004A33C4" w:rsidRPr="00EF59FC">
              <w:rPr>
                <w:rFonts w:ascii="Times New Roman" w:eastAsia="Times New Roman" w:hAnsi="Times New Roman" w:cs="Times New Roman"/>
                <w:b/>
                <w:bCs/>
                <w:kern w:val="0"/>
                <w:sz w:val="26"/>
                <w:szCs w:val="26"/>
                <w14:ligatures w14:val="none"/>
              </w:rPr>
              <w:t xml:space="preserve">Nội dung quy định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w:t>
            </w:r>
            <w:proofErr w:type="gramStart"/>
            <w:r w:rsidR="004A33C4" w:rsidRPr="00EF59FC">
              <w:rPr>
                <w:rFonts w:ascii="Times New Roman" w:eastAsia="Times New Roman" w:hAnsi="Times New Roman" w:cs="Times New Roman"/>
                <w:b/>
                <w:bCs/>
                <w:kern w:val="0"/>
                <w:sz w:val="26"/>
                <w:szCs w:val="26"/>
                <w14:ligatures w14:val="none"/>
              </w:rPr>
              <w:t>tế</w:t>
            </w:r>
            <w:proofErr w:type="gramEnd"/>
          </w:p>
          <w:p w14:paraId="5CA8E0E4" w14:textId="41E7B770" w:rsidR="00495831" w:rsidRPr="00EF59FC" w:rsidRDefault="004A33C4" w:rsidP="00AD1E63">
            <w:pPr>
              <w:jc w:val="center"/>
              <w:rPr>
                <w:rFonts w:ascii="Times New Roman" w:eastAsia="Times New Roman" w:hAnsi="Times New Roman" w:cs="Times New Roman"/>
                <w:b/>
                <w:bCs/>
                <w:kern w:val="0"/>
                <w:sz w:val="26"/>
                <w:szCs w:val="26"/>
                <w14:ligatures w14:val="none"/>
              </w:rPr>
            </w:pPr>
            <w:r w:rsidRPr="00EF59FC">
              <w:rPr>
                <w:rFonts w:ascii="Times New Roman" w:eastAsia="Times New Roman" w:hAnsi="Times New Roman" w:cs="Times New Roman"/>
                <w:b/>
                <w:bCs/>
                <w:kern w:val="0"/>
                <w:sz w:val="26"/>
                <w:szCs w:val="26"/>
                <w14:ligatures w14:val="none"/>
              </w:rPr>
              <w:t>và hội nhập quốc tế</w:t>
            </w:r>
            <w:r w:rsidR="0015396D" w:rsidRPr="00EF59FC">
              <w:rPr>
                <w:rFonts w:ascii="Times New Roman" w:eastAsia="Times New Roman" w:hAnsi="Times New Roman" w:cs="Times New Roman"/>
                <w:b/>
                <w:bCs/>
                <w:kern w:val="0"/>
                <w:sz w:val="26"/>
                <w:szCs w:val="26"/>
                <w14:ligatures w14:val="none"/>
              </w:rPr>
              <w:br/>
              <w:t xml:space="preserve">Nhóm </w:t>
            </w:r>
            <w:r w:rsidRPr="00EF59FC">
              <w:rPr>
                <w:rFonts w:ascii="Times New Roman" w:eastAsia="Times New Roman" w:hAnsi="Times New Roman" w:cs="Times New Roman"/>
                <w:b/>
                <w:bCs/>
                <w:kern w:val="0"/>
                <w:sz w:val="26"/>
                <w:szCs w:val="26"/>
                <w14:ligatures w14:val="none"/>
              </w:rPr>
              <w:t>A</w:t>
            </w:r>
            <w:r w:rsidR="0015396D" w:rsidRPr="00EF59FC">
              <w:rPr>
                <w:rFonts w:ascii="Times New Roman" w:eastAsia="Times New Roman" w:hAnsi="Times New Roman" w:cs="Times New Roman"/>
                <w:b/>
                <w:bCs/>
                <w:kern w:val="0"/>
                <w:sz w:val="26"/>
                <w:szCs w:val="26"/>
                <w14:ligatures w14:val="none"/>
              </w:rPr>
              <w:t xml:space="preserve">. </w:t>
            </w:r>
            <w:r w:rsidRPr="00EF59FC">
              <w:rPr>
                <w:rFonts w:ascii="Times New Roman" w:eastAsia="Times New Roman" w:hAnsi="Times New Roman" w:cs="Times New Roman"/>
                <w:b/>
                <w:bCs/>
                <w:kern w:val="0"/>
                <w:sz w:val="26"/>
                <w:szCs w:val="26"/>
                <w14:ligatures w14:val="none"/>
              </w:rPr>
              <w:t>Nhóm các nội dung cho ý kiến nhất trí và đề xuất xử lý theo phương án, quy trình</w:t>
            </w:r>
          </w:p>
          <w:p w14:paraId="448A4522" w14:textId="77777777" w:rsidR="0015396D" w:rsidRPr="00EF59FC" w:rsidRDefault="004A33C4" w:rsidP="00AD1E63">
            <w:pPr>
              <w:jc w:val="center"/>
              <w:rPr>
                <w:rFonts w:ascii="Times New Roman" w:eastAsia="Times New Roman" w:hAnsi="Times New Roman" w:cs="Times New Roman"/>
                <w:b/>
                <w:bCs/>
                <w:kern w:val="0"/>
                <w:sz w:val="26"/>
                <w:szCs w:val="26"/>
                <w14:ligatures w14:val="none"/>
              </w:rPr>
            </w:pPr>
            <w:r w:rsidRPr="00EF59FC">
              <w:rPr>
                <w:rFonts w:ascii="Times New Roman" w:eastAsia="Times New Roman" w:hAnsi="Times New Roman" w:cs="Times New Roman"/>
                <w:b/>
                <w:bCs/>
                <w:kern w:val="0"/>
                <w:sz w:val="26"/>
                <w:szCs w:val="26"/>
                <w14:ligatures w14:val="none"/>
              </w:rPr>
              <w:t>nêu tại khoản 1 Điều 4 Nghị quyết số 206/2025/QH15 (thực hiện trong năm 2025)</w:t>
            </w:r>
          </w:p>
          <w:p w14:paraId="4EE8B828" w14:textId="489472F1" w:rsidR="008B42FC" w:rsidRPr="00EF59FC" w:rsidRDefault="008B42FC" w:rsidP="00AD1E63">
            <w:pPr>
              <w:jc w:val="center"/>
              <w:rPr>
                <w:rFonts w:ascii="Times New Roman" w:eastAsia="Times New Roman" w:hAnsi="Times New Roman" w:cs="Times New Roman"/>
                <w:b/>
                <w:bCs/>
                <w:kern w:val="0"/>
                <w:sz w:val="26"/>
                <w:szCs w:val="26"/>
                <w14:ligatures w14:val="none"/>
              </w:rPr>
            </w:pPr>
          </w:p>
        </w:tc>
      </w:tr>
    </w:tbl>
    <w:p w14:paraId="58DCDF8E" w14:textId="33B27EC6" w:rsidR="006B5017" w:rsidRPr="00EF59FC" w:rsidRDefault="004A33C4" w:rsidP="00EF59FC">
      <w:pPr>
        <w:jc w:val="both"/>
        <w:rPr>
          <w:rFonts w:ascii="Times New Roman" w:hAnsi="Times New Roman" w:cs="Times New Roman"/>
        </w:rPr>
      </w:pPr>
      <w:r w:rsidRPr="00EF59FC">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58752" behindDoc="0" locked="0" layoutInCell="1" allowOverlap="1" wp14:anchorId="3EE5DB76" wp14:editId="5F24833B">
                <wp:simplePos x="0" y="0"/>
                <wp:positionH relativeFrom="column">
                  <wp:posOffset>2808240</wp:posOffset>
                </wp:positionH>
                <wp:positionV relativeFrom="paragraph">
                  <wp:posOffset>63399</wp:posOffset>
                </wp:positionV>
                <wp:extent cx="2592070" cy="0"/>
                <wp:effectExtent l="0" t="0" r="0" b="0"/>
                <wp:wrapNone/>
                <wp:docPr id="1175006511" name="Straight Connector 1"/>
                <wp:cNvGraphicFramePr/>
                <a:graphic xmlns:a="http://schemas.openxmlformats.org/drawingml/2006/main">
                  <a:graphicData uri="http://schemas.microsoft.com/office/word/2010/wordprocessingShape">
                    <wps:wsp>
                      <wps:cNvCnPr/>
                      <wps:spPr>
                        <a:xfrm flipV="1">
                          <a:off x="0" y="0"/>
                          <a:ext cx="2592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8E4F2"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pt,5pt" to="42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" strokecolor="black [3200]" strokeweight=".5pt">
                <v:stroke joinstyle="miter"/>
              </v:line>
            </w:pict>
          </mc:Fallback>
        </mc:AlternateContent>
      </w:r>
    </w:p>
    <w:tbl>
      <w:tblPr>
        <w:tblStyle w:val="TableGrid"/>
        <w:tblW w:w="15026" w:type="dxa"/>
        <w:tblInd w:w="-572" w:type="dxa"/>
        <w:tblLook w:val="04A0" w:firstRow="1" w:lastRow="0" w:firstColumn="1" w:lastColumn="0" w:noHBand="0" w:noVBand="1"/>
      </w:tblPr>
      <w:tblGrid>
        <w:gridCol w:w="670"/>
        <w:gridCol w:w="2076"/>
        <w:gridCol w:w="5051"/>
        <w:gridCol w:w="1559"/>
        <w:gridCol w:w="1701"/>
        <w:gridCol w:w="1769"/>
        <w:gridCol w:w="2200"/>
      </w:tblGrid>
      <w:tr w:rsidR="00EF59FC" w:rsidRPr="00EF59FC" w14:paraId="3C634EEC" w14:textId="77777777" w:rsidTr="00330E94">
        <w:trPr>
          <w:tblHeader/>
        </w:trPr>
        <w:tc>
          <w:tcPr>
            <w:tcW w:w="670" w:type="dxa"/>
            <w:shd w:val="clear" w:color="auto" w:fill="F7CAAC" w:themeFill="accent2" w:themeFillTint="66"/>
            <w:vAlign w:val="center"/>
          </w:tcPr>
          <w:p w14:paraId="0978FCD3" w14:textId="08AC568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b/>
                <w:bCs/>
                <w:kern w:val="0"/>
                <w:sz w:val="24"/>
                <w:szCs w:val="24"/>
                <w14:ligatures w14:val="none"/>
              </w:rPr>
              <w:t>STT</w:t>
            </w:r>
          </w:p>
        </w:tc>
        <w:tc>
          <w:tcPr>
            <w:tcW w:w="2076" w:type="dxa"/>
            <w:shd w:val="clear" w:color="auto" w:fill="F7CAAC" w:themeFill="accent2" w:themeFillTint="66"/>
            <w:vAlign w:val="center"/>
          </w:tcPr>
          <w:p w14:paraId="0187D4B1" w14:textId="5680F0C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b/>
                <w:bCs/>
                <w:kern w:val="0"/>
                <w:sz w:val="24"/>
                <w:szCs w:val="24"/>
                <w14:ligatures w14:val="none"/>
              </w:rPr>
              <w:t>Điều, khoản, điểm, tên văn bản đề xuất xử lý</w:t>
            </w:r>
          </w:p>
        </w:tc>
        <w:tc>
          <w:tcPr>
            <w:tcW w:w="5051" w:type="dxa"/>
            <w:shd w:val="clear" w:color="auto" w:fill="F7CAAC" w:themeFill="accent2" w:themeFillTint="66"/>
            <w:vAlign w:val="center"/>
          </w:tcPr>
          <w:p w14:paraId="7BE6B701" w14:textId="77777777" w:rsidR="002740C6" w:rsidRPr="00EF59FC" w:rsidRDefault="002740C6" w:rsidP="00EF59FC">
            <w:pPr>
              <w:jc w:val="both"/>
              <w:rPr>
                <w:rFonts w:ascii="Times New Roman" w:eastAsia="Times New Roman" w:hAnsi="Times New Roman" w:cs="Times New Roman"/>
                <w:b/>
                <w:bCs/>
                <w:sz w:val="24"/>
                <w:szCs w:val="24"/>
              </w:rPr>
            </w:pPr>
            <w:r w:rsidRPr="00EF59FC">
              <w:rPr>
                <w:rFonts w:ascii="Times New Roman" w:eastAsia="Times New Roman" w:hAnsi="Times New Roman" w:cs="Times New Roman"/>
                <w:b/>
                <w:bCs/>
                <w:sz w:val="24"/>
                <w:szCs w:val="24"/>
              </w:rPr>
              <w:t xml:space="preserve">Nội dung quy định được phản ánh </w:t>
            </w:r>
          </w:p>
          <w:p w14:paraId="52F739F4" w14:textId="5D07A95B" w:rsidR="008F5582" w:rsidRPr="00EF59FC" w:rsidRDefault="002740C6" w:rsidP="00EF59FC">
            <w:pPr>
              <w:jc w:val="both"/>
              <w:rPr>
                <w:rFonts w:ascii="Times New Roman" w:hAnsi="Times New Roman" w:cs="Times New Roman"/>
              </w:rPr>
            </w:pPr>
            <w:r w:rsidRPr="00EF59FC">
              <w:rPr>
                <w:rFonts w:ascii="Times New Roman" w:eastAsia="Times New Roman" w:hAnsi="Times New Roman" w:cs="Times New Roman"/>
                <w:b/>
                <w:bCs/>
                <w:sz w:val="24"/>
                <w:szCs w:val="24"/>
              </w:rPr>
              <w:t>tạo gánh nặng chi phí tuân thủ; chưa có quy định hoặc có quy định của VBQPPL nhưng hạn chế việc đổi mới sáng tạo, phát triển động lực tăng trưởng mới, khơi thông nguồn lực, thúc đẩy tăng trưởng kinh tế và hội nhập quốc tế</w:t>
            </w:r>
          </w:p>
        </w:tc>
        <w:tc>
          <w:tcPr>
            <w:tcW w:w="1559" w:type="dxa"/>
            <w:shd w:val="clear" w:color="auto" w:fill="F7CAAC" w:themeFill="accent2" w:themeFillTint="66"/>
            <w:vAlign w:val="center"/>
          </w:tcPr>
          <w:p w14:paraId="7177338F" w14:textId="5BEE01F2"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b/>
                <w:bCs/>
                <w:kern w:val="0"/>
                <w:sz w:val="24"/>
                <w:szCs w:val="24"/>
                <w14:ligatures w14:val="none"/>
              </w:rPr>
              <w:t>Phương án xử lý được đề xuất</w:t>
            </w:r>
          </w:p>
        </w:tc>
        <w:tc>
          <w:tcPr>
            <w:tcW w:w="1701" w:type="dxa"/>
            <w:shd w:val="clear" w:color="auto" w:fill="F7CAAC" w:themeFill="accent2" w:themeFillTint="66"/>
            <w:vAlign w:val="center"/>
          </w:tcPr>
          <w:p w14:paraId="4F3CEA11" w14:textId="77777777" w:rsidR="008D7E6D" w:rsidRPr="00EF59FC" w:rsidRDefault="008F5582" w:rsidP="00EF59FC">
            <w:pPr>
              <w:jc w:val="both"/>
              <w:rPr>
                <w:rFonts w:ascii="Times New Roman" w:eastAsia="Times New Roman" w:hAnsi="Times New Roman" w:cs="Times New Roman"/>
                <w:b/>
                <w:bCs/>
                <w:kern w:val="0"/>
                <w:sz w:val="24"/>
                <w:szCs w:val="24"/>
                <w14:ligatures w14:val="none"/>
              </w:rPr>
            </w:pPr>
            <w:r w:rsidRPr="00EF59FC">
              <w:rPr>
                <w:rFonts w:ascii="Times New Roman" w:eastAsia="Times New Roman" w:hAnsi="Times New Roman" w:cs="Times New Roman"/>
                <w:b/>
                <w:bCs/>
                <w:kern w:val="0"/>
                <w:sz w:val="24"/>
                <w:szCs w:val="24"/>
                <w14:ligatures w14:val="none"/>
              </w:rPr>
              <w:t xml:space="preserve">Cơ quan, </w:t>
            </w:r>
          </w:p>
          <w:p w14:paraId="0501EC2A" w14:textId="1A1C6AE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b/>
                <w:bCs/>
                <w:kern w:val="0"/>
                <w:sz w:val="24"/>
                <w:szCs w:val="24"/>
                <w14:ligatures w14:val="none"/>
              </w:rPr>
              <w:t>tổ chức rà soát, phản ánh</w:t>
            </w:r>
          </w:p>
        </w:tc>
        <w:tc>
          <w:tcPr>
            <w:tcW w:w="1769" w:type="dxa"/>
            <w:shd w:val="clear" w:color="auto" w:fill="F7CAAC" w:themeFill="accent2" w:themeFillTint="66"/>
            <w:vAlign w:val="center"/>
          </w:tcPr>
          <w:p w14:paraId="35CDBA6F" w14:textId="2E847169" w:rsidR="008F5582" w:rsidRPr="00EF59FC" w:rsidRDefault="009F4F68" w:rsidP="00EF59FC">
            <w:pPr>
              <w:jc w:val="both"/>
              <w:rPr>
                <w:rFonts w:ascii="Times New Roman" w:hAnsi="Times New Roman" w:cs="Times New Roman"/>
              </w:rPr>
            </w:pPr>
            <w:r w:rsidRPr="00EF59FC">
              <w:rPr>
                <w:rFonts w:ascii="Times New Roman" w:eastAsia="Times New Roman" w:hAnsi="Times New Roman" w:cs="Times New Roman"/>
                <w:b/>
                <w:bCs/>
                <w:kern w:val="0"/>
                <w:sz w:val="24"/>
                <w:szCs w:val="24"/>
                <w14:ligatures w14:val="none"/>
              </w:rPr>
              <w:t>Ý kiến của Bộ Công Thương</w:t>
            </w:r>
            <w:r w:rsidR="008F5582" w:rsidRPr="00EF59FC">
              <w:rPr>
                <w:rFonts w:ascii="Times New Roman" w:eastAsia="Times New Roman" w:hAnsi="Times New Roman" w:cs="Times New Roman"/>
                <w:b/>
                <w:bCs/>
                <w:kern w:val="0"/>
                <w:sz w:val="24"/>
                <w:szCs w:val="24"/>
                <w14:ligatures w14:val="none"/>
              </w:rPr>
              <w:t xml:space="preserve"> về nội dung rà soát, phản ánh</w:t>
            </w:r>
          </w:p>
        </w:tc>
        <w:tc>
          <w:tcPr>
            <w:tcW w:w="2200" w:type="dxa"/>
            <w:shd w:val="clear" w:color="auto" w:fill="F7CAAC" w:themeFill="accent2" w:themeFillTint="66"/>
            <w:vAlign w:val="center"/>
          </w:tcPr>
          <w:p w14:paraId="3076107D" w14:textId="4CB313FD" w:rsidR="008F5582" w:rsidRPr="00EF59FC" w:rsidRDefault="000979BA" w:rsidP="00EF59FC">
            <w:pPr>
              <w:jc w:val="both"/>
              <w:rPr>
                <w:rFonts w:ascii="Times New Roman" w:eastAsia="Times New Roman" w:hAnsi="Times New Roman" w:cs="Times New Roman"/>
                <w:b/>
                <w:bCs/>
                <w:kern w:val="0"/>
                <w:sz w:val="24"/>
                <w:szCs w:val="24"/>
                <w14:ligatures w14:val="none"/>
              </w:rPr>
            </w:pPr>
            <w:r w:rsidRPr="00EF59FC">
              <w:rPr>
                <w:rFonts w:ascii="Times New Roman" w:hAnsi="Times New Roman" w:cs="Times New Roman"/>
                <w:b/>
                <w:bCs/>
                <w:sz w:val="25"/>
                <w:szCs w:val="25"/>
              </w:rPr>
              <w:t xml:space="preserve">Tình hình xử lý </w:t>
            </w:r>
          </w:p>
        </w:tc>
      </w:tr>
      <w:tr w:rsidR="00EF59FC" w:rsidRPr="00EF59FC" w14:paraId="5D17F1EB" w14:textId="4D91140A" w:rsidTr="00330E94">
        <w:tc>
          <w:tcPr>
            <w:tcW w:w="670" w:type="dxa"/>
            <w:vAlign w:val="center"/>
          </w:tcPr>
          <w:p w14:paraId="48D78076" w14:textId="7FB39710"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1</w:t>
            </w:r>
          </w:p>
        </w:tc>
        <w:tc>
          <w:tcPr>
            <w:tcW w:w="2076" w:type="dxa"/>
            <w:vAlign w:val="center"/>
          </w:tcPr>
          <w:p w14:paraId="0E6808B6" w14:textId="27B74F2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Khoản 1 Điều 4 Nghị định số 28/2018/NĐ-CP</w:t>
            </w:r>
          </w:p>
        </w:tc>
        <w:tc>
          <w:tcPr>
            <w:tcW w:w="5051" w:type="dxa"/>
            <w:vAlign w:val="center"/>
          </w:tcPr>
          <w:p w14:paraId="4822D96D" w14:textId="3E654FAF"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Khó khăn, vướng mắc: Chưa có quy định của văn bản QPPL: Điều 74, Luật Đầu tư quy định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 đồng thời, quy định hiện tại chưa bao gồm nội dung gắn kết các hoạt động xúc tiến thương mại và xúc tiến đầu tư đầu tư, là yếu tố quan trọng để nâng cao năng lực sản xuất, kinh doanh, xuất khẩu. - Đề xuất điều chỉnh, bổ </w:t>
            </w:r>
            <w:r w:rsidRPr="00EF59FC">
              <w:rPr>
                <w:rFonts w:ascii="Times New Roman" w:eastAsia="Times New Roman" w:hAnsi="Times New Roman" w:cs="Times New Roman"/>
                <w:kern w:val="0"/>
                <w:sz w:val="24"/>
                <w:szCs w:val="24"/>
                <w14:ligatures w14:val="none"/>
              </w:rPr>
              <w:lastRenderedPageBreak/>
              <w:t>sung nội dung Tổ chức và tham gia hội nghị, hội chợ, triển lãm, giao dịch, sự kiện xúc tiến đầu tư ở nước ngoài và tại Việt Nam phục vụ xuất khẩu, nhập khẩu và nâng cao năng lực sản xuất, kinh doanh xuất khẩu.”, cụ thể như sau: “1. Tổ chức và tham gia hội nghị, hội chợ, triển lãm, giao dịch, sự kiện xúc tiến thương mại và đầu tư ở nước ngoài và tại Việt Nam phục vụ xuất khẩu, nhập khẩu và nâng cao năng lực sản xuất, kinh doanh xuất khẩu.”</w:t>
            </w:r>
          </w:p>
        </w:tc>
        <w:tc>
          <w:tcPr>
            <w:tcW w:w="1559" w:type="dxa"/>
            <w:vAlign w:val="center"/>
          </w:tcPr>
          <w:p w14:paraId="7BFC03FC" w14:textId="4FAEBA59"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0E31CF23" w14:textId="7D2FD6FF"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27E43D78" w14:textId="2F57FFB4"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Nhất trí sửa đổi Nghị định số 28/2018/NĐ-CP  </w:t>
            </w:r>
          </w:p>
        </w:tc>
        <w:tc>
          <w:tcPr>
            <w:tcW w:w="2200" w:type="dxa"/>
            <w:vAlign w:val="center"/>
          </w:tcPr>
          <w:p w14:paraId="0D02F1AC" w14:textId="40AF6EC2" w:rsidR="008F5582"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7A16F091" w14:textId="5939BB25" w:rsidR="00CC66D8"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4CA861EC" w14:textId="399B6934" w:rsidTr="00330E94">
        <w:tc>
          <w:tcPr>
            <w:tcW w:w="670" w:type="dxa"/>
            <w:vAlign w:val="center"/>
          </w:tcPr>
          <w:p w14:paraId="7AA8BF53" w14:textId="4CA5697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2</w:t>
            </w:r>
          </w:p>
        </w:tc>
        <w:tc>
          <w:tcPr>
            <w:tcW w:w="2076" w:type="dxa"/>
            <w:vAlign w:val="center"/>
          </w:tcPr>
          <w:p w14:paraId="36C0D621" w14:textId="00CC77A4"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Điều 10 Nghị định số 28/2018/NĐ-CP</w:t>
            </w:r>
          </w:p>
        </w:tc>
        <w:tc>
          <w:tcPr>
            <w:tcW w:w="5051" w:type="dxa"/>
            <w:vAlign w:val="center"/>
          </w:tcPr>
          <w:p w14:paraId="1EE376F3" w14:textId="3F168DE5"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Khó khăn, vướng mắc: Nội dung quy định được phản ánh tạo gánh nặng chi phí tuân thủ Quy trình xây dựng, tiếp nhận, thẩm định, phê duyệt đề án thuộc Chương trình cấp quốc gia về XTTM còn yêu cầu số lượng văn bản nhiều; cách thức gửi hồ sơ chưa bao gồm các phương thức hiện đại như gửi thư điện tử hoặc qua hệ thống quản lý văn bản và điều hành tác nghiệp điện tử, thời gian công bố quyết định phê duyệt còn dài. Các yếu tố trên làm chi phí tuân thủ của đơn vị chủ trì chưa được tối ưu. Do vậy cần: - Giảm số lượng hồ sơ từ 02 bộ hồ sơ còn 01 bộ hồ sơ, cắt giảm thành phần hồ sơ (bỏ Bản sao không cần chứng thực quyết định thành lập hoặc Điều lệ (hoặc văn bản có giá trị tương đương) - Bổ sung cách thức “c) Gửi qua thư điện tử hoặc qua hệ thống quản lý văn bản và điều hành tác nghiệp điện tử”. - Giảm thời gian </w:t>
            </w:r>
            <w:r w:rsidRPr="00EF59FC">
              <w:rPr>
                <w:rFonts w:ascii="Times New Roman" w:eastAsia="Times New Roman" w:hAnsi="Times New Roman" w:cs="Times New Roman"/>
                <w:kern w:val="0"/>
                <w:sz w:val="24"/>
                <w:szCs w:val="24"/>
                <w14:ligatures w14:val="none"/>
              </w:rPr>
              <w:lastRenderedPageBreak/>
              <w:t>công bố Quyết định phê duyệt đề án từ 05 ngày làm việc xuống còn 03 ngày.</w:t>
            </w:r>
          </w:p>
        </w:tc>
        <w:tc>
          <w:tcPr>
            <w:tcW w:w="1559" w:type="dxa"/>
            <w:vAlign w:val="center"/>
          </w:tcPr>
          <w:p w14:paraId="1756FC48" w14:textId="5F4E5053"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7F190BE0" w14:textId="5A6C660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7EE999A4" w14:textId="0B94022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theo trình tự, thủ tục rút gọn ban hành VBQPPL của Luật Ban hành VBQPPL)</w:t>
            </w:r>
          </w:p>
        </w:tc>
        <w:tc>
          <w:tcPr>
            <w:tcW w:w="2200" w:type="dxa"/>
            <w:vAlign w:val="center"/>
          </w:tcPr>
          <w:p w14:paraId="2AE92DC6" w14:textId="1391009E"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62B81FCA" w14:textId="4E8DBC27"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2264CC71" w14:textId="44E66B79" w:rsidTr="00330E94">
        <w:tc>
          <w:tcPr>
            <w:tcW w:w="670" w:type="dxa"/>
            <w:vAlign w:val="center"/>
          </w:tcPr>
          <w:p w14:paraId="72C176E5" w14:textId="1A890AE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3</w:t>
            </w:r>
          </w:p>
        </w:tc>
        <w:tc>
          <w:tcPr>
            <w:tcW w:w="2076" w:type="dxa"/>
            <w:vAlign w:val="center"/>
          </w:tcPr>
          <w:p w14:paraId="02FB1912" w14:textId="1674B1DD"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Điều 11 Nghị định số 28/2018/NĐ-CP</w:t>
            </w:r>
          </w:p>
        </w:tc>
        <w:tc>
          <w:tcPr>
            <w:tcW w:w="5051" w:type="dxa"/>
            <w:vAlign w:val="center"/>
          </w:tcPr>
          <w:p w14:paraId="75FD6DF9" w14:textId="15D8329F"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Khó khăn, vướng mắc: Nội dung quy định được phản ánh tạo gánh nặng chi phí tuân thủ Quy trình xây dựng, tiếp nhận, thẩm định, phê duyệt đề án thuộc Chương trình cấp quốc gia về XTTM còn yêu cầu số lượng văn bản nhiều; cách thức gửi hồ sơ chưa bao gồm các phương thức hiện đại như gửi thư điện tử hoặc qua hệ thống quản lý văn bản và điều hành tác nghiệp điện tử, thời gian công bố quyết định phê duyệt còn dài, thiếu tính linh hoạt và chủ động trong việc kịp thời điều chỉnh các hoạt động XTTM nhằm ứng phó với những thay đổi của thực tiễn triển khai. Các yếu tố trên làm chi phí tuân thủ của đơn vị chủ trì chưa được tối ưu. Do vậy cần: - Giảm số lượng hồ sơ từ 02 bộ hồ sơ còn 01 bộ hồ sơ, cắt giảm thành phần hồ sơ (bỏ Bản sao không cần chứng thực quyết định thành lập hoặc Điều lệ (hoặc văn bản có giá trị tương đương) - Bổ sung cách thức “c) Gửi qua thư điện tử hoặc qua hệ thống quản lý văn bản và điều hành tác nghiệp điện tử”</w:t>
            </w:r>
          </w:p>
        </w:tc>
        <w:tc>
          <w:tcPr>
            <w:tcW w:w="1559" w:type="dxa"/>
            <w:vAlign w:val="center"/>
          </w:tcPr>
          <w:p w14:paraId="1670F0A2" w14:textId="221AAE3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701" w:type="dxa"/>
            <w:vAlign w:val="center"/>
          </w:tcPr>
          <w:p w14:paraId="05CC351F" w14:textId="749B480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061E9792" w14:textId="04263325"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theo trình tự, thủ tục rút gọn ban hành VBQPPL của Luật Ban hành VBQPPL)</w:t>
            </w:r>
          </w:p>
        </w:tc>
        <w:tc>
          <w:tcPr>
            <w:tcW w:w="2200" w:type="dxa"/>
            <w:vAlign w:val="center"/>
          </w:tcPr>
          <w:p w14:paraId="4B1452BA" w14:textId="473F05E4"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5EA95D15" w14:textId="65B67F83"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6429626A" w14:textId="1CFCCC1D" w:rsidTr="00330E94">
        <w:tc>
          <w:tcPr>
            <w:tcW w:w="670" w:type="dxa"/>
            <w:vAlign w:val="center"/>
          </w:tcPr>
          <w:p w14:paraId="1003CE6A" w14:textId="12805CD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4</w:t>
            </w:r>
          </w:p>
        </w:tc>
        <w:tc>
          <w:tcPr>
            <w:tcW w:w="2076" w:type="dxa"/>
            <w:vAlign w:val="center"/>
          </w:tcPr>
          <w:p w14:paraId="7D12774B" w14:textId="61770EC7"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Điều 13 Nghị định số 28/2018/NĐ-CP</w:t>
            </w:r>
          </w:p>
        </w:tc>
        <w:tc>
          <w:tcPr>
            <w:tcW w:w="5051" w:type="dxa"/>
            <w:vAlign w:val="center"/>
          </w:tcPr>
          <w:p w14:paraId="487780B1" w14:textId="2F7EE49A"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Khó khăn, vướng mắc: Nội dung quy định được phản ánh tạo gánh nặng chi phí tuân thủ Quy trình phê duyệt điều chỉnh, thay đổi nội dung thực hiện đề án thuộc Chương trình cấp quốc gia về XTTM còn chưa tạo thuận lợi cho việc tổ chức thực hiện </w:t>
            </w:r>
            <w:r w:rsidRPr="00EF59FC">
              <w:rPr>
                <w:rFonts w:ascii="Times New Roman" w:eastAsia="Times New Roman" w:hAnsi="Times New Roman" w:cs="Times New Roman"/>
                <w:kern w:val="0"/>
                <w:sz w:val="24"/>
                <w:szCs w:val="24"/>
                <w14:ligatures w14:val="none"/>
              </w:rPr>
              <w:lastRenderedPageBreak/>
              <w:t>thủ tục hành chính, tăng chi phí thủ tục hành chính cho đơn vị chủ trì; thiếu tính linh hoạt và chủ động trong việc kịp thời điều chỉnh các hoạt động XTTM nhằm ứng phó với những thay đổi của thực tiễn triển khai Do vậy cần: Giảm thời gian gửi đề xuất điều chỉnh, thay đổi nội dung thực hiện đề án từ 15 ngày xuống còn 10 ngày</w:t>
            </w:r>
          </w:p>
        </w:tc>
        <w:tc>
          <w:tcPr>
            <w:tcW w:w="1559" w:type="dxa"/>
            <w:vAlign w:val="center"/>
          </w:tcPr>
          <w:p w14:paraId="2B90D74D" w14:textId="3214A889"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 xml:space="preserve">C. Sửa đổi, bổ sung, thay thế, ban hành mới VBQPPL </w:t>
            </w:r>
            <w:r w:rsidRPr="00EF59FC">
              <w:rPr>
                <w:rFonts w:ascii="Times New Roman" w:eastAsia="Times New Roman" w:hAnsi="Times New Roman" w:cs="Times New Roman"/>
                <w:kern w:val="0"/>
                <w:sz w:val="24"/>
                <w:szCs w:val="24"/>
                <w14:ligatures w14:val="none"/>
              </w:rPr>
              <w:lastRenderedPageBreak/>
              <w:t>(theo trình tự, thủ tục rút gọn ban hành VBQPPL của Luật Ban hành VBQPPL)</w:t>
            </w:r>
          </w:p>
        </w:tc>
        <w:tc>
          <w:tcPr>
            <w:tcW w:w="1701" w:type="dxa"/>
            <w:vAlign w:val="center"/>
          </w:tcPr>
          <w:p w14:paraId="6EA06602" w14:textId="5D925946"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Bộ Công Thương</w:t>
            </w:r>
          </w:p>
        </w:tc>
        <w:tc>
          <w:tcPr>
            <w:tcW w:w="1769" w:type="dxa"/>
            <w:vAlign w:val="center"/>
          </w:tcPr>
          <w:p w14:paraId="1A764E0B" w14:textId="5277B389"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 xml:space="preserve">theo trình tự, thủ tục rút </w:t>
            </w:r>
            <w:r w:rsidRPr="00EF59FC">
              <w:rPr>
                <w:rFonts w:ascii="Times New Roman" w:eastAsia="Times New Roman" w:hAnsi="Times New Roman" w:cs="Times New Roman"/>
                <w:kern w:val="0"/>
                <w:sz w:val="24"/>
                <w:szCs w:val="24"/>
                <w14:ligatures w14:val="none"/>
              </w:rPr>
              <w:lastRenderedPageBreak/>
              <w:t>gọn ban hành VBQPPL của Luật Ban hành VBQPPL)</w:t>
            </w:r>
          </w:p>
        </w:tc>
        <w:tc>
          <w:tcPr>
            <w:tcW w:w="2200" w:type="dxa"/>
            <w:vAlign w:val="center"/>
          </w:tcPr>
          <w:p w14:paraId="5A00F1F8" w14:textId="2A043B84"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lastRenderedPageBreak/>
              <w:t>Chưa xử lý</w:t>
            </w:r>
          </w:p>
          <w:p w14:paraId="479CC474" w14:textId="714FAEF5"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7C2A7FDF" w14:textId="69E2E49D" w:rsidTr="00330E94">
        <w:tc>
          <w:tcPr>
            <w:tcW w:w="670" w:type="dxa"/>
            <w:vAlign w:val="center"/>
          </w:tcPr>
          <w:p w14:paraId="22B17944" w14:textId="234E76CF"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5</w:t>
            </w:r>
          </w:p>
        </w:tc>
        <w:tc>
          <w:tcPr>
            <w:tcW w:w="2076" w:type="dxa"/>
            <w:vAlign w:val="center"/>
          </w:tcPr>
          <w:p w14:paraId="0D85E9BE" w14:textId="1430B9F8"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Điều 15 Nghị định số 28/2018/NĐ-CP</w:t>
            </w:r>
          </w:p>
        </w:tc>
        <w:tc>
          <w:tcPr>
            <w:tcW w:w="5051" w:type="dxa"/>
            <w:vAlign w:val="center"/>
          </w:tcPr>
          <w:p w14:paraId="6564CECD" w14:textId="2C5B1F9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Điểm b, khoản 1 Điều 103 Luật Quản lý ngoại thương quy định nội dung “thiết lập và cung cấp hệ thống thông tin XTTM”; Nghị quyết số 57-NQ/TW ngày 22/12/2024 của Bộ Chính trị về đột phá phát triển khoa học, công nghệ, đổi mới sáng tạo và chuyển đổi số quốc gia đặt ra yêu cầu tăng cường ứng dụng công nghệ thông tin, chuyển đổi số cho các hoạt động XTTM, các văn bản quy phạm pháp luật liên quan đến chương trình cấp quốc gia về XTTM hiện tại chưa được quy định đầy đủ về nội dung này. Do vậy, còn hạn chế trong việc hỗ trợ các công cụ giúp doanh nghiệp đổi mới, sáng tạo, phát triển động lực tăng trưởng mới, khơi thông nguồn lực, thúc đẩy tăng trưởng kinh tế và hội nhập quốc tế. Như vậy cần bổ sung tại Điều 4, khoản 1 Điều 15 Nghị định số 28/2018/NĐ-CP - Điều 4 Nghị định số 28/2018/NĐ-CP bổ sung nội dung: “Xây dựng, vận hành và cung cấp hệ thống thông tin xúc tiến thương mại”. - Khoản 1 Điều 15 Nghị định số </w:t>
            </w:r>
            <w:r w:rsidRPr="00EF59FC">
              <w:rPr>
                <w:rFonts w:ascii="Times New Roman" w:eastAsia="Times New Roman" w:hAnsi="Times New Roman" w:cs="Times New Roman"/>
                <w:kern w:val="0"/>
                <w:sz w:val="24"/>
                <w:szCs w:val="24"/>
                <w14:ligatures w14:val="none"/>
              </w:rPr>
              <w:lastRenderedPageBreak/>
              <w:t>28/2018/NĐ-CP đề nghị bổ sung nội dung: “Xây dựng, vận hành và cung cấp hệ thống thông tin xúc tiến thương mại”. - Điểm c khoản 1 Điều 15 Nghị định số 28/2018/NĐ-CP đề nghị điều chỉnh thành: “Tổ chức các hoạt động giao thương, kết nối thông qua các sàn giao dịch thương mại điện tử, cổng thông tin điện tử, mạng internet, mạng viễn thông”. Ngoài ra, sửa đổi khoản 5 Điều 15 để thực hiện phân cấp, phân quyền theo quy định tại Điều 13 Nghị định số 146/2025/NĐ-CP</w:t>
            </w:r>
          </w:p>
        </w:tc>
        <w:tc>
          <w:tcPr>
            <w:tcW w:w="1559" w:type="dxa"/>
            <w:vAlign w:val="center"/>
          </w:tcPr>
          <w:p w14:paraId="675E71D3" w14:textId="3ED86635"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2D41A650" w14:textId="0ED5E47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4A960BCD" w14:textId="3EAB2BB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theo trình tự, thủ tục rút gọn ban hành VBQPPL của Luật Ban hành VBQPPL)</w:t>
            </w:r>
          </w:p>
        </w:tc>
        <w:tc>
          <w:tcPr>
            <w:tcW w:w="2200" w:type="dxa"/>
            <w:vAlign w:val="center"/>
          </w:tcPr>
          <w:p w14:paraId="5E80E6E8" w14:textId="6DCD646F"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794F8EE9" w14:textId="1227405B"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55AC0243" w14:textId="25C31361" w:rsidTr="00330E94">
        <w:tc>
          <w:tcPr>
            <w:tcW w:w="670" w:type="dxa"/>
            <w:vAlign w:val="center"/>
          </w:tcPr>
          <w:p w14:paraId="05787857" w14:textId="5CE2D31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6</w:t>
            </w:r>
          </w:p>
        </w:tc>
        <w:tc>
          <w:tcPr>
            <w:tcW w:w="2076" w:type="dxa"/>
            <w:vAlign w:val="center"/>
          </w:tcPr>
          <w:p w14:paraId="79AD4B7D" w14:textId="04C810B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Điều 19 Nghị định số 28/2018/NĐ-CP</w:t>
            </w:r>
          </w:p>
        </w:tc>
        <w:tc>
          <w:tcPr>
            <w:tcW w:w="5051" w:type="dxa"/>
            <w:vAlign w:val="center"/>
          </w:tcPr>
          <w:p w14:paraId="0835E8DC" w14:textId="0A34FDC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Nội dung: “Chương trình xây dựng, phát triển thương hiệu ngành hàng Việt Nam là Chương trình xúc tiến thương mại đặc thù, dài hạn của Chính phủ, các bộ, cơ quan ngang bộ chủ trì thực hiện nhằm xây dựng và quảng bá thương hiệu ở cấp quốc gia cho các ngành hàng phù hợp với chiến lược xuất nhập khẩu và chiến lược phát triển ngành hàng từng thời kỳ, định hướng và Mục tiêu của Chương trình Thương hiệu quốc gia Việt Nam”. Khó khăn, vướng mắc: Chưa có quy định của văn bản QPPL - Thiếu cơ quan đầu mối quản lý thống nhất, hướng dẫn thực hiện các chương trình xây dựng, phát triển thương hiệu ngành hàng trên phạm vi cả nước, dẫn đến phân tán nguồn lực, thiếu tính liên kết và đồng bộ giữa các bộ, ngành, địa phương. - Một số ngành hàng chủ lực chưa có chương trình phát triển thương </w:t>
            </w:r>
            <w:r w:rsidRPr="00EF59FC">
              <w:rPr>
                <w:rFonts w:ascii="Times New Roman" w:eastAsia="Times New Roman" w:hAnsi="Times New Roman" w:cs="Times New Roman"/>
                <w:kern w:val="0"/>
                <w:sz w:val="24"/>
                <w:szCs w:val="24"/>
                <w14:ligatures w14:val="none"/>
              </w:rPr>
              <w:lastRenderedPageBreak/>
              <w:t>hiệu ở cấp quốc gia hoặc triển khai còn manh mún, chưa gắn kết chặt chẽ với Chương trình Thương hiệu quốc gia, ảnh hưởng đến hiệu quả tổng thể và khả năng lan tỏa hình ảnh thương hiệu Việt Nam ra thị trường quốc tế. Do vậy cần đề xuất cụ thể Bộ Công Thương làm đầu mối chủ trì, hướng dẫn triển khai các chương trình phát triển thương hiệu ngành hàng để bảo đảm tính thống nhất, đồng bộ và gắn kết chặt chẽ với định hướng và mục tiêu của Chương trình Thương hiệu quốc gia Việt Nam.</w:t>
            </w:r>
          </w:p>
        </w:tc>
        <w:tc>
          <w:tcPr>
            <w:tcW w:w="1559" w:type="dxa"/>
            <w:vAlign w:val="center"/>
          </w:tcPr>
          <w:p w14:paraId="1732E983" w14:textId="2DF8FDA9"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1734F2CD" w14:textId="4427F69D"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65535C64" w14:textId="4C2CC40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theo trình tự, thủ tục rút gọn ban hành VBQPPL của Luật Ban hành VBQPPL)</w:t>
            </w:r>
          </w:p>
        </w:tc>
        <w:tc>
          <w:tcPr>
            <w:tcW w:w="2200" w:type="dxa"/>
            <w:vAlign w:val="center"/>
          </w:tcPr>
          <w:p w14:paraId="5F5E8743" w14:textId="50A9638C"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4A0C51D4" w14:textId="4878019C"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4B7ECEC2" w14:textId="7E5D941D" w:rsidTr="00330E94">
        <w:tc>
          <w:tcPr>
            <w:tcW w:w="670" w:type="dxa"/>
            <w:vAlign w:val="center"/>
          </w:tcPr>
          <w:p w14:paraId="42DFB2C9" w14:textId="3B5206D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7</w:t>
            </w:r>
          </w:p>
        </w:tc>
        <w:tc>
          <w:tcPr>
            <w:tcW w:w="2076" w:type="dxa"/>
            <w:vAlign w:val="center"/>
          </w:tcPr>
          <w:p w14:paraId="1ADA98D2" w14:textId="54DDD6ED"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Khoản 6 Điều 33 Nghị định số 28/2018/NĐ-CP; điểm c khoản 1 Điều 1, điểm d khoản 3 Điều 1, điểm c khoản 1 Điều 2 Nghị định số 14/2024/NĐ-CP</w:t>
            </w:r>
          </w:p>
        </w:tc>
        <w:tc>
          <w:tcPr>
            <w:tcW w:w="5051" w:type="dxa"/>
            <w:vAlign w:val="center"/>
          </w:tcPr>
          <w:p w14:paraId="4F2574EC" w14:textId="5D8B13F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Khó khăn, vướng mắc: có quy định của văn bản QPPL nhưng hạn chế việc đổi mới sáng tạo, phát triển động lực tăng trưởng mới, khơi thông nguồn lực, thúc đẩy tăng trưởng kinh tế và hội nhập quốc tế Thời gian giải quyết thủ tục hành chính cấp, sửa đổi bổ sung, gia hạn, cấp lại, chấm dứt hoạt động của văn phòng đại diện của tổ chức xúc tiến thương mại nước ngoài tại Việt Nam dài, gây lãng phí nguồn lực và hạn chế hoạt động của tổ chức. Do vậy cần cắt giảm thời gian giải quyết các TTHC nói trên</w:t>
            </w:r>
          </w:p>
        </w:tc>
        <w:tc>
          <w:tcPr>
            <w:tcW w:w="1559" w:type="dxa"/>
            <w:vAlign w:val="center"/>
          </w:tcPr>
          <w:p w14:paraId="6B036A42" w14:textId="3B8AE592"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701" w:type="dxa"/>
            <w:vAlign w:val="center"/>
          </w:tcPr>
          <w:p w14:paraId="7D104EB9" w14:textId="5A95D3E6"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75A90D02" w14:textId="40EF11C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28/2018/NĐ-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 xml:space="preserve">theo trình tự, thủ tục rút gọn ban hành VBQPPL của Luật Ban hành VBQPPL), cụ thể: thời gian TTHC cấp giấy phép giảm còn 15 ngày, TTHC cấp lại, sửa đổi bổ sung, gia hạn giấy phép </w:t>
            </w:r>
            <w:r w:rsidRPr="00EF59FC">
              <w:rPr>
                <w:rFonts w:ascii="Times New Roman" w:eastAsia="Times New Roman" w:hAnsi="Times New Roman" w:cs="Times New Roman"/>
                <w:kern w:val="0"/>
                <w:sz w:val="24"/>
                <w:szCs w:val="24"/>
                <w14:ligatures w14:val="none"/>
              </w:rPr>
              <w:lastRenderedPageBreak/>
              <w:t>giảm còn 10 ngày, TTHC chấm dứt và thu hồi giấy phép giảm còn 20 ngày</w:t>
            </w:r>
          </w:p>
        </w:tc>
        <w:tc>
          <w:tcPr>
            <w:tcW w:w="2200" w:type="dxa"/>
            <w:vAlign w:val="center"/>
          </w:tcPr>
          <w:p w14:paraId="2142B2E6" w14:textId="3CE5595B"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lastRenderedPageBreak/>
              <w:t>Chưa xử lý</w:t>
            </w:r>
          </w:p>
          <w:p w14:paraId="71650507" w14:textId="16D5E37F"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9420/TTr-BCT ngày 28/11/2025</w:t>
            </w:r>
          </w:p>
        </w:tc>
      </w:tr>
      <w:tr w:rsidR="00EF59FC" w:rsidRPr="00EF59FC" w14:paraId="6ED086E6" w14:textId="22343250" w:rsidTr="00330E94">
        <w:tc>
          <w:tcPr>
            <w:tcW w:w="670" w:type="dxa"/>
            <w:vAlign w:val="center"/>
          </w:tcPr>
          <w:p w14:paraId="5ACED3FF" w14:textId="5212AFC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8</w:t>
            </w:r>
          </w:p>
        </w:tc>
        <w:tc>
          <w:tcPr>
            <w:tcW w:w="2076" w:type="dxa"/>
            <w:vAlign w:val="center"/>
          </w:tcPr>
          <w:p w14:paraId="4BA7D094" w14:textId="31EECE79"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Khoản 3 Điều 5 Nghị định số 81/2018/NĐ-CP ngày 22 tháng 5 năm 2018 của Chính phủ quy định chi tiết Luật Thương mại về hoạt động xúc tiến thương mại</w:t>
            </w:r>
          </w:p>
        </w:tc>
        <w:tc>
          <w:tcPr>
            <w:tcW w:w="5051" w:type="dxa"/>
            <w:vAlign w:val="center"/>
          </w:tcPr>
          <w:p w14:paraId="7FF989AA" w14:textId="3173B5A0"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Khó khăn, vướng mắc: Chưa có quy định của văn bản QPPL: Trong thời gian qua, theo xu thế phát triển của thế giới, các hoạt động liên quan đến thương mại điện tử, thanh toán điện tử, thanh toán trung gian, chuyển đổi số… phát triển rất nhanh chóng tại Việt Nam. Các doanh nghiệp đã tích cực ứng dụng, đưa ra nhiều loại hình, phương thức thanh toán… nhằm phục vụ tốt hơn cho hoạt động kinh doanh của mình cũng như mang đến sự thuận tiện hơn cho khách hàng. Các loại hình Phiếu thanh toán, phiếu mua hàng, phiếu sử dụng dịch vụ hoặc các hình thức khác có giá trị tương đương trước đây thường được doanh nghiệp phát hành, cung cấp đến cho khách hàng dưới hình thức tờ phiếu/thẻ/giấy tờ (dạng vật chất) nay cũng dần được thay thế dưới dạng bản điện tử/mã số/mã vạch… (dạng thông điệp dữ liệu) và được áp dụng khá phổ biến. Một số hoạt động khuyến mại của doanh nghiệp trong thời gian gần đây đã xuất hiện việc sử dụng các loại hình phiếu mua hàng/phiếu thanh toán… dưới dạng bản điện </w:t>
            </w:r>
            <w:r w:rsidRPr="00EF59FC">
              <w:rPr>
                <w:rFonts w:ascii="Times New Roman" w:eastAsia="Times New Roman" w:hAnsi="Times New Roman" w:cs="Times New Roman"/>
                <w:kern w:val="0"/>
                <w:sz w:val="24"/>
                <w:szCs w:val="24"/>
                <w14:ligatures w14:val="none"/>
              </w:rPr>
              <w:lastRenderedPageBreak/>
              <w:t>tử/mã số thẻ (dạng thông điệp dữ liệu) làm quà tặng, giải thưởng (làm hàng hóa, dịch vụ dùng để khuyến mại) dành cho khách hàng và việc này có thể trở thành xu hướng phổ biến trong thời gian tới. Do vậy, cần bổ sung thêm các hình thức của hàng hóa, dịch vụ dùng để khuyến mại quy định tại khoản 3 Điều 5 của Nghị định 81/2018/NĐ-CP và hình thức của phiếu mua hàng, phiếu sử dụng dịch vụ quy định tại Điều 11 của Nghị định 81/2018/NĐ-CP để đảm bảo cơ sở pháp lý trong quá trình thực hiện hoạt động khuyến mại của doanh nghiệp.</w:t>
            </w:r>
          </w:p>
        </w:tc>
        <w:tc>
          <w:tcPr>
            <w:tcW w:w="1559" w:type="dxa"/>
            <w:vAlign w:val="center"/>
          </w:tcPr>
          <w:p w14:paraId="23233F0A" w14:textId="3F0B8168"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1A3614EA" w14:textId="37705B28"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27CD03EA" w14:textId="6C65E858"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Nhất trí sửa đổi Nghị định số 81/2018/NĐ-</w:t>
            </w:r>
            <w:proofErr w:type="gramStart"/>
            <w:r w:rsidRPr="00EF59FC">
              <w:rPr>
                <w:rFonts w:ascii="Times New Roman" w:eastAsia="Times New Roman" w:hAnsi="Times New Roman" w:cs="Times New Roman"/>
                <w:kern w:val="0"/>
                <w:sz w:val="24"/>
                <w:szCs w:val="24"/>
                <w14:ligatures w14:val="none"/>
              </w:rPr>
              <w:t>CP  (</w:t>
            </w:r>
            <w:proofErr w:type="gramEnd"/>
            <w:r w:rsidRPr="00EF59FC">
              <w:rPr>
                <w:rFonts w:ascii="Times New Roman" w:eastAsia="Times New Roman" w:hAnsi="Times New Roman" w:cs="Times New Roman"/>
                <w:kern w:val="0"/>
                <w:sz w:val="24"/>
                <w:szCs w:val="24"/>
                <w14:ligatures w14:val="none"/>
              </w:rPr>
              <w:t>theo trình tự, thủ tục rút gọn ban hành VBQPPL của Luật Ban hành VBQPPL), nhóm a</w:t>
            </w:r>
          </w:p>
        </w:tc>
        <w:tc>
          <w:tcPr>
            <w:tcW w:w="2200" w:type="dxa"/>
            <w:vAlign w:val="center"/>
          </w:tcPr>
          <w:p w14:paraId="42B25D9E" w14:textId="68831E51"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7F1BF69B" w14:textId="7A83B8D3"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9421/TTr-BCT ngày 28/11/2025</w:t>
            </w:r>
          </w:p>
        </w:tc>
      </w:tr>
      <w:tr w:rsidR="00EF59FC" w:rsidRPr="00EF59FC" w14:paraId="0A108700" w14:textId="631CEAF6" w:rsidTr="00330E94">
        <w:tc>
          <w:tcPr>
            <w:tcW w:w="670" w:type="dxa"/>
            <w:vAlign w:val="center"/>
          </w:tcPr>
          <w:p w14:paraId="50D429A7" w14:textId="1FACA1F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9</w:t>
            </w:r>
          </w:p>
        </w:tc>
        <w:tc>
          <w:tcPr>
            <w:tcW w:w="2076" w:type="dxa"/>
            <w:vAlign w:val="center"/>
          </w:tcPr>
          <w:p w14:paraId="764ECE7F" w14:textId="3CCD69E6"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Điểm b, c, d, đ, i, k Khoản 3 Điều 8 Quyết định số 30/2019/QĐ-TTg</w:t>
            </w:r>
          </w:p>
        </w:tc>
        <w:tc>
          <w:tcPr>
            <w:tcW w:w="5051" w:type="dxa"/>
            <w:vAlign w:val="center"/>
          </w:tcPr>
          <w:p w14:paraId="4854CE61" w14:textId="2F64841B"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Số lượng giấy tờ, tài liệu đăng ký xét chọn sản phẩm đạt Thương hiệu quốc gia Việt Nam nhiều: 12 loại Khó khăn, vướng mắc: Nội dung quy định được phản ánh tạo gánh nặng chi phí tuân thủ - Số lượng giấy tờ, tài liệu yêu cầu nhiều và trải rộng trên nhiều lĩnh vực, gây khó khăn cho doanh nghiệp trong quá trình thu thập, chuẩn bị và hoàn thiện hồ sơ - Một số giấy tờ yêu cầu có nội dung phân tích sâu, cần được xác nhận bởi các cơ quan, tổ chức độc lập (ví dụ: chứng nhận môi trường, trách nhiệm xã hội...), làm tăng chi phí và kéo dài thời gian chuẩn bị hồ sơ. Do vậy cần giảm số lượng hồ sơ từ 12 loại giấy tờ, tài liệu xuống còn 06 loại. Việc rút gọn này sẽ giúp giảm gánh nặng hành chính, chi phí tuân thủ cho doanh nghiệp, </w:t>
            </w:r>
            <w:r w:rsidRPr="00EF59FC">
              <w:rPr>
                <w:rFonts w:ascii="Times New Roman" w:eastAsia="Times New Roman" w:hAnsi="Times New Roman" w:cs="Times New Roman"/>
                <w:kern w:val="0"/>
                <w:sz w:val="24"/>
                <w:szCs w:val="24"/>
                <w14:ligatures w14:val="none"/>
              </w:rPr>
              <w:lastRenderedPageBreak/>
              <w:t>tăng khả năng tiếp cận và tham gia Chương trình, đồng thời phù hợp với chủ trương cải cách thủ tục hành chính</w:t>
            </w:r>
          </w:p>
        </w:tc>
        <w:tc>
          <w:tcPr>
            <w:tcW w:w="1559" w:type="dxa"/>
            <w:vAlign w:val="center"/>
          </w:tcPr>
          <w:p w14:paraId="787E3CF8" w14:textId="3E2CDAB2"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C. Sửa đổi, bổ sung, thay thế, ban hành mới VBQPPL (theo trình tự, thủ tục rút gọn ban hành VBQPPL của Luật Ban hành VBQPPL)</w:t>
            </w:r>
          </w:p>
        </w:tc>
        <w:tc>
          <w:tcPr>
            <w:tcW w:w="1701" w:type="dxa"/>
            <w:vAlign w:val="center"/>
          </w:tcPr>
          <w:p w14:paraId="1DF5FF37" w14:textId="59CEC52A"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014CA40C" w14:textId="4231E3ED"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Nhất trí, </w:t>
            </w:r>
            <w:r w:rsidR="00C564D7" w:rsidRPr="00EF59FC">
              <w:rPr>
                <w:rFonts w:ascii="Times New Roman" w:eastAsia="Times New Roman" w:hAnsi="Times New Roman" w:cs="Times New Roman"/>
                <w:kern w:val="0"/>
                <w:sz w:val="24"/>
                <w:szCs w:val="24"/>
                <w14:ligatures w14:val="none"/>
              </w:rPr>
              <w:t>sửa Quyết định số 30/2019/QĐ-TTg</w:t>
            </w:r>
          </w:p>
        </w:tc>
        <w:tc>
          <w:tcPr>
            <w:tcW w:w="2200" w:type="dxa"/>
            <w:vAlign w:val="center"/>
          </w:tcPr>
          <w:p w14:paraId="6AE5B72B" w14:textId="687AE63C"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743E0346" w14:textId="12273227"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9419/TTr-BCT ngày 28/11/2025</w:t>
            </w:r>
          </w:p>
        </w:tc>
      </w:tr>
      <w:tr w:rsidR="00EF59FC" w:rsidRPr="00EF59FC" w14:paraId="69163E9D" w14:textId="6728C430" w:rsidTr="00330E94">
        <w:tc>
          <w:tcPr>
            <w:tcW w:w="670" w:type="dxa"/>
            <w:vAlign w:val="center"/>
          </w:tcPr>
          <w:p w14:paraId="3717BFAD" w14:textId="4382C13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10</w:t>
            </w:r>
          </w:p>
        </w:tc>
        <w:tc>
          <w:tcPr>
            <w:tcW w:w="2076" w:type="dxa"/>
            <w:vAlign w:val="center"/>
          </w:tcPr>
          <w:p w14:paraId="25211DED" w14:textId="0A3C45F0"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Khoản 5 Điều 8 Quyết định số 30/2019/QĐ-TTg</w:t>
            </w:r>
          </w:p>
        </w:tc>
        <w:tc>
          <w:tcPr>
            <w:tcW w:w="5051" w:type="dxa"/>
            <w:vAlign w:val="center"/>
          </w:tcPr>
          <w:p w14:paraId="0285CAEB" w14:textId="4553B691"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Thời hạn trả kết quả thủ tục hành chính (trước 30 tháng 9 của năm xét chọn) Khó khăn, vướng mắc: Có quy định của văn bản QPPL nhưng hạn chế việc đổi mới sáng tạo, phát triển động lực tăng trưởng mới, khơi thông nguồn lực, thúc đẩy tăng trưởng kinh tế và hội nhập quốc tế - Quy định thời hạn trả kết quả đến ngày 30/9 khiến quỹ thời gian còn lại để tổ chức các hoạt động truyền thông, quảng bá, chuẩn bị cho Lễ công bố chính thức bị rút ngắn, làm giảm hiệu quả lan tỏa của Chương trình. - Khi thời điểm công bố kết quả rơi vào cuối quý III, sẽ khó tích hợp kịp thời vào kế hoạch truyền thông tổng thể trong nước và quốc tế của doanh nghiệp trong năm đó Do vậy, cần rút gọn thời gian trả kết quả thủ tục hành chính. Việc rút ngắn thời hạn trả kết quả về trước ngày 30/8 giúp tăng thời gian cho công tác truyền thông – quảng bá, hỗ trợ doanh nghiệp kịp thời sử dụng danh hiệu Thương hiệu quốc gia trong các hoạt động xúc tiến thương mại cuối năm.</w:t>
            </w:r>
          </w:p>
        </w:tc>
        <w:tc>
          <w:tcPr>
            <w:tcW w:w="1559" w:type="dxa"/>
            <w:vAlign w:val="center"/>
          </w:tcPr>
          <w:p w14:paraId="61C6473A" w14:textId="378FC33A"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C. Sửa đổi, bổ sung, thay thế, ban hành mới VBQPPL (theo trình tự, thủ tục rút gọn ban hành VBQPPL của Luật Ban hành VBQPPL)</w:t>
            </w:r>
          </w:p>
        </w:tc>
        <w:tc>
          <w:tcPr>
            <w:tcW w:w="1701" w:type="dxa"/>
            <w:vAlign w:val="center"/>
          </w:tcPr>
          <w:p w14:paraId="0EA75C36" w14:textId="214146CA"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Bộ Công Thương</w:t>
            </w:r>
          </w:p>
        </w:tc>
        <w:tc>
          <w:tcPr>
            <w:tcW w:w="1769" w:type="dxa"/>
            <w:vAlign w:val="center"/>
          </w:tcPr>
          <w:p w14:paraId="45892975" w14:textId="54D96D27"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Nhât trí </w:t>
            </w:r>
            <w:r w:rsidR="00C564D7" w:rsidRPr="00EF59FC">
              <w:rPr>
                <w:rFonts w:ascii="Times New Roman" w:eastAsia="Times New Roman" w:hAnsi="Times New Roman" w:cs="Times New Roman"/>
                <w:kern w:val="0"/>
                <w:sz w:val="24"/>
                <w:szCs w:val="24"/>
                <w14:ligatures w14:val="none"/>
              </w:rPr>
              <w:t>sửa Quyết định số 30/2019/QĐ-TTg</w:t>
            </w:r>
          </w:p>
        </w:tc>
        <w:tc>
          <w:tcPr>
            <w:tcW w:w="2200" w:type="dxa"/>
            <w:vAlign w:val="center"/>
          </w:tcPr>
          <w:p w14:paraId="4008E069" w14:textId="0ECF29F1"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3A083CEE" w14:textId="5201BF12" w:rsidR="008F5582" w:rsidRPr="00EF59FC" w:rsidRDefault="00CC66D8" w:rsidP="00EF59FC">
            <w:pPr>
              <w:jc w:val="both"/>
              <w:rPr>
                <w:rFonts w:ascii="Times New Roman" w:hAnsi="Times New Roman" w:cs="Times New Roman"/>
              </w:rPr>
            </w:pPr>
            <w:r w:rsidRPr="00EF59FC">
              <w:rPr>
                <w:rFonts w:ascii="Times New Roman" w:hAnsi="Times New Roman" w:cs="Times New Roman"/>
              </w:rPr>
              <w:t>BCT đã trình Chính phủ tại Tờ trình số 9419/TTr-BCT ngày 28/11/2025</w:t>
            </w:r>
          </w:p>
        </w:tc>
      </w:tr>
      <w:tr w:rsidR="00EF59FC" w:rsidRPr="00EF59FC" w14:paraId="20F8446F" w14:textId="3F497158" w:rsidTr="00330E94">
        <w:tc>
          <w:tcPr>
            <w:tcW w:w="670" w:type="dxa"/>
            <w:vAlign w:val="center"/>
          </w:tcPr>
          <w:p w14:paraId="156D0A2B" w14:textId="09783017"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11</w:t>
            </w:r>
          </w:p>
        </w:tc>
        <w:tc>
          <w:tcPr>
            <w:tcW w:w="2076" w:type="dxa"/>
            <w:vAlign w:val="center"/>
          </w:tcPr>
          <w:p w14:paraId="132BD423" w14:textId="62D9966E"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Mục 2 Nghị định số 28/2018/NĐ-CP ngày 01 tháng 03 năm 2018 của </w:t>
            </w:r>
            <w:r w:rsidRPr="00EF59FC">
              <w:rPr>
                <w:rFonts w:ascii="Times New Roman" w:eastAsia="Times New Roman" w:hAnsi="Times New Roman" w:cs="Times New Roman"/>
                <w:kern w:val="0"/>
                <w:sz w:val="24"/>
                <w:szCs w:val="24"/>
                <w14:ligatures w14:val="none"/>
              </w:rPr>
              <w:lastRenderedPageBreak/>
              <w:t>Chính phủ Quy định chi tiết luật quản lý ngoại thương về một số biện pháp phát triển ngoại thương</w:t>
            </w:r>
          </w:p>
        </w:tc>
        <w:tc>
          <w:tcPr>
            <w:tcW w:w="5051" w:type="dxa"/>
            <w:vAlign w:val="center"/>
          </w:tcPr>
          <w:p w14:paraId="13760541" w14:textId="506CDD04"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 xml:space="preserve">Khó khăn, vướng mắc: Chưa có quy định của văn bản QPPL: Nghị quyết số 57-NQ/TW ngày 22/12/2024 của Bộ Chính trị về đột phá phát triển khoa học, công nghệ, đổi mới sáng tạo và chuyển </w:t>
            </w:r>
            <w:r w:rsidRPr="00EF59FC">
              <w:rPr>
                <w:rFonts w:ascii="Times New Roman" w:eastAsia="Times New Roman" w:hAnsi="Times New Roman" w:cs="Times New Roman"/>
                <w:kern w:val="0"/>
                <w:sz w:val="24"/>
                <w:szCs w:val="24"/>
                <w14:ligatures w14:val="none"/>
              </w:rPr>
              <w:lastRenderedPageBreak/>
              <w:t>đổi số quốc gia đặt ra yêu cầu tăng cường ứng dụng công nghệ thông tin, chuyển đổi số cho các hoạt động XTTM. Tuy nhiên, nội dung các hoạt động xúc tiến thương mại phát triển ngoại thương chưa có quy định về tổ chức, xây dựng phát triển hạ tầng số, xúc tiến thương mại trên môi trưởng số. Do vậy, cần bổ sung các quy định này vào các nội dung hoạt động xúc tiến thương mại phát triển ngoại thương</w:t>
            </w:r>
          </w:p>
        </w:tc>
        <w:tc>
          <w:tcPr>
            <w:tcW w:w="1559" w:type="dxa"/>
            <w:vAlign w:val="center"/>
          </w:tcPr>
          <w:p w14:paraId="31B44D7B" w14:textId="7B67C13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 xml:space="preserve">C. Sửa đổi, bổ sung, thay thế, ban hành mới </w:t>
            </w:r>
            <w:r w:rsidRPr="00EF59FC">
              <w:rPr>
                <w:rFonts w:ascii="Times New Roman" w:eastAsia="Times New Roman" w:hAnsi="Times New Roman" w:cs="Times New Roman"/>
                <w:kern w:val="0"/>
                <w:sz w:val="24"/>
                <w:szCs w:val="24"/>
                <w14:ligatures w14:val="none"/>
              </w:rPr>
              <w:lastRenderedPageBreak/>
              <w:t>VBQPPL (theo trình tự, thủ tục rút gọn ban hành VBQPPL của Luật Ban hành VBQPPL)</w:t>
            </w:r>
          </w:p>
        </w:tc>
        <w:tc>
          <w:tcPr>
            <w:tcW w:w="1701" w:type="dxa"/>
            <w:vAlign w:val="center"/>
          </w:tcPr>
          <w:p w14:paraId="6D0D2A5E" w14:textId="566D1262"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lastRenderedPageBreak/>
              <w:t>Bộ Công Thương</w:t>
            </w:r>
          </w:p>
        </w:tc>
        <w:tc>
          <w:tcPr>
            <w:tcW w:w="1769" w:type="dxa"/>
            <w:vAlign w:val="center"/>
          </w:tcPr>
          <w:p w14:paraId="2D1F4B51" w14:textId="31670F8C" w:rsidR="008F5582" w:rsidRPr="00EF59FC" w:rsidRDefault="008F5582" w:rsidP="00EF59FC">
            <w:pPr>
              <w:jc w:val="both"/>
              <w:rPr>
                <w:rFonts w:ascii="Times New Roman" w:hAnsi="Times New Roman" w:cs="Times New Roman"/>
              </w:rPr>
            </w:pPr>
            <w:r w:rsidRPr="00EF59FC">
              <w:rPr>
                <w:rFonts w:ascii="Times New Roman" w:eastAsia="Times New Roman" w:hAnsi="Times New Roman" w:cs="Times New Roman"/>
                <w:kern w:val="0"/>
                <w:sz w:val="24"/>
                <w:szCs w:val="24"/>
                <w14:ligatures w14:val="none"/>
              </w:rPr>
              <w:t xml:space="preserve">Hiện nay các nội dung về tổ chức, xây dựng phát triển hạ </w:t>
            </w:r>
            <w:r w:rsidRPr="00EF59FC">
              <w:rPr>
                <w:rFonts w:ascii="Times New Roman" w:eastAsia="Times New Roman" w:hAnsi="Times New Roman" w:cs="Times New Roman"/>
                <w:kern w:val="0"/>
                <w:sz w:val="24"/>
                <w:szCs w:val="24"/>
                <w14:ligatures w14:val="none"/>
              </w:rPr>
              <w:lastRenderedPageBreak/>
              <w:t>tầng số, xúc tiến thương mại trên môi trưởng số chưa được quy định trong các văn bản quy phạm pháp luật về xúc tiến thương mại. Vì vậy cần bổ sung quy định chi tiết tại Nghị định số 28/2018/NĐ-CP để hướng dẫn thực hiện phù hợp với chủ trương, chính sách của Đảng, Nhà nước và tình hình hoạt động thực tế</w:t>
            </w:r>
          </w:p>
        </w:tc>
        <w:tc>
          <w:tcPr>
            <w:tcW w:w="2200" w:type="dxa"/>
            <w:vAlign w:val="center"/>
          </w:tcPr>
          <w:p w14:paraId="6954C184" w14:textId="6400F91C"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lastRenderedPageBreak/>
              <w:t>Chưa xử lý</w:t>
            </w:r>
          </w:p>
          <w:p w14:paraId="24991CF2" w14:textId="7390DE56" w:rsidR="008F5582" w:rsidRPr="00EF59FC" w:rsidRDefault="00CC66D8" w:rsidP="00EF59FC">
            <w:pPr>
              <w:jc w:val="both"/>
              <w:rPr>
                <w:rFonts w:ascii="Times New Roman" w:hAnsi="Times New Roman" w:cs="Times New Roman"/>
              </w:rPr>
            </w:pPr>
            <w:r w:rsidRPr="00EF59FC">
              <w:rPr>
                <w:rFonts w:ascii="Times New Roman" w:hAnsi="Times New Roman" w:cs="Times New Roman"/>
              </w:rPr>
              <w:t xml:space="preserve">BCT đã trình Chính phủ tại Tờ trình số 9420/TTr-BCT ngày </w:t>
            </w:r>
            <w:r w:rsidRPr="00EF59FC">
              <w:rPr>
                <w:rFonts w:ascii="Times New Roman" w:hAnsi="Times New Roman" w:cs="Times New Roman"/>
              </w:rPr>
              <w:lastRenderedPageBreak/>
              <w:t>28/11/2025</w:t>
            </w:r>
          </w:p>
        </w:tc>
      </w:tr>
      <w:tr w:rsidR="00EF59FC" w:rsidRPr="00EF59FC" w14:paraId="7238BF54" w14:textId="77777777" w:rsidTr="00330E94">
        <w:tc>
          <w:tcPr>
            <w:tcW w:w="670" w:type="dxa"/>
            <w:vAlign w:val="center"/>
          </w:tcPr>
          <w:p w14:paraId="675AA158" w14:textId="0610E93D"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lastRenderedPageBreak/>
              <w:t>12</w:t>
            </w:r>
          </w:p>
        </w:tc>
        <w:tc>
          <w:tcPr>
            <w:tcW w:w="2076" w:type="dxa"/>
            <w:vAlign w:val="center"/>
          </w:tcPr>
          <w:p w14:paraId="1AEC8F81" w14:textId="34459C4D"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t xml:space="preserve">Khoản 5 Điều 10 Nghị định số 81/2018/NĐ-CP ngày 22/5/2025 </w:t>
            </w:r>
            <w:r w:rsidRPr="00EF59FC">
              <w:rPr>
                <w:rFonts w:ascii="Times New Roman" w:eastAsia="Times New Roman" w:hAnsi="Times New Roman" w:cs="Times New Roman"/>
                <w:kern w:val="0"/>
                <w:sz w:val="24"/>
                <w:szCs w:val="24"/>
                <w14:ligatures w14:val="none"/>
              </w:rPr>
              <w:lastRenderedPageBreak/>
              <w:t>của Chính phủ quy định chi tiết Luật Thương mại về hoạt động xúc tiến thương mại</w:t>
            </w:r>
          </w:p>
        </w:tc>
        <w:tc>
          <w:tcPr>
            <w:tcW w:w="5051" w:type="dxa"/>
            <w:vAlign w:val="center"/>
          </w:tcPr>
          <w:p w14:paraId="6D8A0C23" w14:textId="2F00513A"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lastRenderedPageBreak/>
              <w:t xml:space="preserve">Khoản 5 Điều 10 Nghị định số 81/2018/NĐ-CP quy định: "Tổng thời gian thực hiện khuyến mại bằng hình thức giảm giá đối với một loại nhãn hiệu hàng hóa, dịch vụ không được vượt quá 120 </w:t>
            </w:r>
            <w:r w:rsidRPr="00EF59FC">
              <w:rPr>
                <w:rFonts w:ascii="Times New Roman" w:eastAsia="Times New Roman" w:hAnsi="Times New Roman" w:cs="Times New Roman"/>
                <w:kern w:val="0"/>
                <w:sz w:val="24"/>
                <w:szCs w:val="24"/>
                <w14:ligatures w14:val="none"/>
              </w:rPr>
              <w:lastRenderedPageBreak/>
              <w:t>ngày trong một năm, không bao gồm thời gian thực hiện khuyến mại của các chương trình khuyến mại bằng hình thức giảm giá trong khuôn khổ các chương trình khuyến mại tập trung và các chương trình, hoạt động xúc tiến thương mại do Thủ tướng Chính phủ quyết định." Tuy nhiên các doanh nghiệp có nhu cầu thực hiện nhiều chương trình khuyến mại cho khách hàng, mang đến nhiều lợi ích cho khách hàng ngày càng tăng. Việc giới hạn thời gian khuyến mại sẽ không còn phù hợp, hạn chế hoạt động kinh doanh của doanh nghiệp. Do vậy, đề xuất bãi bỏ khoản 5 Điều 10 Nghị định</w:t>
            </w:r>
            <w:r w:rsidR="00C564D7" w:rsidRPr="00EF59FC">
              <w:rPr>
                <w:rFonts w:ascii="Times New Roman" w:eastAsia="Times New Roman" w:hAnsi="Times New Roman" w:cs="Times New Roman"/>
                <w:kern w:val="0"/>
                <w:sz w:val="24"/>
                <w:szCs w:val="24"/>
                <w14:ligatures w14:val="none"/>
              </w:rPr>
              <w:t xml:space="preserve"> số</w:t>
            </w:r>
            <w:r w:rsidRPr="00EF59FC">
              <w:rPr>
                <w:rFonts w:ascii="Times New Roman" w:eastAsia="Times New Roman" w:hAnsi="Times New Roman" w:cs="Times New Roman"/>
                <w:kern w:val="0"/>
                <w:sz w:val="24"/>
                <w:szCs w:val="24"/>
                <w14:ligatures w14:val="none"/>
              </w:rPr>
              <w:t xml:space="preserve"> 81/2018/NĐ-CP quy định giới hạn thời gian khuyến mại để khơi thông nguồn lực, thúc đẩy phát triển kinh </w:t>
            </w:r>
            <w:proofErr w:type="gramStart"/>
            <w:r w:rsidRPr="00EF59FC">
              <w:rPr>
                <w:rFonts w:ascii="Times New Roman" w:eastAsia="Times New Roman" w:hAnsi="Times New Roman" w:cs="Times New Roman"/>
                <w:kern w:val="0"/>
                <w:sz w:val="24"/>
                <w:szCs w:val="24"/>
                <w14:ligatures w14:val="none"/>
              </w:rPr>
              <w:t>tế</w:t>
            </w:r>
            <w:proofErr w:type="gramEnd"/>
          </w:p>
          <w:p w14:paraId="64009692" w14:textId="77777777" w:rsidR="00A0578C" w:rsidRPr="00EF59FC" w:rsidRDefault="00A0578C" w:rsidP="00EF59FC">
            <w:pPr>
              <w:jc w:val="both"/>
              <w:rPr>
                <w:rFonts w:ascii="Times New Roman" w:eastAsia="Times New Roman" w:hAnsi="Times New Roman" w:cs="Times New Roman"/>
                <w:kern w:val="0"/>
                <w:sz w:val="24"/>
                <w:szCs w:val="24"/>
                <w14:ligatures w14:val="none"/>
              </w:rPr>
            </w:pPr>
          </w:p>
          <w:p w14:paraId="059D429F"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7D119098"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25E51852"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60E2DA6D"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79E2833A"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01D13D0A" w14:textId="77777777" w:rsidR="00A0578C" w:rsidRPr="00EF59FC" w:rsidRDefault="00A0578C" w:rsidP="00EF59FC">
            <w:pPr>
              <w:numPr>
                <w:ilvl w:val="0"/>
                <w:numId w:val="1"/>
              </w:numPr>
              <w:spacing w:beforeAutospacing="1" w:afterAutospacing="1"/>
              <w:ind w:left="0"/>
              <w:jc w:val="both"/>
              <w:rPr>
                <w:rFonts w:ascii="Times New Roman" w:eastAsia="Times New Roman" w:hAnsi="Times New Roman" w:cs="Times New Roman"/>
                <w:kern w:val="0"/>
                <w:sz w:val="24"/>
                <w:szCs w:val="24"/>
                <w14:ligatures w14:val="none"/>
              </w:rPr>
            </w:pPr>
          </w:p>
          <w:p w14:paraId="0049F5E0" w14:textId="77777777" w:rsidR="00A0578C" w:rsidRPr="00EF59FC" w:rsidRDefault="00A0578C" w:rsidP="00EF59FC">
            <w:pPr>
              <w:jc w:val="both"/>
              <w:rPr>
                <w:rFonts w:ascii="Times New Roman" w:eastAsia="Times New Roman" w:hAnsi="Times New Roman" w:cs="Times New Roman"/>
                <w:kern w:val="0"/>
                <w:sz w:val="24"/>
                <w:szCs w:val="24"/>
                <w14:ligatures w14:val="none"/>
              </w:rPr>
            </w:pPr>
          </w:p>
        </w:tc>
        <w:tc>
          <w:tcPr>
            <w:tcW w:w="1559" w:type="dxa"/>
            <w:vAlign w:val="center"/>
          </w:tcPr>
          <w:p w14:paraId="306A33B8" w14:textId="531F4A93"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lastRenderedPageBreak/>
              <w:t xml:space="preserve">C. Sửa đổi, bổ sung, thay thế, ban hành mới </w:t>
            </w:r>
            <w:r w:rsidRPr="00EF59FC">
              <w:rPr>
                <w:rFonts w:ascii="Times New Roman" w:eastAsia="Times New Roman" w:hAnsi="Times New Roman" w:cs="Times New Roman"/>
                <w:kern w:val="0"/>
                <w:sz w:val="24"/>
                <w:szCs w:val="24"/>
                <w14:ligatures w14:val="none"/>
              </w:rPr>
              <w:lastRenderedPageBreak/>
              <w:t>VBQPPL (theo trình tự, thủ tục rút gọn ban hành VBQPPL của Luật Ban hành VBQPPL)</w:t>
            </w:r>
          </w:p>
        </w:tc>
        <w:tc>
          <w:tcPr>
            <w:tcW w:w="1701" w:type="dxa"/>
            <w:vAlign w:val="center"/>
          </w:tcPr>
          <w:p w14:paraId="754EED2A" w14:textId="727CCE1B"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lastRenderedPageBreak/>
              <w:t>Bộ Công Thương</w:t>
            </w:r>
          </w:p>
        </w:tc>
        <w:tc>
          <w:tcPr>
            <w:tcW w:w="1769" w:type="dxa"/>
            <w:vAlign w:val="center"/>
          </w:tcPr>
          <w:p w14:paraId="6FED4BE2" w14:textId="38FBD772" w:rsidR="00A0578C" w:rsidRPr="00EF59FC" w:rsidRDefault="00A0578C" w:rsidP="00EF59FC">
            <w:pPr>
              <w:jc w:val="both"/>
              <w:rPr>
                <w:rFonts w:ascii="Times New Roman" w:eastAsia="Times New Roman" w:hAnsi="Times New Roman" w:cs="Times New Roman"/>
                <w:kern w:val="0"/>
                <w:sz w:val="24"/>
                <w:szCs w:val="24"/>
                <w14:ligatures w14:val="none"/>
              </w:rPr>
            </w:pPr>
            <w:r w:rsidRPr="00EF59FC">
              <w:rPr>
                <w:rFonts w:ascii="Times New Roman" w:eastAsia="Times New Roman" w:hAnsi="Times New Roman" w:cs="Times New Roman"/>
                <w:kern w:val="0"/>
                <w:sz w:val="24"/>
                <w:szCs w:val="24"/>
                <w14:ligatures w14:val="none"/>
              </w:rPr>
              <w:t>Nhất trí</w:t>
            </w:r>
          </w:p>
        </w:tc>
        <w:tc>
          <w:tcPr>
            <w:tcW w:w="2200" w:type="dxa"/>
            <w:vAlign w:val="center"/>
          </w:tcPr>
          <w:p w14:paraId="5DCAAD90" w14:textId="7DFAC69A" w:rsidR="00CC66D8" w:rsidRPr="00EF59FC" w:rsidRDefault="00F852C7" w:rsidP="00EF59FC">
            <w:pPr>
              <w:jc w:val="both"/>
              <w:rPr>
                <w:rFonts w:ascii="Times New Roman" w:hAnsi="Times New Roman" w:cs="Times New Roman"/>
                <w:b/>
              </w:rPr>
            </w:pPr>
            <w:r w:rsidRPr="00EF59FC">
              <w:rPr>
                <w:rFonts w:ascii="Times New Roman" w:hAnsi="Times New Roman" w:cs="Times New Roman"/>
                <w:b/>
              </w:rPr>
              <w:t>Chưa xử lý</w:t>
            </w:r>
          </w:p>
          <w:p w14:paraId="7D84FF08" w14:textId="112C0471" w:rsidR="00A0578C" w:rsidRPr="00EF59FC" w:rsidRDefault="00CC66D8" w:rsidP="00EF59FC">
            <w:pPr>
              <w:jc w:val="both"/>
              <w:rPr>
                <w:rFonts w:ascii="Times New Roman" w:hAnsi="Times New Roman" w:cs="Times New Roman"/>
              </w:rPr>
            </w:pPr>
            <w:r w:rsidRPr="00EF59FC">
              <w:rPr>
                <w:rFonts w:ascii="Times New Roman" w:hAnsi="Times New Roman" w:cs="Times New Roman"/>
              </w:rPr>
              <w:t xml:space="preserve">BCT đã trình Chính phủ tại Tờ trình số 9421/TTr-BCT ngày </w:t>
            </w:r>
            <w:r w:rsidRPr="00EF59FC">
              <w:rPr>
                <w:rFonts w:ascii="Times New Roman" w:hAnsi="Times New Roman" w:cs="Times New Roman"/>
              </w:rPr>
              <w:lastRenderedPageBreak/>
              <w:t>28/11/2025</w:t>
            </w:r>
          </w:p>
        </w:tc>
      </w:tr>
    </w:tbl>
    <w:p w14:paraId="0216733E" w14:textId="77777777" w:rsidR="0081100C" w:rsidRPr="00EF59FC" w:rsidRDefault="0081100C" w:rsidP="00EF59FC">
      <w:pPr>
        <w:jc w:val="both"/>
        <w:rPr>
          <w:rFonts w:ascii="Times New Roman" w:hAnsi="Times New Roman" w:cs="Times New Roman"/>
        </w:rPr>
      </w:pPr>
    </w:p>
    <w:p w14:paraId="3B592AC0" w14:textId="77777777" w:rsidR="0081100C" w:rsidRPr="00EF59FC" w:rsidRDefault="0081100C" w:rsidP="00EF59FC">
      <w:pPr>
        <w:jc w:val="both"/>
        <w:rPr>
          <w:rFonts w:ascii="Times New Roman" w:hAnsi="Times New Roman" w:cs="Times New Roman"/>
        </w:rPr>
      </w:pPr>
    </w:p>
    <w:sectPr w:rsidR="0081100C" w:rsidRPr="00EF59FC" w:rsidSect="00EA6ABD">
      <w:headerReference w:type="default" r:id="rId8"/>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1844" w14:textId="77777777" w:rsidR="00062CD8" w:rsidRDefault="00062CD8" w:rsidP="001F43E7">
      <w:pPr>
        <w:spacing w:after="0" w:line="240" w:lineRule="auto"/>
      </w:pPr>
      <w:r>
        <w:separator/>
      </w:r>
    </w:p>
  </w:endnote>
  <w:endnote w:type="continuationSeparator" w:id="0">
    <w:p w14:paraId="55DEBAAA" w14:textId="77777777" w:rsidR="00062CD8" w:rsidRDefault="00062CD8" w:rsidP="001F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0994" w14:textId="77777777" w:rsidR="00062CD8" w:rsidRDefault="00062CD8" w:rsidP="001F43E7">
      <w:pPr>
        <w:spacing w:after="0" w:line="240" w:lineRule="auto"/>
      </w:pPr>
      <w:r>
        <w:separator/>
      </w:r>
    </w:p>
  </w:footnote>
  <w:footnote w:type="continuationSeparator" w:id="0">
    <w:p w14:paraId="153FF8CC" w14:textId="77777777" w:rsidR="00062CD8" w:rsidRDefault="00062CD8" w:rsidP="001F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98040"/>
      <w:docPartObj>
        <w:docPartGallery w:val="Page Numbers (Top of Page)"/>
        <w:docPartUnique/>
      </w:docPartObj>
    </w:sdtPr>
    <w:sdtEndPr>
      <w:rPr>
        <w:rFonts w:ascii="Times New Roman" w:hAnsi="Times New Roman" w:cs="Times New Roman"/>
        <w:noProof/>
      </w:rPr>
    </w:sdtEndPr>
    <w:sdtContent>
      <w:p w14:paraId="5C0DC3CE" w14:textId="177ECFBE" w:rsidR="001F43E7" w:rsidRPr="001F43E7" w:rsidRDefault="001F43E7">
        <w:pPr>
          <w:pStyle w:val="Header"/>
          <w:jc w:val="center"/>
          <w:rPr>
            <w:rFonts w:ascii="Times New Roman" w:hAnsi="Times New Roman" w:cs="Times New Roman"/>
          </w:rPr>
        </w:pPr>
        <w:r w:rsidRPr="001F43E7">
          <w:rPr>
            <w:rFonts w:ascii="Times New Roman" w:hAnsi="Times New Roman" w:cs="Times New Roman"/>
          </w:rPr>
          <w:fldChar w:fldCharType="begin"/>
        </w:r>
        <w:r w:rsidRPr="001F43E7">
          <w:rPr>
            <w:rFonts w:ascii="Times New Roman" w:hAnsi="Times New Roman" w:cs="Times New Roman"/>
          </w:rPr>
          <w:instrText xml:space="preserve"> PAGE   \* MERGEFORMAT </w:instrText>
        </w:r>
        <w:r w:rsidRPr="001F43E7">
          <w:rPr>
            <w:rFonts w:ascii="Times New Roman" w:hAnsi="Times New Roman" w:cs="Times New Roman"/>
          </w:rPr>
          <w:fldChar w:fldCharType="separate"/>
        </w:r>
        <w:r w:rsidR="00552CBE">
          <w:rPr>
            <w:rFonts w:ascii="Times New Roman" w:hAnsi="Times New Roman" w:cs="Times New Roman"/>
            <w:noProof/>
          </w:rPr>
          <w:t>12</w:t>
        </w:r>
        <w:r w:rsidRPr="001F43E7">
          <w:rPr>
            <w:rFonts w:ascii="Times New Roman" w:hAnsi="Times New Roman" w:cs="Times New Roman"/>
            <w:noProof/>
          </w:rPr>
          <w:fldChar w:fldCharType="end"/>
        </w:r>
      </w:p>
    </w:sdtContent>
  </w:sdt>
  <w:p w14:paraId="12F7B1D7" w14:textId="77777777" w:rsidR="001F43E7" w:rsidRDefault="001F4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D3880"/>
    <w:multiLevelType w:val="multilevel"/>
    <w:tmpl w:val="990E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9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0C"/>
    <w:rsid w:val="00001265"/>
    <w:rsid w:val="000354AF"/>
    <w:rsid w:val="00052F91"/>
    <w:rsid w:val="00062CD8"/>
    <w:rsid w:val="000979BA"/>
    <w:rsid w:val="000B32BB"/>
    <w:rsid w:val="0015396D"/>
    <w:rsid w:val="001F43E7"/>
    <w:rsid w:val="00236DD1"/>
    <w:rsid w:val="002740C6"/>
    <w:rsid w:val="00330E94"/>
    <w:rsid w:val="003E0EA3"/>
    <w:rsid w:val="00446D3C"/>
    <w:rsid w:val="00494BEB"/>
    <w:rsid w:val="00495831"/>
    <w:rsid w:val="004A33C4"/>
    <w:rsid w:val="004C7235"/>
    <w:rsid w:val="00515600"/>
    <w:rsid w:val="00521655"/>
    <w:rsid w:val="00552CBE"/>
    <w:rsid w:val="006B5017"/>
    <w:rsid w:val="0072192F"/>
    <w:rsid w:val="007E7A19"/>
    <w:rsid w:val="00807362"/>
    <w:rsid w:val="0081100C"/>
    <w:rsid w:val="00821F7C"/>
    <w:rsid w:val="00880513"/>
    <w:rsid w:val="008B42FC"/>
    <w:rsid w:val="008C23F7"/>
    <w:rsid w:val="008D7E6D"/>
    <w:rsid w:val="008F5582"/>
    <w:rsid w:val="0092340D"/>
    <w:rsid w:val="0097480A"/>
    <w:rsid w:val="009E79E0"/>
    <w:rsid w:val="009F4F68"/>
    <w:rsid w:val="00A0578C"/>
    <w:rsid w:val="00AD1E63"/>
    <w:rsid w:val="00AF0C10"/>
    <w:rsid w:val="00B45CBA"/>
    <w:rsid w:val="00B85AD2"/>
    <w:rsid w:val="00BA59AB"/>
    <w:rsid w:val="00C45505"/>
    <w:rsid w:val="00C564D7"/>
    <w:rsid w:val="00CC66D8"/>
    <w:rsid w:val="00D77700"/>
    <w:rsid w:val="00DA774E"/>
    <w:rsid w:val="00DD23F5"/>
    <w:rsid w:val="00EA6ABD"/>
    <w:rsid w:val="00EB0D13"/>
    <w:rsid w:val="00EC0032"/>
    <w:rsid w:val="00EF59FC"/>
    <w:rsid w:val="00F852C7"/>
    <w:rsid w:val="00F9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67D1"/>
  <w15:docId w15:val="{C23351B5-7B92-4FF3-9153-471109C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3E7"/>
  </w:style>
  <w:style w:type="paragraph" w:styleId="Footer">
    <w:name w:val="footer"/>
    <w:basedOn w:val="Normal"/>
    <w:link w:val="FooterChar"/>
    <w:uiPriority w:val="99"/>
    <w:unhideWhenUsed/>
    <w:rsid w:val="001F4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3E7"/>
  </w:style>
  <w:style w:type="paragraph" w:styleId="FootnoteText">
    <w:name w:val="footnote text"/>
    <w:basedOn w:val="Normal"/>
    <w:link w:val="FootnoteTextChar"/>
    <w:uiPriority w:val="99"/>
    <w:semiHidden/>
    <w:unhideWhenUsed/>
    <w:rsid w:val="00330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E94"/>
    <w:rPr>
      <w:sz w:val="20"/>
      <w:szCs w:val="20"/>
    </w:rPr>
  </w:style>
  <w:style w:type="character" w:styleId="FootnoteReference">
    <w:name w:val="footnote reference"/>
    <w:basedOn w:val="DefaultParagraphFont"/>
    <w:uiPriority w:val="99"/>
    <w:semiHidden/>
    <w:unhideWhenUsed/>
    <w:rsid w:val="00330E94"/>
    <w:rPr>
      <w:vertAlign w:val="superscript"/>
    </w:rPr>
  </w:style>
  <w:style w:type="paragraph" w:styleId="NormalWeb">
    <w:name w:val="Normal (Web)"/>
    <w:basedOn w:val="Normal"/>
    <w:uiPriority w:val="99"/>
    <w:semiHidden/>
    <w:unhideWhenUsed/>
    <w:rsid w:val="00F954A3"/>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styleId="Emphasis">
    <w:name w:val="Emphasis"/>
    <w:uiPriority w:val="20"/>
    <w:qFormat/>
    <w:rsid w:val="00F954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C272-662B-4522-9428-7B143FBB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Tran Dang (BDN)</dc:creator>
  <cp:keywords/>
  <dc:description/>
  <cp:lastModifiedBy>Hoc, Tran Dang (BDN)</cp:lastModifiedBy>
  <cp:revision>30</cp:revision>
  <dcterms:created xsi:type="dcterms:W3CDTF">2025-07-31T00:06:00Z</dcterms:created>
  <dcterms:modified xsi:type="dcterms:W3CDTF">2025-12-14T03:06:00Z</dcterms:modified>
</cp:coreProperties>
</file>