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8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0"/>
      </w:tblGrid>
      <w:tr w:rsidR="00075377" w:rsidRPr="00ED1F96" w14:paraId="513C7603" w14:textId="77777777" w:rsidTr="0081100C">
        <w:tc>
          <w:tcPr>
            <w:tcW w:w="14580" w:type="dxa"/>
            <w:vAlign w:val="center"/>
          </w:tcPr>
          <w:p w14:paraId="15469E88" w14:textId="0A4DAAC1" w:rsidR="0015396D" w:rsidRPr="00ED1F96" w:rsidRDefault="0015396D" w:rsidP="003B552D">
            <w:pPr>
              <w:jc w:val="center"/>
              <w:rPr>
                <w:rFonts w:ascii="Times New Roman" w:hAnsi="Times New Roman" w:cs="Times New Roman"/>
                <w:sz w:val="26"/>
                <w:szCs w:val="26"/>
              </w:rPr>
            </w:pPr>
            <w:r w:rsidRPr="00ED1F96">
              <w:rPr>
                <w:rFonts w:ascii="Times New Roman" w:eastAsia="Times New Roman" w:hAnsi="Times New Roman" w:cs="Times New Roman"/>
                <w:b/>
                <w:bCs/>
                <w:kern w:val="0"/>
                <w:sz w:val="26"/>
                <w:szCs w:val="26"/>
                <w14:ligatures w14:val="none"/>
              </w:rPr>
              <w:t xml:space="preserve">Phụ lục </w:t>
            </w:r>
            <w:r w:rsidR="00AC00AA" w:rsidRPr="00ED1F96">
              <w:rPr>
                <w:rFonts w:ascii="Times New Roman" w:eastAsia="Times New Roman" w:hAnsi="Times New Roman" w:cs="Times New Roman"/>
                <w:b/>
                <w:bCs/>
                <w:kern w:val="0"/>
                <w:sz w:val="26"/>
                <w:szCs w:val="26"/>
                <w14:ligatures w14:val="none"/>
              </w:rPr>
              <w:t>I</w:t>
            </w:r>
            <w:r w:rsidRPr="00ED1F96">
              <w:rPr>
                <w:rFonts w:ascii="Times New Roman" w:eastAsia="Times New Roman" w:hAnsi="Times New Roman" w:cs="Times New Roman"/>
                <w:b/>
                <w:bCs/>
                <w:kern w:val="0"/>
                <w:sz w:val="26"/>
                <w:szCs w:val="26"/>
                <w14:ligatures w14:val="none"/>
              </w:rPr>
              <w:t>.</w:t>
            </w:r>
            <w:r w:rsidR="003B552D" w:rsidRPr="00ED1F96">
              <w:rPr>
                <w:rFonts w:ascii="Times New Roman" w:eastAsia="Times New Roman" w:hAnsi="Times New Roman" w:cs="Times New Roman"/>
                <w:b/>
                <w:bCs/>
                <w:kern w:val="0"/>
                <w:sz w:val="26"/>
                <w:szCs w:val="26"/>
                <w14:ligatures w14:val="none"/>
              </w:rPr>
              <w:t>4</w:t>
            </w:r>
            <w:r w:rsidRPr="00ED1F96">
              <w:rPr>
                <w:rFonts w:ascii="Times New Roman" w:eastAsia="Times New Roman" w:hAnsi="Times New Roman" w:cs="Times New Roman"/>
                <w:b/>
                <w:bCs/>
                <w:kern w:val="0"/>
                <w:sz w:val="26"/>
                <w:szCs w:val="26"/>
                <w14:ligatures w14:val="none"/>
              </w:rPr>
              <w:t>.</w:t>
            </w:r>
            <w:proofErr w:type="gramStart"/>
            <w:r w:rsidR="00934968" w:rsidRPr="00ED1F96">
              <w:rPr>
                <w:rFonts w:ascii="Times New Roman" w:eastAsia="Times New Roman" w:hAnsi="Times New Roman" w:cs="Times New Roman"/>
                <w:b/>
                <w:bCs/>
                <w:kern w:val="0"/>
                <w:sz w:val="26"/>
                <w:szCs w:val="26"/>
                <w14:ligatures w14:val="none"/>
              </w:rPr>
              <w:t>2.</w:t>
            </w:r>
            <w:r w:rsidR="008F5582" w:rsidRPr="00ED1F96">
              <w:rPr>
                <w:rFonts w:ascii="Times New Roman" w:eastAsia="Times New Roman" w:hAnsi="Times New Roman" w:cs="Times New Roman"/>
                <w:b/>
                <w:bCs/>
                <w:kern w:val="0"/>
                <w:sz w:val="26"/>
                <w:szCs w:val="26"/>
                <w14:ligatures w14:val="none"/>
              </w:rPr>
              <w:t>A</w:t>
            </w:r>
            <w:proofErr w:type="gramEnd"/>
          </w:p>
        </w:tc>
      </w:tr>
      <w:tr w:rsidR="00075377" w:rsidRPr="00ED1F96" w14:paraId="50EDC559" w14:textId="77777777" w:rsidTr="0081100C">
        <w:tc>
          <w:tcPr>
            <w:tcW w:w="14580" w:type="dxa"/>
            <w:vAlign w:val="center"/>
          </w:tcPr>
          <w:p w14:paraId="6A3E04AE" w14:textId="2D774E76" w:rsidR="00934968" w:rsidRPr="00ED1F96" w:rsidRDefault="00992F88" w:rsidP="00934968">
            <w:pPr>
              <w:spacing w:line="264" w:lineRule="auto"/>
              <w:jc w:val="center"/>
              <w:rPr>
                <w:rFonts w:ascii="Times New Roman" w:hAnsi="Times New Roman" w:cs="Times New Roman"/>
                <w:b/>
                <w:bCs/>
                <w:sz w:val="26"/>
                <w:szCs w:val="26"/>
              </w:rPr>
            </w:pPr>
            <w:r w:rsidRPr="00ED1F96">
              <w:rPr>
                <w:rFonts w:ascii="Times New Roman" w:hAnsi="Times New Roman" w:cs="Times New Roman"/>
                <w:b/>
                <w:sz w:val="26"/>
                <w:szCs w:val="26"/>
              </w:rPr>
              <w:t>TÌNH HÌNH XỬ LÝ ĐỐI VỚI</w:t>
            </w:r>
            <w:r w:rsidRPr="00ED1F96">
              <w:rPr>
                <w:b/>
                <w:sz w:val="26"/>
                <w:szCs w:val="26"/>
              </w:rPr>
              <w:t xml:space="preserve"> </w:t>
            </w:r>
            <w:r w:rsidR="0015396D" w:rsidRPr="00ED1F96">
              <w:rPr>
                <w:rFonts w:ascii="Times New Roman" w:eastAsia="Times New Roman" w:hAnsi="Times New Roman" w:cs="Times New Roman"/>
                <w:b/>
                <w:bCs/>
                <w:kern w:val="0"/>
                <w:sz w:val="26"/>
                <w:szCs w:val="26"/>
                <w14:ligatures w14:val="none"/>
              </w:rPr>
              <w:t>KHÓ KHĂN, VƯỚNG MẮC DO QUY ĐỊNH PHÁP LUẬT</w:t>
            </w:r>
            <w:r w:rsidR="0015396D" w:rsidRPr="00ED1F96">
              <w:rPr>
                <w:rFonts w:ascii="Times New Roman" w:eastAsia="Times New Roman" w:hAnsi="Times New Roman" w:cs="Times New Roman"/>
                <w:b/>
                <w:bCs/>
                <w:kern w:val="0"/>
                <w:sz w:val="26"/>
                <w:szCs w:val="26"/>
                <w14:ligatures w14:val="none"/>
              </w:rPr>
              <w:br/>
              <w:t>THUỘC PHẠM VI PHỤ TRÁCH CỦA BỘ CÔNG THƯƠNG</w:t>
            </w:r>
            <w:r w:rsidR="0015396D" w:rsidRPr="00ED1F96">
              <w:rPr>
                <w:rFonts w:ascii="Times New Roman" w:eastAsia="Times New Roman" w:hAnsi="Times New Roman" w:cs="Times New Roman"/>
                <w:b/>
                <w:bCs/>
                <w:kern w:val="0"/>
                <w:sz w:val="26"/>
                <w:szCs w:val="26"/>
                <w14:ligatures w14:val="none"/>
              </w:rPr>
              <w:br/>
              <w:t xml:space="preserve">Tiêu chí: </w:t>
            </w:r>
            <w:r w:rsidR="00BF54D8" w:rsidRPr="00ED1F96">
              <w:rPr>
                <w:rFonts w:ascii="Times New Roman" w:eastAsia="Times New Roman" w:hAnsi="Times New Roman" w:cs="Times New Roman"/>
                <w:b/>
                <w:bCs/>
                <w:kern w:val="0"/>
                <w:sz w:val="26"/>
                <w:szCs w:val="26"/>
                <w14:ligatures w14:val="none"/>
              </w:rPr>
              <w:t xml:space="preserve">Quy định của VBQPPL không rõ ràng, có nhiều cách hiểu khác nhau, không hợp lý, không khả thi, </w:t>
            </w:r>
            <w:r w:rsidR="00BF54D8" w:rsidRPr="00ED1F96">
              <w:rPr>
                <w:rFonts w:ascii="Times New Roman" w:eastAsia="Times New Roman" w:hAnsi="Times New Roman" w:cs="Times New Roman"/>
                <w:b/>
                <w:bCs/>
                <w:kern w:val="0"/>
                <w:sz w:val="26"/>
                <w:szCs w:val="26"/>
                <w14:ligatures w14:val="none"/>
              </w:rPr>
              <w:br/>
              <w:t xml:space="preserve">gây khó khăn trong áp dụng, thực hiện pháp </w:t>
            </w:r>
            <w:proofErr w:type="gramStart"/>
            <w:r w:rsidR="00BF54D8" w:rsidRPr="00ED1F96">
              <w:rPr>
                <w:rFonts w:ascii="Times New Roman" w:eastAsia="Times New Roman" w:hAnsi="Times New Roman" w:cs="Times New Roman"/>
                <w:b/>
                <w:bCs/>
                <w:kern w:val="0"/>
                <w:sz w:val="26"/>
                <w:szCs w:val="26"/>
                <w14:ligatures w14:val="none"/>
              </w:rPr>
              <w:t>luật</w:t>
            </w:r>
            <w:proofErr w:type="gramEnd"/>
          </w:p>
          <w:p w14:paraId="6194C3F9" w14:textId="77777777" w:rsidR="00BF54D8" w:rsidRPr="00ED1F96" w:rsidRDefault="0015396D" w:rsidP="00BF54D8">
            <w:pPr>
              <w:spacing w:line="264" w:lineRule="auto"/>
              <w:jc w:val="center"/>
              <w:rPr>
                <w:rFonts w:ascii="Times New Roman" w:hAnsi="Times New Roman" w:cs="Times New Roman"/>
                <w:b/>
                <w:sz w:val="26"/>
                <w:szCs w:val="26"/>
              </w:rPr>
            </w:pPr>
            <w:r w:rsidRPr="00ED1F96">
              <w:rPr>
                <w:rFonts w:ascii="Times New Roman" w:eastAsia="Times New Roman" w:hAnsi="Times New Roman" w:cs="Times New Roman"/>
                <w:b/>
                <w:bCs/>
                <w:kern w:val="0"/>
                <w:sz w:val="26"/>
                <w:szCs w:val="26"/>
                <w14:ligatures w14:val="none"/>
              </w:rPr>
              <w:t xml:space="preserve">Nhóm </w:t>
            </w:r>
            <w:r w:rsidR="00BF54D8" w:rsidRPr="00ED1F96">
              <w:rPr>
                <w:rFonts w:ascii="Times New Roman" w:eastAsia="Times New Roman" w:hAnsi="Times New Roman" w:cs="Times New Roman"/>
                <w:b/>
                <w:bCs/>
                <w:kern w:val="0"/>
                <w:sz w:val="26"/>
                <w:szCs w:val="26"/>
                <w14:ligatures w14:val="none"/>
              </w:rPr>
              <w:t>A</w:t>
            </w:r>
            <w:r w:rsidRPr="00ED1F96">
              <w:rPr>
                <w:rFonts w:ascii="Times New Roman" w:eastAsia="Times New Roman" w:hAnsi="Times New Roman" w:cs="Times New Roman"/>
                <w:b/>
                <w:bCs/>
                <w:kern w:val="0"/>
                <w:sz w:val="26"/>
                <w:szCs w:val="26"/>
                <w14:ligatures w14:val="none"/>
              </w:rPr>
              <w:t xml:space="preserve">. </w:t>
            </w:r>
            <w:r w:rsidR="00BF54D8" w:rsidRPr="00ED1F96">
              <w:rPr>
                <w:rFonts w:ascii="Times New Roman" w:hAnsi="Times New Roman" w:cs="Times New Roman"/>
                <w:b/>
                <w:sz w:val="26"/>
                <w:szCs w:val="26"/>
              </w:rPr>
              <w:t>Nhóm các nội dung cho ý kiến</w:t>
            </w:r>
            <w:r w:rsidR="00BF54D8" w:rsidRPr="00ED1F96">
              <w:rPr>
                <w:rFonts w:ascii="Times New Roman" w:hAnsi="Times New Roman" w:cs="Times New Roman"/>
                <w:sz w:val="26"/>
                <w:szCs w:val="26"/>
              </w:rPr>
              <w:t xml:space="preserve"> </w:t>
            </w:r>
            <w:r w:rsidR="00BF54D8" w:rsidRPr="00ED1F96">
              <w:rPr>
                <w:rFonts w:ascii="Times New Roman" w:hAnsi="Times New Roman" w:cs="Times New Roman"/>
                <w:b/>
                <w:sz w:val="26"/>
                <w:szCs w:val="26"/>
              </w:rPr>
              <w:t xml:space="preserve">nhất trí và đề xuất xử lý theo phương án, quy trình </w:t>
            </w:r>
          </w:p>
          <w:p w14:paraId="0D7EFD5E" w14:textId="77777777" w:rsidR="0015396D" w:rsidRPr="00ED1F96" w:rsidRDefault="00BF54D8" w:rsidP="00343678">
            <w:pPr>
              <w:spacing w:line="264" w:lineRule="auto"/>
              <w:jc w:val="center"/>
              <w:rPr>
                <w:rFonts w:ascii="Times New Roman" w:hAnsi="Times New Roman" w:cs="Times New Roman"/>
                <w:b/>
                <w:sz w:val="26"/>
                <w:szCs w:val="26"/>
              </w:rPr>
            </w:pPr>
            <w:r w:rsidRPr="00ED1F96">
              <w:rPr>
                <w:rFonts w:ascii="Times New Roman" w:hAnsi="Times New Roman" w:cs="Times New Roman"/>
                <w:b/>
                <w:sz w:val="26"/>
                <w:szCs w:val="26"/>
              </w:rPr>
              <w:t>nêu tại khoản 1 Điều 4 Nghị quyết số 206/2025/QH15</w:t>
            </w:r>
            <w:r w:rsidRPr="00ED1F96">
              <w:rPr>
                <w:rFonts w:ascii="Times New Roman" w:hAnsi="Times New Roman" w:cs="Times New Roman"/>
                <w:sz w:val="26"/>
                <w:szCs w:val="26"/>
              </w:rPr>
              <w:t xml:space="preserve"> </w:t>
            </w:r>
            <w:r w:rsidRPr="00ED1F96">
              <w:rPr>
                <w:rFonts w:ascii="Times New Roman" w:hAnsi="Times New Roman" w:cs="Times New Roman"/>
                <w:b/>
                <w:sz w:val="26"/>
                <w:szCs w:val="26"/>
              </w:rPr>
              <w:t>(thực hiện trong năm 2025)</w:t>
            </w:r>
          </w:p>
          <w:p w14:paraId="4EE8B828" w14:textId="2EE03650" w:rsidR="001E62A4" w:rsidRPr="00ED1F96" w:rsidRDefault="001E62A4" w:rsidP="00037C93">
            <w:pPr>
              <w:pStyle w:val="NormalWeb"/>
              <w:spacing w:before="0" w:beforeAutospacing="0" w:after="0" w:afterAutospacing="0" w:line="264" w:lineRule="auto"/>
              <w:jc w:val="center"/>
              <w:rPr>
                <w:b/>
                <w:sz w:val="26"/>
                <w:szCs w:val="26"/>
              </w:rPr>
            </w:pPr>
          </w:p>
        </w:tc>
      </w:tr>
    </w:tbl>
    <w:p w14:paraId="58DCDF8E" w14:textId="60660C7D" w:rsidR="006B5017" w:rsidRPr="00ED1F96" w:rsidRDefault="00934968">
      <w:pPr>
        <w:rPr>
          <w:rFonts w:ascii="Times New Roman" w:hAnsi="Times New Roman" w:cs="Times New Roman"/>
        </w:rPr>
      </w:pPr>
      <w:r w:rsidRPr="00ED1F96">
        <w:rPr>
          <w:rFonts w:ascii="Times New Roman" w:eastAsia="Times New Roman" w:hAnsi="Times New Roman" w:cs="Times New Roman"/>
          <w:b/>
          <w:bCs/>
          <w:noProof/>
          <w:kern w:val="0"/>
          <w:sz w:val="24"/>
          <w:szCs w:val="24"/>
        </w:rPr>
        <mc:AlternateContent>
          <mc:Choice Requires="wps">
            <w:drawing>
              <wp:anchor distT="0" distB="0" distL="114300" distR="114300" simplePos="0" relativeHeight="251658752" behindDoc="0" locked="0" layoutInCell="1" allowOverlap="1" wp14:anchorId="3EE5DB76" wp14:editId="340738C6">
                <wp:simplePos x="0" y="0"/>
                <wp:positionH relativeFrom="column">
                  <wp:posOffset>2871615</wp:posOffset>
                </wp:positionH>
                <wp:positionV relativeFrom="paragraph">
                  <wp:posOffset>71503</wp:posOffset>
                </wp:positionV>
                <wp:extent cx="2592070" cy="0"/>
                <wp:effectExtent l="0" t="0" r="0" b="0"/>
                <wp:wrapNone/>
                <wp:docPr id="1175006511" name="Straight Connector 1"/>
                <wp:cNvGraphicFramePr/>
                <a:graphic xmlns:a="http://schemas.openxmlformats.org/drawingml/2006/main">
                  <a:graphicData uri="http://schemas.microsoft.com/office/word/2010/wordprocessingShape">
                    <wps:wsp>
                      <wps:cNvCnPr/>
                      <wps:spPr>
                        <a:xfrm flipV="1">
                          <a:off x="0" y="0"/>
                          <a:ext cx="2592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E2C13"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1pt,5.65pt" to="430.2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" strokecolor="black [3200]" strokeweight=".5pt">
                <v:stroke joinstyle="miter"/>
              </v:line>
            </w:pict>
          </mc:Fallback>
        </mc:AlternateContent>
      </w:r>
    </w:p>
    <w:tbl>
      <w:tblPr>
        <w:tblStyle w:val="TableGrid"/>
        <w:tblW w:w="15310" w:type="dxa"/>
        <w:tblInd w:w="-714" w:type="dxa"/>
        <w:tblLook w:val="04A0" w:firstRow="1" w:lastRow="0" w:firstColumn="1" w:lastColumn="0" w:noHBand="0" w:noVBand="1"/>
      </w:tblPr>
      <w:tblGrid>
        <w:gridCol w:w="709"/>
        <w:gridCol w:w="2127"/>
        <w:gridCol w:w="4536"/>
        <w:gridCol w:w="1984"/>
        <w:gridCol w:w="1559"/>
        <w:gridCol w:w="2268"/>
        <w:gridCol w:w="2127"/>
      </w:tblGrid>
      <w:tr w:rsidR="00075377" w:rsidRPr="00ED1F96" w14:paraId="3C634EEC" w14:textId="77777777" w:rsidTr="00E1781E">
        <w:trPr>
          <w:tblHeader/>
        </w:trPr>
        <w:tc>
          <w:tcPr>
            <w:tcW w:w="709" w:type="dxa"/>
            <w:shd w:val="clear" w:color="auto" w:fill="F7CAAC" w:themeFill="accent2" w:themeFillTint="66"/>
            <w:vAlign w:val="center"/>
          </w:tcPr>
          <w:p w14:paraId="0978FCD3" w14:textId="08AC568C" w:rsidR="008F5582" w:rsidRPr="00ED1F96" w:rsidRDefault="008F5582" w:rsidP="00CE49BD">
            <w:pPr>
              <w:jc w:val="center"/>
              <w:rPr>
                <w:rFonts w:ascii="Times New Roman" w:hAnsi="Times New Roman" w:cs="Times New Roman"/>
                <w:sz w:val="25"/>
                <w:szCs w:val="25"/>
              </w:rPr>
            </w:pPr>
            <w:r w:rsidRPr="00ED1F96">
              <w:rPr>
                <w:rFonts w:ascii="Times New Roman" w:eastAsia="Times New Roman" w:hAnsi="Times New Roman" w:cs="Times New Roman"/>
                <w:b/>
                <w:bCs/>
                <w:kern w:val="0"/>
                <w:sz w:val="25"/>
                <w:szCs w:val="25"/>
                <w14:ligatures w14:val="none"/>
              </w:rPr>
              <w:t>STT</w:t>
            </w:r>
          </w:p>
        </w:tc>
        <w:tc>
          <w:tcPr>
            <w:tcW w:w="2127" w:type="dxa"/>
            <w:shd w:val="clear" w:color="auto" w:fill="F7CAAC" w:themeFill="accent2" w:themeFillTint="66"/>
            <w:vAlign w:val="center"/>
          </w:tcPr>
          <w:p w14:paraId="0187D4B1" w14:textId="5680F0C1" w:rsidR="008F5582" w:rsidRPr="00ED1F96" w:rsidRDefault="008F5582" w:rsidP="00CE49BD">
            <w:pPr>
              <w:jc w:val="center"/>
              <w:rPr>
                <w:rFonts w:ascii="Times New Roman" w:hAnsi="Times New Roman" w:cs="Times New Roman"/>
                <w:sz w:val="25"/>
                <w:szCs w:val="25"/>
              </w:rPr>
            </w:pPr>
            <w:r w:rsidRPr="00ED1F96">
              <w:rPr>
                <w:rFonts w:ascii="Times New Roman" w:eastAsia="Times New Roman" w:hAnsi="Times New Roman" w:cs="Times New Roman"/>
                <w:b/>
                <w:bCs/>
                <w:kern w:val="0"/>
                <w:sz w:val="25"/>
                <w:szCs w:val="25"/>
                <w14:ligatures w14:val="none"/>
              </w:rPr>
              <w:t>Điều, khoản, điểm, tên văn bản đề xuất xử lý</w:t>
            </w:r>
          </w:p>
        </w:tc>
        <w:tc>
          <w:tcPr>
            <w:tcW w:w="4536" w:type="dxa"/>
            <w:shd w:val="clear" w:color="auto" w:fill="F7CAAC" w:themeFill="accent2" w:themeFillTint="66"/>
            <w:vAlign w:val="center"/>
          </w:tcPr>
          <w:p w14:paraId="5AE8B3A8" w14:textId="77777777" w:rsidR="00CE49BD" w:rsidRPr="00ED1F96" w:rsidRDefault="008F5582" w:rsidP="00CE49BD">
            <w:pPr>
              <w:jc w:val="center"/>
              <w:rPr>
                <w:rFonts w:ascii="Times New Roman" w:eastAsia="Times New Roman" w:hAnsi="Times New Roman" w:cs="Times New Roman"/>
                <w:b/>
                <w:bCs/>
                <w:kern w:val="0"/>
                <w:sz w:val="25"/>
                <w:szCs w:val="25"/>
                <w14:ligatures w14:val="none"/>
              </w:rPr>
            </w:pPr>
            <w:r w:rsidRPr="00ED1F96">
              <w:rPr>
                <w:rFonts w:ascii="Times New Roman" w:eastAsia="Times New Roman" w:hAnsi="Times New Roman" w:cs="Times New Roman"/>
                <w:b/>
                <w:bCs/>
                <w:kern w:val="0"/>
                <w:sz w:val="25"/>
                <w:szCs w:val="25"/>
                <w14:ligatures w14:val="none"/>
              </w:rPr>
              <w:t>Nội dung quy định được phản ánh không rõ ràng, có nhiều cách hiểu khác nhau, không hợp lý, không khả thi,</w:t>
            </w:r>
            <w:r w:rsidR="00C419D9" w:rsidRPr="00ED1F96">
              <w:rPr>
                <w:rFonts w:ascii="Times New Roman" w:eastAsia="Times New Roman" w:hAnsi="Times New Roman" w:cs="Times New Roman"/>
                <w:b/>
                <w:bCs/>
                <w:kern w:val="0"/>
                <w:sz w:val="25"/>
                <w:szCs w:val="25"/>
                <w14:ligatures w14:val="none"/>
              </w:rPr>
              <w:t xml:space="preserve"> </w:t>
            </w:r>
            <w:r w:rsidRPr="00ED1F96">
              <w:rPr>
                <w:rFonts w:ascii="Times New Roman" w:eastAsia="Times New Roman" w:hAnsi="Times New Roman" w:cs="Times New Roman"/>
                <w:b/>
                <w:bCs/>
                <w:kern w:val="0"/>
                <w:sz w:val="25"/>
                <w:szCs w:val="25"/>
                <w14:ligatures w14:val="none"/>
              </w:rPr>
              <w:t xml:space="preserve">gây khó khăn trong áp dụng, thực hiện </w:t>
            </w:r>
          </w:p>
          <w:p w14:paraId="52F739F4" w14:textId="696B7808" w:rsidR="008F5582" w:rsidRPr="00ED1F96" w:rsidRDefault="008F5582" w:rsidP="00CE49BD">
            <w:pPr>
              <w:jc w:val="center"/>
              <w:rPr>
                <w:rFonts w:ascii="Times New Roman" w:hAnsi="Times New Roman" w:cs="Times New Roman"/>
                <w:sz w:val="25"/>
                <w:szCs w:val="25"/>
              </w:rPr>
            </w:pPr>
            <w:r w:rsidRPr="00ED1F96">
              <w:rPr>
                <w:rFonts w:ascii="Times New Roman" w:eastAsia="Times New Roman" w:hAnsi="Times New Roman" w:cs="Times New Roman"/>
                <w:b/>
                <w:bCs/>
                <w:kern w:val="0"/>
                <w:sz w:val="25"/>
                <w:szCs w:val="25"/>
                <w14:ligatures w14:val="none"/>
              </w:rPr>
              <w:t>pháp luật</w:t>
            </w:r>
          </w:p>
        </w:tc>
        <w:tc>
          <w:tcPr>
            <w:tcW w:w="1984" w:type="dxa"/>
            <w:shd w:val="clear" w:color="auto" w:fill="F7CAAC" w:themeFill="accent2" w:themeFillTint="66"/>
            <w:vAlign w:val="center"/>
          </w:tcPr>
          <w:p w14:paraId="7177338F" w14:textId="5BEE01F2" w:rsidR="008F5582" w:rsidRPr="00ED1F96" w:rsidRDefault="008F5582" w:rsidP="00CE49BD">
            <w:pPr>
              <w:jc w:val="center"/>
              <w:rPr>
                <w:rFonts w:ascii="Times New Roman" w:hAnsi="Times New Roman" w:cs="Times New Roman"/>
                <w:sz w:val="25"/>
                <w:szCs w:val="25"/>
              </w:rPr>
            </w:pPr>
            <w:r w:rsidRPr="00ED1F96">
              <w:rPr>
                <w:rFonts w:ascii="Times New Roman" w:eastAsia="Times New Roman" w:hAnsi="Times New Roman" w:cs="Times New Roman"/>
                <w:b/>
                <w:bCs/>
                <w:kern w:val="0"/>
                <w:sz w:val="25"/>
                <w:szCs w:val="25"/>
                <w14:ligatures w14:val="none"/>
              </w:rPr>
              <w:t>Phương án xử lý được đề xuất</w:t>
            </w:r>
          </w:p>
        </w:tc>
        <w:tc>
          <w:tcPr>
            <w:tcW w:w="1559" w:type="dxa"/>
            <w:shd w:val="clear" w:color="auto" w:fill="F7CAAC" w:themeFill="accent2" w:themeFillTint="66"/>
            <w:vAlign w:val="center"/>
          </w:tcPr>
          <w:p w14:paraId="0501EC2A" w14:textId="54CD853E" w:rsidR="008F5582" w:rsidRPr="00ED1F96" w:rsidRDefault="008F5582" w:rsidP="00CE49BD">
            <w:pPr>
              <w:jc w:val="center"/>
              <w:rPr>
                <w:rFonts w:ascii="Times New Roman" w:hAnsi="Times New Roman" w:cs="Times New Roman"/>
                <w:sz w:val="25"/>
                <w:szCs w:val="25"/>
              </w:rPr>
            </w:pPr>
            <w:r w:rsidRPr="00ED1F96">
              <w:rPr>
                <w:rFonts w:ascii="Times New Roman" w:eastAsia="Times New Roman" w:hAnsi="Times New Roman" w:cs="Times New Roman"/>
                <w:b/>
                <w:bCs/>
                <w:kern w:val="0"/>
                <w:sz w:val="25"/>
                <w:szCs w:val="25"/>
                <w14:ligatures w14:val="none"/>
              </w:rPr>
              <w:t>Cơ quan, tổ chức rà soát, phản ánh</w:t>
            </w:r>
          </w:p>
        </w:tc>
        <w:tc>
          <w:tcPr>
            <w:tcW w:w="2268" w:type="dxa"/>
            <w:shd w:val="clear" w:color="auto" w:fill="F7CAAC" w:themeFill="accent2" w:themeFillTint="66"/>
            <w:vAlign w:val="center"/>
          </w:tcPr>
          <w:p w14:paraId="5B25E2DC" w14:textId="77777777" w:rsidR="00BA3FE7" w:rsidRPr="00ED1F96" w:rsidRDefault="008F5582" w:rsidP="00CE49BD">
            <w:pPr>
              <w:jc w:val="center"/>
              <w:rPr>
                <w:rFonts w:ascii="Times New Roman" w:eastAsia="Times New Roman" w:hAnsi="Times New Roman" w:cs="Times New Roman"/>
                <w:b/>
                <w:bCs/>
                <w:kern w:val="0"/>
                <w:sz w:val="25"/>
                <w:szCs w:val="25"/>
                <w14:ligatures w14:val="none"/>
              </w:rPr>
            </w:pPr>
            <w:r w:rsidRPr="00ED1F96">
              <w:rPr>
                <w:rFonts w:ascii="Times New Roman" w:eastAsia="Times New Roman" w:hAnsi="Times New Roman" w:cs="Times New Roman"/>
                <w:b/>
                <w:bCs/>
                <w:kern w:val="0"/>
                <w:sz w:val="25"/>
                <w:szCs w:val="25"/>
                <w14:ligatures w14:val="none"/>
              </w:rPr>
              <w:t xml:space="preserve">Ý kiến của </w:t>
            </w:r>
            <w:r w:rsidR="0076381D" w:rsidRPr="00ED1F96">
              <w:rPr>
                <w:rFonts w:ascii="Times New Roman" w:eastAsia="Times New Roman" w:hAnsi="Times New Roman" w:cs="Times New Roman"/>
                <w:b/>
                <w:bCs/>
                <w:kern w:val="0"/>
                <w:sz w:val="25"/>
                <w:szCs w:val="25"/>
                <w14:ligatures w14:val="none"/>
              </w:rPr>
              <w:t>Bộ Công Thương</w:t>
            </w:r>
            <w:r w:rsidRPr="00ED1F96">
              <w:rPr>
                <w:rFonts w:ascii="Times New Roman" w:eastAsia="Times New Roman" w:hAnsi="Times New Roman" w:cs="Times New Roman"/>
                <w:b/>
                <w:bCs/>
                <w:kern w:val="0"/>
                <w:sz w:val="25"/>
                <w:szCs w:val="25"/>
                <w14:ligatures w14:val="none"/>
              </w:rPr>
              <w:t xml:space="preserve"> về nội dung</w:t>
            </w:r>
          </w:p>
          <w:p w14:paraId="35CDBA6F" w14:textId="2FC51C9F" w:rsidR="008F5582" w:rsidRPr="00ED1F96" w:rsidRDefault="008F5582" w:rsidP="00CE49BD">
            <w:pPr>
              <w:jc w:val="center"/>
              <w:rPr>
                <w:rFonts w:ascii="Times New Roman" w:hAnsi="Times New Roman" w:cs="Times New Roman"/>
                <w:sz w:val="25"/>
                <w:szCs w:val="25"/>
              </w:rPr>
            </w:pPr>
            <w:r w:rsidRPr="00ED1F96">
              <w:rPr>
                <w:rFonts w:ascii="Times New Roman" w:eastAsia="Times New Roman" w:hAnsi="Times New Roman" w:cs="Times New Roman"/>
                <w:b/>
                <w:bCs/>
                <w:kern w:val="0"/>
                <w:sz w:val="25"/>
                <w:szCs w:val="25"/>
                <w14:ligatures w14:val="none"/>
              </w:rPr>
              <w:t>rà soát, phản ánh</w:t>
            </w:r>
          </w:p>
        </w:tc>
        <w:tc>
          <w:tcPr>
            <w:tcW w:w="2127" w:type="dxa"/>
            <w:shd w:val="clear" w:color="auto" w:fill="F7CAAC" w:themeFill="accent2" w:themeFillTint="66"/>
            <w:vAlign w:val="center"/>
          </w:tcPr>
          <w:p w14:paraId="3076107D" w14:textId="366DD70F" w:rsidR="008F5582" w:rsidRPr="00ED1F96" w:rsidRDefault="00E42A6D" w:rsidP="004C15B3">
            <w:pPr>
              <w:jc w:val="center"/>
              <w:rPr>
                <w:rFonts w:ascii="Times New Roman" w:eastAsia="Times New Roman" w:hAnsi="Times New Roman" w:cs="Times New Roman"/>
                <w:b/>
                <w:bCs/>
                <w:kern w:val="0"/>
                <w:sz w:val="25"/>
                <w:szCs w:val="25"/>
                <w14:ligatures w14:val="none"/>
              </w:rPr>
            </w:pPr>
            <w:r w:rsidRPr="00ED1F96">
              <w:rPr>
                <w:rFonts w:ascii="Times New Roman" w:hAnsi="Times New Roman" w:cs="Times New Roman"/>
                <w:b/>
                <w:bCs/>
                <w:sz w:val="25"/>
                <w:szCs w:val="25"/>
              </w:rPr>
              <w:t xml:space="preserve">Tình hình xử lý </w:t>
            </w:r>
          </w:p>
        </w:tc>
      </w:tr>
      <w:tr w:rsidR="00075377" w:rsidRPr="00ED1F96" w14:paraId="5D17F1EB" w14:textId="4D91140A" w:rsidTr="00E1781E">
        <w:tc>
          <w:tcPr>
            <w:tcW w:w="709" w:type="dxa"/>
            <w:vAlign w:val="center"/>
          </w:tcPr>
          <w:p w14:paraId="48D78076" w14:textId="1E6AC452"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1</w:t>
            </w:r>
          </w:p>
        </w:tc>
        <w:tc>
          <w:tcPr>
            <w:tcW w:w="2127" w:type="dxa"/>
            <w:vAlign w:val="center"/>
          </w:tcPr>
          <w:p w14:paraId="0E6808B6" w14:textId="00FA40A1"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Điểm b khoản 1 Điều 6 Nghị định số 57/2025/NĐ-CP ngày 03 tháng 3 năm 2025.</w:t>
            </w:r>
          </w:p>
        </w:tc>
        <w:tc>
          <w:tcPr>
            <w:tcW w:w="4536" w:type="dxa"/>
            <w:vAlign w:val="center"/>
          </w:tcPr>
          <w:p w14:paraId="4822D96D" w14:textId="1B8E14DE"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 xml:space="preserve">Điểm b khoản 1 Điều 6 Nghị định số 57/2025/NĐ-CP quy định về khung giá bán điện trong trường hợp mua bán điện trực tiếp qua lưới điện kết nối riêng, cụ thể như sau: “b) Giá bán điện do các bên tự đàm phán thỏa thuận và không vượt mức giá tối đa của khung giá phát điện của loại hình nguồn điện tương ứng”. Quy định này bảo đảm: - Phù hợp với các chính sách chung về giá điện quy định tại điểm b và điểm e khoản 12 Điều 5 và phù hợp quy định về cơ chế mua bán điện trực tiếp tại điểm a khoản 2 Điều 47 Luật Điện lực 2024. - Việc quy định giá bán điện không được vượt quá khung giá là để đảm bảo giá bán điện không bị đẩy lên quá cao, gây ảnh hưởng đến quyền lợi của khách hàng </w:t>
            </w:r>
            <w:r w:rsidRPr="00ED1F96">
              <w:rPr>
                <w:rFonts w:ascii="Times New Roman" w:eastAsia="Times New Roman" w:hAnsi="Times New Roman" w:cs="Times New Roman"/>
                <w:kern w:val="0"/>
                <w:sz w:val="25"/>
                <w:szCs w:val="25"/>
                <w14:ligatures w14:val="none"/>
              </w:rPr>
              <w:lastRenderedPageBreak/>
              <w:t xml:space="preserve">sử dụng điện, đặc biệt trong bối cảnh khách hàng sử dụng điện có các cam kết về sử dụng điện xanh, sạch, sản xuất hàng hóa trung hòa cacbon. Việc áp dụng khung giá của loại hình nguồn điện tương ứng có vai trò như một công cụ kiểm soát, ngăn ngừa tình trạng giá cả bất hợp lý, phát huy được vai trò quản lý nhà nước về điều tiết giá điện như quy định tại điểm b khoản 12 Điều 5 Luật Điện lực. Ngoài ra, theo quy định xác định khung giá phát điện tại Khoản 2 Điều 5 Thông tư số 09/2025/TT-BCT ngày 01/02/2025, khung giá phát điện đã bao gồm chi phí đầu tư đường dây, lưới điện đấu nối, đảm bảo cho bên bán điện thu hồi chi phí đầu tư lưới điện. Như vậy, việc đảm bảo giá mua bán điện ở mức phù hợp, phản ánh chi phí hướng tới bảo đảm các quyền lợi các bên trong giao dịch mua bán điện năng trực tiếp. Tuy nhiên, quy định này tồn tại một số vấn đề sau: (i) Do quy định giá mua bán điện tham chiếu đến khung giá phát điện của loại hình nguồn điện tương ứng. Hiện nay, quy định khung giá cho các loại hình NLTT (Điện mặt trời mặt đất, điện mặt trời nổi, điện gió, thuỷ điện trên 30MW, điện rác, sinh khối, thuỷ điện tích năng) đã được ban </w:t>
            </w:r>
            <w:r w:rsidRPr="00ED1F96">
              <w:rPr>
                <w:rFonts w:ascii="Times New Roman" w:eastAsia="Times New Roman" w:hAnsi="Times New Roman" w:cs="Times New Roman"/>
                <w:kern w:val="0"/>
                <w:sz w:val="25"/>
                <w:szCs w:val="25"/>
                <w14:ligatures w14:val="none"/>
              </w:rPr>
              <w:lastRenderedPageBreak/>
              <w:t xml:space="preserve">hành. Riêng điện mặt trời mái nhà (ĐMTMN) mặc dù đã phát triển nhiều ở Việt Nam, tuy nhiên đối chiếu các quy định hiện hành thì có thế thấy các quy định về khung giá cho ĐMTMN là chưa có, ngoại trừ quy định về cơ chế mua/bán và giá mua/bán cho phần điện dư của ĐMTMN và hầu hết đang tham chiếu trực tiếp đến khung giá của điện mặt trời mặt đất. Nếu so sánh với khung giá của các loại hình nguồn tương ứng, có thể dẫn đến lo ngại cho bên bán điện (đầu tư nguồn điện NLTT nói chung và ĐMTMN nói riêng) trong việc thu hồi đầy đủ chi phí đầu tư lưới điện và thực hiện hoạt động kinh doanh bán điện.; (ii) Việc mua bán điện giữa đơn vị phát điện NLTT và khách hàng sử dụng điện lớn qua lưới điện kết nối riêng không chỉ là hoạt động phát điện thuần túy do còn phần đường dây (truyền tải hoặc phân phối để bán điện) cũng như các chi phí cho hoạt động kinh doanh bán lẻ điện, không khác gì hoạt động bán lẻ điện trực tiếp. Vì vậy, để xác định giá bán điện trong cơ chế DPPA qua lưới điện kết nối riêng, việc đối chiếu với khung giá phát điện của loại hình nguồn điện tương ứng có thể xem xét để sửa đổi. Ngoài ra, </w:t>
            </w:r>
            <w:r w:rsidRPr="00ED1F96">
              <w:rPr>
                <w:rFonts w:ascii="Times New Roman" w:eastAsia="Times New Roman" w:hAnsi="Times New Roman" w:cs="Times New Roman"/>
                <w:kern w:val="0"/>
                <w:sz w:val="25"/>
                <w:szCs w:val="25"/>
                <w14:ligatures w14:val="none"/>
              </w:rPr>
              <w:lastRenderedPageBreak/>
              <w:t>Cơ chế DPPA là cơ chế mua bán điện mới tại Việt Nam, cần được đánh giá tác động và lộ trình mở rộng phù hợp, do đó để phản ánh đầy đủ chi phí và tạo tín hiệu thu hút đầu tư tốt hơn, tránh xáo trộn lớn khi thay đổi phương thức mua bán điện từ truyền thống với EVN sang với Đơn vị phát điện năng lượng tái tạo, có thể xem xét đối chiếu với mức giá bán lẻ điện bình quân tối đa theo quy định tại Quyết định số 07/2025/QĐ-TTg ngày 31/3/2025 của Thủ tướng Chính phủ quy định về khung giá của mức giá bán lẻ điện bình quân.</w:t>
            </w:r>
          </w:p>
        </w:tc>
        <w:tc>
          <w:tcPr>
            <w:tcW w:w="1984" w:type="dxa"/>
            <w:vAlign w:val="center"/>
          </w:tcPr>
          <w:p w14:paraId="7BFC03FC" w14:textId="34C33ADA"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lastRenderedPageBreak/>
              <w:t>C. Sửa đổi, bổ sung, thay thế, ban hành mới VBQPPL (theo trình tự, thủ tục rút gọn ban hành VBQPPL của Luật Ban hành VBQPPL)</w:t>
            </w:r>
          </w:p>
        </w:tc>
        <w:tc>
          <w:tcPr>
            <w:tcW w:w="1559" w:type="dxa"/>
            <w:vAlign w:val="center"/>
          </w:tcPr>
          <w:p w14:paraId="0E31CF23" w14:textId="40B596FF"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Bộ Công Thương</w:t>
            </w:r>
          </w:p>
        </w:tc>
        <w:tc>
          <w:tcPr>
            <w:tcW w:w="2268" w:type="dxa"/>
            <w:vAlign w:val="center"/>
          </w:tcPr>
          <w:p w14:paraId="27E43D78" w14:textId="12F67770"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 xml:space="preserve">Nhất trí, nghiên cứu sửa đổi </w:t>
            </w:r>
            <w:r w:rsidR="00270C96" w:rsidRPr="00ED1F96">
              <w:rPr>
                <w:rFonts w:ascii="Times New Roman" w:eastAsia="Times New Roman" w:hAnsi="Times New Roman" w:cs="Times New Roman"/>
                <w:kern w:val="0"/>
                <w:sz w:val="25"/>
                <w:szCs w:val="25"/>
                <w14:ligatures w14:val="none"/>
              </w:rPr>
              <w:t xml:space="preserve">Nghị định số 57/2025/NĐ-CP </w:t>
            </w:r>
            <w:r w:rsidRPr="00ED1F96">
              <w:rPr>
                <w:rFonts w:ascii="Times New Roman" w:eastAsia="Times New Roman" w:hAnsi="Times New Roman" w:cs="Times New Roman"/>
                <w:kern w:val="0"/>
                <w:sz w:val="25"/>
                <w:szCs w:val="25"/>
                <w14:ligatures w14:val="none"/>
              </w:rPr>
              <w:t>trong năm 2025</w:t>
            </w:r>
          </w:p>
        </w:tc>
        <w:tc>
          <w:tcPr>
            <w:tcW w:w="2127" w:type="dxa"/>
            <w:vAlign w:val="center"/>
          </w:tcPr>
          <w:p w14:paraId="3F656FC0" w14:textId="77777777" w:rsidR="001E5C17" w:rsidRPr="00ED1F96" w:rsidRDefault="001E5C17" w:rsidP="00003AE7">
            <w:pPr>
              <w:jc w:val="both"/>
              <w:rPr>
                <w:rFonts w:ascii="Times New Roman" w:hAnsi="Times New Roman" w:cs="Times New Roman"/>
                <w:b/>
                <w:sz w:val="26"/>
                <w:szCs w:val="26"/>
              </w:rPr>
            </w:pPr>
            <w:r w:rsidRPr="00ED1F96">
              <w:rPr>
                <w:rFonts w:ascii="Times New Roman" w:hAnsi="Times New Roman" w:cs="Times New Roman"/>
                <w:b/>
                <w:sz w:val="26"/>
                <w:szCs w:val="26"/>
              </w:rPr>
              <w:t xml:space="preserve">Đã </w:t>
            </w:r>
            <w:r w:rsidR="00003AE7" w:rsidRPr="00ED1F96">
              <w:rPr>
                <w:rFonts w:ascii="Times New Roman" w:hAnsi="Times New Roman" w:cs="Times New Roman"/>
                <w:b/>
                <w:sz w:val="26"/>
                <w:szCs w:val="26"/>
              </w:rPr>
              <w:t xml:space="preserve">xử lý </w:t>
            </w:r>
          </w:p>
          <w:p w14:paraId="7A16F091" w14:textId="47B72A95" w:rsidR="00934968" w:rsidRPr="00ED1F96" w:rsidRDefault="001E5C17" w:rsidP="00003AE7">
            <w:pPr>
              <w:jc w:val="both"/>
              <w:rPr>
                <w:rFonts w:ascii="Times New Roman" w:hAnsi="Times New Roman" w:cs="Times New Roman"/>
                <w:sz w:val="26"/>
                <w:szCs w:val="26"/>
              </w:rPr>
            </w:pPr>
            <w:r w:rsidRPr="00ED1F96">
              <w:rPr>
                <w:rFonts w:ascii="Times New Roman" w:hAnsi="Times New Roman" w:cs="Times New Roman"/>
                <w:sz w:val="26"/>
                <w:szCs w:val="26"/>
              </w:rPr>
              <w:t>T</w:t>
            </w:r>
            <w:r w:rsidR="00003AE7" w:rsidRPr="00ED1F96">
              <w:rPr>
                <w:rFonts w:ascii="Times New Roman" w:hAnsi="Times New Roman" w:cs="Times New Roman"/>
                <w:sz w:val="26"/>
                <w:szCs w:val="26"/>
              </w:rPr>
              <w:t>ại Nghị quyết của Quốc hội về các cơ chế, chính sách tháo gỡ khó khăn phát triển năng lượng quốc gia giai đoạn 2026 – 2030</w:t>
            </w:r>
          </w:p>
        </w:tc>
      </w:tr>
      <w:tr w:rsidR="00075377" w:rsidRPr="00ED1F96" w14:paraId="4CA861EC" w14:textId="399B6934" w:rsidTr="00E1781E">
        <w:tc>
          <w:tcPr>
            <w:tcW w:w="709" w:type="dxa"/>
            <w:vAlign w:val="center"/>
          </w:tcPr>
          <w:p w14:paraId="7AA8BF53" w14:textId="07859B6B"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lastRenderedPageBreak/>
              <w:t>2</w:t>
            </w:r>
          </w:p>
        </w:tc>
        <w:tc>
          <w:tcPr>
            <w:tcW w:w="2127" w:type="dxa"/>
            <w:vAlign w:val="center"/>
          </w:tcPr>
          <w:p w14:paraId="36C0D621" w14:textId="4FC7E591"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 xml:space="preserve">Điểm b, Khoản 1, Điều 6 của Nghị định </w:t>
            </w:r>
            <w:r w:rsidR="00270C96" w:rsidRPr="00ED1F96">
              <w:rPr>
                <w:rFonts w:ascii="Times New Roman" w:eastAsia="Times New Roman" w:hAnsi="Times New Roman" w:cs="Times New Roman"/>
                <w:kern w:val="0"/>
                <w:sz w:val="25"/>
                <w:szCs w:val="25"/>
                <w14:ligatures w14:val="none"/>
              </w:rPr>
              <w:t xml:space="preserve">số </w:t>
            </w:r>
            <w:r w:rsidRPr="00ED1F96">
              <w:rPr>
                <w:rFonts w:ascii="Times New Roman" w:eastAsia="Times New Roman" w:hAnsi="Times New Roman" w:cs="Times New Roman"/>
                <w:kern w:val="0"/>
                <w:sz w:val="25"/>
                <w:szCs w:val="25"/>
                <w14:ligatures w14:val="none"/>
              </w:rPr>
              <w:t>57/2025/NĐ-CP về nguyên tắc mua bán điện trực tiếp thông qua lưới điện kết nối riêng</w:t>
            </w:r>
          </w:p>
        </w:tc>
        <w:tc>
          <w:tcPr>
            <w:tcW w:w="4536" w:type="dxa"/>
            <w:vAlign w:val="center"/>
          </w:tcPr>
          <w:p w14:paraId="1EE376F3" w14:textId="6B184C5C"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 xml:space="preserve">Vấn đề về giá điện trong mô hình DPPA thông qua lưới điện kết nối riêng a. Theo quy định tại Điều 6.1.b của Nghị định 57/2025/NĐ-CP về nguyên tắc mua bán điện trực tiếp thông qua lưới điện kết nối riêng (“Private Wire DPPA”), giá bán điện do các bên tự đàm phán thỏa thuận và không vượt mức giá tối đa của khung giá phát điện của loại hình nguồn điện tương ứng. Theo đó, tại Quyết định 988/QĐ-BCT ban hành ngày 10/4/2025, Bộ Công Thương đã đưa ra mức giá tối đa của nhà máy điện mặt trời mặt đất và điện mặt trời nổi, tuy nhiên hiện tại chưa có khung giá cho điện mặt trời mái nhà (“RTS”). Vậy </w:t>
            </w:r>
            <w:r w:rsidRPr="00ED1F96">
              <w:rPr>
                <w:rFonts w:ascii="Times New Roman" w:eastAsia="Times New Roman" w:hAnsi="Times New Roman" w:cs="Times New Roman"/>
                <w:kern w:val="0"/>
                <w:sz w:val="25"/>
                <w:szCs w:val="25"/>
                <w14:ligatures w14:val="none"/>
              </w:rPr>
              <w:lastRenderedPageBreak/>
              <w:t xml:space="preserve">điều này có thể được hiểu là đối với Private Wire DPPA cho RTS, các bên sẽ tự thỏa thuận với nhau về giá mà không có có khung giá nào đúng </w:t>
            </w:r>
            <w:proofErr w:type="gramStart"/>
            <w:r w:rsidRPr="00ED1F96">
              <w:rPr>
                <w:rFonts w:ascii="Times New Roman" w:eastAsia="Times New Roman" w:hAnsi="Times New Roman" w:cs="Times New Roman"/>
                <w:kern w:val="0"/>
                <w:sz w:val="25"/>
                <w:szCs w:val="25"/>
                <w14:ligatures w14:val="none"/>
              </w:rPr>
              <w:t>không ?</w:t>
            </w:r>
            <w:proofErr w:type="gramEnd"/>
            <w:r w:rsidRPr="00ED1F96">
              <w:rPr>
                <w:rFonts w:ascii="Times New Roman" w:eastAsia="Times New Roman" w:hAnsi="Times New Roman" w:cs="Times New Roman"/>
                <w:kern w:val="0"/>
                <w:sz w:val="25"/>
                <w:szCs w:val="25"/>
                <w14:ligatures w14:val="none"/>
              </w:rPr>
              <w:t xml:space="preserve"> b. Nếu như cách hiểu ở điểm a là đúng, trong trường hợp các bên đã ký PPA theo giá thỏa thuận và Bộ Công Thương sau đó ban hành khung giá cho RTS thì các bên có phải sửa đổi hợp đồng để phù hợp với khung giá này không ? Cần lưu ý rằng quyết định về khung giá phát điện là cho từng năm, do vậy nếu trong trường hợp có khung giá cho RTS thì các bên có khả năng phải điều chỉnh giá PPA cho từng năm để phù hợp.</w:t>
            </w:r>
          </w:p>
        </w:tc>
        <w:tc>
          <w:tcPr>
            <w:tcW w:w="1984" w:type="dxa"/>
            <w:vAlign w:val="center"/>
          </w:tcPr>
          <w:p w14:paraId="1756FC48" w14:textId="1E36603B"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lastRenderedPageBreak/>
              <w:t>B. Hướng dẫn áp dụng VBQPPL theo quy định tại Điều 61 Luật Ban hành VBQPPL năm 2025</w:t>
            </w:r>
          </w:p>
        </w:tc>
        <w:tc>
          <w:tcPr>
            <w:tcW w:w="1559" w:type="dxa"/>
            <w:vAlign w:val="center"/>
          </w:tcPr>
          <w:p w14:paraId="7F190BE0" w14:textId="2716862F"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Đoàn Luật Sư Hà Nội</w:t>
            </w:r>
          </w:p>
        </w:tc>
        <w:tc>
          <w:tcPr>
            <w:tcW w:w="2268" w:type="dxa"/>
            <w:vAlign w:val="center"/>
          </w:tcPr>
          <w:p w14:paraId="7EE999A4" w14:textId="26268F3E"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 xml:space="preserve">Để thu hút nhà đầu tư RTS bán điện trực tiếp cho khách hàng sử dụng điện lớn qua đường dây kết nối riêng, và để đảm bảo giá điện là tín hiệu đúng, phản ánh đầy đủ chi phí (phát điện, truyền tải điện và kinh doanh dịch vụ) và khuyến khích cả bên bán và bên mua đầu tư RTS, Bộ </w:t>
            </w:r>
            <w:r w:rsidRPr="00ED1F96">
              <w:rPr>
                <w:rFonts w:ascii="Times New Roman" w:eastAsia="Times New Roman" w:hAnsi="Times New Roman" w:cs="Times New Roman"/>
                <w:kern w:val="0"/>
                <w:sz w:val="25"/>
                <w:szCs w:val="25"/>
                <w14:ligatures w14:val="none"/>
              </w:rPr>
              <w:lastRenderedPageBreak/>
              <w:t>Công Thương đang rà soát đề xuất điều chỉnh quy định tại điểm a khoản 1 Điều 6 Nghị định số 57/2025/NĐ-</w:t>
            </w:r>
            <w:proofErr w:type="gramStart"/>
            <w:r w:rsidRPr="00ED1F96">
              <w:rPr>
                <w:rFonts w:ascii="Times New Roman" w:eastAsia="Times New Roman" w:hAnsi="Times New Roman" w:cs="Times New Roman"/>
                <w:kern w:val="0"/>
                <w:sz w:val="25"/>
                <w:szCs w:val="25"/>
                <w14:ligatures w14:val="none"/>
              </w:rPr>
              <w:t>CP .</w:t>
            </w:r>
            <w:proofErr w:type="gramEnd"/>
            <w:r w:rsidRPr="00ED1F96">
              <w:rPr>
                <w:rFonts w:ascii="Times New Roman" w:eastAsia="Times New Roman" w:hAnsi="Times New Roman" w:cs="Times New Roman"/>
                <w:kern w:val="0"/>
                <w:sz w:val="25"/>
                <w:szCs w:val="25"/>
                <w14:ligatures w14:val="none"/>
              </w:rPr>
              <w:t xml:space="preserve"> Do đó, Bộ Công Thương đề xuất phương án C. Sửa đổi, bổ sung, thay thế, ban hành mới VBQPPL (theo trình tự, thủ tục rút gọn) trong năm 2025. </w:t>
            </w:r>
          </w:p>
        </w:tc>
        <w:tc>
          <w:tcPr>
            <w:tcW w:w="2127" w:type="dxa"/>
            <w:vAlign w:val="center"/>
          </w:tcPr>
          <w:p w14:paraId="24BCA56A" w14:textId="044570BE" w:rsidR="001E5C17" w:rsidRPr="00ED1F96" w:rsidRDefault="001E5C17" w:rsidP="00003AE7">
            <w:pPr>
              <w:jc w:val="both"/>
              <w:rPr>
                <w:rFonts w:ascii="Times New Roman" w:hAnsi="Times New Roman" w:cs="Times New Roman"/>
                <w:b/>
                <w:sz w:val="26"/>
                <w:szCs w:val="26"/>
              </w:rPr>
            </w:pPr>
            <w:r w:rsidRPr="00ED1F96">
              <w:rPr>
                <w:rFonts w:ascii="Times New Roman" w:hAnsi="Times New Roman" w:cs="Times New Roman"/>
                <w:b/>
                <w:sz w:val="26"/>
                <w:szCs w:val="26"/>
              </w:rPr>
              <w:lastRenderedPageBreak/>
              <w:t xml:space="preserve">Đã </w:t>
            </w:r>
            <w:r w:rsidR="00003AE7" w:rsidRPr="00ED1F96">
              <w:rPr>
                <w:rFonts w:ascii="Times New Roman" w:hAnsi="Times New Roman" w:cs="Times New Roman"/>
                <w:b/>
                <w:sz w:val="26"/>
                <w:szCs w:val="26"/>
              </w:rPr>
              <w:t xml:space="preserve">xử lý </w:t>
            </w:r>
          </w:p>
          <w:p w14:paraId="62B81FCA" w14:textId="3A1AF88B" w:rsidR="00934968" w:rsidRPr="00ED1F96" w:rsidRDefault="001E5C17" w:rsidP="00003AE7">
            <w:pPr>
              <w:jc w:val="both"/>
              <w:rPr>
                <w:rFonts w:ascii="Times New Roman" w:hAnsi="Times New Roman" w:cs="Times New Roman"/>
                <w:sz w:val="25"/>
                <w:szCs w:val="25"/>
              </w:rPr>
            </w:pPr>
            <w:r w:rsidRPr="00ED1F96">
              <w:rPr>
                <w:rFonts w:ascii="Times New Roman" w:hAnsi="Times New Roman" w:cs="Times New Roman"/>
                <w:sz w:val="26"/>
                <w:szCs w:val="26"/>
              </w:rPr>
              <w:t>T</w:t>
            </w:r>
            <w:r w:rsidR="00003AE7" w:rsidRPr="00ED1F96">
              <w:rPr>
                <w:rFonts w:ascii="Times New Roman" w:hAnsi="Times New Roman" w:cs="Times New Roman"/>
                <w:sz w:val="26"/>
                <w:szCs w:val="26"/>
              </w:rPr>
              <w:t>ại Nghị quyết của Quốc hội về các cơ chế, chính sách tháo gỡ khó khăn phát triển năng lượng quốc gia giai đoạn 2026 – 2030.</w:t>
            </w:r>
          </w:p>
        </w:tc>
      </w:tr>
      <w:tr w:rsidR="00075377" w:rsidRPr="00ED1F96" w14:paraId="2264CC71" w14:textId="44E66B79" w:rsidTr="00E1781E">
        <w:tc>
          <w:tcPr>
            <w:tcW w:w="709" w:type="dxa"/>
            <w:vAlign w:val="center"/>
          </w:tcPr>
          <w:p w14:paraId="72C176E5" w14:textId="24F7903D"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3</w:t>
            </w:r>
          </w:p>
        </w:tc>
        <w:tc>
          <w:tcPr>
            <w:tcW w:w="2127" w:type="dxa"/>
            <w:vAlign w:val="center"/>
          </w:tcPr>
          <w:p w14:paraId="02FB1912" w14:textId="1DB96D9C" w:rsidR="00934968" w:rsidRPr="00ED1F96" w:rsidRDefault="00934968" w:rsidP="00270C96">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 xml:space="preserve">Khoản 3 Điều 26 Nghị </w:t>
            </w:r>
            <w:r w:rsidR="00270C96" w:rsidRPr="00ED1F96">
              <w:rPr>
                <w:rFonts w:ascii="Times New Roman" w:eastAsia="Times New Roman" w:hAnsi="Times New Roman" w:cs="Times New Roman"/>
                <w:kern w:val="0"/>
                <w:sz w:val="25"/>
                <w:szCs w:val="25"/>
                <w14:ligatures w14:val="none"/>
              </w:rPr>
              <w:t>định số</w:t>
            </w:r>
            <w:r w:rsidRPr="00ED1F96">
              <w:rPr>
                <w:rFonts w:ascii="Times New Roman" w:eastAsia="Times New Roman" w:hAnsi="Times New Roman" w:cs="Times New Roman"/>
                <w:kern w:val="0"/>
                <w:sz w:val="25"/>
                <w:szCs w:val="25"/>
                <w14:ligatures w14:val="none"/>
              </w:rPr>
              <w:t xml:space="preserve"> 146/2025/NĐ-CP ngày 12/6/2025 quy định về phân quyền, phân cấp trong lĩnh vực công nghiệp và thương mại</w:t>
            </w:r>
          </w:p>
        </w:tc>
        <w:tc>
          <w:tcPr>
            <w:tcW w:w="4536" w:type="dxa"/>
            <w:vAlign w:val="center"/>
          </w:tcPr>
          <w:p w14:paraId="75FD6DF9" w14:textId="6C6F0138"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 xml:space="preserve">“Nhiệm vụ, quyền hạn của Bộ trưởng Bộ Công Thương về thẩm định, phê duyệt, phê duyệt điều chỉnh phương án bảo vệ đập, hồ chứa thủy điện quan trọng đặc biệt và đập, hồ chứa thủy điện được xây dựng trên địa bàn 02 tỉnh trở lên quy định tại điểm a khoản 5 Điều 76 Luật Điện lực năm 2024, điểm a khoản 4 và khoản 7 Điều 35 Nghị định số 62/2025/NĐ-CP do Chủ tịch Ủy ban nhân dân tỉnh thực hiện” Đối với công trình đập, hồ chứa thủy điện trên dịa bàn từ 02 tỉnh trở lên khó khăn trong việc áp dụng thực hiện, có nhiều </w:t>
            </w:r>
            <w:r w:rsidRPr="00ED1F96">
              <w:rPr>
                <w:rFonts w:ascii="Times New Roman" w:eastAsia="Times New Roman" w:hAnsi="Times New Roman" w:cs="Times New Roman"/>
                <w:kern w:val="0"/>
                <w:sz w:val="25"/>
                <w:szCs w:val="25"/>
                <w14:ligatures w14:val="none"/>
              </w:rPr>
              <w:lastRenderedPageBreak/>
              <w:t>cách hiểu khác nhau: (i) UBND tỉnh nào thực hiện?; (ii) Mỗi tỉnh phê duyệt theo thẩm quyền quản lý phạm vi đập, hồ chứa thuộc địa bàn? (iii) 1 tỉnh chủ trì phê duyệt phương án sau khi lấy ý kiến thống nhất của các tỉnh liên quan?</w:t>
            </w:r>
          </w:p>
        </w:tc>
        <w:tc>
          <w:tcPr>
            <w:tcW w:w="1984" w:type="dxa"/>
            <w:vAlign w:val="center"/>
          </w:tcPr>
          <w:p w14:paraId="1670F0A2" w14:textId="798EB987"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lastRenderedPageBreak/>
              <w:t>C. Sửa đổi, bổ sung, thay thế, ban hành mới VBQPPL (theo trình tự, thủ tục rút gọn ban hành VBQPPL của Luật Ban hành VBQPPL)</w:t>
            </w:r>
          </w:p>
        </w:tc>
        <w:tc>
          <w:tcPr>
            <w:tcW w:w="1559" w:type="dxa"/>
            <w:vAlign w:val="center"/>
          </w:tcPr>
          <w:p w14:paraId="05CC351F" w14:textId="7370575E"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Bộ Công Thương</w:t>
            </w:r>
          </w:p>
        </w:tc>
        <w:tc>
          <w:tcPr>
            <w:tcW w:w="2268" w:type="dxa"/>
            <w:vAlign w:val="center"/>
          </w:tcPr>
          <w:p w14:paraId="061E9792" w14:textId="7122CA17"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Nhất trí,</w:t>
            </w:r>
            <w:r w:rsidR="00E71020" w:rsidRPr="00ED1F96">
              <w:rPr>
                <w:rFonts w:ascii="Times New Roman" w:eastAsia="Times New Roman" w:hAnsi="Times New Roman" w:cs="Times New Roman"/>
                <w:kern w:val="0"/>
                <w:sz w:val="25"/>
                <w:szCs w:val="25"/>
                <w14:ligatures w14:val="none"/>
              </w:rPr>
              <w:t xml:space="preserve"> </w:t>
            </w:r>
            <w:r w:rsidRPr="00ED1F96">
              <w:rPr>
                <w:rFonts w:ascii="Times New Roman" w:eastAsia="Times New Roman" w:hAnsi="Times New Roman" w:cs="Times New Roman"/>
                <w:kern w:val="0"/>
                <w:sz w:val="25"/>
                <w:szCs w:val="25"/>
                <w14:ligatures w14:val="none"/>
              </w:rPr>
              <w:t xml:space="preserve">sẽ ban hành thông tư theo thẩm quyền </w:t>
            </w:r>
          </w:p>
        </w:tc>
        <w:tc>
          <w:tcPr>
            <w:tcW w:w="2127" w:type="dxa"/>
            <w:vAlign w:val="center"/>
          </w:tcPr>
          <w:p w14:paraId="2F879FF7" w14:textId="551B3346" w:rsidR="00934968" w:rsidRPr="00ED1F96" w:rsidRDefault="00B94527" w:rsidP="00770331">
            <w:pPr>
              <w:rPr>
                <w:rFonts w:ascii="Times New Roman" w:eastAsia="Times New Roman" w:hAnsi="Times New Roman" w:cs="Times New Roman"/>
                <w:b/>
                <w:kern w:val="0"/>
                <w:sz w:val="25"/>
                <w:szCs w:val="25"/>
                <w14:ligatures w14:val="none"/>
              </w:rPr>
            </w:pPr>
            <w:r w:rsidRPr="00ED1F96">
              <w:rPr>
                <w:rFonts w:ascii="Times New Roman" w:eastAsia="Times New Roman" w:hAnsi="Times New Roman" w:cs="Times New Roman"/>
                <w:b/>
                <w:kern w:val="0"/>
                <w:sz w:val="25"/>
                <w:szCs w:val="25"/>
                <w14:ligatures w14:val="none"/>
              </w:rPr>
              <w:t>Chưa</w:t>
            </w:r>
            <w:r w:rsidR="00770331" w:rsidRPr="00ED1F96">
              <w:rPr>
                <w:rFonts w:ascii="Times New Roman" w:eastAsia="Times New Roman" w:hAnsi="Times New Roman" w:cs="Times New Roman"/>
                <w:b/>
                <w:kern w:val="0"/>
                <w:sz w:val="25"/>
                <w:szCs w:val="25"/>
                <w14:ligatures w14:val="none"/>
              </w:rPr>
              <w:t xml:space="preserve"> xử lý</w:t>
            </w:r>
          </w:p>
          <w:p w14:paraId="5EA95D15" w14:textId="2D4CE062" w:rsidR="001E5C17" w:rsidRPr="00ED1F96" w:rsidRDefault="001E5C17" w:rsidP="00770331">
            <w:pPr>
              <w:rPr>
                <w:rFonts w:ascii="Times New Roman" w:hAnsi="Times New Roman" w:cs="Times New Roman"/>
                <w:sz w:val="25"/>
                <w:szCs w:val="25"/>
              </w:rPr>
            </w:pPr>
            <w:r w:rsidRPr="00ED1F96">
              <w:rPr>
                <w:rFonts w:ascii="Times New Roman" w:hAnsi="Times New Roman" w:cs="Times New Roman"/>
                <w:sz w:val="25"/>
                <w:szCs w:val="25"/>
              </w:rPr>
              <w:t>Dự kiến Kế hoạch năm 2026.</w:t>
            </w:r>
          </w:p>
        </w:tc>
      </w:tr>
      <w:tr w:rsidR="00075377" w:rsidRPr="00ED1F96" w14:paraId="6429626A" w14:textId="1CFCCC1D" w:rsidTr="00E1781E">
        <w:tc>
          <w:tcPr>
            <w:tcW w:w="709" w:type="dxa"/>
            <w:vAlign w:val="center"/>
          </w:tcPr>
          <w:p w14:paraId="1003CE6A" w14:textId="04A4B6DF"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4</w:t>
            </w:r>
          </w:p>
        </w:tc>
        <w:tc>
          <w:tcPr>
            <w:tcW w:w="2127" w:type="dxa"/>
            <w:vAlign w:val="center"/>
          </w:tcPr>
          <w:p w14:paraId="7D12774B" w14:textId="3E0845B4"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Điều 13 Nghị định số 28/2018/NĐ-CP ngày 01 tháng 03 năm 2018 của Chính phủ quy định chi tiết Luật Quản lý ngoại thương về một số biện pháp phát triển ngoại thương</w:t>
            </w:r>
          </w:p>
        </w:tc>
        <w:tc>
          <w:tcPr>
            <w:tcW w:w="4536" w:type="dxa"/>
            <w:vAlign w:val="center"/>
          </w:tcPr>
          <w:p w14:paraId="487780B1" w14:textId="5E66E92C"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 xml:space="preserve">Quy định hiện tại có thể gây ra những cách hiểu khác nhau, cụ thể: - Khoản 1 Điều 13: “ngày đầu tiên diễn ra hoạt động xúc tiến thương mại” có thể được hiểu là ngày đầu tiên diễn ra hoạt động XTTM ghi trên quyết định phê duyệt của Bộ Công Thương hoặc ngày ngày đầu tiên diễn ra hoạt động XTTM theo đề xuất điều chỉnh thực hiện đề án XTTM của đơn vị chủ trì. - Khoản 2 Điều 13: các điều chỉnh liên quan đến thời gian, địa điểm, giữ nguyên mục tiêu, nội dung, kinh </w:t>
            </w:r>
            <w:proofErr w:type="gramStart"/>
            <w:r w:rsidRPr="00ED1F96">
              <w:rPr>
                <w:rFonts w:ascii="Times New Roman" w:eastAsia="Times New Roman" w:hAnsi="Times New Roman" w:cs="Times New Roman"/>
                <w:kern w:val="0"/>
                <w:sz w:val="25"/>
                <w:szCs w:val="25"/>
                <w14:ligatures w14:val="none"/>
              </w:rPr>
              <w:t>phí,…</w:t>
            </w:r>
            <w:proofErr w:type="gramEnd"/>
            <w:r w:rsidRPr="00ED1F96">
              <w:rPr>
                <w:rFonts w:ascii="Times New Roman" w:eastAsia="Times New Roman" w:hAnsi="Times New Roman" w:cs="Times New Roman"/>
                <w:kern w:val="0"/>
                <w:sz w:val="25"/>
                <w:szCs w:val="25"/>
                <w14:ligatures w14:val="none"/>
              </w:rPr>
              <w:t xml:space="preserve"> không làm thay đổi bản chất của đề án XTTM. Tuy nhiên, đối với một số điều chỉnh, thay đổi khác liên quan đến kinh phí, thị trường mục </w:t>
            </w:r>
            <w:proofErr w:type="gramStart"/>
            <w:r w:rsidRPr="00ED1F96">
              <w:rPr>
                <w:rFonts w:ascii="Times New Roman" w:eastAsia="Times New Roman" w:hAnsi="Times New Roman" w:cs="Times New Roman"/>
                <w:kern w:val="0"/>
                <w:sz w:val="25"/>
                <w:szCs w:val="25"/>
                <w14:ligatures w14:val="none"/>
              </w:rPr>
              <w:t>tiêu,…</w:t>
            </w:r>
            <w:proofErr w:type="gramEnd"/>
            <w:r w:rsidRPr="00ED1F96">
              <w:rPr>
                <w:rFonts w:ascii="Times New Roman" w:eastAsia="Times New Roman" w:hAnsi="Times New Roman" w:cs="Times New Roman"/>
                <w:kern w:val="0"/>
                <w:sz w:val="25"/>
                <w:szCs w:val="25"/>
                <w14:ligatures w14:val="none"/>
              </w:rPr>
              <w:t xml:space="preserve"> làm thay đổi bản chất</w:t>
            </w:r>
          </w:p>
        </w:tc>
        <w:tc>
          <w:tcPr>
            <w:tcW w:w="1984" w:type="dxa"/>
            <w:vAlign w:val="center"/>
          </w:tcPr>
          <w:p w14:paraId="2B90D74D" w14:textId="2D0C3492"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C. Sửa đổi, bổ sung, thay thế, ban hành mới VBQPPL (theo trình tự, thủ tục rút gọn ban hành VBQPPL của Luật Ban hành VBQPPL)</w:t>
            </w:r>
          </w:p>
        </w:tc>
        <w:tc>
          <w:tcPr>
            <w:tcW w:w="1559" w:type="dxa"/>
            <w:vAlign w:val="center"/>
          </w:tcPr>
          <w:p w14:paraId="6EA06602" w14:textId="48499AFB"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Bộ Công Thương</w:t>
            </w:r>
          </w:p>
        </w:tc>
        <w:tc>
          <w:tcPr>
            <w:tcW w:w="2268" w:type="dxa"/>
            <w:vAlign w:val="center"/>
          </w:tcPr>
          <w:p w14:paraId="1A764E0B" w14:textId="4ACB7622"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 xml:space="preserve">Nhất trí sửa đổi Nghị định số 28/2018/NĐ-CP (theo trình tự, thủ tục rút gọn ban hành VBQPPL của Luật Ban hành VBQPPL). Về khoản 2 Điều 13: Đối với các trường hợp đề nghị điều chỉnh tên đơn vị chủ trì, thời gian, địa điểm thực hiện đề án, trong vòng 07 ngày làm việc kể từ ngày nhận được văn bản đề nghị (tính theo dấu công văn đến), Bộ Công Thương trả lời bằng văn bản đồng ý </w:t>
            </w:r>
            <w:r w:rsidRPr="00ED1F96">
              <w:rPr>
                <w:rFonts w:ascii="Times New Roman" w:eastAsia="Times New Roman" w:hAnsi="Times New Roman" w:cs="Times New Roman"/>
                <w:kern w:val="0"/>
                <w:sz w:val="25"/>
                <w:szCs w:val="25"/>
                <w14:ligatures w14:val="none"/>
              </w:rPr>
              <w:lastRenderedPageBreak/>
              <w:t>hoặc không đồng ý về việc điều chỉnh, thay đổi. Đối với các trường hợp thay đổi nội dung khác của đề án, thực hiện theo qui trình quy định tại Điều 11 của Nghị định 28/2018/NĐ-CP</w:t>
            </w:r>
          </w:p>
        </w:tc>
        <w:tc>
          <w:tcPr>
            <w:tcW w:w="2127" w:type="dxa"/>
            <w:vAlign w:val="center"/>
          </w:tcPr>
          <w:p w14:paraId="19064682" w14:textId="351500A5" w:rsidR="001E5C17" w:rsidRPr="00ED1F96" w:rsidRDefault="00B94527" w:rsidP="00003AE7">
            <w:pPr>
              <w:jc w:val="both"/>
              <w:rPr>
                <w:rFonts w:ascii="Times New Roman" w:hAnsi="Times New Roman" w:cs="Times New Roman"/>
                <w:b/>
                <w:sz w:val="26"/>
                <w:szCs w:val="26"/>
              </w:rPr>
            </w:pPr>
            <w:r w:rsidRPr="00ED1F96">
              <w:rPr>
                <w:rFonts w:ascii="Times New Roman" w:hAnsi="Times New Roman" w:cs="Times New Roman"/>
                <w:b/>
                <w:sz w:val="26"/>
                <w:szCs w:val="26"/>
              </w:rPr>
              <w:lastRenderedPageBreak/>
              <w:t>Chưa</w:t>
            </w:r>
            <w:r w:rsidR="00CF74E0" w:rsidRPr="00ED1F96">
              <w:rPr>
                <w:rFonts w:ascii="Times New Roman" w:hAnsi="Times New Roman" w:cs="Times New Roman"/>
                <w:b/>
                <w:sz w:val="26"/>
                <w:szCs w:val="26"/>
              </w:rPr>
              <w:t xml:space="preserve"> xử lý</w:t>
            </w:r>
          </w:p>
          <w:p w14:paraId="479CC474" w14:textId="5EAFBC94" w:rsidR="00934968" w:rsidRPr="00ED1F96" w:rsidRDefault="001E5C17" w:rsidP="00003AE7">
            <w:pPr>
              <w:jc w:val="both"/>
              <w:rPr>
                <w:rFonts w:ascii="Times New Roman" w:hAnsi="Times New Roman" w:cs="Times New Roman"/>
                <w:sz w:val="25"/>
                <w:szCs w:val="25"/>
              </w:rPr>
            </w:pPr>
            <w:r w:rsidRPr="00ED1F96">
              <w:rPr>
                <w:rFonts w:ascii="Times New Roman" w:hAnsi="Times New Roman" w:cs="Times New Roman"/>
                <w:sz w:val="26"/>
                <w:szCs w:val="26"/>
              </w:rPr>
              <w:t>T</w:t>
            </w:r>
            <w:r w:rsidR="00CA5DC4" w:rsidRPr="00ED1F96">
              <w:rPr>
                <w:rFonts w:ascii="Times New Roman" w:hAnsi="Times New Roman" w:cs="Times New Roman"/>
                <w:sz w:val="26"/>
                <w:szCs w:val="26"/>
              </w:rPr>
              <w:t>heo</w:t>
            </w:r>
            <w:r w:rsidR="00CF74E0" w:rsidRPr="00ED1F96">
              <w:rPr>
                <w:rFonts w:ascii="Times New Roman" w:hAnsi="Times New Roman" w:cs="Times New Roman"/>
                <w:sz w:val="26"/>
                <w:szCs w:val="26"/>
              </w:rPr>
              <w:t xml:space="preserve"> </w:t>
            </w:r>
            <w:r w:rsidR="00003AE7" w:rsidRPr="00ED1F96">
              <w:rPr>
                <w:rFonts w:ascii="Times New Roman" w:hAnsi="Times New Roman" w:cs="Times New Roman"/>
                <w:sz w:val="26"/>
                <w:szCs w:val="26"/>
              </w:rPr>
              <w:t>Tờ trình số 9420/TTr-BCT ngày 28/11/2025 trình Chính phủ dự thảo Nghị định.</w:t>
            </w:r>
          </w:p>
        </w:tc>
      </w:tr>
      <w:tr w:rsidR="00075377" w:rsidRPr="00ED1F96" w14:paraId="7C2A7FDF" w14:textId="69E2E49D" w:rsidTr="00E1781E">
        <w:tc>
          <w:tcPr>
            <w:tcW w:w="709" w:type="dxa"/>
            <w:vAlign w:val="center"/>
          </w:tcPr>
          <w:p w14:paraId="22B17944" w14:textId="4F4FCC33"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5</w:t>
            </w:r>
          </w:p>
        </w:tc>
        <w:tc>
          <w:tcPr>
            <w:tcW w:w="2127" w:type="dxa"/>
            <w:vAlign w:val="center"/>
          </w:tcPr>
          <w:p w14:paraId="0D85E9BE" w14:textId="4359B02C"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Khoản 1 Điều 5 Nghị định số 81/2018/NĐ-CP ngày 22 tháng 5 năm 2018 của Chính phủ quy định chi tiết Luật Thương mại về hoạt động xúc tiến thương mại.</w:t>
            </w:r>
          </w:p>
        </w:tc>
        <w:tc>
          <w:tcPr>
            <w:tcW w:w="4536" w:type="dxa"/>
            <w:vAlign w:val="center"/>
          </w:tcPr>
          <w:p w14:paraId="6564CECD" w14:textId="62C8542F"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Khoản 1 Điều 5 Nghị định số 81/2018/NĐ-CP quy định hàng hóa, dịch vụ được khuyến mại không bao gồm rượu, xổ số, thuốc lá, sữa thay thế sữa mẹ, thuốc chữa bệnh cho người kể cả các loại thuốc đã được phép lưu thông theo quy định của Bộ Y tế (trừ trường hợp khuyến mại cho thương nhân kinh doanh thuốc) dịch vụ khám, chữa bệnh của cơ sở y tế công lập, dịch vụ giáo dục của cơ sở công lập, cơ sở giáo dục nghề nghiệp công lập. Nội dung quy định mang tính chất liệt kê dẫn đến khả năng không đầy đủ, không hợp lý, không khả thi, gây khó khăn trong áp dụng, thực hiện pháp luật. Do vậy cần quy định theo hướng khái quát hơn.</w:t>
            </w:r>
          </w:p>
        </w:tc>
        <w:tc>
          <w:tcPr>
            <w:tcW w:w="1984" w:type="dxa"/>
            <w:vAlign w:val="center"/>
          </w:tcPr>
          <w:p w14:paraId="675E71D3" w14:textId="3A5284DD"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C. Sửa đổi, bổ sung, thay thế, ban hành mới VBQPPL (theo trình tự, thủ tục rút gọn ban hành VBQPPL của Luật Ban hành VBQPPL)</w:t>
            </w:r>
          </w:p>
        </w:tc>
        <w:tc>
          <w:tcPr>
            <w:tcW w:w="1559" w:type="dxa"/>
            <w:vAlign w:val="center"/>
          </w:tcPr>
          <w:p w14:paraId="2D41A650" w14:textId="0ABFDA72"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Bộ Công Thương</w:t>
            </w:r>
          </w:p>
        </w:tc>
        <w:tc>
          <w:tcPr>
            <w:tcW w:w="2268" w:type="dxa"/>
            <w:vAlign w:val="center"/>
          </w:tcPr>
          <w:p w14:paraId="4A960BCD" w14:textId="7D2BF7D0"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Nhất trí sửa đổi Nghị định số 81/2018/NĐ-CP (theo trình tự, thủ tục rút gọn ban hành VBQPPL của Luật Ban hành VBQPPL)</w:t>
            </w:r>
          </w:p>
        </w:tc>
        <w:tc>
          <w:tcPr>
            <w:tcW w:w="2127" w:type="dxa"/>
            <w:vAlign w:val="center"/>
          </w:tcPr>
          <w:p w14:paraId="0E96914A" w14:textId="7CF6A7FE" w:rsidR="001E5C17" w:rsidRPr="00ED1F96" w:rsidRDefault="00E9604A" w:rsidP="00003AE7">
            <w:pPr>
              <w:jc w:val="both"/>
              <w:rPr>
                <w:rFonts w:ascii="Times New Roman" w:hAnsi="Times New Roman" w:cs="Times New Roman"/>
                <w:b/>
                <w:sz w:val="26"/>
                <w:szCs w:val="26"/>
              </w:rPr>
            </w:pPr>
            <w:r w:rsidRPr="00ED1F96">
              <w:rPr>
                <w:rFonts w:ascii="Times New Roman" w:hAnsi="Times New Roman" w:cs="Times New Roman"/>
                <w:b/>
                <w:sz w:val="26"/>
                <w:szCs w:val="26"/>
              </w:rPr>
              <w:t>Chưa</w:t>
            </w:r>
            <w:r w:rsidR="00003AE7" w:rsidRPr="00ED1F96">
              <w:rPr>
                <w:rFonts w:ascii="Times New Roman" w:hAnsi="Times New Roman" w:cs="Times New Roman"/>
                <w:b/>
                <w:sz w:val="26"/>
                <w:szCs w:val="26"/>
              </w:rPr>
              <w:t xml:space="preserve"> xử lý</w:t>
            </w:r>
          </w:p>
          <w:p w14:paraId="794F8EE9" w14:textId="569339AC" w:rsidR="00934968" w:rsidRPr="00ED1F96" w:rsidRDefault="001E5C17" w:rsidP="00003AE7">
            <w:pPr>
              <w:jc w:val="both"/>
              <w:rPr>
                <w:rFonts w:ascii="Times New Roman" w:hAnsi="Times New Roman" w:cs="Times New Roman"/>
                <w:sz w:val="25"/>
                <w:szCs w:val="25"/>
              </w:rPr>
            </w:pPr>
            <w:r w:rsidRPr="00ED1F96">
              <w:rPr>
                <w:rFonts w:ascii="Times New Roman" w:hAnsi="Times New Roman" w:cs="Times New Roman"/>
                <w:sz w:val="26"/>
                <w:szCs w:val="26"/>
              </w:rPr>
              <w:t>T</w:t>
            </w:r>
            <w:r w:rsidR="00003AE7" w:rsidRPr="00ED1F96">
              <w:rPr>
                <w:rFonts w:ascii="Times New Roman" w:hAnsi="Times New Roman" w:cs="Times New Roman"/>
                <w:sz w:val="26"/>
                <w:szCs w:val="26"/>
              </w:rPr>
              <w:t>heo</w:t>
            </w:r>
            <w:r w:rsidR="00341CB3" w:rsidRPr="00ED1F96">
              <w:rPr>
                <w:rFonts w:ascii="Times New Roman" w:hAnsi="Times New Roman" w:cs="Times New Roman"/>
                <w:sz w:val="26"/>
                <w:szCs w:val="26"/>
              </w:rPr>
              <w:t xml:space="preserve"> </w:t>
            </w:r>
            <w:r w:rsidR="00003AE7" w:rsidRPr="00ED1F96">
              <w:rPr>
                <w:rFonts w:ascii="Times New Roman" w:hAnsi="Times New Roman" w:cs="Times New Roman"/>
                <w:sz w:val="26"/>
                <w:szCs w:val="26"/>
              </w:rPr>
              <w:t>Tờ trình số 9421/TTr-BCT ngày 28/11/2025 trình Chính phủ dự thảo Nghị định.</w:t>
            </w:r>
          </w:p>
        </w:tc>
      </w:tr>
      <w:tr w:rsidR="00075377" w:rsidRPr="00ED1F96" w14:paraId="55AC0243" w14:textId="25C31361" w:rsidTr="00E1781E">
        <w:tc>
          <w:tcPr>
            <w:tcW w:w="709" w:type="dxa"/>
            <w:vAlign w:val="center"/>
          </w:tcPr>
          <w:p w14:paraId="05787857" w14:textId="16C1499D"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6</w:t>
            </w:r>
          </w:p>
        </w:tc>
        <w:tc>
          <w:tcPr>
            <w:tcW w:w="2127" w:type="dxa"/>
            <w:vAlign w:val="center"/>
          </w:tcPr>
          <w:p w14:paraId="79AD4B7D" w14:textId="1031CA9B"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 xml:space="preserve">Khoản 1 Điều 13 </w:t>
            </w:r>
            <w:r w:rsidRPr="00ED1F96">
              <w:rPr>
                <w:rFonts w:ascii="Times New Roman" w:eastAsia="Times New Roman" w:hAnsi="Times New Roman" w:cs="Times New Roman"/>
                <w:kern w:val="0"/>
                <w:sz w:val="25"/>
                <w:szCs w:val="25"/>
                <w14:ligatures w14:val="none"/>
              </w:rPr>
              <w:lastRenderedPageBreak/>
              <w:t>Nghị định số 81/2018/NĐ-CP ngày 22 tháng 5 năm 2018 của Chính phủ quy định chi tiết Luật Thương mại về hoạt động xúc tiến thương mại.</w:t>
            </w:r>
          </w:p>
        </w:tc>
        <w:tc>
          <w:tcPr>
            <w:tcW w:w="4536" w:type="dxa"/>
            <w:vAlign w:val="center"/>
          </w:tcPr>
          <w:p w14:paraId="0835E8DC" w14:textId="6136431F"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lastRenderedPageBreak/>
              <w:t xml:space="preserve">Khoản 1 Điều 13 Nghị định số </w:t>
            </w:r>
            <w:r w:rsidRPr="00ED1F96">
              <w:rPr>
                <w:rFonts w:ascii="Times New Roman" w:eastAsia="Times New Roman" w:hAnsi="Times New Roman" w:cs="Times New Roman"/>
                <w:kern w:val="0"/>
                <w:sz w:val="25"/>
                <w:szCs w:val="25"/>
                <w14:ligatures w14:val="none"/>
              </w:rPr>
              <w:lastRenderedPageBreak/>
              <w:t>81/2018/NĐ-CP hiện quy định: “Việc xác định trúng thưởng trong chương trình khuyến mại mang tính may rủi phải … có sự chứng kiến của khách hàng …” mà không nêu rõ sự chứng kiến của khách hàng là trực tiếp hay gián tiếp nên gây khó khăn trong quá trình thực hiện. Một số doanh nghiệp cho rằng việc tổ chức xác định trúng thưởng và quay, phát trực tuyến trên website/nền tảng mạng xã hội có sự theo dõi của khách hàng là đã đảm bảo thực hiện đúng theo quy định nêu trên.</w:t>
            </w:r>
          </w:p>
        </w:tc>
        <w:tc>
          <w:tcPr>
            <w:tcW w:w="1984" w:type="dxa"/>
            <w:vAlign w:val="center"/>
          </w:tcPr>
          <w:p w14:paraId="1732E983" w14:textId="79B9D98B"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lastRenderedPageBreak/>
              <w:t xml:space="preserve">C. Sửa đổi, bổ </w:t>
            </w:r>
            <w:r w:rsidRPr="00ED1F96">
              <w:rPr>
                <w:rFonts w:ascii="Times New Roman" w:eastAsia="Times New Roman" w:hAnsi="Times New Roman" w:cs="Times New Roman"/>
                <w:kern w:val="0"/>
                <w:sz w:val="25"/>
                <w:szCs w:val="25"/>
                <w14:ligatures w14:val="none"/>
              </w:rPr>
              <w:lastRenderedPageBreak/>
              <w:t>sung, thay thế, ban hành mới VBQPPL (theo trình tự, thủ tục rút gọn ban hành VBQPPL của Luật Ban hành VBQPPL)</w:t>
            </w:r>
          </w:p>
        </w:tc>
        <w:tc>
          <w:tcPr>
            <w:tcW w:w="1559" w:type="dxa"/>
            <w:vAlign w:val="center"/>
          </w:tcPr>
          <w:p w14:paraId="1734F2CD" w14:textId="69DBAF2A"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lastRenderedPageBreak/>
              <w:t xml:space="preserve">Bộ Công </w:t>
            </w:r>
            <w:r w:rsidRPr="00ED1F96">
              <w:rPr>
                <w:rFonts w:ascii="Times New Roman" w:eastAsia="Times New Roman" w:hAnsi="Times New Roman" w:cs="Times New Roman"/>
                <w:kern w:val="0"/>
                <w:sz w:val="25"/>
                <w:szCs w:val="25"/>
                <w14:ligatures w14:val="none"/>
              </w:rPr>
              <w:lastRenderedPageBreak/>
              <w:t>Thương</w:t>
            </w:r>
          </w:p>
        </w:tc>
        <w:tc>
          <w:tcPr>
            <w:tcW w:w="2268" w:type="dxa"/>
            <w:vAlign w:val="center"/>
          </w:tcPr>
          <w:p w14:paraId="65535C64" w14:textId="2BDBE043"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lastRenderedPageBreak/>
              <w:t xml:space="preserve">Nhất trí sửa đổi </w:t>
            </w:r>
            <w:r w:rsidRPr="00ED1F96">
              <w:rPr>
                <w:rFonts w:ascii="Times New Roman" w:eastAsia="Times New Roman" w:hAnsi="Times New Roman" w:cs="Times New Roman"/>
                <w:kern w:val="0"/>
                <w:sz w:val="25"/>
                <w:szCs w:val="25"/>
                <w14:ligatures w14:val="none"/>
              </w:rPr>
              <w:lastRenderedPageBreak/>
              <w:t>Nghị định số 81/2018/NĐ-CP (theo trình tự, thủ tục rút gọn ban hành VBQPPL của Luật Ban hành VBQPPL)</w:t>
            </w:r>
          </w:p>
        </w:tc>
        <w:tc>
          <w:tcPr>
            <w:tcW w:w="2127" w:type="dxa"/>
            <w:vAlign w:val="center"/>
          </w:tcPr>
          <w:p w14:paraId="76A91184" w14:textId="6D77C1A7" w:rsidR="001E5C17" w:rsidRPr="00ED1F96" w:rsidRDefault="00B94527" w:rsidP="00003AE7">
            <w:pPr>
              <w:jc w:val="both"/>
              <w:rPr>
                <w:rFonts w:ascii="Times New Roman" w:hAnsi="Times New Roman" w:cs="Times New Roman"/>
                <w:b/>
                <w:sz w:val="26"/>
                <w:szCs w:val="26"/>
              </w:rPr>
            </w:pPr>
            <w:r w:rsidRPr="00ED1F96">
              <w:rPr>
                <w:rFonts w:ascii="Times New Roman" w:hAnsi="Times New Roman" w:cs="Times New Roman"/>
                <w:b/>
                <w:sz w:val="26"/>
                <w:szCs w:val="26"/>
              </w:rPr>
              <w:lastRenderedPageBreak/>
              <w:t>Chưa</w:t>
            </w:r>
            <w:r w:rsidR="00003AE7" w:rsidRPr="00ED1F96">
              <w:rPr>
                <w:rFonts w:ascii="Times New Roman" w:hAnsi="Times New Roman" w:cs="Times New Roman"/>
                <w:b/>
                <w:sz w:val="26"/>
                <w:szCs w:val="26"/>
              </w:rPr>
              <w:t xml:space="preserve"> xử lý </w:t>
            </w:r>
          </w:p>
          <w:p w14:paraId="4A0C51D4" w14:textId="69DB114A" w:rsidR="00934968" w:rsidRPr="00ED1F96" w:rsidRDefault="001E5C17" w:rsidP="00003AE7">
            <w:pPr>
              <w:jc w:val="both"/>
              <w:rPr>
                <w:rFonts w:ascii="Times New Roman" w:hAnsi="Times New Roman" w:cs="Times New Roman"/>
                <w:sz w:val="25"/>
                <w:szCs w:val="25"/>
              </w:rPr>
            </w:pPr>
            <w:r w:rsidRPr="00ED1F96">
              <w:rPr>
                <w:rFonts w:ascii="Times New Roman" w:hAnsi="Times New Roman" w:cs="Times New Roman"/>
                <w:sz w:val="26"/>
                <w:szCs w:val="26"/>
              </w:rPr>
              <w:lastRenderedPageBreak/>
              <w:t>T</w:t>
            </w:r>
            <w:r w:rsidR="00003AE7" w:rsidRPr="00ED1F96">
              <w:rPr>
                <w:rFonts w:ascii="Times New Roman" w:hAnsi="Times New Roman" w:cs="Times New Roman"/>
                <w:sz w:val="26"/>
                <w:szCs w:val="26"/>
              </w:rPr>
              <w:t>heo Tờ trình số 9421/TTr-BCT ngày 28/11/2025 trình Chính phủ dự thảo Nghị định.</w:t>
            </w:r>
          </w:p>
        </w:tc>
      </w:tr>
      <w:tr w:rsidR="00075377" w:rsidRPr="00ED1F96" w14:paraId="4B7ECEC2" w14:textId="7E5D941D" w:rsidTr="00E1781E">
        <w:tc>
          <w:tcPr>
            <w:tcW w:w="709" w:type="dxa"/>
            <w:vAlign w:val="center"/>
          </w:tcPr>
          <w:p w14:paraId="42DFB2C9" w14:textId="29AE48C6"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lastRenderedPageBreak/>
              <w:t>7</w:t>
            </w:r>
          </w:p>
        </w:tc>
        <w:tc>
          <w:tcPr>
            <w:tcW w:w="2127" w:type="dxa"/>
            <w:vAlign w:val="center"/>
          </w:tcPr>
          <w:p w14:paraId="1ADA98D2" w14:textId="1E2A97E4"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Khoản 5 Điều 13 Nghị định số 81/2018/NĐ-CP ngày 22 tháng 5 năm 2018 của Chính phủ quy định chi tiết Luật Thương mại về hoạt động xúc tiến thương mại.</w:t>
            </w:r>
          </w:p>
        </w:tc>
        <w:tc>
          <w:tcPr>
            <w:tcW w:w="4536" w:type="dxa"/>
            <w:vAlign w:val="center"/>
          </w:tcPr>
          <w:p w14:paraId="4F2574EC" w14:textId="6311D600"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 xml:space="preserve">Khoản 5 Điều 13 Nghị định số 81/2018/NĐ-CP quy định: “Giải thưởng không có người trúng thưởng của chương trình khuyến mại mang tính may rủi quy định tại Khoản 4 Điều này là giải thưởng trong trường hợp hết thời hạn trao thưởng nhưng không có người nhận hoặc không xác định được người trúng thưởng”. Trong thời gian qua, nhiều trường hợp doanh nghiệp trao giải thưởng cho khách hàng trúng thưởng quá thời hạn quy định do nguyên nhân từ phía khách hàng hoặc nguyên nhân bất khả kháng theo quy định của pháp luật. Đặc biệt, trong giai đoạn dịch Covid – 19 bùng phát mạnh, nhiều tỉnh, thành phố phải thực hiện giãn cách xã </w:t>
            </w:r>
            <w:r w:rsidRPr="00ED1F96">
              <w:rPr>
                <w:rFonts w:ascii="Times New Roman" w:eastAsia="Times New Roman" w:hAnsi="Times New Roman" w:cs="Times New Roman"/>
                <w:kern w:val="0"/>
                <w:sz w:val="25"/>
                <w:szCs w:val="25"/>
                <w14:ligatures w14:val="none"/>
              </w:rPr>
              <w:lastRenderedPageBreak/>
              <w:t>hội thì việc trao giải thưởng cho khách hàng đúng trong thời hạn quy định tại khoản 1 Điều 21 Nghị định số 81/2018/NĐ-CP (trong vòng 45 ngày kể từ ngày kết thúc thời gian thực hiện khuyến mại) là rất khó khăn. Theo như quy định tại khoản 5 Điều 13 nêu trên, những giải thưởng trao cho khách hàng trúng thưởng quá thời hạn này sẽ là giải thưởng không có người trúng thưởng và doanh nghiệp sẽ phải trích 50% giá trị giải thưởng đã công bố vào ngân sách nhà nước cho dù đã trao được giải thưởng cho khách hàng. Như vậy, đây là một trong những bất cập, khó khăn của doanh nghiệp mặc dù các doanh nghiệp đã cố gắng trao giải thưởng và đảm bảo quyền lợi của khách hàng.</w:t>
            </w:r>
          </w:p>
        </w:tc>
        <w:tc>
          <w:tcPr>
            <w:tcW w:w="1984" w:type="dxa"/>
            <w:vAlign w:val="center"/>
          </w:tcPr>
          <w:p w14:paraId="6B036A42" w14:textId="3E4BA57A" w:rsidR="00934968" w:rsidRPr="00ED1F96" w:rsidRDefault="00934968" w:rsidP="00BA3FE7">
            <w:pPr>
              <w:jc w:val="both"/>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lastRenderedPageBreak/>
              <w:t>C. Sửa đổi, bổ sung, thay thế, ban hành mới VBQPPL (theo trình tự, thủ tục rút gọn ban hành VBQPPL của Luật Ban hành VBQPPL)</w:t>
            </w:r>
          </w:p>
        </w:tc>
        <w:tc>
          <w:tcPr>
            <w:tcW w:w="1559" w:type="dxa"/>
            <w:vAlign w:val="center"/>
          </w:tcPr>
          <w:p w14:paraId="7D104EB9" w14:textId="77180D3D"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Bộ Công Thương</w:t>
            </w:r>
          </w:p>
        </w:tc>
        <w:tc>
          <w:tcPr>
            <w:tcW w:w="2268" w:type="dxa"/>
            <w:vAlign w:val="center"/>
          </w:tcPr>
          <w:p w14:paraId="75A90D02" w14:textId="70C0C7C8" w:rsidR="00934968" w:rsidRPr="00ED1F96" w:rsidRDefault="00934968" w:rsidP="00934968">
            <w:pPr>
              <w:rPr>
                <w:rFonts w:ascii="Times New Roman" w:hAnsi="Times New Roman" w:cs="Times New Roman"/>
                <w:sz w:val="25"/>
                <w:szCs w:val="25"/>
              </w:rPr>
            </w:pPr>
            <w:r w:rsidRPr="00ED1F96">
              <w:rPr>
                <w:rFonts w:ascii="Times New Roman" w:eastAsia="Times New Roman" w:hAnsi="Times New Roman" w:cs="Times New Roman"/>
                <w:kern w:val="0"/>
                <w:sz w:val="25"/>
                <w:szCs w:val="25"/>
                <w14:ligatures w14:val="none"/>
              </w:rPr>
              <w:t>Nhất trí sửa đổi Nghị định số 81/2018/NĐ-CP (theo trình tự, thủ tục rút gọn ban hành VBQPPL của Luật Ban hành VBQPPL)</w:t>
            </w:r>
          </w:p>
        </w:tc>
        <w:tc>
          <w:tcPr>
            <w:tcW w:w="2127" w:type="dxa"/>
            <w:vAlign w:val="center"/>
          </w:tcPr>
          <w:p w14:paraId="2E2601BC" w14:textId="5D6712F7" w:rsidR="001E5C17" w:rsidRPr="00ED1F96" w:rsidRDefault="00B94527" w:rsidP="00003AE7">
            <w:pPr>
              <w:jc w:val="both"/>
              <w:rPr>
                <w:rFonts w:ascii="Times New Roman" w:hAnsi="Times New Roman" w:cs="Times New Roman"/>
                <w:b/>
                <w:sz w:val="26"/>
                <w:szCs w:val="26"/>
              </w:rPr>
            </w:pPr>
            <w:r w:rsidRPr="00ED1F96">
              <w:rPr>
                <w:rFonts w:ascii="Times New Roman" w:hAnsi="Times New Roman" w:cs="Times New Roman"/>
                <w:b/>
                <w:sz w:val="26"/>
                <w:szCs w:val="26"/>
              </w:rPr>
              <w:t>Chưa</w:t>
            </w:r>
            <w:r w:rsidR="00003AE7" w:rsidRPr="00ED1F96">
              <w:rPr>
                <w:rFonts w:ascii="Times New Roman" w:hAnsi="Times New Roman" w:cs="Times New Roman"/>
                <w:b/>
                <w:sz w:val="26"/>
                <w:szCs w:val="26"/>
              </w:rPr>
              <w:t xml:space="preserve"> xử lý </w:t>
            </w:r>
          </w:p>
          <w:p w14:paraId="71650507" w14:textId="69187205" w:rsidR="00934968" w:rsidRPr="00ED1F96" w:rsidRDefault="001E5C17" w:rsidP="00003AE7">
            <w:pPr>
              <w:jc w:val="both"/>
              <w:rPr>
                <w:rFonts w:ascii="Times New Roman" w:hAnsi="Times New Roman" w:cs="Times New Roman"/>
                <w:sz w:val="25"/>
                <w:szCs w:val="25"/>
              </w:rPr>
            </w:pPr>
            <w:r w:rsidRPr="00ED1F96">
              <w:rPr>
                <w:rFonts w:ascii="Times New Roman" w:hAnsi="Times New Roman" w:cs="Times New Roman"/>
                <w:sz w:val="26"/>
                <w:szCs w:val="26"/>
              </w:rPr>
              <w:t>T</w:t>
            </w:r>
            <w:r w:rsidR="00003AE7" w:rsidRPr="00ED1F96">
              <w:rPr>
                <w:rFonts w:ascii="Times New Roman" w:hAnsi="Times New Roman" w:cs="Times New Roman"/>
                <w:sz w:val="26"/>
                <w:szCs w:val="26"/>
              </w:rPr>
              <w:t>heo Tờ trình số 9421/TTr-BCT ngày 28/11/2025 trình Chính phủ dự thảo Nghị định.</w:t>
            </w:r>
          </w:p>
        </w:tc>
      </w:tr>
      <w:tr w:rsidR="00075377" w:rsidRPr="00ED1F96" w14:paraId="4161CD2A" w14:textId="77777777" w:rsidTr="00E1781E">
        <w:tc>
          <w:tcPr>
            <w:tcW w:w="709" w:type="dxa"/>
            <w:vAlign w:val="center"/>
          </w:tcPr>
          <w:p w14:paraId="001B19D5" w14:textId="4DD54077" w:rsidR="00DD2DB3" w:rsidRPr="00ED1F96" w:rsidRDefault="00DD2DB3" w:rsidP="00DD2DB3">
            <w:pPr>
              <w:rPr>
                <w:rFonts w:ascii="Times New Roman" w:eastAsia="Times New Roman" w:hAnsi="Times New Roman" w:cs="Times New Roman"/>
                <w:kern w:val="0"/>
                <w:sz w:val="25"/>
                <w:szCs w:val="25"/>
                <w14:ligatures w14:val="none"/>
              </w:rPr>
            </w:pPr>
            <w:r w:rsidRPr="00ED1F96">
              <w:rPr>
                <w:rFonts w:ascii="Times New Roman" w:eastAsia="Times New Roman" w:hAnsi="Times New Roman" w:cs="Times New Roman"/>
                <w:kern w:val="0"/>
                <w:sz w:val="25"/>
                <w:szCs w:val="25"/>
                <w14:ligatures w14:val="none"/>
              </w:rPr>
              <w:t>8</w:t>
            </w:r>
          </w:p>
        </w:tc>
        <w:tc>
          <w:tcPr>
            <w:tcW w:w="2127" w:type="dxa"/>
            <w:vAlign w:val="center"/>
          </w:tcPr>
          <w:p w14:paraId="2ABAB2BB" w14:textId="1243BE1D" w:rsidR="00DD2DB3" w:rsidRPr="00ED1F96" w:rsidRDefault="00DD2DB3" w:rsidP="00DD2DB3">
            <w:pPr>
              <w:jc w:val="both"/>
              <w:rPr>
                <w:rFonts w:ascii="Times New Roman" w:eastAsia="Times New Roman" w:hAnsi="Times New Roman" w:cs="Times New Roman"/>
                <w:kern w:val="0"/>
                <w:sz w:val="25"/>
                <w:szCs w:val="25"/>
                <w14:ligatures w14:val="none"/>
              </w:rPr>
            </w:pPr>
            <w:r w:rsidRPr="00ED1F96">
              <w:rPr>
                <w:rFonts w:ascii="Times New Roman" w:eastAsia="Times New Roman" w:hAnsi="Times New Roman" w:cs="Times New Roman"/>
                <w:kern w:val="0"/>
                <w:sz w:val="25"/>
                <w:szCs w:val="25"/>
                <w14:ligatures w14:val="none"/>
              </w:rPr>
              <w:t>Khoản 2 Điều 5 Nghị định số 81/2018/NĐ-CP ngày 22 tháng 5 năm 2018 của Chính phủ quy định chi tiết Luật Thương mại về hoạt động xúc tiến thương mại.</w:t>
            </w:r>
          </w:p>
        </w:tc>
        <w:tc>
          <w:tcPr>
            <w:tcW w:w="4536" w:type="dxa"/>
            <w:vAlign w:val="center"/>
          </w:tcPr>
          <w:p w14:paraId="57678C2C" w14:textId="4BE12C89" w:rsidR="00DD2DB3" w:rsidRPr="00ED1F96" w:rsidRDefault="00DD2DB3" w:rsidP="00DD2DB3">
            <w:pPr>
              <w:jc w:val="both"/>
              <w:rPr>
                <w:rFonts w:ascii="Times New Roman" w:eastAsia="Times New Roman" w:hAnsi="Times New Roman" w:cs="Times New Roman"/>
                <w:kern w:val="0"/>
                <w:sz w:val="25"/>
                <w:szCs w:val="25"/>
                <w14:ligatures w14:val="none"/>
              </w:rPr>
            </w:pPr>
            <w:r w:rsidRPr="00ED1F96">
              <w:rPr>
                <w:rFonts w:ascii="Times New Roman" w:eastAsia="Times New Roman" w:hAnsi="Times New Roman" w:cs="Times New Roman"/>
                <w:kern w:val="0"/>
                <w:sz w:val="25"/>
                <w:szCs w:val="25"/>
                <w14:ligatures w14:val="none"/>
              </w:rPr>
              <w:t xml:space="preserve">Khoản 2 Điều 5 Nghị định số 81/2018/NĐ-CP quy định Hàng hóa, dịch vụ dùng để khuyến mại không bao gồm rượu, xổ số, thuốc lá, thuốc chữa bệnh cho người kể cả các loại thuốc đã được phép lưu thông theo quy định của Bộ Y tế (trừ trường hợp khuyến mại cho thương nhân kinh doanh thuốc), hàng hóa, dịch vụ bị cấm lưu hành tại Việt Nam và các hàng hóa, dịch vụ bị cấm khuyến mại khác theo quy định của pháp luật. Nội dung quy định </w:t>
            </w:r>
            <w:r w:rsidRPr="00ED1F96">
              <w:rPr>
                <w:rFonts w:ascii="Times New Roman" w:eastAsia="Times New Roman" w:hAnsi="Times New Roman" w:cs="Times New Roman"/>
                <w:kern w:val="0"/>
                <w:sz w:val="25"/>
                <w:szCs w:val="25"/>
                <w14:ligatures w14:val="none"/>
              </w:rPr>
              <w:lastRenderedPageBreak/>
              <w:t>mang tính chất liệt kê dẫn đến khả năng không đầy đủ, không hợp lý, không khả thi, gây khó khăn trong áp dụng, thực hiện pháp luật. Do vậy cần quy định theo hướng khái quát hơn.</w:t>
            </w:r>
          </w:p>
        </w:tc>
        <w:tc>
          <w:tcPr>
            <w:tcW w:w="1984" w:type="dxa"/>
            <w:vAlign w:val="center"/>
          </w:tcPr>
          <w:p w14:paraId="3A794CDA" w14:textId="187660FC" w:rsidR="00DD2DB3" w:rsidRPr="00ED1F96" w:rsidRDefault="00DD2DB3" w:rsidP="00DD2DB3">
            <w:pPr>
              <w:jc w:val="both"/>
              <w:rPr>
                <w:rFonts w:ascii="Times New Roman" w:eastAsia="Times New Roman" w:hAnsi="Times New Roman" w:cs="Times New Roman"/>
                <w:kern w:val="0"/>
                <w:sz w:val="25"/>
                <w:szCs w:val="25"/>
                <w14:ligatures w14:val="none"/>
              </w:rPr>
            </w:pPr>
            <w:r w:rsidRPr="00ED1F96">
              <w:rPr>
                <w:rFonts w:ascii="Times New Roman" w:eastAsia="Times New Roman" w:hAnsi="Times New Roman" w:cs="Times New Roman"/>
                <w:kern w:val="0"/>
                <w:sz w:val="25"/>
                <w:szCs w:val="25"/>
                <w14:ligatures w14:val="none"/>
              </w:rPr>
              <w:lastRenderedPageBreak/>
              <w:t>C. Sửa đổi, bổ sung, thay thế, ban hành mới VBQPPL (theo trình tự, thủ tục rút gọn ban hành VBQPPL của Luật Ban hành VBQPPL)</w:t>
            </w:r>
          </w:p>
        </w:tc>
        <w:tc>
          <w:tcPr>
            <w:tcW w:w="1559" w:type="dxa"/>
            <w:vAlign w:val="center"/>
          </w:tcPr>
          <w:p w14:paraId="5A860B01" w14:textId="25D83FEC" w:rsidR="00DD2DB3" w:rsidRPr="00ED1F96" w:rsidRDefault="00DD2DB3" w:rsidP="00DD2DB3">
            <w:pPr>
              <w:jc w:val="both"/>
              <w:rPr>
                <w:rFonts w:ascii="Times New Roman" w:eastAsia="Times New Roman" w:hAnsi="Times New Roman" w:cs="Times New Roman"/>
                <w:kern w:val="0"/>
                <w:sz w:val="25"/>
                <w:szCs w:val="25"/>
                <w14:ligatures w14:val="none"/>
              </w:rPr>
            </w:pPr>
            <w:r w:rsidRPr="00ED1F96">
              <w:rPr>
                <w:rFonts w:ascii="Times New Roman" w:eastAsia="Times New Roman" w:hAnsi="Times New Roman" w:cs="Times New Roman"/>
                <w:kern w:val="0"/>
                <w:sz w:val="25"/>
                <w:szCs w:val="25"/>
                <w14:ligatures w14:val="none"/>
              </w:rPr>
              <w:t>Bộ Công thương</w:t>
            </w:r>
          </w:p>
        </w:tc>
        <w:tc>
          <w:tcPr>
            <w:tcW w:w="2268" w:type="dxa"/>
            <w:vAlign w:val="center"/>
          </w:tcPr>
          <w:p w14:paraId="63610DF6" w14:textId="433EC894" w:rsidR="00DD2DB3" w:rsidRPr="00ED1F96" w:rsidRDefault="00DD2DB3" w:rsidP="00DD2DB3">
            <w:pPr>
              <w:jc w:val="both"/>
              <w:rPr>
                <w:rFonts w:ascii="Times New Roman" w:eastAsia="Times New Roman" w:hAnsi="Times New Roman" w:cs="Times New Roman"/>
                <w:kern w:val="0"/>
                <w:sz w:val="25"/>
                <w:szCs w:val="25"/>
                <w14:ligatures w14:val="none"/>
              </w:rPr>
            </w:pPr>
            <w:r w:rsidRPr="00ED1F96">
              <w:rPr>
                <w:rFonts w:ascii="Times New Roman" w:eastAsia="Times New Roman" w:hAnsi="Times New Roman" w:cs="Times New Roman"/>
                <w:kern w:val="0"/>
                <w:sz w:val="25"/>
                <w:szCs w:val="25"/>
                <w14:ligatures w14:val="none"/>
              </w:rPr>
              <w:t>Nhất trí sửa đổi Nghị định số 81/2018/NĐ-CP (theo trình tự, thủ tục rút gọn ban hành VBQPPL của Luật Ban hành VBQPPL)</w:t>
            </w:r>
          </w:p>
        </w:tc>
        <w:tc>
          <w:tcPr>
            <w:tcW w:w="2127" w:type="dxa"/>
            <w:vAlign w:val="center"/>
          </w:tcPr>
          <w:p w14:paraId="7A690075" w14:textId="49D29179" w:rsidR="001E5C17" w:rsidRPr="00ED1F96" w:rsidRDefault="00B94527" w:rsidP="00003AE7">
            <w:pPr>
              <w:jc w:val="both"/>
              <w:rPr>
                <w:rFonts w:ascii="Times New Roman" w:hAnsi="Times New Roman" w:cs="Times New Roman"/>
                <w:b/>
                <w:sz w:val="26"/>
                <w:szCs w:val="26"/>
              </w:rPr>
            </w:pPr>
            <w:r w:rsidRPr="00ED1F96">
              <w:rPr>
                <w:rFonts w:ascii="Times New Roman" w:hAnsi="Times New Roman" w:cs="Times New Roman"/>
                <w:b/>
                <w:sz w:val="26"/>
                <w:szCs w:val="26"/>
              </w:rPr>
              <w:t>chưa</w:t>
            </w:r>
            <w:r w:rsidR="00003AE7" w:rsidRPr="00ED1F96">
              <w:rPr>
                <w:rFonts w:ascii="Times New Roman" w:hAnsi="Times New Roman" w:cs="Times New Roman"/>
                <w:b/>
                <w:sz w:val="26"/>
                <w:szCs w:val="26"/>
              </w:rPr>
              <w:t xml:space="preserve"> xử lý </w:t>
            </w:r>
          </w:p>
          <w:p w14:paraId="1D618616" w14:textId="14333E2B" w:rsidR="00DD2DB3" w:rsidRPr="00ED1F96" w:rsidRDefault="001E5C17" w:rsidP="00003AE7">
            <w:pPr>
              <w:jc w:val="both"/>
              <w:rPr>
                <w:rFonts w:ascii="Times New Roman" w:hAnsi="Times New Roman" w:cs="Times New Roman"/>
                <w:sz w:val="25"/>
                <w:szCs w:val="25"/>
              </w:rPr>
            </w:pPr>
            <w:r w:rsidRPr="00ED1F96">
              <w:rPr>
                <w:rFonts w:ascii="Times New Roman" w:hAnsi="Times New Roman" w:cs="Times New Roman"/>
                <w:sz w:val="26"/>
                <w:szCs w:val="26"/>
              </w:rPr>
              <w:t>T</w:t>
            </w:r>
            <w:r w:rsidR="00003AE7" w:rsidRPr="00ED1F96">
              <w:rPr>
                <w:rFonts w:ascii="Times New Roman" w:hAnsi="Times New Roman" w:cs="Times New Roman"/>
                <w:sz w:val="26"/>
                <w:szCs w:val="26"/>
              </w:rPr>
              <w:t>heo Tờ trình số 9421/TTr-BCT ngày 28/11/2025 trình Chính phủ dự thảo Nghị định.</w:t>
            </w:r>
          </w:p>
        </w:tc>
      </w:tr>
      <w:tr w:rsidR="00075377" w:rsidRPr="00075377" w14:paraId="6113C0B8" w14:textId="77777777" w:rsidTr="00E1781E">
        <w:tc>
          <w:tcPr>
            <w:tcW w:w="709" w:type="dxa"/>
            <w:vAlign w:val="center"/>
          </w:tcPr>
          <w:p w14:paraId="03ECDBAD" w14:textId="0916E51C" w:rsidR="00DD2DB3" w:rsidRPr="00ED1F96" w:rsidRDefault="00DD2DB3" w:rsidP="00DD2DB3">
            <w:pPr>
              <w:rPr>
                <w:rFonts w:ascii="Times New Roman" w:eastAsia="Times New Roman" w:hAnsi="Times New Roman" w:cs="Times New Roman"/>
                <w:kern w:val="0"/>
                <w:sz w:val="25"/>
                <w:szCs w:val="25"/>
                <w14:ligatures w14:val="none"/>
              </w:rPr>
            </w:pPr>
            <w:r w:rsidRPr="00ED1F96">
              <w:rPr>
                <w:rFonts w:ascii="Times New Roman" w:eastAsia="Times New Roman" w:hAnsi="Times New Roman" w:cs="Times New Roman"/>
                <w:kern w:val="0"/>
                <w:sz w:val="25"/>
                <w:szCs w:val="25"/>
                <w14:ligatures w14:val="none"/>
              </w:rPr>
              <w:t>9</w:t>
            </w:r>
          </w:p>
        </w:tc>
        <w:tc>
          <w:tcPr>
            <w:tcW w:w="2127" w:type="dxa"/>
            <w:vAlign w:val="center"/>
          </w:tcPr>
          <w:p w14:paraId="30B4244F" w14:textId="10735587" w:rsidR="00DD2DB3" w:rsidRPr="00ED1F96" w:rsidRDefault="00DD2DB3" w:rsidP="00DD2DB3">
            <w:pPr>
              <w:jc w:val="both"/>
              <w:rPr>
                <w:rFonts w:ascii="Times New Roman" w:eastAsia="Times New Roman" w:hAnsi="Times New Roman" w:cs="Times New Roman"/>
                <w:kern w:val="0"/>
                <w:sz w:val="25"/>
                <w:szCs w:val="25"/>
                <w14:ligatures w14:val="none"/>
              </w:rPr>
            </w:pPr>
            <w:r w:rsidRPr="00ED1F96">
              <w:rPr>
                <w:rFonts w:ascii="Times New Roman" w:eastAsia="Times New Roman" w:hAnsi="Times New Roman" w:cs="Times New Roman"/>
                <w:kern w:val="0"/>
                <w:sz w:val="25"/>
                <w:szCs w:val="25"/>
                <w14:ligatures w14:val="none"/>
              </w:rPr>
              <w:t>Khoản 8 Điều 29 Nghị định số 81/2018/NĐ-CP ngày 22 tháng 5 năm 2018 của Chính phủ quy định chi tiết Luật Thương mại về hoạt động xúc tiến thương mại.</w:t>
            </w:r>
          </w:p>
        </w:tc>
        <w:tc>
          <w:tcPr>
            <w:tcW w:w="4536" w:type="dxa"/>
            <w:vAlign w:val="center"/>
          </w:tcPr>
          <w:p w14:paraId="09E1C7D7" w14:textId="33A4D570" w:rsidR="00DD2DB3" w:rsidRPr="00ED1F96" w:rsidRDefault="00DD2DB3" w:rsidP="00DD2DB3">
            <w:pPr>
              <w:jc w:val="both"/>
              <w:rPr>
                <w:rFonts w:ascii="Times New Roman" w:eastAsia="Times New Roman" w:hAnsi="Times New Roman" w:cs="Times New Roman"/>
                <w:kern w:val="0"/>
                <w:sz w:val="25"/>
                <w:szCs w:val="25"/>
                <w14:ligatures w14:val="none"/>
              </w:rPr>
            </w:pPr>
            <w:r w:rsidRPr="00ED1F96">
              <w:rPr>
                <w:rFonts w:ascii="Times New Roman" w:eastAsia="Times New Roman" w:hAnsi="Times New Roman" w:cs="Times New Roman"/>
                <w:kern w:val="0"/>
                <w:sz w:val="25"/>
                <w:szCs w:val="25"/>
                <w14:ligatures w14:val="none"/>
              </w:rPr>
              <w:t>Hiện nay thủ tục đăng ký tổ chức hội chợ triển lãm thương mại đã được phân cấp cho UBND cấp tỉnh (quy định tại Nghị định số 146/2025/NĐ-CP ngày 12 tháng 6 năm 2025 của Chính phủ quy định về phân quyền, phân cấp trong lĩnh vực công nghiệp và thương mại). Các thương nhân có thể cùng thực hiện thủ tục hành chính tại các tỉnh, thành phố khác nhau để đăng ký tổ chức hội chợ triển lãm thương mại trùng tên, chủ đề, thời gian, địa bàn thì việc tổ chức hiệp thương để lựa chọn thương nhân được xác nhận đăng ký tổ chức hội chợ đó là không khả thi. Do vậy, đề xuất sửa đổi khoản 8 Điều 29 quy định việc hiệp thương không áp dụng trong trường hợp đăng ký tổ chức hội chợ triển lãm thương mại tại nước ngoài.</w:t>
            </w:r>
          </w:p>
        </w:tc>
        <w:tc>
          <w:tcPr>
            <w:tcW w:w="1984" w:type="dxa"/>
            <w:vAlign w:val="center"/>
          </w:tcPr>
          <w:p w14:paraId="35BC2E1E" w14:textId="559D08C5" w:rsidR="00DD2DB3" w:rsidRPr="00ED1F96" w:rsidRDefault="00DD2DB3" w:rsidP="00DD2DB3">
            <w:pPr>
              <w:jc w:val="both"/>
              <w:rPr>
                <w:rFonts w:ascii="Times New Roman" w:eastAsia="Times New Roman" w:hAnsi="Times New Roman" w:cs="Times New Roman"/>
                <w:kern w:val="0"/>
                <w:sz w:val="25"/>
                <w:szCs w:val="25"/>
                <w14:ligatures w14:val="none"/>
              </w:rPr>
            </w:pPr>
            <w:r w:rsidRPr="00ED1F96">
              <w:rPr>
                <w:rFonts w:ascii="Times New Roman" w:eastAsia="Times New Roman" w:hAnsi="Times New Roman" w:cs="Times New Roman"/>
                <w:kern w:val="0"/>
                <w:sz w:val="25"/>
                <w:szCs w:val="25"/>
                <w14:ligatures w14:val="none"/>
              </w:rPr>
              <w:t>C. Sửa đổi, bổ sung, thay thế, ban hành mới VBQPPL (theo trình tự, thủ tục rút gọn ban hành VBQPPL của Luật Ban hành VBQPPL)</w:t>
            </w:r>
          </w:p>
        </w:tc>
        <w:tc>
          <w:tcPr>
            <w:tcW w:w="1559" w:type="dxa"/>
            <w:vAlign w:val="center"/>
          </w:tcPr>
          <w:p w14:paraId="0F41F26B" w14:textId="5D248C6B" w:rsidR="00DD2DB3" w:rsidRPr="00ED1F96" w:rsidRDefault="00DD2DB3" w:rsidP="00DD2DB3">
            <w:pPr>
              <w:jc w:val="both"/>
              <w:rPr>
                <w:rFonts w:ascii="Times New Roman" w:eastAsia="Times New Roman" w:hAnsi="Times New Roman" w:cs="Times New Roman"/>
                <w:kern w:val="0"/>
                <w:sz w:val="25"/>
                <w:szCs w:val="25"/>
                <w14:ligatures w14:val="none"/>
              </w:rPr>
            </w:pPr>
            <w:r w:rsidRPr="00ED1F96">
              <w:rPr>
                <w:rFonts w:ascii="Times New Roman" w:eastAsia="Times New Roman" w:hAnsi="Times New Roman" w:cs="Times New Roman"/>
                <w:kern w:val="0"/>
                <w:sz w:val="25"/>
                <w:szCs w:val="25"/>
                <w14:ligatures w14:val="none"/>
              </w:rPr>
              <w:t>Bộ Công thương</w:t>
            </w:r>
          </w:p>
        </w:tc>
        <w:tc>
          <w:tcPr>
            <w:tcW w:w="2268" w:type="dxa"/>
            <w:vAlign w:val="center"/>
          </w:tcPr>
          <w:p w14:paraId="6FFDAB37" w14:textId="5AA1B72C" w:rsidR="00DD2DB3" w:rsidRPr="00ED1F96" w:rsidRDefault="00DD2DB3" w:rsidP="00DD2DB3">
            <w:pPr>
              <w:jc w:val="both"/>
              <w:rPr>
                <w:rFonts w:ascii="Times New Roman" w:eastAsia="Times New Roman" w:hAnsi="Times New Roman" w:cs="Times New Roman"/>
                <w:kern w:val="0"/>
                <w:sz w:val="25"/>
                <w:szCs w:val="25"/>
                <w14:ligatures w14:val="none"/>
              </w:rPr>
            </w:pPr>
            <w:r w:rsidRPr="00ED1F96">
              <w:rPr>
                <w:rFonts w:ascii="Times New Roman" w:eastAsia="Times New Roman" w:hAnsi="Times New Roman" w:cs="Times New Roman"/>
                <w:kern w:val="0"/>
                <w:sz w:val="25"/>
                <w:szCs w:val="25"/>
                <w14:ligatures w14:val="none"/>
              </w:rPr>
              <w:t>Nhất trí sửa đổi Nghị định số 81/2018/NĐ-CP (theo trình tự, thủ tục rút gọn ban hành VBQPPL của Luật Ban hành VBQPPL)</w:t>
            </w:r>
          </w:p>
        </w:tc>
        <w:tc>
          <w:tcPr>
            <w:tcW w:w="2127" w:type="dxa"/>
            <w:vAlign w:val="center"/>
          </w:tcPr>
          <w:p w14:paraId="109109B1" w14:textId="59096C89" w:rsidR="001E5C17" w:rsidRPr="00ED1F96" w:rsidRDefault="00B94527" w:rsidP="00CA5DC4">
            <w:pPr>
              <w:rPr>
                <w:rFonts w:ascii="Times New Roman" w:hAnsi="Times New Roman" w:cs="Times New Roman"/>
                <w:b/>
                <w:sz w:val="24"/>
                <w:szCs w:val="24"/>
              </w:rPr>
            </w:pPr>
            <w:r w:rsidRPr="00ED1F96">
              <w:rPr>
                <w:rFonts w:ascii="Times New Roman" w:hAnsi="Times New Roman" w:cs="Times New Roman"/>
                <w:b/>
                <w:sz w:val="24"/>
                <w:szCs w:val="24"/>
              </w:rPr>
              <w:t>Chưa</w:t>
            </w:r>
            <w:r w:rsidR="00003AE7" w:rsidRPr="00ED1F96">
              <w:rPr>
                <w:rFonts w:ascii="Times New Roman" w:hAnsi="Times New Roman" w:cs="Times New Roman"/>
                <w:b/>
                <w:sz w:val="24"/>
                <w:szCs w:val="24"/>
              </w:rPr>
              <w:t xml:space="preserve"> xử lý </w:t>
            </w:r>
          </w:p>
          <w:p w14:paraId="719E4D98" w14:textId="0CE4BBE2" w:rsidR="00DD2DB3" w:rsidRPr="00075377" w:rsidRDefault="001E5C17" w:rsidP="00CA5DC4">
            <w:pPr>
              <w:rPr>
                <w:rFonts w:ascii="Times New Roman" w:hAnsi="Times New Roman" w:cs="Times New Roman"/>
                <w:sz w:val="24"/>
                <w:szCs w:val="24"/>
              </w:rPr>
            </w:pPr>
            <w:r w:rsidRPr="00ED1F96">
              <w:rPr>
                <w:rFonts w:ascii="Times New Roman" w:hAnsi="Times New Roman" w:cs="Times New Roman"/>
                <w:sz w:val="24"/>
                <w:szCs w:val="24"/>
              </w:rPr>
              <w:t>T</w:t>
            </w:r>
            <w:r w:rsidR="00003AE7" w:rsidRPr="00ED1F96">
              <w:rPr>
                <w:rFonts w:ascii="Times New Roman" w:hAnsi="Times New Roman" w:cs="Times New Roman"/>
                <w:sz w:val="24"/>
                <w:szCs w:val="24"/>
              </w:rPr>
              <w:t>heo Tờ trình số 9421/TTr-BCT ngày 28/11/2025 trình Chính phủ dự thảo Nghị định.</w:t>
            </w:r>
          </w:p>
        </w:tc>
      </w:tr>
    </w:tbl>
    <w:p w14:paraId="3B592AC0" w14:textId="77777777" w:rsidR="0081100C" w:rsidRPr="00075377" w:rsidRDefault="0081100C" w:rsidP="0009623C">
      <w:pPr>
        <w:rPr>
          <w:rFonts w:ascii="Times New Roman" w:hAnsi="Times New Roman" w:cs="Times New Roman"/>
        </w:rPr>
      </w:pPr>
    </w:p>
    <w:sectPr w:rsidR="0081100C" w:rsidRPr="00075377" w:rsidSect="0009623C">
      <w:headerReference w:type="default" r:id="rId7"/>
      <w:pgSz w:w="16838" w:h="11906"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4EBF" w14:textId="77777777" w:rsidR="00D56056" w:rsidRDefault="00D56056" w:rsidP="00C419D9">
      <w:pPr>
        <w:spacing w:after="0" w:line="240" w:lineRule="auto"/>
      </w:pPr>
      <w:r>
        <w:separator/>
      </w:r>
    </w:p>
  </w:endnote>
  <w:endnote w:type="continuationSeparator" w:id="0">
    <w:p w14:paraId="79C2393F" w14:textId="77777777" w:rsidR="00D56056" w:rsidRDefault="00D56056" w:rsidP="00C41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01F5C" w14:textId="77777777" w:rsidR="00D56056" w:rsidRDefault="00D56056" w:rsidP="00C419D9">
      <w:pPr>
        <w:spacing w:after="0" w:line="240" w:lineRule="auto"/>
      </w:pPr>
      <w:r>
        <w:separator/>
      </w:r>
    </w:p>
  </w:footnote>
  <w:footnote w:type="continuationSeparator" w:id="0">
    <w:p w14:paraId="2AD569E6" w14:textId="77777777" w:rsidR="00D56056" w:rsidRDefault="00D56056" w:rsidP="00C41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97562"/>
      <w:docPartObj>
        <w:docPartGallery w:val="Page Numbers (Top of Page)"/>
        <w:docPartUnique/>
      </w:docPartObj>
    </w:sdtPr>
    <w:sdtEndPr>
      <w:rPr>
        <w:rFonts w:ascii="Times New Roman" w:hAnsi="Times New Roman" w:cs="Times New Roman"/>
        <w:noProof/>
      </w:rPr>
    </w:sdtEndPr>
    <w:sdtContent>
      <w:p w14:paraId="27839266" w14:textId="3BBE2820" w:rsidR="00C419D9" w:rsidRPr="00C419D9" w:rsidRDefault="00C419D9">
        <w:pPr>
          <w:pStyle w:val="Header"/>
          <w:jc w:val="center"/>
          <w:rPr>
            <w:rFonts w:ascii="Times New Roman" w:hAnsi="Times New Roman" w:cs="Times New Roman"/>
          </w:rPr>
        </w:pPr>
        <w:r w:rsidRPr="00C419D9">
          <w:rPr>
            <w:rFonts w:ascii="Times New Roman" w:hAnsi="Times New Roman" w:cs="Times New Roman"/>
          </w:rPr>
          <w:fldChar w:fldCharType="begin"/>
        </w:r>
        <w:r w:rsidRPr="00C419D9">
          <w:rPr>
            <w:rFonts w:ascii="Times New Roman" w:hAnsi="Times New Roman" w:cs="Times New Roman"/>
          </w:rPr>
          <w:instrText xml:space="preserve"> PAGE   \* MERGEFORMAT </w:instrText>
        </w:r>
        <w:r w:rsidRPr="00C419D9">
          <w:rPr>
            <w:rFonts w:ascii="Times New Roman" w:hAnsi="Times New Roman" w:cs="Times New Roman"/>
          </w:rPr>
          <w:fldChar w:fldCharType="separate"/>
        </w:r>
        <w:r w:rsidR="004C15B3">
          <w:rPr>
            <w:rFonts w:ascii="Times New Roman" w:hAnsi="Times New Roman" w:cs="Times New Roman"/>
            <w:noProof/>
          </w:rPr>
          <w:t>10</w:t>
        </w:r>
        <w:r w:rsidRPr="00C419D9">
          <w:rPr>
            <w:rFonts w:ascii="Times New Roman" w:hAnsi="Times New Roman" w:cs="Times New Roman"/>
            <w:noProof/>
          </w:rPr>
          <w:fldChar w:fldCharType="end"/>
        </w:r>
      </w:p>
    </w:sdtContent>
  </w:sdt>
  <w:p w14:paraId="391EC11D" w14:textId="77777777" w:rsidR="00C419D9" w:rsidRDefault="00C419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00C"/>
    <w:rsid w:val="00003AE7"/>
    <w:rsid w:val="00023320"/>
    <w:rsid w:val="00037C93"/>
    <w:rsid w:val="0007319A"/>
    <w:rsid w:val="00075377"/>
    <w:rsid w:val="0009623C"/>
    <w:rsid w:val="0015396D"/>
    <w:rsid w:val="001B26E6"/>
    <w:rsid w:val="001E5C17"/>
    <w:rsid w:val="001E62A4"/>
    <w:rsid w:val="00270C96"/>
    <w:rsid w:val="002C3B50"/>
    <w:rsid w:val="00341CB3"/>
    <w:rsid w:val="00343678"/>
    <w:rsid w:val="003B1873"/>
    <w:rsid w:val="003B552D"/>
    <w:rsid w:val="0040256F"/>
    <w:rsid w:val="004171C9"/>
    <w:rsid w:val="00445B5A"/>
    <w:rsid w:val="004C15B3"/>
    <w:rsid w:val="006707D6"/>
    <w:rsid w:val="006927ED"/>
    <w:rsid w:val="006B5017"/>
    <w:rsid w:val="0076381D"/>
    <w:rsid w:val="00770331"/>
    <w:rsid w:val="007D0112"/>
    <w:rsid w:val="008033DD"/>
    <w:rsid w:val="0081100C"/>
    <w:rsid w:val="00827944"/>
    <w:rsid w:val="00844AA8"/>
    <w:rsid w:val="008D0B13"/>
    <w:rsid w:val="008E6232"/>
    <w:rsid w:val="008F5582"/>
    <w:rsid w:val="00900AE5"/>
    <w:rsid w:val="00934968"/>
    <w:rsid w:val="009617FB"/>
    <w:rsid w:val="00992F88"/>
    <w:rsid w:val="00A25261"/>
    <w:rsid w:val="00A52616"/>
    <w:rsid w:val="00AA3AFA"/>
    <w:rsid w:val="00AA46EC"/>
    <w:rsid w:val="00AC00AA"/>
    <w:rsid w:val="00B62148"/>
    <w:rsid w:val="00B66F92"/>
    <w:rsid w:val="00B94527"/>
    <w:rsid w:val="00BA3FE7"/>
    <w:rsid w:val="00BA59AB"/>
    <w:rsid w:val="00BF54D8"/>
    <w:rsid w:val="00C419D9"/>
    <w:rsid w:val="00C77F2B"/>
    <w:rsid w:val="00CA5DC4"/>
    <w:rsid w:val="00CC498B"/>
    <w:rsid w:val="00CE49BD"/>
    <w:rsid w:val="00CF74E0"/>
    <w:rsid w:val="00D56056"/>
    <w:rsid w:val="00DA774E"/>
    <w:rsid w:val="00DD2DB3"/>
    <w:rsid w:val="00DF76B2"/>
    <w:rsid w:val="00E1781E"/>
    <w:rsid w:val="00E42A6D"/>
    <w:rsid w:val="00E708E1"/>
    <w:rsid w:val="00E71020"/>
    <w:rsid w:val="00E9604A"/>
    <w:rsid w:val="00EC0167"/>
    <w:rsid w:val="00ED1F96"/>
    <w:rsid w:val="00F12B27"/>
    <w:rsid w:val="00F42368"/>
    <w:rsid w:val="00F45692"/>
    <w:rsid w:val="00FE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67D1"/>
  <w15:docId w15:val="{C23351B5-7B92-4FF3-9153-471109CB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1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9D9"/>
  </w:style>
  <w:style w:type="paragraph" w:styleId="Footer">
    <w:name w:val="footer"/>
    <w:basedOn w:val="Normal"/>
    <w:link w:val="FooterChar"/>
    <w:uiPriority w:val="99"/>
    <w:unhideWhenUsed/>
    <w:rsid w:val="00C41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9D9"/>
  </w:style>
  <w:style w:type="paragraph" w:styleId="FootnoteText">
    <w:name w:val="footnote text"/>
    <w:basedOn w:val="Normal"/>
    <w:link w:val="FootnoteTextChar"/>
    <w:uiPriority w:val="99"/>
    <w:semiHidden/>
    <w:unhideWhenUsed/>
    <w:rsid w:val="00EC0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167"/>
    <w:rPr>
      <w:sz w:val="20"/>
      <w:szCs w:val="20"/>
    </w:rPr>
  </w:style>
  <w:style w:type="character" w:styleId="FootnoteReference">
    <w:name w:val="footnote reference"/>
    <w:basedOn w:val="DefaultParagraphFont"/>
    <w:uiPriority w:val="99"/>
    <w:semiHidden/>
    <w:unhideWhenUsed/>
    <w:rsid w:val="00EC0167"/>
    <w:rPr>
      <w:vertAlign w:val="superscript"/>
    </w:rPr>
  </w:style>
  <w:style w:type="paragraph" w:styleId="NormalWeb">
    <w:name w:val="Normal (Web)"/>
    <w:basedOn w:val="Normal"/>
    <w:uiPriority w:val="99"/>
    <w:semiHidden/>
    <w:unhideWhenUsed/>
    <w:rsid w:val="00FE4CCA"/>
    <w:pPr>
      <w:spacing w:before="100" w:beforeAutospacing="1" w:after="100" w:afterAutospacing="1" w:line="240" w:lineRule="auto"/>
    </w:pPr>
    <w:rPr>
      <w:rFonts w:ascii="Times New Roman" w:eastAsia="Calibri" w:hAnsi="Times New Roman" w:cs="Times New Roman"/>
      <w:kern w:val="0"/>
      <w:sz w:val="24"/>
      <w:szCs w:val="24"/>
      <w14:ligatures w14:val="none"/>
    </w:rPr>
  </w:style>
  <w:style w:type="character" w:styleId="Emphasis">
    <w:name w:val="Emphasis"/>
    <w:uiPriority w:val="20"/>
    <w:qFormat/>
    <w:rsid w:val="00FE4C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05152-2840-4876-98EE-C7B7C63B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 Tran Dang (BDN)</dc:creator>
  <cp:keywords/>
  <dc:description/>
  <cp:lastModifiedBy>Hoc, Tran Dang (BDN)</cp:lastModifiedBy>
  <cp:revision>43</cp:revision>
  <dcterms:created xsi:type="dcterms:W3CDTF">2025-07-31T00:06:00Z</dcterms:created>
  <dcterms:modified xsi:type="dcterms:W3CDTF">2025-12-14T03:05:00Z</dcterms:modified>
</cp:coreProperties>
</file>