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EBB8C" w14:textId="5AE46A60" w:rsidR="007C64F8" w:rsidRPr="008F7B60" w:rsidRDefault="007C64F8" w:rsidP="007C64F8">
      <w:pPr>
        <w:pStyle w:val="NormalWeb"/>
        <w:spacing w:after="0" w:afterAutospacing="0" w:line="264" w:lineRule="auto"/>
        <w:jc w:val="center"/>
        <w:rPr>
          <w:rFonts w:eastAsia="Calibri"/>
          <w:b/>
          <w:bCs/>
          <w:sz w:val="28"/>
          <w:szCs w:val="22"/>
          <w:lang w:val="vi-VN"/>
          <w14:ligatures w14:val="none"/>
        </w:rPr>
      </w:pPr>
      <w:r>
        <w:rPr>
          <w:rFonts w:eastAsia="Calibri"/>
          <w:b/>
          <w:bCs/>
          <w:noProof/>
          <w:sz w:val="28"/>
          <w:szCs w:val="22"/>
        </w:rPr>
        <mc:AlternateContent>
          <mc:Choice Requires="wps">
            <w:drawing>
              <wp:anchor distT="0" distB="0" distL="114300" distR="114300" simplePos="0" relativeHeight="251660288" behindDoc="0" locked="0" layoutInCell="1" allowOverlap="1" wp14:anchorId="0AE13320" wp14:editId="46688844">
                <wp:simplePos x="0" y="0"/>
                <wp:positionH relativeFrom="column">
                  <wp:posOffset>3754419</wp:posOffset>
                </wp:positionH>
                <wp:positionV relativeFrom="paragraph">
                  <wp:posOffset>-570155</wp:posOffset>
                </wp:positionV>
                <wp:extent cx="903642" cy="365760"/>
                <wp:effectExtent l="0" t="0" r="10795" b="15240"/>
                <wp:wrapNone/>
                <wp:docPr id="798863337" name="Rectangle 1"/>
                <wp:cNvGraphicFramePr/>
                <a:graphic xmlns:a="http://schemas.openxmlformats.org/drawingml/2006/main">
                  <a:graphicData uri="http://schemas.microsoft.com/office/word/2010/wordprocessingShape">
                    <wps:wsp>
                      <wps:cNvSpPr/>
                      <wps:spPr>
                        <a:xfrm>
                          <a:off x="0" y="0"/>
                          <a:ext cx="903642" cy="3657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260357" id="Rectangle 1" o:spid="_x0000_s1026" style="position:absolute;margin-left:295.6pt;margin-top:-44.9pt;width:71.15pt;height:28.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" fillcolor="white [3212]" strokecolor="white [3212]" strokeweight="1pt"/>
            </w:pict>
          </mc:Fallback>
        </mc:AlternateContent>
      </w:r>
      <w:r>
        <w:rPr>
          <w:rFonts w:eastAsia="Calibri"/>
          <w:b/>
          <w:bCs/>
          <w:sz w:val="28"/>
          <w:szCs w:val="22"/>
          <w:lang w:val="vi-VN"/>
          <w14:ligatures w14:val="none"/>
        </w:rPr>
        <w:t xml:space="preserve">Phụ lục </w:t>
      </w:r>
      <w:r w:rsidR="002A5117">
        <w:rPr>
          <w:rFonts w:eastAsia="Calibri"/>
          <w:b/>
          <w:bCs/>
          <w:sz w:val="28"/>
          <w:szCs w:val="22"/>
          <w14:ligatures w14:val="none"/>
        </w:rPr>
        <w:t>I</w:t>
      </w:r>
      <w:r>
        <w:rPr>
          <w:rFonts w:eastAsia="Calibri"/>
          <w:b/>
          <w:bCs/>
          <w:sz w:val="28"/>
          <w:szCs w:val="22"/>
          <w:lang w:val="vi-VN"/>
          <w14:ligatures w14:val="none"/>
        </w:rPr>
        <w:t>.16.</w:t>
      </w:r>
      <w:r w:rsidR="00AD082E">
        <w:rPr>
          <w:rFonts w:eastAsia="Calibri"/>
          <w:b/>
          <w:bCs/>
          <w:sz w:val="28"/>
          <w:szCs w:val="22"/>
          <w14:ligatures w14:val="none"/>
        </w:rPr>
        <w:t>3</w:t>
      </w:r>
      <w:r>
        <w:rPr>
          <w:rFonts w:eastAsia="Calibri"/>
          <w:b/>
          <w:bCs/>
          <w:sz w:val="28"/>
          <w:szCs w:val="22"/>
          <w:lang w:val="vi-VN"/>
          <w14:ligatures w14:val="none"/>
        </w:rPr>
        <w:t>.A</w:t>
      </w:r>
      <w:r>
        <w:rPr>
          <w:rFonts w:eastAsia="Calibri"/>
          <w:b/>
          <w:bCs/>
          <w:sz w:val="28"/>
          <w:szCs w:val="22"/>
          <w:lang w:val="vi-VN"/>
          <w14:ligatures w14:val="none"/>
        </w:rPr>
        <w:br/>
      </w:r>
      <w:r w:rsidRPr="008F7B60">
        <w:rPr>
          <w:rFonts w:eastAsia="Calibri"/>
          <w:b/>
          <w:bCs/>
          <w:sz w:val="28"/>
          <w:szCs w:val="22"/>
          <w:lang w:val="vi-VN"/>
          <w14:ligatures w14:val="none"/>
        </w:rPr>
        <w:t>TÌNH HÌNH XỬ LÝ ĐỐI VỚI KHÓ KHĂN, VƯỚNG MẮC DO QUY ĐỊNH PHÁP LUẬT</w:t>
      </w:r>
    </w:p>
    <w:p w14:paraId="629DE74A" w14:textId="77777777" w:rsidR="007C64F8" w:rsidRPr="00F254D0" w:rsidRDefault="007C64F8" w:rsidP="007C64F8">
      <w:pPr>
        <w:pStyle w:val="NormalWeb"/>
        <w:spacing w:before="0" w:beforeAutospacing="0" w:after="0" w:afterAutospacing="0" w:line="264" w:lineRule="auto"/>
        <w:jc w:val="center"/>
        <w:rPr>
          <w:rFonts w:eastAsia="Calibri"/>
          <w:b/>
          <w:bCs/>
          <w:sz w:val="28"/>
          <w:szCs w:val="22"/>
          <w:lang w:val="vi-VN"/>
          <w14:ligatures w14:val="none"/>
        </w:rPr>
      </w:pPr>
      <w:r w:rsidRPr="008F7B60">
        <w:rPr>
          <w:rFonts w:eastAsia="Calibri"/>
          <w:b/>
          <w:bCs/>
          <w:sz w:val="28"/>
          <w:szCs w:val="22"/>
          <w:lang w:val="vi-VN"/>
          <w14:ligatures w14:val="none"/>
        </w:rPr>
        <w:t xml:space="preserve">THUỘC PHẠM VI PHỤ TRÁCH CỦA </w:t>
      </w:r>
      <w:r w:rsidRPr="00F254D0">
        <w:rPr>
          <w:rFonts w:eastAsia="Calibri"/>
          <w:b/>
          <w:bCs/>
          <w:sz w:val="28"/>
          <w:szCs w:val="22"/>
          <w:lang w:val="vi-VN"/>
          <w14:ligatures w14:val="none"/>
        </w:rPr>
        <w:t>THANH TRA CHÍNH PHỦ</w:t>
      </w:r>
    </w:p>
    <w:p w14:paraId="5AEC477B" w14:textId="77777777" w:rsidR="00AD082E" w:rsidRPr="00F254D0" w:rsidRDefault="007C64F8" w:rsidP="00AD082E">
      <w:pPr>
        <w:pStyle w:val="NormalWeb"/>
        <w:spacing w:before="0" w:beforeAutospacing="0" w:after="0" w:afterAutospacing="0" w:line="264" w:lineRule="auto"/>
        <w:jc w:val="center"/>
        <w:rPr>
          <w:rFonts w:eastAsia="Calibri"/>
          <w:b/>
          <w:bCs/>
          <w:sz w:val="28"/>
          <w:szCs w:val="22"/>
          <w:lang w:val="vi-VN"/>
          <w14:ligatures w14:val="none"/>
        </w:rPr>
      </w:pPr>
      <w:r>
        <w:rPr>
          <w:rFonts w:eastAsia="Calibri"/>
          <w:b/>
          <w:bCs/>
          <w:sz w:val="28"/>
          <w:szCs w:val="22"/>
          <w:lang w:val="vi-VN"/>
          <w14:ligatures w14:val="none"/>
        </w:rPr>
        <w:t xml:space="preserve">Tiêu chí: </w:t>
      </w:r>
      <w:r w:rsidR="00AD082E" w:rsidRPr="00AD082E">
        <w:rPr>
          <w:rFonts w:eastAsia="Calibri"/>
          <w:b/>
          <w:bCs/>
          <w:sz w:val="28"/>
          <w:szCs w:val="22"/>
          <w:lang w:val="vi-VN"/>
          <w14:ligatures w14:val="none"/>
        </w:rPr>
        <w:t>Quy định của VBQPPL tạo gánh nặng chi phí tuân thủ; chưa có quy định hoặc có quy định của VBQPPL nhưng hạn chế đổi mới sáng tạo, phát triển động lực tăng trưởng mới, khởi thông nguồn lực, thúc đẩy tăng trưởng kinh tế và hội nhập quốc tế</w:t>
      </w:r>
    </w:p>
    <w:p w14:paraId="5B679539" w14:textId="2D3AFE91" w:rsidR="007C64F8" w:rsidRPr="00F254D0" w:rsidRDefault="007C64F8" w:rsidP="00C23CB9">
      <w:pPr>
        <w:pStyle w:val="NormalWeb"/>
        <w:spacing w:before="0" w:beforeAutospacing="0" w:after="0" w:afterAutospacing="0" w:line="264" w:lineRule="auto"/>
        <w:jc w:val="center"/>
        <w:rPr>
          <w:rStyle w:val="Strong"/>
          <w:rFonts w:eastAsia="Calibri"/>
          <w:b w:val="0"/>
          <w:bCs w:val="0"/>
          <w:sz w:val="28"/>
          <w:szCs w:val="22"/>
          <w:lang w:val="vi-VN"/>
          <w14:ligatures w14:val="none"/>
        </w:rPr>
      </w:pPr>
      <w:r w:rsidRPr="00F254D0">
        <w:rPr>
          <w:rFonts w:eastAsia="Calibri"/>
          <w:b/>
          <w:bCs/>
          <w:sz w:val="28"/>
          <w:szCs w:val="22"/>
          <w:lang w:val="vi-VN"/>
          <w14:ligatures w14:val="none"/>
        </w:rPr>
        <w:t>Nhóm A. Nhóm</w:t>
      </w:r>
      <w:r w:rsidRPr="008F7B60">
        <w:rPr>
          <w:rFonts w:eastAsia="Calibri"/>
          <w:b/>
          <w:bCs/>
          <w:sz w:val="28"/>
          <w:szCs w:val="22"/>
          <w:lang w:val="vi-VN"/>
          <w14:ligatures w14:val="none"/>
        </w:rPr>
        <w:t xml:space="preserve"> các nội dung cho ý kiến nhất trí và đề xuất xử lý theo phương án, quy trình nêu tại khoản 1 Điều 4 Nghị quyết số 206/2025/QH15 (thực hiện trong năm 2025)</w:t>
      </w:r>
      <w:r w:rsidRPr="008F7B60">
        <w:rPr>
          <w:rFonts w:eastAsia="Calibri"/>
          <w:sz w:val="28"/>
          <w:szCs w:val="22"/>
          <w:lang w:val="vi-VN"/>
          <w14:ligatures w14:val="none"/>
        </w:rPr>
        <w:br/>
      </w:r>
    </w:p>
    <w:p w14:paraId="2FD48A31" w14:textId="77777777" w:rsidR="007C64F8" w:rsidRPr="00F254D0" w:rsidRDefault="007C64F8" w:rsidP="007C64F8">
      <w:pPr>
        <w:pStyle w:val="NormalWeb"/>
        <w:spacing w:before="0" w:beforeAutospacing="0" w:after="0" w:afterAutospacing="0" w:line="288" w:lineRule="auto"/>
        <w:rPr>
          <w:i/>
          <w:iCs/>
          <w:color w:val="000000"/>
          <w:sz w:val="26"/>
          <w:szCs w:val="26"/>
          <w:lang w:val="vi-VN"/>
        </w:rPr>
      </w:pPr>
      <w:r w:rsidRPr="00A713FB">
        <w:rPr>
          <w:i/>
          <w:iCs/>
          <w:noProof/>
          <w:color w:val="000000"/>
          <w:sz w:val="26"/>
          <w:szCs w:val="26"/>
        </w:rPr>
        <mc:AlternateContent>
          <mc:Choice Requires="wps">
            <w:drawing>
              <wp:anchor distT="0" distB="0" distL="114300" distR="114300" simplePos="0" relativeHeight="251659264" behindDoc="0" locked="0" layoutInCell="1" allowOverlap="1" wp14:anchorId="4832C7CE" wp14:editId="3149F714">
                <wp:simplePos x="0" y="0"/>
                <wp:positionH relativeFrom="margin">
                  <wp:align>center</wp:align>
                </wp:positionH>
                <wp:positionV relativeFrom="paragraph">
                  <wp:posOffset>6985</wp:posOffset>
                </wp:positionV>
                <wp:extent cx="2314135" cy="7034"/>
                <wp:effectExtent l="0" t="0" r="29210" b="31115"/>
                <wp:wrapNone/>
                <wp:docPr id="1" name="Straight Connector 1"/>
                <wp:cNvGraphicFramePr/>
                <a:graphic xmlns:a="http://schemas.openxmlformats.org/drawingml/2006/main">
                  <a:graphicData uri="http://schemas.microsoft.com/office/word/2010/wordprocessingShape">
                    <wps:wsp>
                      <wps:cNvCnPr/>
                      <wps:spPr>
                        <a:xfrm flipV="1">
                          <a:off x="0" y="0"/>
                          <a:ext cx="2314135"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29D2128"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55pt" to="182.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" strokecolor="black [3200]" strokeweight=".5pt">
                <v:stroke joinstyle="miter"/>
                <w10:wrap anchorx="margin"/>
              </v:line>
            </w:pict>
          </mc:Fallback>
        </mc:AlternateContent>
      </w:r>
    </w:p>
    <w:tbl>
      <w:tblPr>
        <w:tblStyle w:val="TableGrid1"/>
        <w:tblpPr w:rightFromText="181" w:vertAnchor="text" w:tblpXSpec="center" w:tblpY="1"/>
        <w:tblOverlap w:val="never"/>
        <w:tblW w:w="13405" w:type="dxa"/>
        <w:tblCellMar>
          <w:left w:w="85" w:type="dxa"/>
        </w:tblCellMar>
        <w:tblLook w:val="04A0" w:firstRow="1" w:lastRow="0" w:firstColumn="1" w:lastColumn="0" w:noHBand="0" w:noVBand="1"/>
      </w:tblPr>
      <w:tblGrid>
        <w:gridCol w:w="670"/>
        <w:gridCol w:w="1858"/>
        <w:gridCol w:w="2450"/>
        <w:gridCol w:w="1934"/>
        <w:gridCol w:w="1447"/>
        <w:gridCol w:w="2567"/>
        <w:gridCol w:w="2479"/>
      </w:tblGrid>
      <w:tr w:rsidR="007C64F8" w:rsidRPr="00F64C23" w14:paraId="1B8C88F0" w14:textId="77777777" w:rsidTr="007C64F8">
        <w:tc>
          <w:tcPr>
            <w:tcW w:w="670" w:type="dxa"/>
            <w:shd w:val="clear" w:color="auto" w:fill="FBE4D5" w:themeFill="accent2" w:themeFillTint="33"/>
            <w:vAlign w:val="center"/>
          </w:tcPr>
          <w:p w14:paraId="07C65584" w14:textId="77777777" w:rsidR="007C64F8" w:rsidRPr="00F64C23" w:rsidRDefault="007C64F8" w:rsidP="007C64F8">
            <w:pPr>
              <w:spacing w:line="259" w:lineRule="auto"/>
              <w:jc w:val="center"/>
              <w:rPr>
                <w:rFonts w:eastAsia="Calibri"/>
                <w:b/>
                <w:bCs/>
                <w:sz w:val="24"/>
                <w:szCs w:val="24"/>
                <w:lang w:val="vi-VN"/>
              </w:rPr>
            </w:pPr>
            <w:bookmarkStart w:id="0" w:name="_GoBack"/>
            <w:r w:rsidRPr="00F64C23">
              <w:rPr>
                <w:rFonts w:eastAsia="Calibri"/>
                <w:b/>
                <w:bCs/>
                <w:sz w:val="24"/>
                <w:szCs w:val="24"/>
                <w:lang w:val="vi-VN"/>
              </w:rPr>
              <w:t>STT</w:t>
            </w:r>
          </w:p>
        </w:tc>
        <w:tc>
          <w:tcPr>
            <w:tcW w:w="1858" w:type="dxa"/>
            <w:shd w:val="clear" w:color="auto" w:fill="FBE4D5" w:themeFill="accent2" w:themeFillTint="33"/>
            <w:vAlign w:val="center"/>
          </w:tcPr>
          <w:p w14:paraId="5ECB6904" w14:textId="77777777" w:rsidR="007C64F8" w:rsidRPr="00F64C23" w:rsidRDefault="007C64F8" w:rsidP="007C64F8">
            <w:pPr>
              <w:spacing w:line="259" w:lineRule="auto"/>
              <w:jc w:val="center"/>
              <w:rPr>
                <w:rFonts w:eastAsia="Calibri"/>
                <w:b/>
                <w:bCs/>
                <w:sz w:val="24"/>
                <w:szCs w:val="24"/>
                <w:lang w:val="vi-VN"/>
              </w:rPr>
            </w:pPr>
            <w:r w:rsidRPr="00F64C23">
              <w:rPr>
                <w:rFonts w:eastAsia="Calibri"/>
                <w:b/>
                <w:bCs/>
                <w:sz w:val="24"/>
                <w:szCs w:val="24"/>
                <w:lang w:val="vi-VN"/>
              </w:rPr>
              <w:t>Điều, khoản, điểm, tên văn bản đề xuất xử lý</w:t>
            </w:r>
          </w:p>
        </w:tc>
        <w:tc>
          <w:tcPr>
            <w:tcW w:w="2450" w:type="dxa"/>
            <w:shd w:val="clear" w:color="auto" w:fill="FBE4D5" w:themeFill="accent2" w:themeFillTint="33"/>
            <w:vAlign w:val="center"/>
          </w:tcPr>
          <w:p w14:paraId="3C88A3E8" w14:textId="77777777" w:rsidR="007C64F8" w:rsidRPr="00F64C23" w:rsidRDefault="007C64F8" w:rsidP="007C64F8">
            <w:pPr>
              <w:spacing w:line="259" w:lineRule="auto"/>
              <w:jc w:val="center"/>
              <w:rPr>
                <w:rFonts w:eastAsia="Calibri"/>
                <w:b/>
                <w:bCs/>
                <w:sz w:val="24"/>
                <w:szCs w:val="24"/>
                <w:lang w:val="vi-VN"/>
              </w:rPr>
            </w:pPr>
            <w:r w:rsidRPr="00F64C23">
              <w:rPr>
                <w:rFonts w:eastAsia="Calibri"/>
                <w:b/>
                <w:bCs/>
                <w:sz w:val="24"/>
                <w:szCs w:val="24"/>
                <w:lang w:val="vi-VN"/>
              </w:rPr>
              <w:t>Nội dung quy định được phản ánh mâu thuẫn, chồng chéo</w:t>
            </w:r>
          </w:p>
        </w:tc>
        <w:tc>
          <w:tcPr>
            <w:tcW w:w="1934" w:type="dxa"/>
            <w:shd w:val="clear" w:color="auto" w:fill="FBE4D5" w:themeFill="accent2" w:themeFillTint="33"/>
            <w:vAlign w:val="center"/>
          </w:tcPr>
          <w:p w14:paraId="6104D2DF" w14:textId="77777777" w:rsidR="007C64F8" w:rsidRPr="00F64C23" w:rsidRDefault="007C64F8" w:rsidP="007C64F8">
            <w:pPr>
              <w:spacing w:line="259" w:lineRule="auto"/>
              <w:jc w:val="center"/>
              <w:rPr>
                <w:rFonts w:eastAsia="Calibri"/>
                <w:b/>
                <w:bCs/>
                <w:sz w:val="24"/>
                <w:szCs w:val="24"/>
                <w:lang w:val="vi-VN"/>
              </w:rPr>
            </w:pPr>
            <w:r w:rsidRPr="00F64C23">
              <w:rPr>
                <w:rFonts w:eastAsia="Calibri"/>
                <w:b/>
                <w:bCs/>
                <w:sz w:val="24"/>
                <w:szCs w:val="24"/>
                <w:lang w:val="vi-VN"/>
              </w:rPr>
              <w:t>Phương án xử lý được đề xuất</w:t>
            </w:r>
          </w:p>
        </w:tc>
        <w:tc>
          <w:tcPr>
            <w:tcW w:w="1447" w:type="dxa"/>
            <w:shd w:val="clear" w:color="auto" w:fill="FBE4D5" w:themeFill="accent2" w:themeFillTint="33"/>
            <w:vAlign w:val="center"/>
          </w:tcPr>
          <w:p w14:paraId="111A9BD1" w14:textId="77777777" w:rsidR="007C64F8" w:rsidRPr="00F64C23" w:rsidRDefault="007C64F8" w:rsidP="007C64F8">
            <w:pPr>
              <w:spacing w:line="259" w:lineRule="auto"/>
              <w:jc w:val="center"/>
              <w:rPr>
                <w:rFonts w:eastAsia="Calibri"/>
                <w:b/>
                <w:bCs/>
                <w:sz w:val="24"/>
                <w:szCs w:val="24"/>
                <w:lang w:val="vi-VN"/>
              </w:rPr>
            </w:pPr>
            <w:r w:rsidRPr="00F64C23">
              <w:rPr>
                <w:rFonts w:eastAsia="Calibri"/>
                <w:b/>
                <w:bCs/>
                <w:sz w:val="24"/>
                <w:szCs w:val="24"/>
                <w:lang w:val="vi-VN"/>
              </w:rPr>
              <w:t>Cơ quan, tổ chức rà soát, phản ánh</w:t>
            </w:r>
          </w:p>
        </w:tc>
        <w:tc>
          <w:tcPr>
            <w:tcW w:w="2567" w:type="dxa"/>
            <w:shd w:val="clear" w:color="auto" w:fill="FBE4D5" w:themeFill="accent2" w:themeFillTint="33"/>
            <w:vAlign w:val="center"/>
          </w:tcPr>
          <w:p w14:paraId="44D85C7E" w14:textId="77777777" w:rsidR="007C64F8" w:rsidRPr="00F64C23" w:rsidRDefault="007C64F8" w:rsidP="007C64F8">
            <w:pPr>
              <w:spacing w:line="259" w:lineRule="auto"/>
              <w:jc w:val="center"/>
              <w:rPr>
                <w:rFonts w:eastAsia="Calibri"/>
                <w:b/>
                <w:bCs/>
                <w:sz w:val="24"/>
                <w:szCs w:val="24"/>
                <w:lang w:val="vi-VN"/>
              </w:rPr>
            </w:pPr>
            <w:r w:rsidRPr="00F64C23">
              <w:rPr>
                <w:rFonts w:eastAsia="Calibri"/>
                <w:b/>
                <w:bCs/>
                <w:sz w:val="24"/>
                <w:szCs w:val="24"/>
                <w:lang w:val="vi-VN"/>
              </w:rPr>
              <w:t>Ý kiến của các Bộ, ngành, cơ quan về nội dung rà soát, phản ánh</w:t>
            </w:r>
          </w:p>
        </w:tc>
        <w:tc>
          <w:tcPr>
            <w:tcW w:w="2479" w:type="dxa"/>
            <w:shd w:val="clear" w:color="auto" w:fill="FBE4D5" w:themeFill="accent2" w:themeFillTint="33"/>
            <w:vAlign w:val="center"/>
          </w:tcPr>
          <w:p w14:paraId="3B613720" w14:textId="78A01DD2" w:rsidR="007C64F8" w:rsidRPr="00F64C23" w:rsidRDefault="007C64F8" w:rsidP="00B10EBE">
            <w:pPr>
              <w:spacing w:line="259" w:lineRule="auto"/>
              <w:jc w:val="center"/>
              <w:rPr>
                <w:rFonts w:eastAsia="Calibri"/>
                <w:b/>
                <w:bCs/>
                <w:sz w:val="24"/>
                <w:szCs w:val="24"/>
                <w:lang w:val="vi-VN"/>
              </w:rPr>
            </w:pPr>
            <w:r w:rsidRPr="00F64C23">
              <w:rPr>
                <w:b/>
                <w:bCs/>
                <w:sz w:val="24"/>
                <w:szCs w:val="24"/>
                <w:lang w:val="vi-VN"/>
              </w:rPr>
              <w:t xml:space="preserve">Tình hình xử lý </w:t>
            </w:r>
          </w:p>
        </w:tc>
      </w:tr>
      <w:tr w:rsidR="007C64F8" w:rsidRPr="00F64C23" w14:paraId="01B37DA8" w14:textId="77777777" w:rsidTr="007C64F8">
        <w:tc>
          <w:tcPr>
            <w:tcW w:w="670" w:type="dxa"/>
            <w:vAlign w:val="center"/>
          </w:tcPr>
          <w:p w14:paraId="796E2F82" w14:textId="77777777" w:rsidR="007C64F8" w:rsidRPr="00F64C23" w:rsidRDefault="007C64F8" w:rsidP="00B73EEA">
            <w:pPr>
              <w:spacing w:line="259" w:lineRule="auto"/>
              <w:jc w:val="center"/>
              <w:rPr>
                <w:rFonts w:eastAsia="Calibri"/>
                <w:b/>
                <w:bCs/>
                <w:sz w:val="24"/>
                <w:szCs w:val="24"/>
                <w:lang w:val="vi-VN"/>
              </w:rPr>
            </w:pPr>
            <w:r w:rsidRPr="00F64C23">
              <w:rPr>
                <w:rFonts w:eastAsia="Calibri"/>
                <w:b/>
                <w:bCs/>
                <w:sz w:val="24"/>
                <w:szCs w:val="24"/>
                <w:lang w:val="vi-VN"/>
              </w:rPr>
              <w:t>(1)</w:t>
            </w:r>
          </w:p>
        </w:tc>
        <w:tc>
          <w:tcPr>
            <w:tcW w:w="1858" w:type="dxa"/>
            <w:vAlign w:val="center"/>
          </w:tcPr>
          <w:p w14:paraId="132183A4" w14:textId="77777777" w:rsidR="007C64F8" w:rsidRPr="00F64C23" w:rsidRDefault="007C64F8" w:rsidP="00B73EEA">
            <w:pPr>
              <w:spacing w:line="259" w:lineRule="auto"/>
              <w:jc w:val="center"/>
              <w:rPr>
                <w:rFonts w:eastAsia="Calibri"/>
                <w:b/>
                <w:bCs/>
                <w:i/>
                <w:iCs/>
                <w:sz w:val="24"/>
                <w:szCs w:val="24"/>
                <w:lang w:val="vi-VN"/>
              </w:rPr>
            </w:pPr>
            <w:r w:rsidRPr="00F64C23">
              <w:rPr>
                <w:rFonts w:eastAsia="Calibri"/>
                <w:b/>
                <w:bCs/>
                <w:i/>
                <w:iCs/>
                <w:sz w:val="24"/>
                <w:szCs w:val="24"/>
                <w:lang w:val="vi-VN"/>
              </w:rPr>
              <w:t>(2)</w:t>
            </w:r>
          </w:p>
        </w:tc>
        <w:tc>
          <w:tcPr>
            <w:tcW w:w="2450" w:type="dxa"/>
            <w:vAlign w:val="center"/>
          </w:tcPr>
          <w:p w14:paraId="07C3F656" w14:textId="77777777" w:rsidR="007C64F8" w:rsidRPr="00F64C23" w:rsidRDefault="007C64F8" w:rsidP="00B73EEA">
            <w:pPr>
              <w:spacing w:line="259" w:lineRule="auto"/>
              <w:jc w:val="center"/>
              <w:rPr>
                <w:rFonts w:eastAsia="Calibri"/>
                <w:b/>
                <w:bCs/>
                <w:i/>
                <w:iCs/>
                <w:sz w:val="24"/>
                <w:szCs w:val="24"/>
                <w:lang w:val="vi-VN"/>
              </w:rPr>
            </w:pPr>
            <w:r w:rsidRPr="00F64C23">
              <w:rPr>
                <w:rFonts w:eastAsia="Calibri"/>
                <w:b/>
                <w:bCs/>
                <w:i/>
                <w:iCs/>
                <w:sz w:val="24"/>
                <w:szCs w:val="24"/>
                <w:lang w:val="vi-VN"/>
              </w:rPr>
              <w:t>(3)</w:t>
            </w:r>
          </w:p>
        </w:tc>
        <w:tc>
          <w:tcPr>
            <w:tcW w:w="1934" w:type="dxa"/>
            <w:vAlign w:val="center"/>
          </w:tcPr>
          <w:p w14:paraId="03CDE6DC" w14:textId="77777777" w:rsidR="007C64F8" w:rsidRPr="00F64C23" w:rsidRDefault="007C64F8" w:rsidP="00B73EEA">
            <w:pPr>
              <w:spacing w:line="259" w:lineRule="auto"/>
              <w:jc w:val="center"/>
              <w:rPr>
                <w:rFonts w:eastAsia="Calibri"/>
                <w:b/>
                <w:bCs/>
                <w:i/>
                <w:iCs/>
                <w:sz w:val="24"/>
                <w:szCs w:val="24"/>
                <w:lang w:val="vi-VN"/>
              </w:rPr>
            </w:pPr>
            <w:r w:rsidRPr="00F64C23">
              <w:rPr>
                <w:rFonts w:eastAsia="Calibri"/>
                <w:b/>
                <w:bCs/>
                <w:i/>
                <w:iCs/>
                <w:sz w:val="24"/>
                <w:szCs w:val="24"/>
                <w:lang w:val="vi-VN"/>
              </w:rPr>
              <w:t>(4)</w:t>
            </w:r>
          </w:p>
        </w:tc>
        <w:tc>
          <w:tcPr>
            <w:tcW w:w="1447" w:type="dxa"/>
          </w:tcPr>
          <w:p w14:paraId="0D1E4072" w14:textId="77777777" w:rsidR="007C64F8" w:rsidRPr="00F64C23" w:rsidRDefault="007C64F8" w:rsidP="00B73EEA">
            <w:pPr>
              <w:spacing w:line="259" w:lineRule="auto"/>
              <w:jc w:val="center"/>
              <w:rPr>
                <w:rFonts w:eastAsia="Calibri"/>
                <w:b/>
                <w:bCs/>
                <w:i/>
                <w:iCs/>
                <w:sz w:val="24"/>
                <w:szCs w:val="24"/>
                <w:lang w:val="vi-VN"/>
              </w:rPr>
            </w:pPr>
            <w:r w:rsidRPr="00F64C23">
              <w:rPr>
                <w:rFonts w:eastAsia="Calibri"/>
                <w:b/>
                <w:bCs/>
                <w:i/>
                <w:iCs/>
                <w:sz w:val="24"/>
                <w:szCs w:val="24"/>
                <w:lang w:val="vi-VN"/>
              </w:rPr>
              <w:t>(5)</w:t>
            </w:r>
          </w:p>
        </w:tc>
        <w:tc>
          <w:tcPr>
            <w:tcW w:w="2567" w:type="dxa"/>
            <w:vAlign w:val="center"/>
          </w:tcPr>
          <w:p w14:paraId="5C9B0392" w14:textId="77777777" w:rsidR="007C64F8" w:rsidRPr="00F64C23" w:rsidRDefault="007C64F8" w:rsidP="00B73EEA">
            <w:pPr>
              <w:spacing w:line="259" w:lineRule="auto"/>
              <w:jc w:val="center"/>
              <w:rPr>
                <w:rFonts w:eastAsia="Calibri"/>
                <w:b/>
                <w:bCs/>
                <w:i/>
                <w:iCs/>
                <w:sz w:val="24"/>
                <w:szCs w:val="24"/>
                <w:lang w:val="vi-VN"/>
              </w:rPr>
            </w:pPr>
            <w:r w:rsidRPr="00F64C23">
              <w:rPr>
                <w:rFonts w:eastAsia="Calibri"/>
                <w:b/>
                <w:bCs/>
                <w:i/>
                <w:iCs/>
                <w:sz w:val="24"/>
                <w:szCs w:val="24"/>
                <w:lang w:val="vi-VN"/>
              </w:rPr>
              <w:t>(6)</w:t>
            </w:r>
          </w:p>
        </w:tc>
        <w:tc>
          <w:tcPr>
            <w:tcW w:w="2479" w:type="dxa"/>
          </w:tcPr>
          <w:p w14:paraId="41E4CDAF" w14:textId="70FDE7DD" w:rsidR="007C64F8" w:rsidRPr="00F64C23" w:rsidRDefault="007C64F8" w:rsidP="00B73EEA">
            <w:pPr>
              <w:spacing w:line="259" w:lineRule="auto"/>
              <w:jc w:val="center"/>
              <w:rPr>
                <w:rFonts w:eastAsia="Calibri"/>
                <w:b/>
                <w:bCs/>
                <w:i/>
                <w:iCs/>
                <w:sz w:val="24"/>
                <w:szCs w:val="24"/>
              </w:rPr>
            </w:pPr>
            <w:r w:rsidRPr="00F64C23">
              <w:rPr>
                <w:rFonts w:eastAsia="Calibri"/>
                <w:b/>
                <w:bCs/>
                <w:i/>
                <w:iCs/>
                <w:sz w:val="24"/>
                <w:szCs w:val="24"/>
              </w:rPr>
              <w:t>(7)</w:t>
            </w:r>
          </w:p>
        </w:tc>
      </w:tr>
      <w:tr w:rsidR="00AD082E" w:rsidRPr="00F64C23" w14:paraId="11F4EA33" w14:textId="77777777" w:rsidTr="007C64F8">
        <w:tc>
          <w:tcPr>
            <w:tcW w:w="670" w:type="dxa"/>
            <w:vAlign w:val="center"/>
          </w:tcPr>
          <w:p w14:paraId="5DE849A8" w14:textId="77777777" w:rsidR="00AD082E" w:rsidRPr="00F64C23" w:rsidRDefault="00AD082E" w:rsidP="00AD082E">
            <w:pPr>
              <w:numPr>
                <w:ilvl w:val="0"/>
                <w:numId w:val="1"/>
              </w:numPr>
              <w:contextualSpacing/>
              <w:jc w:val="center"/>
              <w:rPr>
                <w:rFonts w:eastAsia="Calibri"/>
                <w:b/>
                <w:bCs/>
                <w:sz w:val="24"/>
                <w:szCs w:val="24"/>
                <w:lang w:val="vi-VN"/>
              </w:rPr>
            </w:pPr>
          </w:p>
        </w:tc>
        <w:tc>
          <w:tcPr>
            <w:tcW w:w="1858" w:type="dxa"/>
          </w:tcPr>
          <w:p w14:paraId="4E0628BA" w14:textId="39E57C30" w:rsidR="00AD082E" w:rsidRPr="00F64C23" w:rsidRDefault="00AD082E" w:rsidP="00AD082E">
            <w:pPr>
              <w:spacing w:line="259" w:lineRule="auto"/>
              <w:jc w:val="both"/>
              <w:rPr>
                <w:rFonts w:eastAsia="Calibri"/>
                <w:sz w:val="24"/>
                <w:szCs w:val="24"/>
                <w:lang w:val="vi-VN"/>
              </w:rPr>
            </w:pPr>
            <w:r w:rsidRPr="00F64C23">
              <w:rPr>
                <w:sz w:val="24"/>
                <w:szCs w:val="24"/>
                <w:lang w:val="vi-VN"/>
              </w:rPr>
              <w:t>Luật Khiếu nại năm 2011</w:t>
            </w:r>
          </w:p>
        </w:tc>
        <w:tc>
          <w:tcPr>
            <w:tcW w:w="2450" w:type="dxa"/>
          </w:tcPr>
          <w:p w14:paraId="5D5553D7" w14:textId="4DCAB259" w:rsidR="00AD082E" w:rsidRPr="00F64C23" w:rsidRDefault="00AD082E" w:rsidP="00AD082E">
            <w:pPr>
              <w:spacing w:line="259" w:lineRule="auto"/>
              <w:jc w:val="both"/>
              <w:rPr>
                <w:rFonts w:eastAsia="Calibri"/>
                <w:sz w:val="24"/>
                <w:szCs w:val="24"/>
                <w:lang w:val="vi-VN"/>
              </w:rPr>
            </w:pPr>
            <w:r w:rsidRPr="00F64C23">
              <w:rPr>
                <w:sz w:val="24"/>
                <w:szCs w:val="24"/>
                <w:lang w:val="vi-VN"/>
              </w:rPr>
              <w:t xml:space="preserve">Tại khoản 4 Điều 30 Luật Khiếu nại năm 2011 quy định “4. Việc đối thoại phải được lập thành biên bản; biên bản phải ghi rõ ý kiến của những người tham gia, kết quả đối thoại, có chữ ký hoặc điểm chỉ của người tham gia; trường hợp người tham gia đối thoại không ký, điểm chỉ xác nhận thì phải ghi rõ lý do; biên </w:t>
            </w:r>
            <w:r w:rsidRPr="00F64C23">
              <w:rPr>
                <w:sz w:val="24"/>
                <w:szCs w:val="24"/>
                <w:lang w:val="vi-VN"/>
              </w:rPr>
              <w:lastRenderedPageBreak/>
              <w:t>bản này được lưu vào hồ sơ vụ việc khiếu nại.” Hiện tại chưa có quy định về việc người được mời đối thoại không tham gia đối thoại thì giải quyết tiếp khiếu nại như thế nào.</w:t>
            </w:r>
          </w:p>
        </w:tc>
        <w:tc>
          <w:tcPr>
            <w:tcW w:w="1934" w:type="dxa"/>
          </w:tcPr>
          <w:p w14:paraId="2D7E4B01" w14:textId="5F0A12DC" w:rsidR="00AD082E" w:rsidRPr="00F64C23" w:rsidRDefault="00AD082E" w:rsidP="00AD082E">
            <w:pPr>
              <w:spacing w:line="259" w:lineRule="auto"/>
              <w:jc w:val="both"/>
              <w:rPr>
                <w:rFonts w:eastAsia="Calibri"/>
                <w:sz w:val="24"/>
                <w:szCs w:val="24"/>
                <w:lang w:val="vi-VN"/>
              </w:rPr>
            </w:pPr>
            <w:r w:rsidRPr="00F64C23">
              <w:rPr>
                <w:sz w:val="24"/>
                <w:szCs w:val="24"/>
                <w:lang w:val="vi-VN"/>
              </w:rPr>
              <w:lastRenderedPageBreak/>
              <w:t>C. Sửa đổi, bổ sung, thay thế, ban hành mới VBQPPL (theo trình tự, thủ tục rút gọn ban hành VBQPPL của Luật Ban hành VBQPPL)</w:t>
            </w:r>
          </w:p>
        </w:tc>
        <w:tc>
          <w:tcPr>
            <w:tcW w:w="1447" w:type="dxa"/>
          </w:tcPr>
          <w:p w14:paraId="61102E6B" w14:textId="47FAEBFD" w:rsidR="00AD082E" w:rsidRPr="00F64C23" w:rsidRDefault="00AD082E" w:rsidP="00AD082E">
            <w:pPr>
              <w:spacing w:line="259" w:lineRule="auto"/>
              <w:jc w:val="both"/>
              <w:rPr>
                <w:rFonts w:eastAsia="Calibri"/>
                <w:sz w:val="24"/>
                <w:szCs w:val="24"/>
                <w:lang w:val="vi-VN"/>
              </w:rPr>
            </w:pPr>
            <w:r w:rsidRPr="00F64C23">
              <w:rPr>
                <w:sz w:val="24"/>
                <w:szCs w:val="24"/>
                <w:lang w:val="vi-VN"/>
              </w:rPr>
              <w:t>Sở Tư pháp tỉnh Bắc Ninh</w:t>
            </w:r>
          </w:p>
        </w:tc>
        <w:tc>
          <w:tcPr>
            <w:tcW w:w="2567" w:type="dxa"/>
          </w:tcPr>
          <w:p w14:paraId="44D19C88" w14:textId="1F10A5C9" w:rsidR="00AD082E" w:rsidRPr="00F64C23" w:rsidRDefault="00AD082E" w:rsidP="00AD082E">
            <w:pPr>
              <w:spacing w:line="259" w:lineRule="auto"/>
              <w:jc w:val="both"/>
              <w:rPr>
                <w:rFonts w:eastAsia="Calibri"/>
                <w:sz w:val="24"/>
                <w:szCs w:val="24"/>
                <w:lang w:val="vi-VN"/>
              </w:rPr>
            </w:pPr>
            <w:r w:rsidRPr="00F64C23">
              <w:rPr>
                <w:rFonts w:eastAsia="Calibri"/>
                <w:sz w:val="24"/>
                <w:szCs w:val="24"/>
                <w:lang w:val="vi-VN"/>
              </w:rPr>
              <w:t>Thanh tra Chính phủ nhất trí với nội dung được phản ánh và phương án xử lý được đề xuất.</w:t>
            </w:r>
          </w:p>
        </w:tc>
        <w:tc>
          <w:tcPr>
            <w:tcW w:w="2479" w:type="dxa"/>
          </w:tcPr>
          <w:p w14:paraId="386EE932" w14:textId="0F7AE640" w:rsidR="00AD082E" w:rsidRPr="00F64C23" w:rsidRDefault="00F254D0" w:rsidP="00F254D0">
            <w:pPr>
              <w:widowControl w:val="0"/>
              <w:spacing w:before="120"/>
              <w:jc w:val="both"/>
              <w:rPr>
                <w:rFonts w:eastAsia="Segoe UI"/>
                <w:sz w:val="24"/>
                <w:szCs w:val="24"/>
                <w:shd w:val="clear" w:color="auto" w:fill="FFFFFF"/>
                <w:lang w:val="vi-VN"/>
              </w:rPr>
            </w:pPr>
            <w:r w:rsidRPr="00F64C23">
              <w:rPr>
                <w:b/>
                <w:bCs/>
                <w:sz w:val="24"/>
                <w:szCs w:val="24"/>
                <w:lang w:val="vi-VN"/>
              </w:rPr>
              <w:t>Đã xử lý</w:t>
            </w:r>
            <w:r w:rsidRPr="00F64C23">
              <w:rPr>
                <w:sz w:val="24"/>
                <w:szCs w:val="24"/>
                <w:lang w:val="vi-VN"/>
              </w:rPr>
              <w:t xml:space="preserve"> tại Khoản 11 Điều 2 của Luật sửa đổi, bổ sung một số điều của Luật Tiếp công dân, Luật Khiếu nại, Luật Tố cáo được Quốc hội khóa 15 thông qua ngày 10/12/2025 Kỳ họp thứ 10. </w:t>
            </w:r>
          </w:p>
        </w:tc>
      </w:tr>
      <w:tr w:rsidR="00AD082E" w:rsidRPr="00F64C23" w14:paraId="3A99D800" w14:textId="77777777" w:rsidTr="007C64F8">
        <w:tc>
          <w:tcPr>
            <w:tcW w:w="670" w:type="dxa"/>
            <w:vAlign w:val="center"/>
          </w:tcPr>
          <w:p w14:paraId="7BC9617E" w14:textId="77777777" w:rsidR="00AD082E" w:rsidRPr="00F64C23" w:rsidRDefault="00AD082E" w:rsidP="00AD082E">
            <w:pPr>
              <w:numPr>
                <w:ilvl w:val="0"/>
                <w:numId w:val="1"/>
              </w:numPr>
              <w:contextualSpacing/>
              <w:jc w:val="center"/>
              <w:rPr>
                <w:rFonts w:eastAsia="Calibri"/>
                <w:b/>
                <w:bCs/>
                <w:sz w:val="24"/>
                <w:szCs w:val="24"/>
                <w:lang w:val="vi-VN"/>
              </w:rPr>
            </w:pPr>
          </w:p>
        </w:tc>
        <w:tc>
          <w:tcPr>
            <w:tcW w:w="1858" w:type="dxa"/>
          </w:tcPr>
          <w:p w14:paraId="6EE02D86" w14:textId="77777777" w:rsidR="00AD082E" w:rsidRPr="00F64C23" w:rsidRDefault="00AD082E" w:rsidP="00AD082E">
            <w:pPr>
              <w:spacing w:line="264" w:lineRule="auto"/>
              <w:jc w:val="both"/>
              <w:rPr>
                <w:sz w:val="24"/>
                <w:szCs w:val="24"/>
                <w:lang w:val="vi-VN"/>
              </w:rPr>
            </w:pPr>
            <w:r w:rsidRPr="00F64C23">
              <w:rPr>
                <w:sz w:val="24"/>
                <w:szCs w:val="24"/>
                <w:lang w:val="vi-VN"/>
              </w:rPr>
              <w:t xml:space="preserve">Luật Khiếu nại năm 2011 </w:t>
            </w:r>
          </w:p>
          <w:p w14:paraId="77AE1D19" w14:textId="293F621F" w:rsidR="00AD082E" w:rsidRPr="00F64C23" w:rsidRDefault="00AD082E" w:rsidP="00AD082E">
            <w:pPr>
              <w:spacing w:line="259" w:lineRule="auto"/>
              <w:jc w:val="both"/>
              <w:rPr>
                <w:rFonts w:eastAsia="Calibri"/>
                <w:sz w:val="24"/>
                <w:szCs w:val="24"/>
                <w:lang w:val="vi-VN"/>
              </w:rPr>
            </w:pPr>
            <w:r w:rsidRPr="00F64C23">
              <w:rPr>
                <w:sz w:val="24"/>
                <w:szCs w:val="24"/>
                <w:lang w:val="vi-VN"/>
              </w:rPr>
              <w:t>(Chưa có quy định cụ thể)</w:t>
            </w:r>
          </w:p>
        </w:tc>
        <w:tc>
          <w:tcPr>
            <w:tcW w:w="2450" w:type="dxa"/>
          </w:tcPr>
          <w:p w14:paraId="6D9F51DF" w14:textId="51367C3A" w:rsidR="00AD082E" w:rsidRPr="00F64C23" w:rsidRDefault="00AD082E" w:rsidP="00AD082E">
            <w:pPr>
              <w:spacing w:line="259" w:lineRule="auto"/>
              <w:jc w:val="both"/>
              <w:rPr>
                <w:rFonts w:eastAsia="Calibri"/>
                <w:sz w:val="24"/>
                <w:szCs w:val="24"/>
                <w:lang w:val="vi-VN"/>
              </w:rPr>
            </w:pPr>
            <w:r w:rsidRPr="00F64C23">
              <w:rPr>
                <w:sz w:val="24"/>
                <w:szCs w:val="24"/>
                <w:lang w:val="vi-VN"/>
              </w:rPr>
              <w:t xml:space="preserve">Quy định về các trường hợp đình chỉ giải quyết khiếu nại trong luật hiện hành chưa đáp ứng được nhu cầu thực tiễn, do đó, cần bổ sung các quy định cụ thể đối với vấn đề này để tăng cường tính hiệu quả trong công tác giải quyết khiếu nại. Do đó, cần bổ sung quy định về đình chỉ giải quyết khiếu nại trong các trường hợp: người khiếu nại là cá nhân đã chết mà quyền, nghĩa vụ của họ không được hoặc chưa được thừa kế; cơ quan, tổ chức đã giải thể mà không có hoặc chưa có cơ quan, tổ chức kế thừa quyền, </w:t>
            </w:r>
            <w:r w:rsidRPr="00F64C23">
              <w:rPr>
                <w:sz w:val="24"/>
                <w:szCs w:val="24"/>
                <w:lang w:val="vi-VN"/>
              </w:rPr>
              <w:lastRenderedPageBreak/>
              <w:t>nghĩa vụ tham gia khiếu nại; người khiếu nại đã được triệu tập hợp lệ nhiều lần mà vẫn vắng mặt không có lý do chính đáng; người khiếu nại có hành vi trốn tránh, cản trở cơ quan có thẩm quyền xác minh tại chỗ để làm rõ những nội dung vi phạm hành chính của người khiếu nại…</w:t>
            </w:r>
          </w:p>
        </w:tc>
        <w:tc>
          <w:tcPr>
            <w:tcW w:w="1934" w:type="dxa"/>
          </w:tcPr>
          <w:p w14:paraId="1414D9B7" w14:textId="258D3D6C" w:rsidR="00AD082E" w:rsidRPr="00F64C23" w:rsidRDefault="00AD082E" w:rsidP="00AD082E">
            <w:pPr>
              <w:spacing w:line="259" w:lineRule="auto"/>
              <w:jc w:val="both"/>
              <w:rPr>
                <w:rFonts w:eastAsia="Calibri"/>
                <w:b/>
                <w:bCs/>
                <w:sz w:val="24"/>
                <w:szCs w:val="24"/>
                <w:lang w:val="vi-VN"/>
              </w:rPr>
            </w:pPr>
            <w:r w:rsidRPr="00F64C23">
              <w:rPr>
                <w:sz w:val="24"/>
                <w:szCs w:val="24"/>
                <w:lang w:val="vi-VN"/>
              </w:rPr>
              <w:lastRenderedPageBreak/>
              <w:t>C. Sửa đổi, bổ sung, thay thế, ban hành mới VBQPPL (theo trình tự, thủ tục rút gọn ban hành VBQPPL của Luật Ban hành VBQPPL)</w:t>
            </w:r>
          </w:p>
        </w:tc>
        <w:tc>
          <w:tcPr>
            <w:tcW w:w="1447" w:type="dxa"/>
          </w:tcPr>
          <w:p w14:paraId="7EF10523" w14:textId="0661B14A" w:rsidR="00AD082E" w:rsidRPr="00F64C23" w:rsidRDefault="00AD082E" w:rsidP="00AD082E">
            <w:pPr>
              <w:spacing w:line="259" w:lineRule="auto"/>
              <w:jc w:val="both"/>
              <w:rPr>
                <w:rFonts w:eastAsia="Calibri"/>
                <w:sz w:val="24"/>
                <w:szCs w:val="24"/>
                <w:lang w:val="vi-VN"/>
              </w:rPr>
            </w:pPr>
            <w:r w:rsidRPr="00F64C23">
              <w:rPr>
                <w:sz w:val="24"/>
                <w:szCs w:val="24"/>
                <w:lang w:val="vi-VN"/>
              </w:rPr>
              <w:t>Thanh tra Chính phủ</w:t>
            </w:r>
          </w:p>
        </w:tc>
        <w:tc>
          <w:tcPr>
            <w:tcW w:w="2567" w:type="dxa"/>
          </w:tcPr>
          <w:p w14:paraId="7F5F10BD" w14:textId="6CDB1110" w:rsidR="00AD082E" w:rsidRPr="00F64C23" w:rsidRDefault="00AD082E" w:rsidP="00AD082E">
            <w:pPr>
              <w:spacing w:line="259" w:lineRule="auto"/>
              <w:jc w:val="both"/>
              <w:rPr>
                <w:rFonts w:eastAsia="Calibri"/>
                <w:sz w:val="24"/>
                <w:szCs w:val="24"/>
                <w:lang w:val="vi-VN"/>
              </w:rPr>
            </w:pPr>
          </w:p>
        </w:tc>
        <w:tc>
          <w:tcPr>
            <w:tcW w:w="2479" w:type="dxa"/>
          </w:tcPr>
          <w:p w14:paraId="7D121AC4" w14:textId="5040C8A8" w:rsidR="00AD082E" w:rsidRPr="00F64C23" w:rsidRDefault="00F254D0" w:rsidP="00AD082E">
            <w:pPr>
              <w:spacing w:line="259" w:lineRule="auto"/>
              <w:jc w:val="both"/>
              <w:rPr>
                <w:rFonts w:eastAsia="Calibri"/>
                <w:sz w:val="24"/>
                <w:szCs w:val="24"/>
                <w:lang w:val="vi-VN"/>
              </w:rPr>
            </w:pPr>
            <w:r w:rsidRPr="00F64C23">
              <w:rPr>
                <w:rFonts w:eastAsia="Calibri"/>
                <w:b/>
                <w:bCs/>
                <w:sz w:val="24"/>
                <w:szCs w:val="24"/>
                <w:lang w:val="vi-VN"/>
              </w:rPr>
              <w:t>Đã xử lý</w:t>
            </w:r>
            <w:r w:rsidRPr="00F64C23">
              <w:rPr>
                <w:rFonts w:eastAsia="Calibri"/>
                <w:sz w:val="24"/>
                <w:szCs w:val="24"/>
                <w:lang w:val="vi-VN"/>
              </w:rPr>
              <w:t xml:space="preserve"> tại</w:t>
            </w:r>
            <w:r w:rsidRPr="00F64C23">
              <w:rPr>
                <w:sz w:val="24"/>
                <w:szCs w:val="24"/>
                <w:lang w:val="vi-VN"/>
              </w:rPr>
              <w:t xml:space="preserve"> Khoản 4 Điều 2  của Luật sửa đổi, bổ sung một số điều của Luật Tiếp công dân, Luật Khiếu nại, Luật Tố cáo được Quốc hội khóa 15 thông qua ngày 10/12/2025 Kỳ họp thứ 10.</w:t>
            </w:r>
          </w:p>
        </w:tc>
      </w:tr>
      <w:tr w:rsidR="00153B3C" w:rsidRPr="00F64C23" w14:paraId="2718E83B" w14:textId="77777777" w:rsidTr="007C64F8">
        <w:tc>
          <w:tcPr>
            <w:tcW w:w="670" w:type="dxa"/>
            <w:vAlign w:val="center"/>
          </w:tcPr>
          <w:p w14:paraId="1489FA38" w14:textId="77777777" w:rsidR="00153B3C" w:rsidRPr="00F64C23" w:rsidRDefault="00153B3C" w:rsidP="00153B3C">
            <w:pPr>
              <w:numPr>
                <w:ilvl w:val="0"/>
                <w:numId w:val="1"/>
              </w:numPr>
              <w:contextualSpacing/>
              <w:jc w:val="center"/>
              <w:rPr>
                <w:rFonts w:eastAsia="Calibri"/>
                <w:b/>
                <w:bCs/>
                <w:sz w:val="24"/>
                <w:szCs w:val="24"/>
                <w:lang w:val="vi-VN"/>
              </w:rPr>
            </w:pPr>
          </w:p>
        </w:tc>
        <w:tc>
          <w:tcPr>
            <w:tcW w:w="1858" w:type="dxa"/>
          </w:tcPr>
          <w:p w14:paraId="05990429" w14:textId="77777777" w:rsidR="00153B3C" w:rsidRPr="00F64C23" w:rsidRDefault="00153B3C" w:rsidP="00153B3C">
            <w:pPr>
              <w:spacing w:line="264" w:lineRule="auto"/>
              <w:jc w:val="both"/>
              <w:rPr>
                <w:sz w:val="24"/>
                <w:szCs w:val="24"/>
                <w:lang w:val="vi-VN"/>
              </w:rPr>
            </w:pPr>
            <w:r w:rsidRPr="00F64C23">
              <w:rPr>
                <w:sz w:val="24"/>
                <w:szCs w:val="24"/>
                <w:lang w:val="vi-VN"/>
              </w:rPr>
              <w:t xml:space="preserve">Luật Khiếu nại năm 2011 </w:t>
            </w:r>
          </w:p>
          <w:p w14:paraId="0C50FE6E" w14:textId="5A41518A" w:rsidR="00153B3C" w:rsidRPr="00F64C23" w:rsidRDefault="00153B3C" w:rsidP="00153B3C">
            <w:pPr>
              <w:spacing w:line="259" w:lineRule="auto"/>
              <w:jc w:val="both"/>
              <w:rPr>
                <w:sz w:val="24"/>
                <w:szCs w:val="24"/>
                <w:lang w:val="vi-VN"/>
              </w:rPr>
            </w:pPr>
            <w:r w:rsidRPr="00F64C23">
              <w:rPr>
                <w:sz w:val="24"/>
                <w:szCs w:val="24"/>
                <w:lang w:val="vi-VN"/>
              </w:rPr>
              <w:t>(Chưa có quy định cụ thể)</w:t>
            </w:r>
          </w:p>
        </w:tc>
        <w:tc>
          <w:tcPr>
            <w:tcW w:w="2450" w:type="dxa"/>
          </w:tcPr>
          <w:p w14:paraId="1A3D6B66" w14:textId="16E20143" w:rsidR="00153B3C" w:rsidRPr="00F64C23" w:rsidRDefault="00153B3C" w:rsidP="00153B3C">
            <w:pPr>
              <w:spacing w:line="259" w:lineRule="auto"/>
              <w:jc w:val="both"/>
              <w:rPr>
                <w:sz w:val="24"/>
                <w:szCs w:val="24"/>
                <w:lang w:val="vi-VN"/>
              </w:rPr>
            </w:pPr>
            <w:r w:rsidRPr="00F64C23">
              <w:rPr>
                <w:sz w:val="24"/>
                <w:szCs w:val="24"/>
                <w:lang w:val="vi-VN"/>
              </w:rPr>
              <w:t xml:space="preserve">Thực hiện Kết luận số 134-KL/TW ngày 28/3/2025 của Bộ Chính trị, Ban Bí thư về Đề án sắp xếp hệ thống cơ quan thanh tra tinh, gọn, mạnh, hiệu năng, hiệu lực, hiệu quả, tại các Bộ, cơ quan ngang Bộ (trừ Bộ Công an, Bộ Quốc phòng và Ngân hàng Nhà nước) không còn cơ quan thanh tra. Nhiệm vụ tham mưu trong công tác giải quyết khiếu nại; theo dõi, đôn đốc thực hiện quyết định giải quyết </w:t>
            </w:r>
            <w:r w:rsidRPr="00F64C23">
              <w:rPr>
                <w:sz w:val="24"/>
                <w:szCs w:val="24"/>
                <w:lang w:val="vi-VN"/>
              </w:rPr>
              <w:lastRenderedPageBreak/>
              <w:t xml:space="preserve">khiếu nại… sẽ được chuyển cho các đơn vị tham mưu. Do đó cần </w:t>
            </w:r>
            <w:bookmarkStart w:id="1" w:name="_Hlk204076604"/>
            <w:r w:rsidRPr="00F64C23">
              <w:rPr>
                <w:sz w:val="24"/>
                <w:szCs w:val="24"/>
                <w:lang w:val="vi-VN"/>
              </w:rPr>
              <w:t>bổ sung quy định trách nhiệm của đơn vị tham mưu, giúp Bộ trưởng, Thủ trưởng cơ quan ngang bộ (những nơi không có cơ quan thanh tra), Giám đốc sở trong công tác giải quyết khiếu nại; theo dõi, đôn đốc thực hiện quyết định giải quyết khiếu nại.</w:t>
            </w:r>
            <w:bookmarkEnd w:id="1"/>
          </w:p>
        </w:tc>
        <w:tc>
          <w:tcPr>
            <w:tcW w:w="1934" w:type="dxa"/>
          </w:tcPr>
          <w:p w14:paraId="414DECB0" w14:textId="775730EB" w:rsidR="00153B3C" w:rsidRPr="00F64C23" w:rsidRDefault="00153B3C" w:rsidP="00153B3C">
            <w:pPr>
              <w:spacing w:line="259" w:lineRule="auto"/>
              <w:jc w:val="both"/>
              <w:rPr>
                <w:sz w:val="24"/>
                <w:szCs w:val="24"/>
                <w:lang w:val="vi-VN"/>
              </w:rPr>
            </w:pPr>
            <w:r w:rsidRPr="00F64C23">
              <w:rPr>
                <w:sz w:val="24"/>
                <w:szCs w:val="24"/>
                <w:lang w:val="vi-VN"/>
              </w:rPr>
              <w:lastRenderedPageBreak/>
              <w:t>C. Sửa đổi, bổ sung, thay thế, ban hành mới VBQPPL (theo trình tự, thủ tục rút gọn ban hành VBQPPL của Luật Ban hành VBQPPL)</w:t>
            </w:r>
          </w:p>
        </w:tc>
        <w:tc>
          <w:tcPr>
            <w:tcW w:w="1447" w:type="dxa"/>
          </w:tcPr>
          <w:p w14:paraId="657E0476" w14:textId="66FC8F72" w:rsidR="00153B3C" w:rsidRPr="00F64C23" w:rsidRDefault="00153B3C" w:rsidP="00153B3C">
            <w:pPr>
              <w:spacing w:line="259" w:lineRule="auto"/>
              <w:jc w:val="both"/>
              <w:rPr>
                <w:sz w:val="24"/>
                <w:szCs w:val="24"/>
                <w:lang w:val="vi-VN"/>
              </w:rPr>
            </w:pPr>
            <w:r w:rsidRPr="00F64C23">
              <w:rPr>
                <w:sz w:val="24"/>
                <w:szCs w:val="24"/>
                <w:lang w:val="vi-VN"/>
              </w:rPr>
              <w:t>Thanh tra Chính phủ</w:t>
            </w:r>
          </w:p>
        </w:tc>
        <w:tc>
          <w:tcPr>
            <w:tcW w:w="2567" w:type="dxa"/>
          </w:tcPr>
          <w:p w14:paraId="2E7E0B9E" w14:textId="77777777" w:rsidR="00153B3C" w:rsidRPr="00F64C23" w:rsidRDefault="00153B3C" w:rsidP="00153B3C">
            <w:pPr>
              <w:spacing w:line="259" w:lineRule="auto"/>
              <w:jc w:val="both"/>
              <w:rPr>
                <w:rFonts w:eastAsia="Calibri"/>
                <w:sz w:val="24"/>
                <w:szCs w:val="24"/>
                <w:lang w:val="vi-VN"/>
              </w:rPr>
            </w:pPr>
          </w:p>
        </w:tc>
        <w:tc>
          <w:tcPr>
            <w:tcW w:w="2479" w:type="dxa"/>
          </w:tcPr>
          <w:p w14:paraId="349083B1" w14:textId="090C9CCC" w:rsidR="00153B3C" w:rsidRPr="00F64C23" w:rsidRDefault="00F254D0" w:rsidP="00153B3C">
            <w:pPr>
              <w:spacing w:line="259" w:lineRule="auto"/>
              <w:jc w:val="both"/>
              <w:rPr>
                <w:rFonts w:eastAsia="Calibri"/>
                <w:sz w:val="24"/>
                <w:szCs w:val="24"/>
                <w:lang w:val="vi-VN"/>
              </w:rPr>
            </w:pPr>
            <w:r w:rsidRPr="00F64C23">
              <w:rPr>
                <w:rFonts w:eastAsia="Calibri"/>
                <w:b/>
                <w:bCs/>
                <w:sz w:val="24"/>
                <w:szCs w:val="24"/>
                <w:lang w:val="vi-VN"/>
              </w:rPr>
              <w:t>Đã xử lý</w:t>
            </w:r>
            <w:r w:rsidRPr="00F64C23">
              <w:rPr>
                <w:rFonts w:eastAsia="Calibri"/>
                <w:sz w:val="24"/>
                <w:szCs w:val="24"/>
                <w:lang w:val="vi-VN"/>
              </w:rPr>
              <w:t xml:space="preserve">  tại Khoản 14 Điều 2</w:t>
            </w:r>
            <w:r w:rsidR="004F62A7" w:rsidRPr="00F64C23">
              <w:rPr>
                <w:rFonts w:eastAsia="Calibri"/>
                <w:sz w:val="24"/>
                <w:szCs w:val="24"/>
                <w:lang w:val="vi-VN"/>
              </w:rPr>
              <w:t xml:space="preserve"> </w:t>
            </w:r>
            <w:r w:rsidRPr="00F64C23">
              <w:rPr>
                <w:sz w:val="24"/>
                <w:szCs w:val="24"/>
                <w:lang w:val="vi-VN"/>
              </w:rPr>
              <w:t>của Luật sửa đổi, bổ sung một số điều của Luật Tiếp công dân, Luật Khiếu nại, Luật Tố cáo được Quốc hội khóa 15 thông qua ngày 10/12/2025 Kỳ họp thứ 10.</w:t>
            </w:r>
          </w:p>
        </w:tc>
      </w:tr>
      <w:tr w:rsidR="00AD082E" w:rsidRPr="00F64C23" w14:paraId="219DE1F7" w14:textId="77777777" w:rsidTr="007C64F8">
        <w:tc>
          <w:tcPr>
            <w:tcW w:w="670" w:type="dxa"/>
            <w:vAlign w:val="center"/>
          </w:tcPr>
          <w:p w14:paraId="3B004926" w14:textId="77777777" w:rsidR="00AD082E" w:rsidRPr="00F64C23" w:rsidRDefault="00AD082E" w:rsidP="00AD082E">
            <w:pPr>
              <w:numPr>
                <w:ilvl w:val="0"/>
                <w:numId w:val="1"/>
              </w:numPr>
              <w:contextualSpacing/>
              <w:jc w:val="center"/>
              <w:rPr>
                <w:rFonts w:eastAsia="Calibri"/>
                <w:b/>
                <w:bCs/>
                <w:sz w:val="24"/>
                <w:szCs w:val="24"/>
                <w:lang w:val="vi-VN"/>
              </w:rPr>
            </w:pPr>
          </w:p>
        </w:tc>
        <w:tc>
          <w:tcPr>
            <w:tcW w:w="1858" w:type="dxa"/>
          </w:tcPr>
          <w:p w14:paraId="150305C8" w14:textId="05CDF4DD" w:rsidR="00AD082E" w:rsidRPr="00F64C23" w:rsidRDefault="00AD082E" w:rsidP="00AD082E">
            <w:pPr>
              <w:spacing w:line="259" w:lineRule="auto"/>
              <w:jc w:val="both"/>
              <w:rPr>
                <w:rFonts w:eastAsia="Calibri"/>
                <w:sz w:val="24"/>
                <w:szCs w:val="24"/>
                <w:lang w:val="vi-VN"/>
              </w:rPr>
            </w:pPr>
            <w:r w:rsidRPr="00F64C23">
              <w:rPr>
                <w:sz w:val="24"/>
                <w:szCs w:val="24"/>
                <w:lang w:val="vi-VN"/>
              </w:rPr>
              <w:t>Luật Tiếp công dân năm 2013 Chưa có quy định</w:t>
            </w:r>
          </w:p>
        </w:tc>
        <w:tc>
          <w:tcPr>
            <w:tcW w:w="2450" w:type="dxa"/>
          </w:tcPr>
          <w:p w14:paraId="30018E5E" w14:textId="6DCAA13C" w:rsidR="00AD082E" w:rsidRPr="00F64C23" w:rsidRDefault="00AD082E" w:rsidP="00AD082E">
            <w:pPr>
              <w:spacing w:line="259" w:lineRule="auto"/>
              <w:jc w:val="both"/>
              <w:rPr>
                <w:rFonts w:eastAsia="Calibri"/>
                <w:sz w:val="24"/>
                <w:szCs w:val="24"/>
                <w:lang w:val="vi-VN"/>
              </w:rPr>
            </w:pPr>
            <w:r w:rsidRPr="00F64C23">
              <w:rPr>
                <w:sz w:val="24"/>
                <w:szCs w:val="24"/>
                <w:lang w:val="vi-VN"/>
              </w:rPr>
              <w:t>Thực hiện Nghị quyết số 60-NQ/TW, các tỉnh, thành phố đã thực hiện việc sáp nhập, khoảng cách di chuyển của người dân đến các trụ sở hành chính của tỉnh, thành phố sẽ gia tăng. Do đó, cần thiết bổ sung quy định về việc tiếp công dân trực tuyến để đảm bảo tính khả thi trong công tác tiếp công dân.</w:t>
            </w:r>
          </w:p>
        </w:tc>
        <w:tc>
          <w:tcPr>
            <w:tcW w:w="1934" w:type="dxa"/>
          </w:tcPr>
          <w:p w14:paraId="46BF7547" w14:textId="21E73E6C" w:rsidR="00AD082E" w:rsidRPr="00F64C23" w:rsidRDefault="00AD082E" w:rsidP="00AD082E">
            <w:pPr>
              <w:spacing w:line="259" w:lineRule="auto"/>
              <w:jc w:val="both"/>
              <w:rPr>
                <w:rFonts w:eastAsia="Calibri"/>
                <w:b/>
                <w:bCs/>
                <w:sz w:val="24"/>
                <w:szCs w:val="24"/>
                <w:lang w:val="vi-VN"/>
              </w:rPr>
            </w:pPr>
            <w:r w:rsidRPr="00F64C23">
              <w:rPr>
                <w:sz w:val="24"/>
                <w:szCs w:val="24"/>
                <w:lang w:val="vi-VN"/>
              </w:rPr>
              <w:t>C. Sửa đổi, bổ sung, thay thế, ban hành mới VBQPPL (theo trình tự, thủ tục rút gọn ban hành VBQPPL của Luật Ban hành VBQPPL)</w:t>
            </w:r>
          </w:p>
        </w:tc>
        <w:tc>
          <w:tcPr>
            <w:tcW w:w="1447" w:type="dxa"/>
          </w:tcPr>
          <w:p w14:paraId="3A03096C" w14:textId="58E3B024" w:rsidR="00AD082E" w:rsidRPr="00F64C23" w:rsidRDefault="00AD082E" w:rsidP="00AD082E">
            <w:pPr>
              <w:spacing w:line="259" w:lineRule="auto"/>
              <w:jc w:val="both"/>
              <w:rPr>
                <w:rFonts w:eastAsia="Calibri"/>
                <w:sz w:val="24"/>
                <w:szCs w:val="24"/>
                <w:lang w:val="vi-VN"/>
              </w:rPr>
            </w:pPr>
            <w:r w:rsidRPr="00F64C23">
              <w:rPr>
                <w:sz w:val="24"/>
                <w:szCs w:val="24"/>
                <w:lang w:val="vi-VN"/>
              </w:rPr>
              <w:t>Thanh tra Chính phủ</w:t>
            </w:r>
          </w:p>
        </w:tc>
        <w:tc>
          <w:tcPr>
            <w:tcW w:w="2567" w:type="dxa"/>
          </w:tcPr>
          <w:p w14:paraId="218D4BE7" w14:textId="241D7F21" w:rsidR="00AD082E" w:rsidRPr="00F64C23" w:rsidRDefault="00AD082E" w:rsidP="00AD082E">
            <w:pPr>
              <w:spacing w:line="259" w:lineRule="auto"/>
              <w:jc w:val="both"/>
              <w:rPr>
                <w:rFonts w:eastAsia="Calibri"/>
                <w:sz w:val="24"/>
                <w:szCs w:val="24"/>
                <w:lang w:val="vi-VN"/>
              </w:rPr>
            </w:pPr>
          </w:p>
        </w:tc>
        <w:tc>
          <w:tcPr>
            <w:tcW w:w="2479" w:type="dxa"/>
          </w:tcPr>
          <w:p w14:paraId="44A5A453" w14:textId="1606F2BB" w:rsidR="00AD082E" w:rsidRPr="00F64C23" w:rsidRDefault="00F254D0" w:rsidP="00AD082E">
            <w:pPr>
              <w:spacing w:line="259" w:lineRule="auto"/>
              <w:jc w:val="both"/>
              <w:rPr>
                <w:rFonts w:eastAsia="Calibri"/>
                <w:sz w:val="24"/>
                <w:szCs w:val="24"/>
                <w:lang w:val="vi-VN"/>
              </w:rPr>
            </w:pPr>
            <w:r w:rsidRPr="00F64C23">
              <w:rPr>
                <w:rFonts w:eastAsia="Calibri"/>
                <w:b/>
                <w:bCs/>
                <w:sz w:val="24"/>
                <w:szCs w:val="24"/>
                <w:lang w:val="vi-VN"/>
              </w:rPr>
              <w:t>Đã xử lý</w:t>
            </w:r>
            <w:r w:rsidRPr="00F64C23">
              <w:rPr>
                <w:rFonts w:eastAsia="Calibri"/>
                <w:sz w:val="24"/>
                <w:szCs w:val="24"/>
                <w:lang w:val="vi-VN"/>
              </w:rPr>
              <w:t xml:space="preserve"> tại Điều 1 của Luật sửa đổi, bổ sung một số điều Luật Tiếp công dân, Luật Khiếu nại, Luật Tố cáo (được Quốc khóa 15 thông qua tại Kỳ họp thứ 10 ngày 10/12/2025).</w:t>
            </w:r>
          </w:p>
        </w:tc>
      </w:tr>
      <w:tr w:rsidR="00AD082E" w:rsidRPr="00F64C23" w14:paraId="0BC946E7" w14:textId="77777777" w:rsidTr="007C64F8">
        <w:tc>
          <w:tcPr>
            <w:tcW w:w="670" w:type="dxa"/>
            <w:vAlign w:val="center"/>
          </w:tcPr>
          <w:p w14:paraId="27C8C8A2" w14:textId="77777777" w:rsidR="00AD082E" w:rsidRPr="00F64C23" w:rsidRDefault="00AD082E" w:rsidP="00AD082E">
            <w:pPr>
              <w:numPr>
                <w:ilvl w:val="0"/>
                <w:numId w:val="1"/>
              </w:numPr>
              <w:contextualSpacing/>
              <w:jc w:val="center"/>
              <w:rPr>
                <w:rFonts w:eastAsia="Calibri"/>
                <w:b/>
                <w:bCs/>
                <w:sz w:val="24"/>
                <w:szCs w:val="24"/>
                <w:lang w:val="vi-VN"/>
              </w:rPr>
            </w:pPr>
          </w:p>
        </w:tc>
        <w:tc>
          <w:tcPr>
            <w:tcW w:w="1858" w:type="dxa"/>
          </w:tcPr>
          <w:p w14:paraId="5CC5B402" w14:textId="7EB10719" w:rsidR="00AD082E" w:rsidRPr="00F64C23" w:rsidRDefault="00AD082E" w:rsidP="00AD082E">
            <w:pPr>
              <w:spacing w:line="259" w:lineRule="auto"/>
              <w:jc w:val="both"/>
              <w:rPr>
                <w:sz w:val="24"/>
                <w:szCs w:val="24"/>
                <w:lang w:val="vi-VN"/>
              </w:rPr>
            </w:pPr>
            <w:r w:rsidRPr="00F64C23">
              <w:rPr>
                <w:sz w:val="24"/>
                <w:szCs w:val="24"/>
                <w:lang w:val="vi-VN"/>
              </w:rPr>
              <w:t>Chưa có quy định pháp luật</w:t>
            </w:r>
          </w:p>
        </w:tc>
        <w:tc>
          <w:tcPr>
            <w:tcW w:w="2450" w:type="dxa"/>
          </w:tcPr>
          <w:p w14:paraId="2797A3AB" w14:textId="686A4FC1" w:rsidR="00AD082E" w:rsidRPr="00F64C23" w:rsidRDefault="00AD082E" w:rsidP="00AD082E">
            <w:pPr>
              <w:spacing w:line="259" w:lineRule="auto"/>
              <w:jc w:val="both"/>
              <w:rPr>
                <w:sz w:val="24"/>
                <w:szCs w:val="24"/>
                <w:lang w:val="vi-VN"/>
              </w:rPr>
            </w:pPr>
            <w:r w:rsidRPr="00F64C23">
              <w:rPr>
                <w:sz w:val="24"/>
                <w:szCs w:val="24"/>
                <w:lang w:val="vi-VN"/>
              </w:rPr>
              <w:t xml:space="preserve">Điểm b khoản 2 Điều 6 </w:t>
            </w:r>
            <w:bookmarkStart w:id="2" w:name="_Hlk204078750"/>
            <w:r w:rsidRPr="00F64C23">
              <w:rPr>
                <w:sz w:val="24"/>
                <w:szCs w:val="24"/>
                <w:lang w:val="vi-VN"/>
              </w:rPr>
              <w:t xml:space="preserve">Thông tư số 05/2021/TT-TTCP có </w:t>
            </w:r>
            <w:bookmarkStart w:id="3" w:name="_Hlk204078743"/>
            <w:r w:rsidRPr="00F64C23">
              <w:rPr>
                <w:sz w:val="24"/>
                <w:szCs w:val="24"/>
                <w:lang w:val="vi-VN"/>
              </w:rPr>
              <w:t xml:space="preserve">quy định về đơn không đủ điều kiện xử lý </w:t>
            </w:r>
            <w:bookmarkEnd w:id="2"/>
            <w:bookmarkEnd w:id="3"/>
            <w:r w:rsidRPr="00F64C23">
              <w:rPr>
                <w:sz w:val="24"/>
                <w:szCs w:val="24"/>
                <w:lang w:val="vi-VN"/>
              </w:rPr>
              <w:t>gồm: "Đơn đã được hướng dẫn theo quy định tại Khoản 1 Điều 8 Thông tư này" nhưng lại chỉ áp dụng đối với đơn khiếu nại. Do đó, đối với đơn tố cáo và đơn phản ánh, kiến nghị đã được hướng dẫn một lần về cùng nội dung, là loại đơn có số lượng lớn, lại không thể áp dụng quy định lưu đơn do không đủ điều kiện thụ lý, mà vẫn phải tiếp tục xử lý nhiều lần, gây lãng phí công sức của người tiếp công dân, xử lý đơn.</w:t>
            </w:r>
          </w:p>
        </w:tc>
        <w:tc>
          <w:tcPr>
            <w:tcW w:w="1934" w:type="dxa"/>
          </w:tcPr>
          <w:p w14:paraId="7F6EA305" w14:textId="51827AC0" w:rsidR="00AD082E" w:rsidRPr="00F64C23" w:rsidRDefault="00AD082E" w:rsidP="00AD082E">
            <w:pPr>
              <w:spacing w:line="259" w:lineRule="auto"/>
              <w:jc w:val="both"/>
              <w:rPr>
                <w:sz w:val="24"/>
                <w:szCs w:val="24"/>
                <w:lang w:val="vi-VN"/>
              </w:rPr>
            </w:pPr>
            <w:r w:rsidRPr="00F64C23">
              <w:rPr>
                <w:sz w:val="24"/>
                <w:szCs w:val="24"/>
                <w:lang w:val="vi-VN"/>
              </w:rPr>
              <w:t>C. Sửa đổi, bổ sung, thay thế, ban hành mới VBQPPL (theo trình tự, thủ tục rút gọn ban hành VBQPPL của Luật Ban hành VBQPPL)</w:t>
            </w:r>
          </w:p>
        </w:tc>
        <w:tc>
          <w:tcPr>
            <w:tcW w:w="1447" w:type="dxa"/>
          </w:tcPr>
          <w:p w14:paraId="5270F718" w14:textId="15ABF736" w:rsidR="00AD082E" w:rsidRPr="00F64C23" w:rsidRDefault="00AD082E" w:rsidP="00AD082E">
            <w:pPr>
              <w:spacing w:line="259" w:lineRule="auto"/>
              <w:jc w:val="both"/>
              <w:rPr>
                <w:sz w:val="24"/>
                <w:szCs w:val="24"/>
                <w:lang w:val="vi-VN"/>
              </w:rPr>
            </w:pPr>
            <w:r w:rsidRPr="00F64C23">
              <w:rPr>
                <w:sz w:val="24"/>
                <w:szCs w:val="24"/>
                <w:lang w:val="vi-VN"/>
              </w:rPr>
              <w:t>Sở Tư pháp thành phố Hồ Chí Minh</w:t>
            </w:r>
          </w:p>
        </w:tc>
        <w:tc>
          <w:tcPr>
            <w:tcW w:w="2567" w:type="dxa"/>
          </w:tcPr>
          <w:p w14:paraId="52C42C5C" w14:textId="013795D5" w:rsidR="00AD082E" w:rsidRPr="00F64C23" w:rsidRDefault="00AD082E" w:rsidP="00AD082E">
            <w:pPr>
              <w:spacing w:line="259" w:lineRule="auto"/>
              <w:jc w:val="both"/>
              <w:rPr>
                <w:rFonts w:eastAsia="Calibri"/>
                <w:sz w:val="24"/>
                <w:szCs w:val="24"/>
                <w:lang w:val="vi-VN"/>
              </w:rPr>
            </w:pPr>
            <w:r w:rsidRPr="00F64C23">
              <w:rPr>
                <w:sz w:val="24"/>
                <w:szCs w:val="24"/>
                <w:lang w:val="vi-VN"/>
              </w:rPr>
              <w:t>Thanh tra Chính phủ nhất trí với nội dung được phản ánh và phương án xử lý được đề xuất.</w:t>
            </w:r>
          </w:p>
        </w:tc>
        <w:tc>
          <w:tcPr>
            <w:tcW w:w="2479" w:type="dxa"/>
          </w:tcPr>
          <w:p w14:paraId="36B7AFE1" w14:textId="329BDFC9" w:rsidR="00EA7C0C" w:rsidRPr="00F64C23" w:rsidRDefault="00EA7C0C" w:rsidP="00AD082E">
            <w:pPr>
              <w:spacing w:line="259" w:lineRule="auto"/>
              <w:jc w:val="both"/>
              <w:rPr>
                <w:rFonts w:eastAsia="Calibri"/>
                <w:b/>
                <w:sz w:val="24"/>
                <w:szCs w:val="24"/>
              </w:rPr>
            </w:pPr>
            <w:r w:rsidRPr="00F64C23">
              <w:rPr>
                <w:rFonts w:eastAsia="Calibri"/>
                <w:b/>
                <w:sz w:val="24"/>
                <w:szCs w:val="24"/>
              </w:rPr>
              <w:t>Chưa xử lý</w:t>
            </w:r>
          </w:p>
          <w:p w14:paraId="4AE69AB1" w14:textId="19A70000" w:rsidR="00AD082E" w:rsidRPr="00F64C23" w:rsidRDefault="00AD082E" w:rsidP="00AD082E">
            <w:pPr>
              <w:spacing w:line="259" w:lineRule="auto"/>
              <w:jc w:val="both"/>
              <w:rPr>
                <w:rFonts w:eastAsia="Calibri"/>
                <w:sz w:val="24"/>
                <w:szCs w:val="24"/>
                <w:lang w:val="vi-VN"/>
              </w:rPr>
            </w:pPr>
            <w:r w:rsidRPr="00F64C23">
              <w:rPr>
                <w:rFonts w:eastAsia="Calibri"/>
                <w:sz w:val="24"/>
                <w:szCs w:val="24"/>
                <w:lang w:val="vi-VN"/>
              </w:rPr>
              <w:t>Thanh tra Chính phủ đã rà soát và hoàn thiện Thông tư số 05/2021/TT-TTCP. Tuy nhiên, việc ban hành Thông tư sửa đổi Thông tư này sẽ thực hiện sau khi Luật sửa đổi, bổ sung một số điều của Luật Tiếp công dân, Luật Khiếu nại, Luật Tố cáo được thông qua và Chính phủ ban hành Nghị định quy định chi tiết và hướng dẫn thi hành Luật này</w:t>
            </w:r>
          </w:p>
        </w:tc>
      </w:tr>
      <w:tr w:rsidR="00AD082E" w:rsidRPr="00F64C23" w14:paraId="4599D4FB" w14:textId="77777777" w:rsidTr="007C64F8">
        <w:tc>
          <w:tcPr>
            <w:tcW w:w="670" w:type="dxa"/>
            <w:vAlign w:val="center"/>
          </w:tcPr>
          <w:p w14:paraId="590B2764" w14:textId="77777777" w:rsidR="00AD082E" w:rsidRPr="00F64C23" w:rsidRDefault="00AD082E" w:rsidP="00AD082E">
            <w:pPr>
              <w:numPr>
                <w:ilvl w:val="0"/>
                <w:numId w:val="1"/>
              </w:numPr>
              <w:contextualSpacing/>
              <w:jc w:val="center"/>
              <w:rPr>
                <w:rFonts w:eastAsia="Calibri"/>
                <w:b/>
                <w:bCs/>
                <w:sz w:val="24"/>
                <w:szCs w:val="24"/>
                <w:lang w:val="vi-VN"/>
              </w:rPr>
            </w:pPr>
          </w:p>
        </w:tc>
        <w:tc>
          <w:tcPr>
            <w:tcW w:w="1858" w:type="dxa"/>
          </w:tcPr>
          <w:p w14:paraId="1BF300F2" w14:textId="132D886C" w:rsidR="00AD082E" w:rsidRPr="00F64C23" w:rsidRDefault="00AD082E" w:rsidP="00AD082E">
            <w:pPr>
              <w:spacing w:line="259" w:lineRule="auto"/>
              <w:jc w:val="both"/>
              <w:rPr>
                <w:sz w:val="24"/>
                <w:szCs w:val="24"/>
                <w:lang w:val="vi-VN"/>
              </w:rPr>
            </w:pPr>
            <w:r w:rsidRPr="00F64C23">
              <w:rPr>
                <w:sz w:val="24"/>
                <w:szCs w:val="24"/>
                <w:lang w:val="vi-VN"/>
              </w:rPr>
              <w:t>Luật Tố cáo năm 2018</w:t>
            </w:r>
          </w:p>
        </w:tc>
        <w:tc>
          <w:tcPr>
            <w:tcW w:w="2450" w:type="dxa"/>
          </w:tcPr>
          <w:p w14:paraId="547800AE" w14:textId="54D74DB5" w:rsidR="00AD082E" w:rsidRPr="00F64C23" w:rsidRDefault="00AD082E" w:rsidP="00AD082E">
            <w:pPr>
              <w:spacing w:line="259" w:lineRule="auto"/>
              <w:jc w:val="both"/>
              <w:rPr>
                <w:sz w:val="24"/>
                <w:szCs w:val="24"/>
                <w:lang w:val="vi-VN"/>
              </w:rPr>
            </w:pPr>
            <w:r w:rsidRPr="00F64C23">
              <w:rPr>
                <w:sz w:val="24"/>
                <w:szCs w:val="24"/>
                <w:lang w:val="vi-VN"/>
              </w:rPr>
              <w:t>Điều 32 và Điều 35 chưa xác định rõ thẩm quyền của Thủ tướng Chính phủ trong việc giải quyết, ban hành kết luận nội dung tố cáo và thông báo kết luận nội dung tố cáo</w:t>
            </w:r>
          </w:p>
        </w:tc>
        <w:tc>
          <w:tcPr>
            <w:tcW w:w="1934" w:type="dxa"/>
          </w:tcPr>
          <w:p w14:paraId="1ABEF8F7" w14:textId="62CCF49D" w:rsidR="00AD082E" w:rsidRPr="00F64C23" w:rsidRDefault="00AD082E" w:rsidP="00AD082E">
            <w:pPr>
              <w:spacing w:line="259" w:lineRule="auto"/>
              <w:jc w:val="both"/>
              <w:rPr>
                <w:sz w:val="24"/>
                <w:szCs w:val="24"/>
                <w:lang w:val="vi-VN"/>
              </w:rPr>
            </w:pPr>
            <w:r w:rsidRPr="00F64C23">
              <w:rPr>
                <w:sz w:val="24"/>
                <w:szCs w:val="24"/>
                <w:lang w:val="vi-VN"/>
              </w:rPr>
              <w:t xml:space="preserve">C. Sửa đổi, bổ sung, thay thế, ban hành mới VBQPPL (theo trình tự, thủ tục rút gọn ban hành VBQPPL của </w:t>
            </w:r>
            <w:r w:rsidRPr="00F64C23">
              <w:rPr>
                <w:sz w:val="24"/>
                <w:szCs w:val="24"/>
                <w:lang w:val="vi-VN"/>
              </w:rPr>
              <w:lastRenderedPageBreak/>
              <w:t>Luật BH VBQPPL)</w:t>
            </w:r>
          </w:p>
        </w:tc>
        <w:tc>
          <w:tcPr>
            <w:tcW w:w="1447" w:type="dxa"/>
          </w:tcPr>
          <w:p w14:paraId="2B61E8D5" w14:textId="6BD11F65" w:rsidR="00AD082E" w:rsidRPr="00F64C23" w:rsidRDefault="00AD082E" w:rsidP="00AD082E">
            <w:pPr>
              <w:spacing w:line="259" w:lineRule="auto"/>
              <w:jc w:val="both"/>
              <w:rPr>
                <w:sz w:val="24"/>
                <w:szCs w:val="24"/>
                <w:lang w:val="vi-VN"/>
              </w:rPr>
            </w:pPr>
            <w:r w:rsidRPr="00F64C23">
              <w:rPr>
                <w:sz w:val="24"/>
                <w:szCs w:val="24"/>
                <w:lang w:val="vi-VN"/>
              </w:rPr>
              <w:lastRenderedPageBreak/>
              <w:t>Văn phòng Chính phủ</w:t>
            </w:r>
          </w:p>
        </w:tc>
        <w:tc>
          <w:tcPr>
            <w:tcW w:w="2567" w:type="dxa"/>
          </w:tcPr>
          <w:p w14:paraId="662E09B2" w14:textId="50AE6944" w:rsidR="00AD082E" w:rsidRPr="00F64C23" w:rsidRDefault="00AD082E" w:rsidP="00AD082E">
            <w:pPr>
              <w:spacing w:line="259" w:lineRule="auto"/>
              <w:jc w:val="both"/>
              <w:rPr>
                <w:rFonts w:eastAsia="Calibri"/>
                <w:sz w:val="24"/>
                <w:szCs w:val="24"/>
                <w:lang w:val="vi-VN"/>
              </w:rPr>
            </w:pPr>
            <w:r w:rsidRPr="00F64C23">
              <w:rPr>
                <w:sz w:val="24"/>
                <w:szCs w:val="24"/>
                <w:lang w:val="vi-VN"/>
              </w:rPr>
              <w:t>Thanh tra Chính phủ nhất trí với nội dung được phản ánh và phương án xử lý được đề xuất.</w:t>
            </w:r>
          </w:p>
        </w:tc>
        <w:tc>
          <w:tcPr>
            <w:tcW w:w="2479" w:type="dxa"/>
          </w:tcPr>
          <w:p w14:paraId="0F36D519" w14:textId="1C3297D4" w:rsidR="00AD082E" w:rsidRPr="00F64C23" w:rsidRDefault="004F62A7" w:rsidP="00AD082E">
            <w:pPr>
              <w:spacing w:line="259" w:lineRule="auto"/>
              <w:jc w:val="both"/>
              <w:rPr>
                <w:rFonts w:eastAsia="Calibri"/>
                <w:sz w:val="24"/>
                <w:szCs w:val="24"/>
                <w:lang w:val="vi-VN"/>
              </w:rPr>
            </w:pPr>
            <w:r w:rsidRPr="00F64C23">
              <w:rPr>
                <w:rFonts w:eastAsia="Calibri"/>
                <w:b/>
                <w:bCs/>
                <w:sz w:val="24"/>
                <w:szCs w:val="24"/>
                <w:lang w:val="vi-VN"/>
              </w:rPr>
              <w:t>Đã xử lý</w:t>
            </w:r>
            <w:r w:rsidRPr="00F64C23">
              <w:rPr>
                <w:rFonts w:eastAsia="Calibri"/>
                <w:sz w:val="24"/>
                <w:szCs w:val="24"/>
                <w:lang w:val="vi-VN"/>
              </w:rPr>
              <w:t xml:space="preserve"> tại Khoản 4 Điều 3 của Luật sửa đổi, bổ sung một số điều Luật Tiếp công dân, Luật Khiếu nại, Luật Tố cáo (được Quốc khóa 15 thông qua tại Kỳ họp </w:t>
            </w:r>
            <w:r w:rsidRPr="00F64C23">
              <w:rPr>
                <w:rFonts w:eastAsia="Calibri"/>
                <w:sz w:val="24"/>
                <w:szCs w:val="24"/>
                <w:lang w:val="vi-VN"/>
              </w:rPr>
              <w:lastRenderedPageBreak/>
              <w:t>thứ 10 ngày 10/12/2025).</w:t>
            </w:r>
          </w:p>
        </w:tc>
      </w:tr>
      <w:tr w:rsidR="00AD082E" w:rsidRPr="00F64C23" w14:paraId="25D138A0" w14:textId="77777777" w:rsidTr="00AD082E">
        <w:trPr>
          <w:trHeight w:val="109"/>
        </w:trPr>
        <w:tc>
          <w:tcPr>
            <w:tcW w:w="670" w:type="dxa"/>
            <w:vAlign w:val="center"/>
          </w:tcPr>
          <w:p w14:paraId="192BF169" w14:textId="77777777" w:rsidR="00AD082E" w:rsidRPr="00F64C23" w:rsidRDefault="00AD082E" w:rsidP="00AD082E">
            <w:pPr>
              <w:numPr>
                <w:ilvl w:val="0"/>
                <w:numId w:val="1"/>
              </w:numPr>
              <w:contextualSpacing/>
              <w:jc w:val="center"/>
              <w:rPr>
                <w:rFonts w:eastAsia="Calibri"/>
                <w:b/>
                <w:bCs/>
                <w:sz w:val="24"/>
                <w:szCs w:val="24"/>
                <w:lang w:val="vi-VN"/>
              </w:rPr>
            </w:pPr>
          </w:p>
        </w:tc>
        <w:tc>
          <w:tcPr>
            <w:tcW w:w="1858" w:type="dxa"/>
          </w:tcPr>
          <w:p w14:paraId="45D906BC" w14:textId="44EAD933" w:rsidR="00AD082E" w:rsidRPr="00F64C23" w:rsidRDefault="00AD082E" w:rsidP="00AD082E">
            <w:pPr>
              <w:spacing w:line="259" w:lineRule="auto"/>
              <w:jc w:val="both"/>
              <w:rPr>
                <w:sz w:val="24"/>
                <w:szCs w:val="24"/>
                <w:lang w:val="vi-VN"/>
              </w:rPr>
            </w:pPr>
            <w:r w:rsidRPr="00F64C23">
              <w:rPr>
                <w:sz w:val="24"/>
                <w:szCs w:val="24"/>
                <w:lang w:val="vi-VN"/>
              </w:rPr>
              <w:t>Luật Tố cáo năm 2018 Chưa có quy định</w:t>
            </w:r>
          </w:p>
        </w:tc>
        <w:tc>
          <w:tcPr>
            <w:tcW w:w="2450" w:type="dxa"/>
          </w:tcPr>
          <w:p w14:paraId="31E43FFA" w14:textId="009B59AA" w:rsidR="00AD082E" w:rsidRPr="00F64C23" w:rsidRDefault="00AD082E" w:rsidP="00AD082E">
            <w:pPr>
              <w:spacing w:line="259" w:lineRule="auto"/>
              <w:jc w:val="both"/>
              <w:rPr>
                <w:sz w:val="24"/>
                <w:szCs w:val="24"/>
                <w:lang w:val="vi-VN"/>
              </w:rPr>
            </w:pPr>
            <w:r w:rsidRPr="00F64C23">
              <w:rPr>
                <w:sz w:val="24"/>
                <w:szCs w:val="24"/>
                <w:lang w:val="vi-VN"/>
              </w:rPr>
              <w:t xml:space="preserve">Thực tiễn chỉ ra cần có quy định về thẩm quyền của Tổng Thanh tra Chính phủ trong việc giúp Thủ tướng Chính phủ giải quyết tố cáo theo hướng: </w:t>
            </w:r>
            <w:bookmarkStart w:id="4" w:name="_Hlk204076638"/>
            <w:r w:rsidRPr="00F64C23">
              <w:rPr>
                <w:sz w:val="24"/>
                <w:szCs w:val="24"/>
                <w:lang w:val="vi-VN"/>
              </w:rPr>
              <w:t>Thủ tướng Chính phủ ủy quyền Tổng Thanh tra Chính phủ thụ lý, xác minh, kết luận nội dung tố cáo thuộc thẩm quyền của Thủ tướng Chính phủ</w:t>
            </w:r>
            <w:bookmarkEnd w:id="4"/>
            <w:r w:rsidRPr="00F64C23">
              <w:rPr>
                <w:sz w:val="24"/>
                <w:szCs w:val="24"/>
                <w:lang w:val="vi-VN"/>
              </w:rPr>
              <w:t>.</w:t>
            </w:r>
          </w:p>
        </w:tc>
        <w:tc>
          <w:tcPr>
            <w:tcW w:w="1934" w:type="dxa"/>
          </w:tcPr>
          <w:p w14:paraId="1C771FF5" w14:textId="62CB83F5" w:rsidR="00AD082E" w:rsidRPr="00F64C23" w:rsidRDefault="00AD082E" w:rsidP="00AD082E">
            <w:pPr>
              <w:spacing w:line="259" w:lineRule="auto"/>
              <w:jc w:val="both"/>
              <w:rPr>
                <w:sz w:val="24"/>
                <w:szCs w:val="24"/>
                <w:lang w:val="vi-VN"/>
              </w:rPr>
            </w:pPr>
            <w:r w:rsidRPr="00F64C23">
              <w:rPr>
                <w:sz w:val="24"/>
                <w:szCs w:val="24"/>
                <w:lang w:val="vi-VN"/>
              </w:rPr>
              <w:t>C. Sửa đổi, bổ sung, thay thế, ban hành mới VBQPPL (theo trình tự, thủ tục rút gọn ban hành VBQPPL của Luật Ban hành VBQPPL)</w:t>
            </w:r>
          </w:p>
        </w:tc>
        <w:tc>
          <w:tcPr>
            <w:tcW w:w="1447" w:type="dxa"/>
          </w:tcPr>
          <w:p w14:paraId="2111AE15" w14:textId="3492267F" w:rsidR="00AD082E" w:rsidRPr="00F64C23" w:rsidRDefault="00AD082E" w:rsidP="00AD082E">
            <w:pPr>
              <w:spacing w:line="259" w:lineRule="auto"/>
              <w:jc w:val="both"/>
              <w:rPr>
                <w:sz w:val="24"/>
                <w:szCs w:val="24"/>
                <w:lang w:val="vi-VN"/>
              </w:rPr>
            </w:pPr>
            <w:r w:rsidRPr="00F64C23">
              <w:rPr>
                <w:sz w:val="24"/>
                <w:szCs w:val="24"/>
                <w:lang w:val="vi-VN"/>
              </w:rPr>
              <w:t>Thanh tra Chính phủ</w:t>
            </w:r>
          </w:p>
        </w:tc>
        <w:tc>
          <w:tcPr>
            <w:tcW w:w="2567" w:type="dxa"/>
          </w:tcPr>
          <w:p w14:paraId="3E501852" w14:textId="1085E026" w:rsidR="00AD082E" w:rsidRPr="00F64C23" w:rsidRDefault="00AD082E" w:rsidP="00AD082E">
            <w:pPr>
              <w:spacing w:line="259" w:lineRule="auto"/>
              <w:jc w:val="both"/>
              <w:rPr>
                <w:rFonts w:eastAsia="Calibri"/>
                <w:sz w:val="24"/>
                <w:szCs w:val="24"/>
                <w:lang w:val="vi-VN"/>
              </w:rPr>
            </w:pPr>
          </w:p>
        </w:tc>
        <w:tc>
          <w:tcPr>
            <w:tcW w:w="2479" w:type="dxa"/>
          </w:tcPr>
          <w:p w14:paraId="21C1E093" w14:textId="134ADC7E" w:rsidR="00AD082E" w:rsidRPr="00F64C23" w:rsidRDefault="004F62A7" w:rsidP="00AD082E">
            <w:pPr>
              <w:spacing w:line="259" w:lineRule="auto"/>
              <w:jc w:val="both"/>
              <w:rPr>
                <w:rFonts w:eastAsia="Calibri"/>
                <w:sz w:val="24"/>
                <w:szCs w:val="24"/>
                <w:lang w:val="vi-VN"/>
              </w:rPr>
            </w:pPr>
            <w:r w:rsidRPr="00F64C23">
              <w:rPr>
                <w:rFonts w:eastAsia="Calibri"/>
                <w:b/>
                <w:bCs/>
                <w:sz w:val="24"/>
                <w:szCs w:val="24"/>
                <w:lang w:val="vi-VN"/>
              </w:rPr>
              <w:t>Đã xử lý</w:t>
            </w:r>
            <w:r w:rsidRPr="00F64C23">
              <w:rPr>
                <w:rFonts w:eastAsia="Calibri"/>
                <w:sz w:val="24"/>
                <w:szCs w:val="24"/>
                <w:lang w:val="vi-VN"/>
              </w:rPr>
              <w:t xml:space="preserve"> tại Khoản 4 Điều 3 của Luật sửa đổi, bổ sung một số điều Luật Tiếp công dân, Luật Khiếu nại, Luật Tố cáo (được Quốc khóa 15 thông qua tại Kỳ họp thứ 10 ngày 10/12/2025).</w:t>
            </w:r>
          </w:p>
        </w:tc>
      </w:tr>
      <w:tr w:rsidR="00AD082E" w:rsidRPr="00F64C23" w14:paraId="5E7B0C09" w14:textId="77777777" w:rsidTr="00AD082E">
        <w:trPr>
          <w:trHeight w:val="109"/>
        </w:trPr>
        <w:tc>
          <w:tcPr>
            <w:tcW w:w="670" w:type="dxa"/>
            <w:vAlign w:val="center"/>
          </w:tcPr>
          <w:p w14:paraId="40362E81" w14:textId="77777777" w:rsidR="00AD082E" w:rsidRPr="00F64C23" w:rsidRDefault="00AD082E" w:rsidP="00AD082E">
            <w:pPr>
              <w:numPr>
                <w:ilvl w:val="0"/>
                <w:numId w:val="1"/>
              </w:numPr>
              <w:contextualSpacing/>
              <w:jc w:val="center"/>
              <w:rPr>
                <w:rFonts w:eastAsia="Calibri"/>
                <w:b/>
                <w:bCs/>
                <w:sz w:val="24"/>
                <w:szCs w:val="24"/>
                <w:lang w:val="vi-VN"/>
              </w:rPr>
            </w:pPr>
          </w:p>
        </w:tc>
        <w:tc>
          <w:tcPr>
            <w:tcW w:w="1858" w:type="dxa"/>
          </w:tcPr>
          <w:p w14:paraId="79A2E7EC" w14:textId="65DBA8EE" w:rsidR="00AD082E" w:rsidRPr="00F64C23" w:rsidRDefault="00AD082E" w:rsidP="00AD082E">
            <w:pPr>
              <w:spacing w:line="259" w:lineRule="auto"/>
              <w:jc w:val="both"/>
              <w:rPr>
                <w:sz w:val="24"/>
                <w:szCs w:val="24"/>
                <w:lang w:val="vi-VN"/>
              </w:rPr>
            </w:pPr>
            <w:r w:rsidRPr="00F64C23">
              <w:rPr>
                <w:sz w:val="24"/>
                <w:szCs w:val="24"/>
                <w:lang w:val="vi-VN"/>
              </w:rPr>
              <w:t>Luật Tố cáo năm 2018 Chưa có quy định</w:t>
            </w:r>
          </w:p>
        </w:tc>
        <w:tc>
          <w:tcPr>
            <w:tcW w:w="2450" w:type="dxa"/>
          </w:tcPr>
          <w:p w14:paraId="79A83980" w14:textId="36ECA7A6" w:rsidR="00AD082E" w:rsidRPr="00F64C23" w:rsidRDefault="00AD082E" w:rsidP="00AD082E">
            <w:pPr>
              <w:spacing w:line="259" w:lineRule="auto"/>
              <w:jc w:val="both"/>
              <w:rPr>
                <w:sz w:val="24"/>
                <w:szCs w:val="24"/>
                <w:lang w:val="vi-VN"/>
              </w:rPr>
            </w:pPr>
            <w:r w:rsidRPr="00F64C23">
              <w:rPr>
                <w:sz w:val="24"/>
                <w:szCs w:val="24"/>
                <w:lang w:val="vi-VN"/>
              </w:rPr>
              <w:t xml:space="preserve">Thực hiện Kết luận số 134-KL/TW ngày 28/3/2025 của Bộ Chính trị, Ban Bí thư về Đề án sắp xếp hệ thống cơ quan thanh tra tinh, gọn, mạnh, hiệu năng, hiệu lực, hiệu quả, tại các Bộ, cơ quan ngang Bộ (trừ Bộ Công an, Bộ Quốc phòng và Ngân hàng Nhà nước) không còn cơ quan thanh tra. Nhiệm vụ tham mưu trong công tác công tác </w:t>
            </w:r>
            <w:r w:rsidRPr="00F64C23">
              <w:rPr>
                <w:sz w:val="24"/>
                <w:szCs w:val="24"/>
                <w:lang w:val="vi-VN"/>
              </w:rPr>
              <w:lastRenderedPageBreak/>
              <w:t xml:space="preserve">giải quyết tố cáo sẽ được chuyển cho các đơn vị tham mưu. Vì vậy, cần </w:t>
            </w:r>
            <w:bookmarkStart w:id="5" w:name="_Hlk204077469"/>
            <w:r w:rsidRPr="00F64C23">
              <w:rPr>
                <w:sz w:val="24"/>
                <w:szCs w:val="24"/>
                <w:lang w:val="vi-VN"/>
              </w:rPr>
              <w:t>bổ sung quy định trách nhiệm của đơn vị tham mưu, giúp Bộ trưởng, Thủ trưởng cơ quan ngang bộ (những nơi không có cơ quan thanh tra), Giám đốc sở trong công tác giải quyết tố cáo.</w:t>
            </w:r>
            <w:bookmarkEnd w:id="5"/>
          </w:p>
        </w:tc>
        <w:tc>
          <w:tcPr>
            <w:tcW w:w="1934" w:type="dxa"/>
          </w:tcPr>
          <w:p w14:paraId="45B2CB93" w14:textId="2FE86871" w:rsidR="00AD082E" w:rsidRPr="00F64C23" w:rsidRDefault="00AD082E" w:rsidP="00AD082E">
            <w:pPr>
              <w:spacing w:line="259" w:lineRule="auto"/>
              <w:jc w:val="both"/>
              <w:rPr>
                <w:sz w:val="24"/>
                <w:szCs w:val="24"/>
                <w:lang w:val="vi-VN"/>
              </w:rPr>
            </w:pPr>
            <w:r w:rsidRPr="00F64C23">
              <w:rPr>
                <w:sz w:val="24"/>
                <w:szCs w:val="24"/>
                <w:lang w:val="vi-VN"/>
              </w:rPr>
              <w:lastRenderedPageBreak/>
              <w:t>C. Sửa đổi, bổ sung, thay thế, ban hành mới VBQPPL (theo trình tự, thủ tục rút gọn ban hành VBQPPL của Luật Ban hành VBQPPL)</w:t>
            </w:r>
          </w:p>
        </w:tc>
        <w:tc>
          <w:tcPr>
            <w:tcW w:w="1447" w:type="dxa"/>
          </w:tcPr>
          <w:p w14:paraId="7738ABC7" w14:textId="01FB886D" w:rsidR="00AD082E" w:rsidRPr="00F64C23" w:rsidRDefault="00AD082E" w:rsidP="00AD082E">
            <w:pPr>
              <w:spacing w:line="259" w:lineRule="auto"/>
              <w:jc w:val="both"/>
              <w:rPr>
                <w:sz w:val="24"/>
                <w:szCs w:val="24"/>
                <w:lang w:val="vi-VN"/>
              </w:rPr>
            </w:pPr>
            <w:r w:rsidRPr="00F64C23">
              <w:rPr>
                <w:sz w:val="24"/>
                <w:szCs w:val="24"/>
                <w:lang w:val="vi-VN"/>
              </w:rPr>
              <w:t>Thanh tra Chính phủ</w:t>
            </w:r>
          </w:p>
        </w:tc>
        <w:tc>
          <w:tcPr>
            <w:tcW w:w="2567" w:type="dxa"/>
          </w:tcPr>
          <w:p w14:paraId="5422E847" w14:textId="7AF4BC96" w:rsidR="00AD082E" w:rsidRPr="00F64C23" w:rsidRDefault="00AD082E" w:rsidP="00AD082E">
            <w:pPr>
              <w:spacing w:line="259" w:lineRule="auto"/>
              <w:jc w:val="both"/>
              <w:rPr>
                <w:rFonts w:eastAsia="Calibri"/>
                <w:sz w:val="24"/>
                <w:szCs w:val="24"/>
                <w:lang w:val="vi-VN"/>
              </w:rPr>
            </w:pPr>
          </w:p>
        </w:tc>
        <w:tc>
          <w:tcPr>
            <w:tcW w:w="2479" w:type="dxa"/>
          </w:tcPr>
          <w:p w14:paraId="5A35D6B7" w14:textId="42A85E2A" w:rsidR="00AD082E" w:rsidRPr="00F64C23" w:rsidRDefault="004F62A7" w:rsidP="00AD082E">
            <w:pPr>
              <w:spacing w:line="259" w:lineRule="auto"/>
              <w:jc w:val="both"/>
              <w:rPr>
                <w:rFonts w:eastAsia="Calibri"/>
                <w:sz w:val="24"/>
                <w:szCs w:val="24"/>
                <w:lang w:val="vi-VN"/>
              </w:rPr>
            </w:pPr>
            <w:r w:rsidRPr="00F64C23">
              <w:rPr>
                <w:rFonts w:eastAsia="Calibri"/>
                <w:b/>
                <w:bCs/>
                <w:sz w:val="24"/>
                <w:szCs w:val="24"/>
                <w:lang w:val="vi-VN"/>
              </w:rPr>
              <w:t>Đã xử lý</w:t>
            </w:r>
            <w:r w:rsidRPr="00F64C23">
              <w:rPr>
                <w:rFonts w:eastAsia="Calibri"/>
                <w:sz w:val="24"/>
                <w:szCs w:val="24"/>
                <w:lang w:val="vi-VN"/>
              </w:rPr>
              <w:t xml:space="preserve">  tại Khoản 4 Điều 3 và </w:t>
            </w:r>
            <w:r w:rsidRPr="00F64C23">
              <w:rPr>
                <w:sz w:val="24"/>
                <w:szCs w:val="24"/>
                <w:lang w:val="vi-VN"/>
              </w:rPr>
              <w:t>của Luật sửa đổi, bổ sung một số điều của Luật Tiếp công dân, Luật Khiếu nại, Luật Tố cáo được Quốc hội khóa 15 thông qua ngày 10/12/2025 tại Kỳ họp thứ 10.</w:t>
            </w:r>
          </w:p>
        </w:tc>
      </w:tr>
      <w:tr w:rsidR="00AD082E" w:rsidRPr="00F64C23" w14:paraId="7AB57618" w14:textId="77777777" w:rsidTr="00AD082E">
        <w:trPr>
          <w:trHeight w:val="109"/>
        </w:trPr>
        <w:tc>
          <w:tcPr>
            <w:tcW w:w="670" w:type="dxa"/>
            <w:vAlign w:val="center"/>
          </w:tcPr>
          <w:p w14:paraId="05D546AC" w14:textId="77777777" w:rsidR="00AD082E" w:rsidRPr="00F64C23" w:rsidRDefault="00AD082E" w:rsidP="00AD082E">
            <w:pPr>
              <w:numPr>
                <w:ilvl w:val="0"/>
                <w:numId w:val="1"/>
              </w:numPr>
              <w:contextualSpacing/>
              <w:jc w:val="center"/>
              <w:rPr>
                <w:rFonts w:eastAsia="Calibri"/>
                <w:b/>
                <w:bCs/>
                <w:sz w:val="24"/>
                <w:szCs w:val="24"/>
                <w:lang w:val="vi-VN"/>
              </w:rPr>
            </w:pPr>
          </w:p>
        </w:tc>
        <w:tc>
          <w:tcPr>
            <w:tcW w:w="1858" w:type="dxa"/>
          </w:tcPr>
          <w:p w14:paraId="6204F2E6" w14:textId="0D5C19D3" w:rsidR="00AD082E" w:rsidRPr="00F64C23" w:rsidRDefault="00AD082E" w:rsidP="00AD082E">
            <w:pPr>
              <w:spacing w:line="259" w:lineRule="auto"/>
              <w:jc w:val="both"/>
              <w:rPr>
                <w:sz w:val="24"/>
                <w:szCs w:val="24"/>
                <w:lang w:val="vi-VN"/>
              </w:rPr>
            </w:pPr>
            <w:r w:rsidRPr="00F64C23">
              <w:rPr>
                <w:sz w:val="24"/>
                <w:szCs w:val="24"/>
                <w:lang w:val="vi-VN"/>
              </w:rPr>
              <w:t>Luật Phòng, chống tham nhũng năm 2018 Chưa có quy định cụ thể</w:t>
            </w:r>
          </w:p>
        </w:tc>
        <w:tc>
          <w:tcPr>
            <w:tcW w:w="2450" w:type="dxa"/>
          </w:tcPr>
          <w:p w14:paraId="72E74728" w14:textId="21577092" w:rsidR="00AD082E" w:rsidRPr="00F64C23" w:rsidRDefault="00AD082E" w:rsidP="00AD082E">
            <w:pPr>
              <w:spacing w:line="259" w:lineRule="auto"/>
              <w:jc w:val="both"/>
              <w:rPr>
                <w:sz w:val="24"/>
                <w:szCs w:val="24"/>
                <w:lang w:val="vi-VN"/>
              </w:rPr>
            </w:pPr>
            <w:r w:rsidRPr="00F64C23">
              <w:rPr>
                <w:sz w:val="24"/>
                <w:szCs w:val="24"/>
                <w:lang w:val="vi-VN"/>
              </w:rPr>
              <w:t xml:space="preserve">Thực tiễn các quy định về kiểm soát tài sản, thu nhập tạo ra nhiều vướng mắc, khó khăn trong việc thực hiện. Do đó, cần sửa đổi, bổ sung theo hướng là: + Luật hóa, quy định thống nhất các cơ quan kiểm soát tài sản, thu nhập trong hệ thống chính trị. + Quy định rõ thẩm quyền, trình tự, thủ tục các bước xác minh tài sản, thu nhập để việc thực hiện được thống nhất, đạt mục đích, yêu cầu. + Quy định các trường hợp thu </w:t>
            </w:r>
            <w:r w:rsidRPr="00F64C23">
              <w:rPr>
                <w:sz w:val="24"/>
                <w:szCs w:val="24"/>
                <w:lang w:val="vi-VN"/>
              </w:rPr>
              <w:lastRenderedPageBreak/>
              <w:t>hồi tài sản do không giải trình được nguồn gốc tài sản tăng thêm. + Hoàn thiện quy định về trách nhiệm và chế tài xử lý đối với các cơ quan, tổ chức, đơn vị, cá nhân cung cấp thông tin về tài sản, thu nhập cho cơ quan kiểm soát tài sản, thu nhập.</w:t>
            </w:r>
          </w:p>
        </w:tc>
        <w:tc>
          <w:tcPr>
            <w:tcW w:w="1934" w:type="dxa"/>
          </w:tcPr>
          <w:p w14:paraId="2DA1AF0F" w14:textId="32865E5E" w:rsidR="00AD082E" w:rsidRPr="00F64C23" w:rsidRDefault="00AD082E" w:rsidP="00AD082E">
            <w:pPr>
              <w:spacing w:line="259" w:lineRule="auto"/>
              <w:jc w:val="both"/>
              <w:rPr>
                <w:sz w:val="24"/>
                <w:szCs w:val="24"/>
                <w:lang w:val="vi-VN"/>
              </w:rPr>
            </w:pPr>
            <w:r w:rsidRPr="00F64C23">
              <w:rPr>
                <w:sz w:val="24"/>
                <w:szCs w:val="24"/>
                <w:lang w:val="vi-VN"/>
              </w:rPr>
              <w:lastRenderedPageBreak/>
              <w:t>C. Sửa đổi, bổ sung, thay thế, ban hành mới VBQPPL (theo trình tự, thủ tục rút gọn ban hành VBQPPL của Luật Ban hành VBQPPL)</w:t>
            </w:r>
          </w:p>
        </w:tc>
        <w:tc>
          <w:tcPr>
            <w:tcW w:w="1447" w:type="dxa"/>
          </w:tcPr>
          <w:p w14:paraId="2EC5B116" w14:textId="67DF0101" w:rsidR="00AD082E" w:rsidRPr="00F64C23" w:rsidRDefault="00AD082E" w:rsidP="00AD082E">
            <w:pPr>
              <w:spacing w:line="259" w:lineRule="auto"/>
              <w:jc w:val="both"/>
              <w:rPr>
                <w:sz w:val="24"/>
                <w:szCs w:val="24"/>
                <w:lang w:val="vi-VN"/>
              </w:rPr>
            </w:pPr>
            <w:r w:rsidRPr="00F64C23">
              <w:rPr>
                <w:sz w:val="24"/>
                <w:szCs w:val="24"/>
                <w:lang w:val="vi-VN"/>
              </w:rPr>
              <w:t>Thanh tra Chính phủ</w:t>
            </w:r>
          </w:p>
        </w:tc>
        <w:tc>
          <w:tcPr>
            <w:tcW w:w="2567" w:type="dxa"/>
          </w:tcPr>
          <w:p w14:paraId="71275C46" w14:textId="77777777" w:rsidR="00AD082E" w:rsidRPr="00F64C23" w:rsidRDefault="00AD082E" w:rsidP="00AD082E">
            <w:pPr>
              <w:spacing w:line="259" w:lineRule="auto"/>
              <w:jc w:val="both"/>
              <w:rPr>
                <w:rFonts w:eastAsia="Calibri"/>
                <w:sz w:val="24"/>
                <w:szCs w:val="24"/>
                <w:lang w:val="vi-VN"/>
              </w:rPr>
            </w:pPr>
          </w:p>
        </w:tc>
        <w:tc>
          <w:tcPr>
            <w:tcW w:w="2479" w:type="dxa"/>
          </w:tcPr>
          <w:p w14:paraId="0E0BEDFB" w14:textId="3E680733" w:rsidR="00AD082E" w:rsidRPr="00F64C23" w:rsidRDefault="00540AE9" w:rsidP="00AD082E">
            <w:pPr>
              <w:spacing w:line="259" w:lineRule="auto"/>
              <w:jc w:val="both"/>
              <w:rPr>
                <w:rFonts w:eastAsia="Calibri"/>
                <w:b/>
                <w:bCs/>
                <w:sz w:val="24"/>
                <w:szCs w:val="24"/>
                <w:lang w:val="vi-VN"/>
              </w:rPr>
            </w:pPr>
            <w:r w:rsidRPr="00F64C23">
              <w:rPr>
                <w:rFonts w:eastAsia="Calibri"/>
                <w:b/>
                <w:bCs/>
                <w:sz w:val="24"/>
                <w:szCs w:val="24"/>
                <w:lang w:val="vi-VN"/>
              </w:rPr>
              <w:t>Đã xử lý</w:t>
            </w:r>
            <w:r w:rsidRPr="00F64C23">
              <w:rPr>
                <w:rFonts w:eastAsia="Calibri"/>
                <w:sz w:val="24"/>
                <w:szCs w:val="24"/>
                <w:lang w:val="vi-VN"/>
              </w:rPr>
              <w:t xml:space="preserve"> tại Khoản </w:t>
            </w:r>
            <w:r w:rsidR="00CE5DEF" w:rsidRPr="00F64C23">
              <w:rPr>
                <w:rFonts w:eastAsia="Calibri"/>
                <w:sz w:val="24"/>
                <w:szCs w:val="24"/>
                <w:lang w:val="vi-VN"/>
              </w:rPr>
              <w:t xml:space="preserve">7, Khoản 17, Khoản 18 </w:t>
            </w:r>
            <w:r w:rsidRPr="00F64C23">
              <w:rPr>
                <w:rFonts w:eastAsia="Calibri"/>
                <w:sz w:val="24"/>
                <w:szCs w:val="24"/>
                <w:lang w:val="vi-VN"/>
              </w:rPr>
              <w:t xml:space="preserve"> Điều 1 của Luật sửa đổi, bổ sung một số điều của Luật Phòng, chống tham nhũng. </w:t>
            </w:r>
            <w:r w:rsidRPr="00F64C23">
              <w:rPr>
                <w:sz w:val="24"/>
                <w:szCs w:val="24"/>
                <w:lang w:val="vi-VN"/>
              </w:rPr>
              <w:t xml:space="preserve"> được Quốc hội khóa 15 thông qua ngày 10/12/2025 tại Kỳ họp thứ 10</w:t>
            </w:r>
            <w:r w:rsidR="00CE5DEF" w:rsidRPr="00F64C23">
              <w:rPr>
                <w:sz w:val="24"/>
                <w:szCs w:val="24"/>
                <w:lang w:val="vi-VN"/>
              </w:rPr>
              <w:t xml:space="preserve"> các nội </w:t>
            </w:r>
            <w:r w:rsidR="006373CD" w:rsidRPr="00F64C23">
              <w:rPr>
                <w:sz w:val="24"/>
                <w:szCs w:val="24"/>
                <w:lang w:val="vi-VN"/>
              </w:rPr>
              <w:t xml:space="preserve">dung: </w:t>
            </w:r>
            <w:r w:rsidR="00CE5DEF" w:rsidRPr="00F64C23">
              <w:rPr>
                <w:sz w:val="24"/>
                <w:szCs w:val="24"/>
                <w:lang w:val="vi-VN"/>
              </w:rPr>
              <w:t xml:space="preserve"> </w:t>
            </w:r>
            <w:r w:rsidR="006373CD" w:rsidRPr="00F64C23">
              <w:rPr>
                <w:sz w:val="24"/>
                <w:szCs w:val="24"/>
                <w:lang w:val="vi-VN"/>
              </w:rPr>
              <w:t xml:space="preserve">+ </w:t>
            </w:r>
            <w:r w:rsidR="00CE5DEF" w:rsidRPr="00F64C23">
              <w:rPr>
                <w:sz w:val="24"/>
                <w:szCs w:val="24"/>
                <w:lang w:val="vi-VN"/>
              </w:rPr>
              <w:t>việc  quy định thống nhất các cơ quan kiểm soát tài sản, thu nhập trong hệ thống chính trị,</w:t>
            </w:r>
            <w:r w:rsidR="006373CD" w:rsidRPr="00F64C23">
              <w:rPr>
                <w:sz w:val="24"/>
                <w:szCs w:val="24"/>
                <w:lang w:val="vi-VN"/>
              </w:rPr>
              <w:t xml:space="preserve"> + Quy định rõ thẩm quyền, trình tự, thủ tục các bước xác minh tài sản, thu nhập để việc thực hiện được thống nhất, đạt mục </w:t>
            </w:r>
            <w:r w:rsidR="006373CD" w:rsidRPr="00F64C23">
              <w:rPr>
                <w:sz w:val="24"/>
                <w:szCs w:val="24"/>
                <w:lang w:val="vi-VN"/>
              </w:rPr>
              <w:lastRenderedPageBreak/>
              <w:t xml:space="preserve">đích, yêu cầu; </w:t>
            </w:r>
            <w:r w:rsidR="00CE5DEF" w:rsidRPr="00F64C23">
              <w:rPr>
                <w:sz w:val="24"/>
                <w:szCs w:val="24"/>
                <w:lang w:val="vi-VN"/>
              </w:rPr>
              <w:t xml:space="preserve">  </w:t>
            </w:r>
            <w:r w:rsidR="006373CD" w:rsidRPr="00F64C23">
              <w:rPr>
                <w:sz w:val="24"/>
                <w:szCs w:val="24"/>
                <w:lang w:val="vi-VN"/>
              </w:rPr>
              <w:t xml:space="preserve">+ </w:t>
            </w:r>
            <w:r w:rsidR="00CE5DEF" w:rsidRPr="00F64C23">
              <w:rPr>
                <w:sz w:val="24"/>
                <w:szCs w:val="24"/>
                <w:lang w:val="vi-VN"/>
              </w:rPr>
              <w:t>quy định về trách nhiệm và chế tài xử lý đối với các cơ quan, tổ chức, đơn vị, cá nhân cung cấp thông tin về tài sản, thu nhập cho cơ quan kiểm soát tài sản, thu nhập.</w:t>
            </w:r>
          </w:p>
        </w:tc>
      </w:tr>
      <w:tr w:rsidR="00AD082E" w:rsidRPr="00F64C23" w14:paraId="2A46D24D" w14:textId="77777777" w:rsidTr="00AD082E">
        <w:trPr>
          <w:trHeight w:val="109"/>
        </w:trPr>
        <w:tc>
          <w:tcPr>
            <w:tcW w:w="670" w:type="dxa"/>
            <w:vAlign w:val="center"/>
          </w:tcPr>
          <w:p w14:paraId="1E80749A" w14:textId="77777777" w:rsidR="00AD082E" w:rsidRPr="00F64C23" w:rsidRDefault="00AD082E" w:rsidP="00AD082E">
            <w:pPr>
              <w:numPr>
                <w:ilvl w:val="0"/>
                <w:numId w:val="1"/>
              </w:numPr>
              <w:contextualSpacing/>
              <w:jc w:val="center"/>
              <w:rPr>
                <w:rFonts w:eastAsia="Calibri"/>
                <w:b/>
                <w:bCs/>
                <w:sz w:val="24"/>
                <w:szCs w:val="24"/>
                <w:lang w:val="vi-VN"/>
              </w:rPr>
            </w:pPr>
          </w:p>
        </w:tc>
        <w:tc>
          <w:tcPr>
            <w:tcW w:w="1858" w:type="dxa"/>
          </w:tcPr>
          <w:p w14:paraId="4105F16A" w14:textId="713680CA" w:rsidR="00AD082E" w:rsidRPr="00F64C23" w:rsidRDefault="00AD082E" w:rsidP="00AD082E">
            <w:pPr>
              <w:spacing w:line="259" w:lineRule="auto"/>
              <w:jc w:val="both"/>
              <w:rPr>
                <w:sz w:val="24"/>
                <w:szCs w:val="24"/>
                <w:lang w:val="vi-VN"/>
              </w:rPr>
            </w:pPr>
            <w:r w:rsidRPr="00F64C23">
              <w:rPr>
                <w:sz w:val="24"/>
                <w:szCs w:val="24"/>
                <w:lang w:val="vi-VN"/>
              </w:rPr>
              <w:t>Điều 17 của Luật Phòng, chống tham nhũng năm 2018</w:t>
            </w:r>
          </w:p>
        </w:tc>
        <w:tc>
          <w:tcPr>
            <w:tcW w:w="2450" w:type="dxa"/>
          </w:tcPr>
          <w:p w14:paraId="1C0B5590" w14:textId="52F7C822" w:rsidR="00AD082E" w:rsidRPr="00F64C23" w:rsidRDefault="00AD082E" w:rsidP="00AD082E">
            <w:pPr>
              <w:spacing w:line="259" w:lineRule="auto"/>
              <w:jc w:val="both"/>
              <w:rPr>
                <w:sz w:val="24"/>
                <w:szCs w:val="24"/>
                <w:lang w:val="vi-VN"/>
              </w:rPr>
            </w:pPr>
            <w:r w:rsidRPr="00F64C23">
              <w:rPr>
                <w:sz w:val="24"/>
                <w:szCs w:val="24"/>
                <w:lang w:val="vi-VN"/>
              </w:rPr>
              <w:t xml:space="preserve">Thực tế chỉ ra rằng việc tổ chức đánh giá công tác phòng, chống tham nhũng theo quy định hiện hành tạo ra nhiều thủ tục hành chính không cần thiết, chưa hiệu quả. Do đó, cần sửa đổi, bổ sung quy định này theo hướng </w:t>
            </w:r>
            <w:bookmarkStart w:id="6" w:name="_Hlk204076659"/>
            <w:r w:rsidRPr="00F64C23">
              <w:rPr>
                <w:sz w:val="24"/>
                <w:szCs w:val="24"/>
                <w:lang w:val="vi-VN"/>
              </w:rPr>
              <w:t>lược bỏ quy định về đánh giá công tác phòng, chống tham nhũng nhằm cắt giảm thủ tục hành chính</w:t>
            </w:r>
            <w:bookmarkEnd w:id="6"/>
            <w:r w:rsidRPr="00F64C23">
              <w:rPr>
                <w:sz w:val="24"/>
                <w:szCs w:val="24"/>
                <w:lang w:val="vi-VN"/>
              </w:rPr>
              <w:t>, tránh lãng phí nguồn lực để tập trung cho việc thực hiện các nhiệm vụ phòng, chống tham nhũng khác.</w:t>
            </w:r>
          </w:p>
        </w:tc>
        <w:tc>
          <w:tcPr>
            <w:tcW w:w="1934" w:type="dxa"/>
          </w:tcPr>
          <w:p w14:paraId="79DE37EC" w14:textId="06C598D8" w:rsidR="00AD082E" w:rsidRPr="00F64C23" w:rsidRDefault="00AD082E" w:rsidP="00AD082E">
            <w:pPr>
              <w:spacing w:line="259" w:lineRule="auto"/>
              <w:jc w:val="both"/>
              <w:rPr>
                <w:sz w:val="24"/>
                <w:szCs w:val="24"/>
                <w:lang w:val="vi-VN"/>
              </w:rPr>
            </w:pPr>
            <w:r w:rsidRPr="00F64C23">
              <w:rPr>
                <w:sz w:val="24"/>
                <w:szCs w:val="24"/>
                <w:lang w:val="vi-VN"/>
              </w:rPr>
              <w:t>C. Sửa đổi, bổ sung, thay thế, ban hành mới VBQPPL (theo trình tự, thủ tục rút gọn ban hành VBQPPL của Luật Ban hành VBQPPL)</w:t>
            </w:r>
          </w:p>
        </w:tc>
        <w:tc>
          <w:tcPr>
            <w:tcW w:w="1447" w:type="dxa"/>
          </w:tcPr>
          <w:p w14:paraId="5D1444EE" w14:textId="65855DCC" w:rsidR="00AD082E" w:rsidRPr="00F64C23" w:rsidRDefault="00AD082E" w:rsidP="00AD082E">
            <w:pPr>
              <w:spacing w:line="259" w:lineRule="auto"/>
              <w:jc w:val="both"/>
              <w:rPr>
                <w:sz w:val="24"/>
                <w:szCs w:val="24"/>
                <w:lang w:val="vi-VN"/>
              </w:rPr>
            </w:pPr>
            <w:r w:rsidRPr="00F64C23">
              <w:rPr>
                <w:sz w:val="24"/>
                <w:szCs w:val="24"/>
                <w:lang w:val="vi-VN"/>
              </w:rPr>
              <w:t>Thanh tra Chính phủ</w:t>
            </w:r>
          </w:p>
        </w:tc>
        <w:tc>
          <w:tcPr>
            <w:tcW w:w="2567" w:type="dxa"/>
          </w:tcPr>
          <w:p w14:paraId="6DA54363" w14:textId="77777777" w:rsidR="00AD082E" w:rsidRPr="00F64C23" w:rsidRDefault="00AD082E" w:rsidP="00AD082E">
            <w:pPr>
              <w:spacing w:line="259" w:lineRule="auto"/>
              <w:jc w:val="both"/>
              <w:rPr>
                <w:rFonts w:eastAsia="Calibri"/>
                <w:sz w:val="24"/>
                <w:szCs w:val="24"/>
                <w:lang w:val="vi-VN"/>
              </w:rPr>
            </w:pPr>
          </w:p>
        </w:tc>
        <w:tc>
          <w:tcPr>
            <w:tcW w:w="2479" w:type="dxa"/>
          </w:tcPr>
          <w:p w14:paraId="78172080" w14:textId="52CC9DCD" w:rsidR="00AD082E" w:rsidRPr="00F64C23" w:rsidRDefault="00540AE9" w:rsidP="00AD082E">
            <w:pPr>
              <w:spacing w:line="259" w:lineRule="auto"/>
              <w:jc w:val="both"/>
              <w:rPr>
                <w:rFonts w:eastAsia="Calibri"/>
                <w:sz w:val="24"/>
                <w:szCs w:val="24"/>
                <w:lang w:val="vi-VN"/>
              </w:rPr>
            </w:pPr>
            <w:r w:rsidRPr="00F64C23">
              <w:rPr>
                <w:rFonts w:eastAsia="Calibri"/>
                <w:b/>
                <w:bCs/>
                <w:sz w:val="24"/>
                <w:szCs w:val="24"/>
                <w:lang w:val="vi-VN"/>
              </w:rPr>
              <w:t>Đã xử lý</w:t>
            </w:r>
            <w:r w:rsidRPr="00F64C23">
              <w:rPr>
                <w:rFonts w:eastAsia="Calibri"/>
                <w:sz w:val="24"/>
                <w:szCs w:val="24"/>
                <w:lang w:val="vi-VN"/>
              </w:rPr>
              <w:t xml:space="preserve"> tại Khoản </w:t>
            </w:r>
            <w:r w:rsidR="00CE5DEF" w:rsidRPr="00F64C23">
              <w:rPr>
                <w:rFonts w:eastAsia="Calibri"/>
                <w:sz w:val="24"/>
                <w:szCs w:val="24"/>
                <w:lang w:val="vi-VN"/>
              </w:rPr>
              <w:t>5</w:t>
            </w:r>
            <w:r w:rsidRPr="00F64C23">
              <w:rPr>
                <w:rFonts w:eastAsia="Calibri"/>
                <w:sz w:val="24"/>
                <w:szCs w:val="24"/>
                <w:lang w:val="vi-VN"/>
              </w:rPr>
              <w:t xml:space="preserve"> Điều 1 của Luật sửa đổi, bổ sung một số điều của Luật Phòng, chống tham nhũng. </w:t>
            </w:r>
            <w:r w:rsidRPr="00F64C23">
              <w:rPr>
                <w:sz w:val="24"/>
                <w:szCs w:val="24"/>
                <w:lang w:val="vi-VN"/>
              </w:rPr>
              <w:t xml:space="preserve"> được Quốc hội khóa 15 thông qua ngày 10/12/2025 tại Kỳ họp thứ 10.</w:t>
            </w:r>
          </w:p>
        </w:tc>
      </w:tr>
      <w:tr w:rsidR="00AD082E" w:rsidRPr="00F64C23" w14:paraId="60F0213F" w14:textId="77777777" w:rsidTr="00AD082E">
        <w:trPr>
          <w:trHeight w:val="109"/>
        </w:trPr>
        <w:tc>
          <w:tcPr>
            <w:tcW w:w="670" w:type="dxa"/>
            <w:vAlign w:val="center"/>
          </w:tcPr>
          <w:p w14:paraId="3189A224" w14:textId="77777777" w:rsidR="00AD082E" w:rsidRPr="00F64C23" w:rsidRDefault="00AD082E" w:rsidP="00AD082E">
            <w:pPr>
              <w:numPr>
                <w:ilvl w:val="0"/>
                <w:numId w:val="1"/>
              </w:numPr>
              <w:contextualSpacing/>
              <w:jc w:val="center"/>
              <w:rPr>
                <w:rFonts w:eastAsia="Calibri"/>
                <w:b/>
                <w:bCs/>
                <w:sz w:val="24"/>
                <w:szCs w:val="24"/>
                <w:lang w:val="vi-VN"/>
              </w:rPr>
            </w:pPr>
          </w:p>
        </w:tc>
        <w:tc>
          <w:tcPr>
            <w:tcW w:w="1858" w:type="dxa"/>
          </w:tcPr>
          <w:p w14:paraId="081E1600" w14:textId="42F6CAD2" w:rsidR="00AD082E" w:rsidRPr="00F64C23" w:rsidRDefault="00AD082E" w:rsidP="00AD082E">
            <w:pPr>
              <w:spacing w:line="259" w:lineRule="auto"/>
              <w:jc w:val="both"/>
              <w:rPr>
                <w:sz w:val="24"/>
                <w:szCs w:val="24"/>
                <w:lang w:val="vi-VN"/>
              </w:rPr>
            </w:pPr>
            <w:r w:rsidRPr="00F64C23">
              <w:rPr>
                <w:sz w:val="24"/>
                <w:szCs w:val="24"/>
                <w:lang w:val="vi-VN"/>
              </w:rPr>
              <w:t>Khoản 2 Điều 19 Luật Thanh tra năm 2025</w:t>
            </w:r>
          </w:p>
        </w:tc>
        <w:tc>
          <w:tcPr>
            <w:tcW w:w="2450" w:type="dxa"/>
          </w:tcPr>
          <w:p w14:paraId="053EA617" w14:textId="0C0D1E5A" w:rsidR="00AD082E" w:rsidRPr="00F64C23" w:rsidRDefault="00AD082E" w:rsidP="00AD082E">
            <w:pPr>
              <w:spacing w:line="259" w:lineRule="auto"/>
              <w:jc w:val="both"/>
              <w:rPr>
                <w:sz w:val="24"/>
                <w:szCs w:val="24"/>
                <w:lang w:val="vi-VN"/>
              </w:rPr>
            </w:pPr>
            <w:r w:rsidRPr="00F64C23">
              <w:rPr>
                <w:sz w:val="24"/>
                <w:szCs w:val="24"/>
                <w:lang w:val="vi-VN"/>
              </w:rPr>
              <w:t xml:space="preserve">Khoản 2 Điều 19 Luật Thanh tra năm 2025 quy định "2. Hoạt động thanh tra được tiến hành trực tiếp, trực tuyến, từ xa dựa trên dữ liệu điện tử. Hoạt động thanh tra trực tuyến, từ xa được thực hiện theo quy định của Chính phủ.". Việc tổ chức thanh tra trực tuyến, từ xa là thực sự cần thiết trong bối cảnh đã sáp nhập các đơn vị hành chính cấp tỉnh nhưng trình tự tiến hành một cuộc thanh tra theo quy định tại khoản 2 Điều 21 Luật Thanh tra năm 2025 vẫn tổ chức hoạt động "thanh tra trực tiếp", do đó, các cơ quan thanh tra tỉnh sau sáp nhập có nhu cầu được hướng dẫn thực hiện quy định nêu trên. Việc thi hành quy định này trên thực tiễn sẽ giúp tiết kiệm chi phí công tác, đẩy mạnh </w:t>
            </w:r>
            <w:r w:rsidRPr="00F64C23">
              <w:rPr>
                <w:sz w:val="24"/>
                <w:szCs w:val="24"/>
                <w:lang w:val="vi-VN"/>
              </w:rPr>
              <w:lastRenderedPageBreak/>
              <w:t>chuyển đổi số và khai thác dữ liệu số hóa trên các lĩnh vực cho phép. Do đó, kiến nghị sớm ban hành Nghị định quy định chi tiết việc thi hành quy định tại khoản 2 Điều 19 Luật Thanh tra năm 2025.</w:t>
            </w:r>
          </w:p>
        </w:tc>
        <w:tc>
          <w:tcPr>
            <w:tcW w:w="1934" w:type="dxa"/>
          </w:tcPr>
          <w:p w14:paraId="4F767AA6" w14:textId="5F9F16D8" w:rsidR="00AD082E" w:rsidRPr="00F64C23" w:rsidRDefault="00AD082E" w:rsidP="00AD082E">
            <w:pPr>
              <w:spacing w:line="259" w:lineRule="auto"/>
              <w:jc w:val="both"/>
              <w:rPr>
                <w:sz w:val="24"/>
                <w:szCs w:val="24"/>
                <w:lang w:val="vi-VN"/>
              </w:rPr>
            </w:pPr>
            <w:r w:rsidRPr="00F64C23">
              <w:rPr>
                <w:sz w:val="24"/>
                <w:szCs w:val="24"/>
                <w:lang w:val="vi-VN"/>
              </w:rPr>
              <w:lastRenderedPageBreak/>
              <w:t>C. Sửa đổi, bổ sung, thay thế, ban hành mới VBQPPL (theo trình tự, thủ tục rút gọn ban hành VBQPPL của Luật Ban hành VBQPPL)</w:t>
            </w:r>
          </w:p>
        </w:tc>
        <w:tc>
          <w:tcPr>
            <w:tcW w:w="1447" w:type="dxa"/>
          </w:tcPr>
          <w:p w14:paraId="0F4C1849" w14:textId="753C3734" w:rsidR="00AD082E" w:rsidRPr="00F64C23" w:rsidRDefault="00AD082E" w:rsidP="00AD082E">
            <w:pPr>
              <w:spacing w:line="259" w:lineRule="auto"/>
              <w:jc w:val="both"/>
              <w:rPr>
                <w:sz w:val="24"/>
                <w:szCs w:val="24"/>
                <w:lang w:val="vi-VN"/>
              </w:rPr>
            </w:pPr>
            <w:r w:rsidRPr="00F64C23">
              <w:rPr>
                <w:sz w:val="24"/>
                <w:szCs w:val="24"/>
                <w:lang w:val="vi-VN"/>
              </w:rPr>
              <w:t>Sở Tư pháp thành phố Hồ Chí Minh</w:t>
            </w:r>
          </w:p>
        </w:tc>
        <w:tc>
          <w:tcPr>
            <w:tcW w:w="2567" w:type="dxa"/>
          </w:tcPr>
          <w:p w14:paraId="754C6429" w14:textId="682D2920" w:rsidR="00AD082E" w:rsidRPr="00F64C23" w:rsidRDefault="00AD082E" w:rsidP="00AD082E">
            <w:pPr>
              <w:spacing w:line="259" w:lineRule="auto"/>
              <w:jc w:val="both"/>
              <w:rPr>
                <w:rFonts w:eastAsia="Calibri"/>
                <w:sz w:val="24"/>
                <w:szCs w:val="24"/>
                <w:lang w:val="vi-VN"/>
              </w:rPr>
            </w:pPr>
            <w:r w:rsidRPr="00F64C23">
              <w:rPr>
                <w:rFonts w:eastAsia="Calibri"/>
                <w:sz w:val="24"/>
                <w:szCs w:val="24"/>
                <w:lang w:val="vi-VN"/>
              </w:rPr>
              <w:t>Thanh tra Chính phủ thống nhất với nội dung phản ánh và phương án đề xuất. Hiện nay, Chính phủ đã ban hành Nghị định số 216/2025/NĐ-CP, trong đó có các quy định về hoạt động thanh tra, trực tuyến từ xa.</w:t>
            </w:r>
          </w:p>
        </w:tc>
        <w:tc>
          <w:tcPr>
            <w:tcW w:w="2479" w:type="dxa"/>
          </w:tcPr>
          <w:p w14:paraId="0EAB6937" w14:textId="3B598437" w:rsidR="00AD082E" w:rsidRPr="00F64C23" w:rsidRDefault="00CE5DEF" w:rsidP="00AD082E">
            <w:pPr>
              <w:spacing w:line="259" w:lineRule="auto"/>
              <w:jc w:val="both"/>
              <w:rPr>
                <w:rFonts w:eastAsia="Calibri"/>
                <w:sz w:val="24"/>
                <w:szCs w:val="24"/>
                <w:lang w:val="vi-VN"/>
              </w:rPr>
            </w:pPr>
            <w:r w:rsidRPr="00F64C23">
              <w:rPr>
                <w:rFonts w:eastAsia="Calibri"/>
                <w:b/>
                <w:bCs/>
                <w:sz w:val="24"/>
                <w:szCs w:val="24"/>
                <w:lang w:val="vi-VN"/>
              </w:rPr>
              <w:t>Đã xử lý</w:t>
            </w:r>
            <w:r w:rsidRPr="00F64C23">
              <w:rPr>
                <w:rFonts w:eastAsia="Calibri"/>
                <w:sz w:val="24"/>
                <w:szCs w:val="24"/>
                <w:lang w:val="vi-VN"/>
              </w:rPr>
              <w:t xml:space="preserve"> tại Điều 30, Điều 31, Điều 32 của Nghị định 216/2025/NĐ-CP ngày 05/08/2025 quy định chi tiết và hướng dẫn thi hành một số điều của Luật Thanh tra</w:t>
            </w:r>
          </w:p>
        </w:tc>
      </w:tr>
      <w:tr w:rsidR="00AD082E" w:rsidRPr="00F64C23" w14:paraId="168DD7DC" w14:textId="77777777" w:rsidTr="00AD082E">
        <w:trPr>
          <w:trHeight w:val="109"/>
        </w:trPr>
        <w:tc>
          <w:tcPr>
            <w:tcW w:w="670" w:type="dxa"/>
            <w:vAlign w:val="center"/>
          </w:tcPr>
          <w:p w14:paraId="471C568D" w14:textId="77777777" w:rsidR="00AD082E" w:rsidRPr="00F64C23" w:rsidRDefault="00AD082E" w:rsidP="00AD082E">
            <w:pPr>
              <w:numPr>
                <w:ilvl w:val="0"/>
                <w:numId w:val="1"/>
              </w:numPr>
              <w:contextualSpacing/>
              <w:jc w:val="center"/>
              <w:rPr>
                <w:rFonts w:eastAsia="Calibri"/>
                <w:b/>
                <w:bCs/>
                <w:sz w:val="24"/>
                <w:szCs w:val="24"/>
                <w:lang w:val="vi-VN"/>
              </w:rPr>
            </w:pPr>
          </w:p>
        </w:tc>
        <w:tc>
          <w:tcPr>
            <w:tcW w:w="1858" w:type="dxa"/>
          </w:tcPr>
          <w:p w14:paraId="25312FC6" w14:textId="0BB7B7D1" w:rsidR="00AD082E" w:rsidRPr="00F64C23" w:rsidRDefault="00AD082E" w:rsidP="00AD082E">
            <w:pPr>
              <w:spacing w:line="259" w:lineRule="auto"/>
              <w:jc w:val="both"/>
              <w:rPr>
                <w:sz w:val="24"/>
                <w:szCs w:val="24"/>
                <w:lang w:val="vi-VN"/>
              </w:rPr>
            </w:pPr>
            <w:r w:rsidRPr="00F64C23">
              <w:rPr>
                <w:sz w:val="24"/>
                <w:szCs w:val="24"/>
                <w:lang w:val="vi-VN"/>
              </w:rPr>
              <w:t>Luật Phòng, chống tham nhũng năm 2018</w:t>
            </w:r>
          </w:p>
        </w:tc>
        <w:tc>
          <w:tcPr>
            <w:tcW w:w="2450" w:type="dxa"/>
          </w:tcPr>
          <w:p w14:paraId="6B027C85" w14:textId="221393CF" w:rsidR="00AD082E" w:rsidRPr="00F64C23" w:rsidRDefault="00AD082E" w:rsidP="00AD082E">
            <w:pPr>
              <w:spacing w:line="259" w:lineRule="auto"/>
              <w:jc w:val="both"/>
              <w:rPr>
                <w:sz w:val="24"/>
                <w:szCs w:val="24"/>
                <w:lang w:val="vi-VN"/>
              </w:rPr>
            </w:pPr>
            <w:r w:rsidRPr="00F64C23">
              <w:rPr>
                <w:sz w:val="24"/>
                <w:szCs w:val="24"/>
                <w:lang w:val="vi-VN"/>
              </w:rPr>
              <w:t>Chưa làm rõ việc kiểm soát tài sản, thu nhập, xác minh nguồn gốc thu nhập…; chưa đồng bộ quy định của cơ quan Đảng và chính quyền</w:t>
            </w:r>
          </w:p>
        </w:tc>
        <w:tc>
          <w:tcPr>
            <w:tcW w:w="1934" w:type="dxa"/>
          </w:tcPr>
          <w:p w14:paraId="596FDFFE" w14:textId="641A3F98" w:rsidR="00AD082E" w:rsidRPr="00F64C23" w:rsidRDefault="00AD082E" w:rsidP="00AD082E">
            <w:pPr>
              <w:spacing w:line="259" w:lineRule="auto"/>
              <w:jc w:val="both"/>
              <w:rPr>
                <w:sz w:val="24"/>
                <w:szCs w:val="24"/>
                <w:lang w:val="vi-VN"/>
              </w:rPr>
            </w:pPr>
            <w:r w:rsidRPr="00F64C23">
              <w:rPr>
                <w:sz w:val="24"/>
                <w:szCs w:val="24"/>
                <w:lang w:val="vi-VN"/>
              </w:rPr>
              <w:t>C. Sửa đổi, bổ sung, thay thế, ban hành mới VBQPPL (theo trình tự, thủ tục rút gọn ban hành VBQPPL của Luật Ban hành VBQPPL)</w:t>
            </w:r>
          </w:p>
        </w:tc>
        <w:tc>
          <w:tcPr>
            <w:tcW w:w="1447" w:type="dxa"/>
          </w:tcPr>
          <w:p w14:paraId="33F0FFD8" w14:textId="5E068A6D" w:rsidR="00AD082E" w:rsidRPr="00F64C23" w:rsidRDefault="00AD082E" w:rsidP="00AD082E">
            <w:pPr>
              <w:spacing w:line="259" w:lineRule="auto"/>
              <w:jc w:val="both"/>
              <w:rPr>
                <w:sz w:val="24"/>
                <w:szCs w:val="24"/>
                <w:lang w:val="vi-VN"/>
              </w:rPr>
            </w:pPr>
            <w:r w:rsidRPr="00F64C23">
              <w:rPr>
                <w:sz w:val="24"/>
                <w:szCs w:val="24"/>
                <w:lang w:val="vi-VN"/>
              </w:rPr>
              <w:t>Văn phòng Chính phủ</w:t>
            </w:r>
          </w:p>
        </w:tc>
        <w:tc>
          <w:tcPr>
            <w:tcW w:w="2567" w:type="dxa"/>
          </w:tcPr>
          <w:p w14:paraId="3F93E2E0" w14:textId="3BF95A21" w:rsidR="00AD082E" w:rsidRPr="00F64C23" w:rsidRDefault="00AD082E" w:rsidP="00AD082E">
            <w:pPr>
              <w:spacing w:line="259" w:lineRule="auto"/>
              <w:jc w:val="both"/>
              <w:rPr>
                <w:rFonts w:eastAsia="Calibri"/>
                <w:sz w:val="24"/>
                <w:szCs w:val="24"/>
                <w:lang w:val="vi-VN"/>
              </w:rPr>
            </w:pPr>
            <w:r w:rsidRPr="00F64C23">
              <w:rPr>
                <w:rFonts w:eastAsia="Calibri"/>
                <w:sz w:val="24"/>
                <w:szCs w:val="24"/>
                <w:lang w:val="vi-VN"/>
              </w:rPr>
              <w:t>Thanh tra Chính phủ thống nhất với nội dung phản ánh và phương án đề xuất.</w:t>
            </w:r>
          </w:p>
        </w:tc>
        <w:tc>
          <w:tcPr>
            <w:tcW w:w="2479" w:type="dxa"/>
          </w:tcPr>
          <w:p w14:paraId="27738A50" w14:textId="6230B64A" w:rsidR="00AD082E" w:rsidRPr="00F64C23" w:rsidRDefault="006373CD" w:rsidP="00AD082E">
            <w:pPr>
              <w:spacing w:line="259" w:lineRule="auto"/>
              <w:jc w:val="both"/>
              <w:rPr>
                <w:rFonts w:eastAsia="Calibri"/>
                <w:sz w:val="24"/>
                <w:szCs w:val="24"/>
                <w:lang w:val="vi-VN"/>
              </w:rPr>
            </w:pPr>
            <w:r w:rsidRPr="00F64C23">
              <w:rPr>
                <w:rFonts w:eastAsia="Calibri"/>
                <w:b/>
                <w:bCs/>
                <w:sz w:val="24"/>
                <w:szCs w:val="24"/>
                <w:lang w:val="vi-VN"/>
              </w:rPr>
              <w:t>Đã xử lý</w:t>
            </w:r>
            <w:r w:rsidRPr="00F64C23">
              <w:rPr>
                <w:rFonts w:eastAsia="Calibri"/>
                <w:sz w:val="24"/>
                <w:szCs w:val="24"/>
                <w:lang w:val="vi-VN"/>
              </w:rPr>
              <w:t xml:space="preserve"> tại </w:t>
            </w:r>
            <w:r w:rsidR="007F59AC" w:rsidRPr="00F64C23">
              <w:rPr>
                <w:rFonts w:eastAsia="Calibri"/>
                <w:sz w:val="24"/>
                <w:szCs w:val="24"/>
                <w:lang w:val="vi-VN"/>
              </w:rPr>
              <w:t xml:space="preserve">Khoản 7, Khoản 8, Khoản 9, Khoản 11, Khoản 12, Khoản 13, Khoản 14 của Điều 1 của </w:t>
            </w:r>
            <w:r w:rsidRPr="00F64C23">
              <w:rPr>
                <w:rFonts w:eastAsia="Calibri"/>
                <w:sz w:val="24"/>
                <w:szCs w:val="24"/>
                <w:lang w:val="vi-VN"/>
              </w:rPr>
              <w:t xml:space="preserve">Luật sửa đổi, bổ sung một số điều của Luật Phòng, chống tham nhũng. </w:t>
            </w:r>
            <w:r w:rsidRPr="00F64C23">
              <w:rPr>
                <w:sz w:val="24"/>
                <w:szCs w:val="24"/>
                <w:lang w:val="vi-VN"/>
              </w:rPr>
              <w:t xml:space="preserve"> được Quốc hội khóa 15 thông qua ngày 10/12/2025 tại Kỳ họp thứ 10.</w:t>
            </w:r>
          </w:p>
        </w:tc>
      </w:tr>
      <w:bookmarkEnd w:id="0"/>
    </w:tbl>
    <w:p w14:paraId="02B9EA92" w14:textId="77777777" w:rsidR="006027B4" w:rsidRPr="00F254D0" w:rsidRDefault="006027B4">
      <w:pPr>
        <w:rPr>
          <w:lang w:val="vi-VN"/>
        </w:rPr>
      </w:pPr>
    </w:p>
    <w:p w14:paraId="525954E4" w14:textId="77777777" w:rsidR="00153B3C" w:rsidRPr="00F254D0" w:rsidRDefault="00153B3C">
      <w:pPr>
        <w:rPr>
          <w:lang w:val="vi-VN"/>
        </w:rPr>
      </w:pPr>
    </w:p>
    <w:p w14:paraId="4FAF2A20" w14:textId="77777777" w:rsidR="00AD082E" w:rsidRPr="00F254D0" w:rsidRDefault="00AD082E">
      <w:pPr>
        <w:rPr>
          <w:lang w:val="vi-VN"/>
        </w:rPr>
      </w:pPr>
    </w:p>
    <w:sectPr w:rsidR="00AD082E" w:rsidRPr="00F254D0" w:rsidSect="007C64F8">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EB522" w14:textId="77777777" w:rsidR="004C6DA9" w:rsidRDefault="004C6DA9" w:rsidP="007C64F8">
      <w:pPr>
        <w:spacing w:after="0" w:line="240" w:lineRule="auto"/>
      </w:pPr>
      <w:r>
        <w:separator/>
      </w:r>
    </w:p>
  </w:endnote>
  <w:endnote w:type="continuationSeparator" w:id="0">
    <w:p w14:paraId="14A8BD77" w14:textId="77777777" w:rsidR="004C6DA9" w:rsidRDefault="004C6DA9" w:rsidP="007C6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063B6" w14:textId="77777777" w:rsidR="004C6DA9" w:rsidRDefault="004C6DA9" w:rsidP="007C64F8">
      <w:pPr>
        <w:spacing w:after="0" w:line="240" w:lineRule="auto"/>
      </w:pPr>
      <w:r>
        <w:separator/>
      </w:r>
    </w:p>
  </w:footnote>
  <w:footnote w:type="continuationSeparator" w:id="0">
    <w:p w14:paraId="02AC1BE4" w14:textId="77777777" w:rsidR="004C6DA9" w:rsidRDefault="004C6DA9" w:rsidP="007C6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53531706"/>
      <w:docPartObj>
        <w:docPartGallery w:val="Page Numbers (Top of Page)"/>
        <w:docPartUnique/>
      </w:docPartObj>
    </w:sdtPr>
    <w:sdtEndPr>
      <w:rPr>
        <w:noProof/>
      </w:rPr>
    </w:sdtEndPr>
    <w:sdtContent>
      <w:p w14:paraId="3214E8EC" w14:textId="45C909D0" w:rsidR="007C64F8" w:rsidRPr="007C64F8" w:rsidRDefault="007C64F8">
        <w:pPr>
          <w:pStyle w:val="Header"/>
          <w:jc w:val="center"/>
          <w:rPr>
            <w:rFonts w:ascii="Times New Roman" w:hAnsi="Times New Roman" w:cs="Times New Roman"/>
          </w:rPr>
        </w:pPr>
        <w:r w:rsidRPr="007C64F8">
          <w:rPr>
            <w:rFonts w:ascii="Times New Roman" w:hAnsi="Times New Roman" w:cs="Times New Roman"/>
          </w:rPr>
          <w:fldChar w:fldCharType="begin"/>
        </w:r>
        <w:r w:rsidRPr="007C64F8">
          <w:rPr>
            <w:rFonts w:ascii="Times New Roman" w:hAnsi="Times New Roman" w:cs="Times New Roman"/>
          </w:rPr>
          <w:instrText xml:space="preserve"> PAGE   \* MERGEFORMAT </w:instrText>
        </w:r>
        <w:r w:rsidRPr="007C64F8">
          <w:rPr>
            <w:rFonts w:ascii="Times New Roman" w:hAnsi="Times New Roman" w:cs="Times New Roman"/>
          </w:rPr>
          <w:fldChar w:fldCharType="separate"/>
        </w:r>
        <w:r w:rsidR="00F64C23">
          <w:rPr>
            <w:rFonts w:ascii="Times New Roman" w:hAnsi="Times New Roman" w:cs="Times New Roman"/>
            <w:noProof/>
          </w:rPr>
          <w:t>10</w:t>
        </w:r>
        <w:r w:rsidRPr="007C64F8">
          <w:rPr>
            <w:rFonts w:ascii="Times New Roman" w:hAnsi="Times New Roman" w:cs="Times New Roman"/>
            <w:noProof/>
          </w:rPr>
          <w:fldChar w:fldCharType="end"/>
        </w:r>
      </w:p>
    </w:sdtContent>
  </w:sdt>
  <w:p w14:paraId="7DB08AA8" w14:textId="77777777" w:rsidR="007C64F8" w:rsidRPr="007C64F8" w:rsidRDefault="007C64F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94C60"/>
    <w:multiLevelType w:val="multilevel"/>
    <w:tmpl w:val="10194C6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4F8"/>
    <w:rsid w:val="000D2CE1"/>
    <w:rsid w:val="00153B3C"/>
    <w:rsid w:val="00197081"/>
    <w:rsid w:val="001D19B2"/>
    <w:rsid w:val="00251096"/>
    <w:rsid w:val="002A5117"/>
    <w:rsid w:val="002A5EA0"/>
    <w:rsid w:val="00434570"/>
    <w:rsid w:val="004C6DA9"/>
    <w:rsid w:val="004F62A7"/>
    <w:rsid w:val="00540AE9"/>
    <w:rsid w:val="00542A39"/>
    <w:rsid w:val="00572D8E"/>
    <w:rsid w:val="006027B4"/>
    <w:rsid w:val="00611309"/>
    <w:rsid w:val="006373CD"/>
    <w:rsid w:val="007C64F8"/>
    <w:rsid w:val="007F59AC"/>
    <w:rsid w:val="008E0C64"/>
    <w:rsid w:val="009C74BF"/>
    <w:rsid w:val="00A704A1"/>
    <w:rsid w:val="00AD082E"/>
    <w:rsid w:val="00B10EBE"/>
    <w:rsid w:val="00B27BA0"/>
    <w:rsid w:val="00B42036"/>
    <w:rsid w:val="00C23CB9"/>
    <w:rsid w:val="00C8077F"/>
    <w:rsid w:val="00CE4B14"/>
    <w:rsid w:val="00CE5DEF"/>
    <w:rsid w:val="00D47F53"/>
    <w:rsid w:val="00D91C79"/>
    <w:rsid w:val="00E84CDB"/>
    <w:rsid w:val="00EA7C0C"/>
    <w:rsid w:val="00ED147E"/>
    <w:rsid w:val="00F02999"/>
    <w:rsid w:val="00F254D0"/>
    <w:rsid w:val="00F64C23"/>
    <w:rsid w:val="00F76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FD36"/>
  <w15:chartTrackingRefBased/>
  <w15:docId w15:val="{559AC4BC-082E-450B-8EAB-765CFF56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4F8"/>
  </w:style>
  <w:style w:type="paragraph" w:styleId="Heading1">
    <w:name w:val="heading 1"/>
    <w:basedOn w:val="Normal"/>
    <w:next w:val="Normal"/>
    <w:link w:val="Heading1Char"/>
    <w:uiPriority w:val="9"/>
    <w:qFormat/>
    <w:rsid w:val="007C64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64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64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64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64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6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4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64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64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64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64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6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4F8"/>
    <w:rPr>
      <w:rFonts w:eastAsiaTheme="majorEastAsia" w:cstheme="majorBidi"/>
      <w:color w:val="272727" w:themeColor="text1" w:themeTint="D8"/>
    </w:rPr>
  </w:style>
  <w:style w:type="paragraph" w:styleId="Title">
    <w:name w:val="Title"/>
    <w:basedOn w:val="Normal"/>
    <w:next w:val="Normal"/>
    <w:link w:val="TitleChar"/>
    <w:uiPriority w:val="10"/>
    <w:qFormat/>
    <w:rsid w:val="007C6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4F8"/>
    <w:pPr>
      <w:spacing w:before="160"/>
      <w:jc w:val="center"/>
    </w:pPr>
    <w:rPr>
      <w:i/>
      <w:iCs/>
      <w:color w:val="404040" w:themeColor="text1" w:themeTint="BF"/>
    </w:rPr>
  </w:style>
  <w:style w:type="character" w:customStyle="1" w:styleId="QuoteChar">
    <w:name w:val="Quote Char"/>
    <w:basedOn w:val="DefaultParagraphFont"/>
    <w:link w:val="Quote"/>
    <w:uiPriority w:val="29"/>
    <w:rsid w:val="007C64F8"/>
    <w:rPr>
      <w:i/>
      <w:iCs/>
      <w:color w:val="404040" w:themeColor="text1" w:themeTint="BF"/>
    </w:rPr>
  </w:style>
  <w:style w:type="paragraph" w:styleId="ListParagraph">
    <w:name w:val="List Paragraph"/>
    <w:basedOn w:val="Normal"/>
    <w:uiPriority w:val="34"/>
    <w:qFormat/>
    <w:rsid w:val="007C64F8"/>
    <w:pPr>
      <w:ind w:left="720"/>
      <w:contextualSpacing/>
    </w:pPr>
  </w:style>
  <w:style w:type="character" w:styleId="IntenseEmphasis">
    <w:name w:val="Intense Emphasis"/>
    <w:basedOn w:val="DefaultParagraphFont"/>
    <w:uiPriority w:val="21"/>
    <w:qFormat/>
    <w:rsid w:val="007C64F8"/>
    <w:rPr>
      <w:i/>
      <w:iCs/>
      <w:color w:val="2F5496" w:themeColor="accent1" w:themeShade="BF"/>
    </w:rPr>
  </w:style>
  <w:style w:type="paragraph" w:styleId="IntenseQuote">
    <w:name w:val="Intense Quote"/>
    <w:basedOn w:val="Normal"/>
    <w:next w:val="Normal"/>
    <w:link w:val="IntenseQuoteChar"/>
    <w:uiPriority w:val="30"/>
    <w:qFormat/>
    <w:rsid w:val="007C6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64F8"/>
    <w:rPr>
      <w:i/>
      <w:iCs/>
      <w:color w:val="2F5496" w:themeColor="accent1" w:themeShade="BF"/>
    </w:rPr>
  </w:style>
  <w:style w:type="character" w:styleId="IntenseReference">
    <w:name w:val="Intense Reference"/>
    <w:basedOn w:val="DefaultParagraphFont"/>
    <w:uiPriority w:val="32"/>
    <w:qFormat/>
    <w:rsid w:val="007C64F8"/>
    <w:rPr>
      <w:b/>
      <w:bCs/>
      <w:smallCaps/>
      <w:color w:val="2F5496" w:themeColor="accent1" w:themeShade="BF"/>
      <w:spacing w:val="5"/>
    </w:rPr>
  </w:style>
  <w:style w:type="table" w:customStyle="1" w:styleId="TableGrid1">
    <w:name w:val="Table Grid1"/>
    <w:basedOn w:val="TableNormal"/>
    <w:qFormat/>
    <w:rsid w:val="007C64F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64F8"/>
    <w:pPr>
      <w:spacing w:before="100" w:beforeAutospacing="1" w:after="100" w:afterAutospacing="1" w:line="240" w:lineRule="auto"/>
    </w:pPr>
    <w:rPr>
      <w:rFonts w:ascii="Times New Roman" w:eastAsiaTheme="minorEastAsia" w:hAnsi="Times New Roman" w:cs="Times New Roman"/>
      <w:kern w:val="0"/>
    </w:rPr>
  </w:style>
  <w:style w:type="character" w:styleId="Strong">
    <w:name w:val="Strong"/>
    <w:basedOn w:val="DefaultParagraphFont"/>
    <w:uiPriority w:val="22"/>
    <w:qFormat/>
    <w:rsid w:val="007C64F8"/>
    <w:rPr>
      <w:b/>
      <w:bCs/>
    </w:rPr>
  </w:style>
  <w:style w:type="paragraph" w:styleId="Header">
    <w:name w:val="header"/>
    <w:basedOn w:val="Normal"/>
    <w:link w:val="HeaderChar"/>
    <w:uiPriority w:val="99"/>
    <w:unhideWhenUsed/>
    <w:rsid w:val="007C6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4F8"/>
  </w:style>
  <w:style w:type="paragraph" w:styleId="Footer">
    <w:name w:val="footer"/>
    <w:basedOn w:val="Normal"/>
    <w:link w:val="FooterChar"/>
    <w:uiPriority w:val="99"/>
    <w:unhideWhenUsed/>
    <w:rsid w:val="007C6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Nhu Quynh</dc:creator>
  <cp:keywords/>
  <dc:description/>
  <cp:lastModifiedBy>Home</cp:lastModifiedBy>
  <cp:revision>4</cp:revision>
  <dcterms:created xsi:type="dcterms:W3CDTF">2025-12-14T07:10:00Z</dcterms:created>
  <dcterms:modified xsi:type="dcterms:W3CDTF">2025-12-14T07:11:00Z</dcterms:modified>
</cp:coreProperties>
</file>