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EBB8C" w14:textId="60096147" w:rsidR="007C64F8" w:rsidRPr="008F7B60" w:rsidRDefault="007C64F8" w:rsidP="007C64F8">
      <w:pPr>
        <w:pStyle w:val="NormalWeb"/>
        <w:spacing w:after="0" w:afterAutospacing="0" w:line="264" w:lineRule="auto"/>
        <w:jc w:val="center"/>
        <w:rPr>
          <w:rFonts w:eastAsia="Calibri"/>
          <w:b/>
          <w:bCs/>
          <w:sz w:val="28"/>
          <w:szCs w:val="22"/>
          <w:lang w:val="vi-VN"/>
          <w14:ligatures w14:val="none"/>
        </w:rPr>
      </w:pPr>
      <w:r>
        <w:rPr>
          <w:rFonts w:eastAsia="Calibri"/>
          <w:b/>
          <w:bCs/>
          <w:noProof/>
          <w:sz w:val="28"/>
          <w:szCs w:val="22"/>
        </w:rPr>
        <mc:AlternateContent>
          <mc:Choice Requires="wps">
            <w:drawing>
              <wp:anchor distT="0" distB="0" distL="114300" distR="114300" simplePos="0" relativeHeight="251660288" behindDoc="0" locked="0" layoutInCell="1" allowOverlap="1" wp14:anchorId="0AE13320" wp14:editId="46688844">
                <wp:simplePos x="0" y="0"/>
                <wp:positionH relativeFrom="column">
                  <wp:posOffset>3754419</wp:posOffset>
                </wp:positionH>
                <wp:positionV relativeFrom="paragraph">
                  <wp:posOffset>-570155</wp:posOffset>
                </wp:positionV>
                <wp:extent cx="903642" cy="365760"/>
                <wp:effectExtent l="0" t="0" r="10795" b="15240"/>
                <wp:wrapNone/>
                <wp:docPr id="798863337" name="Rectangle 1"/>
                <wp:cNvGraphicFramePr/>
                <a:graphic xmlns:a="http://schemas.openxmlformats.org/drawingml/2006/main">
                  <a:graphicData uri="http://schemas.microsoft.com/office/word/2010/wordprocessingShape">
                    <wps:wsp>
                      <wps:cNvSpPr/>
                      <wps:spPr>
                        <a:xfrm>
                          <a:off x="0" y="0"/>
                          <a:ext cx="903642" cy="3657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776524" id="Rectangle 1" o:spid="_x0000_s1026" style="position:absolute;margin-left:295.6pt;margin-top:-44.9pt;width:71.15pt;height:2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" fillcolor="white [3212]" strokecolor="white [3212]" strokeweight="1pt"/>
            </w:pict>
          </mc:Fallback>
        </mc:AlternateContent>
      </w:r>
      <w:r>
        <w:rPr>
          <w:rFonts w:eastAsia="Calibri"/>
          <w:b/>
          <w:bCs/>
          <w:sz w:val="28"/>
          <w:szCs w:val="22"/>
          <w:lang w:val="vi-VN"/>
          <w14:ligatures w14:val="none"/>
        </w:rPr>
        <w:t xml:space="preserve">Phụ lục </w:t>
      </w:r>
      <w:r w:rsidR="000E4BA0">
        <w:rPr>
          <w:rFonts w:eastAsia="Calibri"/>
          <w:b/>
          <w:bCs/>
          <w:sz w:val="28"/>
          <w:szCs w:val="22"/>
          <w14:ligatures w14:val="none"/>
        </w:rPr>
        <w:t>I</w:t>
      </w:r>
      <w:r>
        <w:rPr>
          <w:rFonts w:eastAsia="Calibri"/>
          <w:b/>
          <w:bCs/>
          <w:sz w:val="28"/>
          <w:szCs w:val="22"/>
          <w:lang w:val="vi-VN"/>
          <w14:ligatures w14:val="none"/>
        </w:rPr>
        <w:t>.16.</w:t>
      </w:r>
      <w:r w:rsidR="00D47F53">
        <w:rPr>
          <w:rFonts w:eastAsia="Calibri"/>
          <w:b/>
          <w:bCs/>
          <w:sz w:val="28"/>
          <w:szCs w:val="22"/>
          <w14:ligatures w14:val="none"/>
        </w:rPr>
        <w:t>2</w:t>
      </w:r>
      <w:r>
        <w:rPr>
          <w:rFonts w:eastAsia="Calibri"/>
          <w:b/>
          <w:bCs/>
          <w:sz w:val="28"/>
          <w:szCs w:val="22"/>
          <w:lang w:val="vi-VN"/>
          <w14:ligatures w14:val="none"/>
        </w:rPr>
        <w:t>.A</w:t>
      </w:r>
      <w:r>
        <w:rPr>
          <w:rFonts w:eastAsia="Calibri"/>
          <w:b/>
          <w:bCs/>
          <w:sz w:val="28"/>
          <w:szCs w:val="22"/>
          <w:lang w:val="vi-VN"/>
          <w14:ligatures w14:val="none"/>
        </w:rPr>
        <w:br/>
      </w:r>
      <w:r w:rsidRPr="008F7B60">
        <w:rPr>
          <w:rFonts w:eastAsia="Calibri"/>
          <w:b/>
          <w:bCs/>
          <w:sz w:val="28"/>
          <w:szCs w:val="22"/>
          <w:lang w:val="vi-VN"/>
          <w14:ligatures w14:val="none"/>
        </w:rPr>
        <w:t>TÌNH HÌNH XỬ LÝ ĐỐI VỚI KHÓ KHĂN, VƯỚNG MẮC DO QUY ĐỊNH PHÁP LUẬT</w:t>
      </w:r>
    </w:p>
    <w:p w14:paraId="629DE74A" w14:textId="77777777" w:rsidR="007C64F8" w:rsidRPr="00D326D5" w:rsidRDefault="007C64F8" w:rsidP="007C64F8">
      <w:pPr>
        <w:pStyle w:val="NormalWeb"/>
        <w:spacing w:before="0" w:beforeAutospacing="0" w:after="0" w:afterAutospacing="0" w:line="264" w:lineRule="auto"/>
        <w:jc w:val="center"/>
        <w:rPr>
          <w:rFonts w:eastAsia="Calibri"/>
          <w:b/>
          <w:bCs/>
          <w:sz w:val="28"/>
          <w:szCs w:val="22"/>
          <w:lang w:val="vi-VN"/>
          <w14:ligatures w14:val="none"/>
        </w:rPr>
      </w:pPr>
      <w:r w:rsidRPr="008F7B60">
        <w:rPr>
          <w:rFonts w:eastAsia="Calibri"/>
          <w:b/>
          <w:bCs/>
          <w:sz w:val="28"/>
          <w:szCs w:val="22"/>
          <w:lang w:val="vi-VN"/>
          <w14:ligatures w14:val="none"/>
        </w:rPr>
        <w:t xml:space="preserve">THUỘC PHẠM VI PHỤ TRÁCH CỦA </w:t>
      </w:r>
      <w:r w:rsidRPr="00D326D5">
        <w:rPr>
          <w:rFonts w:eastAsia="Calibri"/>
          <w:b/>
          <w:bCs/>
          <w:sz w:val="28"/>
          <w:szCs w:val="22"/>
          <w:lang w:val="vi-VN"/>
          <w14:ligatures w14:val="none"/>
        </w:rPr>
        <w:t>THANH TRA CHÍNH PHỦ</w:t>
      </w:r>
    </w:p>
    <w:p w14:paraId="5B679539" w14:textId="07F7A494" w:rsidR="007C64F8" w:rsidRPr="00A713FB" w:rsidRDefault="007C64F8" w:rsidP="003D1EF8">
      <w:pPr>
        <w:pStyle w:val="NormalWeb"/>
        <w:spacing w:before="0" w:beforeAutospacing="0" w:after="0" w:afterAutospacing="0" w:line="264" w:lineRule="auto"/>
        <w:jc w:val="center"/>
        <w:rPr>
          <w:rStyle w:val="Strong"/>
          <w:color w:val="000000"/>
          <w:sz w:val="25"/>
          <w:szCs w:val="25"/>
          <w:lang w:val="vi-VN"/>
        </w:rPr>
      </w:pPr>
      <w:r>
        <w:rPr>
          <w:rFonts w:eastAsia="Calibri"/>
          <w:b/>
          <w:bCs/>
          <w:sz w:val="28"/>
          <w:szCs w:val="22"/>
          <w:lang w:val="vi-VN"/>
          <w14:ligatures w14:val="none"/>
        </w:rPr>
        <w:t xml:space="preserve">Tiêu chí: </w:t>
      </w:r>
      <w:r w:rsidR="00D47F53">
        <w:rPr>
          <w:rFonts w:eastAsia="Calibri"/>
          <w:b/>
          <w:bCs/>
          <w:sz w:val="28"/>
          <w:szCs w:val="22"/>
          <w:lang w:val="vi-VN"/>
          <w14:ligatures w14:val="none"/>
        </w:rPr>
        <w:t xml:space="preserve">Quy định của VBQPPL không rõ ràng, có nhiều cách hiểu khác nhau, không hợp lý, </w:t>
      </w:r>
      <w:r w:rsidR="00D47F53">
        <w:rPr>
          <w:rFonts w:eastAsia="Calibri"/>
          <w:b/>
          <w:bCs/>
          <w:sz w:val="28"/>
          <w:szCs w:val="22"/>
          <w:lang w:val="vi-VN"/>
          <w14:ligatures w14:val="none"/>
        </w:rPr>
        <w:br/>
        <w:t>không khả thi, gây khó khăn trong áp dụng, thực hiện pháp luật</w:t>
      </w:r>
      <w:r>
        <w:rPr>
          <w:rFonts w:eastAsia="Calibri"/>
          <w:b/>
          <w:bCs/>
          <w:sz w:val="28"/>
          <w:szCs w:val="22"/>
          <w:lang w:val="vi-VN"/>
          <w14:ligatures w14:val="none"/>
        </w:rPr>
        <w:br/>
      </w:r>
      <w:r w:rsidRPr="00D326D5">
        <w:rPr>
          <w:rFonts w:eastAsia="Calibri"/>
          <w:b/>
          <w:bCs/>
          <w:sz w:val="28"/>
          <w:szCs w:val="22"/>
          <w:lang w:val="vi-VN"/>
          <w14:ligatures w14:val="none"/>
        </w:rPr>
        <w:t>Nhóm A. Nhóm</w:t>
      </w:r>
      <w:r w:rsidRPr="008F7B60">
        <w:rPr>
          <w:rFonts w:eastAsia="Calibri"/>
          <w:b/>
          <w:bCs/>
          <w:sz w:val="28"/>
          <w:szCs w:val="22"/>
          <w:lang w:val="vi-VN"/>
          <w14:ligatures w14:val="none"/>
        </w:rPr>
        <w:t xml:space="preserve"> các nội dung cho ý kiến nhất trí và đề xuất xử lý theo phương án, quy trình nêu tại khoản 1 Điều 4 Nghị quyết số 206/2025/QH15 (thực hiện trong năm 2025)</w:t>
      </w:r>
      <w:r w:rsidRPr="008F7B60">
        <w:rPr>
          <w:rFonts w:eastAsia="Calibri"/>
          <w:sz w:val="28"/>
          <w:szCs w:val="22"/>
          <w:lang w:val="vi-VN"/>
          <w14:ligatures w14:val="none"/>
        </w:rPr>
        <w:br/>
      </w:r>
    </w:p>
    <w:p w14:paraId="2FD48A31" w14:textId="77777777" w:rsidR="007C64F8" w:rsidRPr="00D326D5" w:rsidRDefault="007C64F8" w:rsidP="007C64F8">
      <w:pPr>
        <w:pStyle w:val="NormalWeb"/>
        <w:spacing w:before="0" w:beforeAutospacing="0" w:after="0" w:afterAutospacing="0" w:line="288" w:lineRule="auto"/>
        <w:rPr>
          <w:i/>
          <w:iCs/>
          <w:color w:val="000000"/>
          <w:sz w:val="26"/>
          <w:szCs w:val="26"/>
          <w:lang w:val="vi-VN"/>
        </w:rPr>
      </w:pPr>
      <w:r w:rsidRPr="00A713FB">
        <w:rPr>
          <w:i/>
          <w:iCs/>
          <w:noProof/>
          <w:color w:val="000000"/>
          <w:sz w:val="26"/>
          <w:szCs w:val="26"/>
        </w:rPr>
        <mc:AlternateContent>
          <mc:Choice Requires="wps">
            <w:drawing>
              <wp:anchor distT="0" distB="0" distL="114300" distR="114300" simplePos="0" relativeHeight="251659264" behindDoc="0" locked="0" layoutInCell="1" allowOverlap="1" wp14:anchorId="4832C7CE" wp14:editId="1AC1C2C1">
                <wp:simplePos x="0" y="0"/>
                <wp:positionH relativeFrom="margin">
                  <wp:align>center</wp:align>
                </wp:positionH>
                <wp:positionV relativeFrom="paragraph">
                  <wp:posOffset>16510</wp:posOffset>
                </wp:positionV>
                <wp:extent cx="2314135" cy="7034"/>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2314135"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0A6673"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3pt" to="18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" strokecolor="black [3200]" strokeweight=".5pt">
                <v:stroke joinstyle="miter"/>
                <w10:wrap anchorx="margin"/>
              </v:line>
            </w:pict>
          </mc:Fallback>
        </mc:AlternateContent>
      </w:r>
    </w:p>
    <w:tbl>
      <w:tblPr>
        <w:tblStyle w:val="TableGrid1"/>
        <w:tblpPr w:rightFromText="181" w:vertAnchor="text" w:tblpXSpec="center" w:tblpY="1"/>
        <w:tblOverlap w:val="never"/>
        <w:tblW w:w="14716" w:type="dxa"/>
        <w:tblCellMar>
          <w:left w:w="85" w:type="dxa"/>
        </w:tblCellMar>
        <w:tblLook w:val="04A0" w:firstRow="1" w:lastRow="0" w:firstColumn="1" w:lastColumn="0" w:noHBand="0" w:noVBand="1"/>
      </w:tblPr>
      <w:tblGrid>
        <w:gridCol w:w="670"/>
        <w:gridCol w:w="1858"/>
        <w:gridCol w:w="2996"/>
        <w:gridCol w:w="1934"/>
        <w:gridCol w:w="1447"/>
        <w:gridCol w:w="2567"/>
        <w:gridCol w:w="3244"/>
      </w:tblGrid>
      <w:tr w:rsidR="007C64F8" w:rsidRPr="00D326D5" w14:paraId="1B8C88F0" w14:textId="77777777" w:rsidTr="00953E29">
        <w:tc>
          <w:tcPr>
            <w:tcW w:w="670" w:type="dxa"/>
            <w:shd w:val="clear" w:color="auto" w:fill="FBE4D5" w:themeFill="accent2" w:themeFillTint="33"/>
            <w:vAlign w:val="center"/>
          </w:tcPr>
          <w:p w14:paraId="07C65584" w14:textId="77777777" w:rsidR="007C64F8" w:rsidRPr="00D47F53" w:rsidRDefault="007C64F8" w:rsidP="007C64F8">
            <w:pPr>
              <w:spacing w:line="259" w:lineRule="auto"/>
              <w:jc w:val="center"/>
              <w:rPr>
                <w:rFonts w:eastAsia="Calibri"/>
                <w:b/>
                <w:bCs/>
                <w:sz w:val="24"/>
                <w:szCs w:val="24"/>
                <w:lang w:val="vi-VN"/>
              </w:rPr>
            </w:pPr>
            <w:r w:rsidRPr="00D47F53">
              <w:rPr>
                <w:rFonts w:eastAsia="Calibri"/>
                <w:b/>
                <w:bCs/>
                <w:sz w:val="24"/>
                <w:szCs w:val="24"/>
                <w:lang w:val="vi-VN"/>
              </w:rPr>
              <w:t>STT</w:t>
            </w:r>
          </w:p>
        </w:tc>
        <w:tc>
          <w:tcPr>
            <w:tcW w:w="1858" w:type="dxa"/>
            <w:shd w:val="clear" w:color="auto" w:fill="FBE4D5" w:themeFill="accent2" w:themeFillTint="33"/>
            <w:vAlign w:val="center"/>
          </w:tcPr>
          <w:p w14:paraId="5ECB6904" w14:textId="77777777" w:rsidR="007C64F8" w:rsidRPr="007C64F8" w:rsidRDefault="007C64F8" w:rsidP="007C64F8">
            <w:pPr>
              <w:spacing w:line="259" w:lineRule="auto"/>
              <w:jc w:val="center"/>
              <w:rPr>
                <w:rFonts w:eastAsia="Calibri"/>
                <w:b/>
                <w:bCs/>
                <w:sz w:val="24"/>
                <w:szCs w:val="24"/>
                <w:lang w:val="vi-VN"/>
              </w:rPr>
            </w:pPr>
            <w:r w:rsidRPr="007C64F8">
              <w:rPr>
                <w:rFonts w:eastAsia="Calibri"/>
                <w:b/>
                <w:bCs/>
                <w:sz w:val="24"/>
                <w:szCs w:val="24"/>
                <w:lang w:val="vi-VN"/>
              </w:rPr>
              <w:t>Điều, khoản, điểm, tên văn bản đề xuất xử lý</w:t>
            </w:r>
          </w:p>
        </w:tc>
        <w:tc>
          <w:tcPr>
            <w:tcW w:w="2996" w:type="dxa"/>
            <w:shd w:val="clear" w:color="auto" w:fill="FBE4D5" w:themeFill="accent2" w:themeFillTint="33"/>
            <w:vAlign w:val="center"/>
          </w:tcPr>
          <w:p w14:paraId="3C88A3E8" w14:textId="77777777" w:rsidR="007C64F8" w:rsidRPr="007C64F8" w:rsidRDefault="007C64F8" w:rsidP="007C64F8">
            <w:pPr>
              <w:spacing w:line="259" w:lineRule="auto"/>
              <w:jc w:val="center"/>
              <w:rPr>
                <w:rFonts w:eastAsia="Calibri"/>
                <w:b/>
                <w:bCs/>
                <w:sz w:val="24"/>
                <w:szCs w:val="24"/>
                <w:lang w:val="vi-VN"/>
              </w:rPr>
            </w:pPr>
            <w:r w:rsidRPr="007C64F8">
              <w:rPr>
                <w:rFonts w:eastAsia="Calibri"/>
                <w:b/>
                <w:bCs/>
                <w:sz w:val="24"/>
                <w:szCs w:val="24"/>
                <w:lang w:val="vi-VN"/>
              </w:rPr>
              <w:t>Nội dung quy định được phản ánh mâu thuẫn, chồng chéo</w:t>
            </w:r>
          </w:p>
        </w:tc>
        <w:tc>
          <w:tcPr>
            <w:tcW w:w="1934" w:type="dxa"/>
            <w:shd w:val="clear" w:color="auto" w:fill="FBE4D5" w:themeFill="accent2" w:themeFillTint="33"/>
            <w:vAlign w:val="center"/>
          </w:tcPr>
          <w:p w14:paraId="6104D2DF" w14:textId="77777777" w:rsidR="007C64F8" w:rsidRPr="007C64F8" w:rsidRDefault="007C64F8" w:rsidP="007C64F8">
            <w:pPr>
              <w:spacing w:line="259" w:lineRule="auto"/>
              <w:jc w:val="center"/>
              <w:rPr>
                <w:rFonts w:eastAsia="Calibri"/>
                <w:b/>
                <w:bCs/>
                <w:sz w:val="24"/>
                <w:szCs w:val="24"/>
                <w:lang w:val="vi-VN"/>
              </w:rPr>
            </w:pPr>
            <w:r w:rsidRPr="007C64F8">
              <w:rPr>
                <w:rFonts w:eastAsia="Calibri"/>
                <w:b/>
                <w:bCs/>
                <w:sz w:val="24"/>
                <w:szCs w:val="24"/>
                <w:lang w:val="vi-VN"/>
              </w:rPr>
              <w:t>Phương án xử lý được đề xuất</w:t>
            </w:r>
          </w:p>
        </w:tc>
        <w:tc>
          <w:tcPr>
            <w:tcW w:w="1447" w:type="dxa"/>
            <w:shd w:val="clear" w:color="auto" w:fill="FBE4D5" w:themeFill="accent2" w:themeFillTint="33"/>
            <w:vAlign w:val="center"/>
          </w:tcPr>
          <w:p w14:paraId="111A9BD1" w14:textId="77777777" w:rsidR="007C64F8" w:rsidRPr="007C64F8" w:rsidRDefault="007C64F8" w:rsidP="007C64F8">
            <w:pPr>
              <w:spacing w:line="259" w:lineRule="auto"/>
              <w:jc w:val="center"/>
              <w:rPr>
                <w:rFonts w:eastAsia="Calibri"/>
                <w:b/>
                <w:bCs/>
                <w:sz w:val="24"/>
                <w:szCs w:val="24"/>
                <w:lang w:val="vi-VN"/>
              </w:rPr>
            </w:pPr>
            <w:r w:rsidRPr="007C64F8">
              <w:rPr>
                <w:rFonts w:eastAsia="Calibri"/>
                <w:b/>
                <w:bCs/>
                <w:sz w:val="24"/>
                <w:szCs w:val="24"/>
                <w:lang w:val="vi-VN"/>
              </w:rPr>
              <w:t>Cơ quan, tổ chức rà soát, phản ánh</w:t>
            </w:r>
          </w:p>
        </w:tc>
        <w:tc>
          <w:tcPr>
            <w:tcW w:w="2567" w:type="dxa"/>
            <w:shd w:val="clear" w:color="auto" w:fill="FBE4D5" w:themeFill="accent2" w:themeFillTint="33"/>
            <w:vAlign w:val="center"/>
          </w:tcPr>
          <w:p w14:paraId="44D85C7E" w14:textId="77777777" w:rsidR="007C64F8" w:rsidRPr="007C64F8" w:rsidRDefault="007C64F8" w:rsidP="007C64F8">
            <w:pPr>
              <w:spacing w:line="259" w:lineRule="auto"/>
              <w:jc w:val="center"/>
              <w:rPr>
                <w:rFonts w:eastAsia="Calibri"/>
                <w:b/>
                <w:bCs/>
                <w:sz w:val="24"/>
                <w:szCs w:val="24"/>
                <w:lang w:val="vi-VN"/>
              </w:rPr>
            </w:pPr>
            <w:r w:rsidRPr="007C64F8">
              <w:rPr>
                <w:rFonts w:eastAsia="Calibri"/>
                <w:b/>
                <w:bCs/>
                <w:sz w:val="24"/>
                <w:szCs w:val="24"/>
                <w:lang w:val="vi-VN"/>
              </w:rPr>
              <w:t>Ý kiến của các Bộ, ngành, cơ quan về nội dung rà soát, phản ánh</w:t>
            </w:r>
          </w:p>
        </w:tc>
        <w:tc>
          <w:tcPr>
            <w:tcW w:w="3244" w:type="dxa"/>
            <w:shd w:val="clear" w:color="auto" w:fill="FBE4D5" w:themeFill="accent2" w:themeFillTint="33"/>
            <w:vAlign w:val="center"/>
          </w:tcPr>
          <w:p w14:paraId="3B613720" w14:textId="1973F530" w:rsidR="007C64F8" w:rsidRPr="007C64F8" w:rsidRDefault="007C64F8" w:rsidP="00D85090">
            <w:pPr>
              <w:spacing w:line="259" w:lineRule="auto"/>
              <w:jc w:val="center"/>
              <w:rPr>
                <w:rFonts w:eastAsia="Calibri"/>
                <w:b/>
                <w:bCs/>
                <w:sz w:val="24"/>
                <w:szCs w:val="24"/>
                <w:lang w:val="vi-VN"/>
              </w:rPr>
            </w:pPr>
            <w:r w:rsidRPr="00D326D5">
              <w:rPr>
                <w:b/>
                <w:bCs/>
                <w:sz w:val="24"/>
                <w:szCs w:val="24"/>
                <w:lang w:val="vi-VN"/>
              </w:rPr>
              <w:t xml:space="preserve">Tình hình xử lý </w:t>
            </w:r>
            <w:bookmarkStart w:id="0" w:name="_GoBack"/>
            <w:bookmarkEnd w:id="0"/>
          </w:p>
        </w:tc>
      </w:tr>
      <w:tr w:rsidR="007C64F8" w:rsidRPr="007C64F8" w14:paraId="01B37DA8" w14:textId="77777777" w:rsidTr="00953E29">
        <w:tc>
          <w:tcPr>
            <w:tcW w:w="670" w:type="dxa"/>
            <w:vAlign w:val="center"/>
          </w:tcPr>
          <w:p w14:paraId="796E2F82" w14:textId="77777777" w:rsidR="007C64F8" w:rsidRPr="00D47F53" w:rsidRDefault="007C64F8" w:rsidP="00B73EEA">
            <w:pPr>
              <w:spacing w:line="259" w:lineRule="auto"/>
              <w:jc w:val="center"/>
              <w:rPr>
                <w:rFonts w:eastAsia="Calibri"/>
                <w:b/>
                <w:bCs/>
                <w:sz w:val="24"/>
                <w:szCs w:val="24"/>
                <w:lang w:val="vi-VN"/>
              </w:rPr>
            </w:pPr>
            <w:r w:rsidRPr="00D47F53">
              <w:rPr>
                <w:rFonts w:eastAsia="Calibri"/>
                <w:b/>
                <w:bCs/>
                <w:sz w:val="24"/>
                <w:szCs w:val="24"/>
                <w:lang w:val="vi-VN"/>
              </w:rPr>
              <w:t>(1)</w:t>
            </w:r>
          </w:p>
        </w:tc>
        <w:tc>
          <w:tcPr>
            <w:tcW w:w="1858" w:type="dxa"/>
            <w:vAlign w:val="center"/>
          </w:tcPr>
          <w:p w14:paraId="132183A4" w14:textId="77777777" w:rsidR="007C64F8" w:rsidRPr="007C64F8" w:rsidRDefault="007C64F8" w:rsidP="00B73EEA">
            <w:pPr>
              <w:spacing w:line="259" w:lineRule="auto"/>
              <w:jc w:val="center"/>
              <w:rPr>
                <w:rFonts w:eastAsia="Calibri"/>
                <w:b/>
                <w:bCs/>
                <w:i/>
                <w:iCs/>
                <w:sz w:val="24"/>
                <w:szCs w:val="24"/>
                <w:lang w:val="vi-VN"/>
              </w:rPr>
            </w:pPr>
            <w:r w:rsidRPr="007C64F8">
              <w:rPr>
                <w:rFonts w:eastAsia="Calibri"/>
                <w:b/>
                <w:bCs/>
                <w:i/>
                <w:iCs/>
                <w:sz w:val="24"/>
                <w:szCs w:val="24"/>
                <w:lang w:val="vi-VN"/>
              </w:rPr>
              <w:t>(2)</w:t>
            </w:r>
          </w:p>
        </w:tc>
        <w:tc>
          <w:tcPr>
            <w:tcW w:w="2996" w:type="dxa"/>
            <w:vAlign w:val="center"/>
          </w:tcPr>
          <w:p w14:paraId="07C3F656" w14:textId="77777777" w:rsidR="007C64F8" w:rsidRPr="007C64F8" w:rsidRDefault="007C64F8" w:rsidP="00B73EEA">
            <w:pPr>
              <w:spacing w:line="259" w:lineRule="auto"/>
              <w:jc w:val="center"/>
              <w:rPr>
                <w:rFonts w:eastAsia="Calibri"/>
                <w:b/>
                <w:bCs/>
                <w:i/>
                <w:iCs/>
                <w:sz w:val="24"/>
                <w:szCs w:val="24"/>
                <w:lang w:val="vi-VN"/>
              </w:rPr>
            </w:pPr>
            <w:r w:rsidRPr="007C64F8">
              <w:rPr>
                <w:rFonts w:eastAsia="Calibri"/>
                <w:b/>
                <w:bCs/>
                <w:i/>
                <w:iCs/>
                <w:sz w:val="24"/>
                <w:szCs w:val="24"/>
                <w:lang w:val="vi-VN"/>
              </w:rPr>
              <w:t>(3)</w:t>
            </w:r>
          </w:p>
        </w:tc>
        <w:tc>
          <w:tcPr>
            <w:tcW w:w="1934" w:type="dxa"/>
            <w:vAlign w:val="center"/>
          </w:tcPr>
          <w:p w14:paraId="03CDE6DC" w14:textId="77777777" w:rsidR="007C64F8" w:rsidRPr="007C64F8" w:rsidRDefault="007C64F8" w:rsidP="00B73EEA">
            <w:pPr>
              <w:spacing w:line="259" w:lineRule="auto"/>
              <w:jc w:val="center"/>
              <w:rPr>
                <w:rFonts w:eastAsia="Calibri"/>
                <w:b/>
                <w:bCs/>
                <w:i/>
                <w:iCs/>
                <w:sz w:val="24"/>
                <w:szCs w:val="24"/>
                <w:lang w:val="vi-VN"/>
              </w:rPr>
            </w:pPr>
            <w:r w:rsidRPr="007C64F8">
              <w:rPr>
                <w:rFonts w:eastAsia="Calibri"/>
                <w:b/>
                <w:bCs/>
                <w:i/>
                <w:iCs/>
                <w:sz w:val="24"/>
                <w:szCs w:val="24"/>
                <w:lang w:val="vi-VN"/>
              </w:rPr>
              <w:t>(4)</w:t>
            </w:r>
          </w:p>
        </w:tc>
        <w:tc>
          <w:tcPr>
            <w:tcW w:w="1447" w:type="dxa"/>
          </w:tcPr>
          <w:p w14:paraId="0D1E4072" w14:textId="77777777" w:rsidR="007C64F8" w:rsidRPr="007C64F8" w:rsidRDefault="007C64F8" w:rsidP="00B73EEA">
            <w:pPr>
              <w:spacing w:line="259" w:lineRule="auto"/>
              <w:jc w:val="center"/>
              <w:rPr>
                <w:rFonts w:eastAsia="Calibri"/>
                <w:b/>
                <w:bCs/>
                <w:i/>
                <w:iCs/>
                <w:sz w:val="24"/>
                <w:szCs w:val="24"/>
                <w:lang w:val="vi-VN"/>
              </w:rPr>
            </w:pPr>
            <w:r w:rsidRPr="007C64F8">
              <w:rPr>
                <w:rFonts w:eastAsia="Calibri"/>
                <w:b/>
                <w:bCs/>
                <w:i/>
                <w:iCs/>
                <w:sz w:val="24"/>
                <w:szCs w:val="24"/>
                <w:lang w:val="vi-VN"/>
              </w:rPr>
              <w:t>(5)</w:t>
            </w:r>
          </w:p>
        </w:tc>
        <w:tc>
          <w:tcPr>
            <w:tcW w:w="2567" w:type="dxa"/>
            <w:vAlign w:val="center"/>
          </w:tcPr>
          <w:p w14:paraId="5C9B0392" w14:textId="77777777" w:rsidR="007C64F8" w:rsidRPr="007C64F8" w:rsidRDefault="007C64F8" w:rsidP="00B73EEA">
            <w:pPr>
              <w:spacing w:line="259" w:lineRule="auto"/>
              <w:jc w:val="center"/>
              <w:rPr>
                <w:rFonts w:eastAsia="Calibri"/>
                <w:b/>
                <w:bCs/>
                <w:i/>
                <w:iCs/>
                <w:sz w:val="24"/>
                <w:szCs w:val="24"/>
                <w:lang w:val="vi-VN"/>
              </w:rPr>
            </w:pPr>
            <w:r w:rsidRPr="007C64F8">
              <w:rPr>
                <w:rFonts w:eastAsia="Calibri"/>
                <w:b/>
                <w:bCs/>
                <w:i/>
                <w:iCs/>
                <w:sz w:val="24"/>
                <w:szCs w:val="24"/>
                <w:lang w:val="vi-VN"/>
              </w:rPr>
              <w:t>(6)</w:t>
            </w:r>
          </w:p>
        </w:tc>
        <w:tc>
          <w:tcPr>
            <w:tcW w:w="3244" w:type="dxa"/>
          </w:tcPr>
          <w:p w14:paraId="41E4CDAF" w14:textId="70FDE7DD" w:rsidR="007C64F8" w:rsidRPr="007C64F8" w:rsidRDefault="007C64F8" w:rsidP="00B73EEA">
            <w:pPr>
              <w:spacing w:line="259" w:lineRule="auto"/>
              <w:jc w:val="center"/>
              <w:rPr>
                <w:rFonts w:eastAsia="Calibri"/>
                <w:b/>
                <w:bCs/>
                <w:i/>
                <w:iCs/>
                <w:sz w:val="24"/>
                <w:szCs w:val="24"/>
              </w:rPr>
            </w:pPr>
            <w:r w:rsidRPr="007C64F8">
              <w:rPr>
                <w:rFonts w:eastAsia="Calibri"/>
                <w:b/>
                <w:bCs/>
                <w:i/>
                <w:iCs/>
                <w:sz w:val="24"/>
                <w:szCs w:val="24"/>
              </w:rPr>
              <w:t>(7)</w:t>
            </w:r>
          </w:p>
        </w:tc>
      </w:tr>
      <w:tr w:rsidR="00D47F53" w:rsidRPr="00D326D5" w14:paraId="11F4EA33" w14:textId="77777777" w:rsidTr="00953E29">
        <w:tc>
          <w:tcPr>
            <w:tcW w:w="670" w:type="dxa"/>
            <w:vAlign w:val="center"/>
          </w:tcPr>
          <w:p w14:paraId="5DE849A8" w14:textId="77777777" w:rsidR="00D47F53" w:rsidRPr="00D47F53" w:rsidRDefault="00D47F53" w:rsidP="00D47F53">
            <w:pPr>
              <w:numPr>
                <w:ilvl w:val="0"/>
                <w:numId w:val="1"/>
              </w:numPr>
              <w:contextualSpacing/>
              <w:jc w:val="center"/>
              <w:rPr>
                <w:rFonts w:eastAsia="Calibri"/>
                <w:b/>
                <w:bCs/>
                <w:sz w:val="24"/>
                <w:szCs w:val="24"/>
                <w:lang w:val="vi-VN"/>
              </w:rPr>
            </w:pPr>
          </w:p>
        </w:tc>
        <w:tc>
          <w:tcPr>
            <w:tcW w:w="1858" w:type="dxa"/>
          </w:tcPr>
          <w:p w14:paraId="4E0628BA" w14:textId="6D9B6E9C" w:rsidR="00D47F53" w:rsidRPr="007C64F8" w:rsidRDefault="00D47F53" w:rsidP="00D47F53">
            <w:pPr>
              <w:spacing w:line="259" w:lineRule="auto"/>
              <w:jc w:val="both"/>
              <w:rPr>
                <w:rFonts w:eastAsia="Calibri"/>
                <w:sz w:val="24"/>
                <w:szCs w:val="24"/>
                <w:lang w:val="vi-VN"/>
              </w:rPr>
            </w:pPr>
            <w:r>
              <w:rPr>
                <w:sz w:val="24"/>
                <w:szCs w:val="24"/>
                <w:lang w:val="vi-VN"/>
              </w:rPr>
              <w:t>Điều 10 của Luật Tiếp công dân năm 2013 về Trụ sở tiếp công dân</w:t>
            </w:r>
          </w:p>
        </w:tc>
        <w:tc>
          <w:tcPr>
            <w:tcW w:w="2996" w:type="dxa"/>
          </w:tcPr>
          <w:p w14:paraId="5D5553D7" w14:textId="3A61151D" w:rsidR="00D47F53" w:rsidRPr="007C64F8" w:rsidRDefault="00D47F53" w:rsidP="00D47F53">
            <w:pPr>
              <w:spacing w:line="259" w:lineRule="auto"/>
              <w:jc w:val="both"/>
              <w:rPr>
                <w:rFonts w:eastAsia="Calibri"/>
                <w:sz w:val="24"/>
                <w:szCs w:val="24"/>
                <w:lang w:val="vi-VN"/>
              </w:rPr>
            </w:pPr>
            <w:r>
              <w:rPr>
                <w:sz w:val="24"/>
                <w:szCs w:val="24"/>
                <w:lang w:val="vi-VN"/>
              </w:rPr>
              <w:t>Thực hiện Nghị quyết số 60-NQ/TW, các tỉnh, thành phố đã thực hiện việc sáp nhập, khoảng cách di chuyển của người dân đến các trụ sở hành chính của tỉnh, thành phố sẽ gia tăng. Do đó, cần nghiên cứu, sửa đổi quy định về việc tiếp công dân thường xuyên của các cơ quan, tổ chức tại Trụ sở tiếp công dân Trung ương, Trụ sở tiếp công dân cấp tỉnh, đảm bảo tính linh hoạt, khả thi và hiệu quả.</w:t>
            </w:r>
          </w:p>
        </w:tc>
        <w:tc>
          <w:tcPr>
            <w:tcW w:w="1934" w:type="dxa"/>
          </w:tcPr>
          <w:p w14:paraId="2D7E4B01" w14:textId="27CC463A" w:rsidR="00D47F53" w:rsidRPr="007C64F8" w:rsidRDefault="00D47F53" w:rsidP="00D47F53">
            <w:pPr>
              <w:spacing w:line="259" w:lineRule="auto"/>
              <w:jc w:val="both"/>
              <w:rPr>
                <w:rFonts w:eastAsia="Calibri"/>
                <w:sz w:val="24"/>
                <w:szCs w:val="24"/>
                <w:lang w:val="vi-VN"/>
              </w:rPr>
            </w:pPr>
            <w:r>
              <w:rPr>
                <w:sz w:val="24"/>
                <w:szCs w:val="24"/>
                <w:lang w:val="vi-VN"/>
              </w:rPr>
              <w:t>C. Sửa đổi, bổ sung, thay thế, ban hành mới VBQPPL (theo trình tự, thủ tục rút gọn ban hành VBQPPL của Luật Ban hành VBQPPL)</w:t>
            </w:r>
          </w:p>
        </w:tc>
        <w:tc>
          <w:tcPr>
            <w:tcW w:w="1447" w:type="dxa"/>
          </w:tcPr>
          <w:p w14:paraId="61102E6B" w14:textId="6A53F98F" w:rsidR="00D47F53" w:rsidRPr="007C64F8" w:rsidRDefault="00D47F53" w:rsidP="00D47F53">
            <w:pPr>
              <w:spacing w:line="259" w:lineRule="auto"/>
              <w:jc w:val="both"/>
              <w:rPr>
                <w:rFonts w:eastAsia="Calibri"/>
                <w:sz w:val="24"/>
                <w:szCs w:val="24"/>
                <w:lang w:val="vi-VN"/>
              </w:rPr>
            </w:pPr>
            <w:r>
              <w:rPr>
                <w:sz w:val="24"/>
                <w:szCs w:val="24"/>
                <w:lang w:val="vi-VN"/>
              </w:rPr>
              <w:t>Thanh tra Chính phủ</w:t>
            </w:r>
          </w:p>
        </w:tc>
        <w:tc>
          <w:tcPr>
            <w:tcW w:w="2567" w:type="dxa"/>
          </w:tcPr>
          <w:p w14:paraId="44D19C88" w14:textId="3299E04E" w:rsidR="00D47F53" w:rsidRPr="007C64F8" w:rsidRDefault="00D47F53" w:rsidP="00D47F53">
            <w:pPr>
              <w:spacing w:line="259" w:lineRule="auto"/>
              <w:jc w:val="both"/>
              <w:rPr>
                <w:rFonts w:eastAsia="Calibri"/>
                <w:sz w:val="24"/>
                <w:szCs w:val="24"/>
                <w:lang w:val="vi-VN"/>
              </w:rPr>
            </w:pPr>
          </w:p>
        </w:tc>
        <w:tc>
          <w:tcPr>
            <w:tcW w:w="3244" w:type="dxa"/>
          </w:tcPr>
          <w:p w14:paraId="386EE932" w14:textId="2581068E" w:rsidR="00D47F53" w:rsidRPr="00D326D5" w:rsidRDefault="00D326D5" w:rsidP="00D47F53">
            <w:pPr>
              <w:spacing w:line="259" w:lineRule="auto"/>
              <w:jc w:val="both"/>
              <w:rPr>
                <w:rFonts w:eastAsia="Calibri"/>
                <w:sz w:val="24"/>
                <w:szCs w:val="24"/>
                <w:lang w:val="vi-VN"/>
              </w:rPr>
            </w:pPr>
            <w:r w:rsidRPr="000A7A6E">
              <w:rPr>
                <w:rFonts w:eastAsia="Calibri"/>
                <w:b/>
                <w:bCs/>
                <w:sz w:val="24"/>
                <w:szCs w:val="24"/>
                <w:lang w:val="vi-VN"/>
              </w:rPr>
              <w:t>Đã xử lý</w:t>
            </w:r>
            <w:r>
              <w:rPr>
                <w:rFonts w:eastAsia="Calibri"/>
                <w:sz w:val="24"/>
                <w:szCs w:val="24"/>
                <w:lang w:val="vi-VN"/>
              </w:rPr>
              <w:t xml:space="preserve"> tại Điều 1 </w:t>
            </w:r>
            <w:r w:rsidRPr="007C64F8">
              <w:rPr>
                <w:rFonts w:eastAsia="Calibri"/>
                <w:sz w:val="24"/>
                <w:szCs w:val="24"/>
                <w:lang w:val="vi-VN"/>
              </w:rPr>
              <w:t xml:space="preserve">Luật sửa đổi, bổ sung một số điều </w:t>
            </w:r>
            <w:r>
              <w:rPr>
                <w:rFonts w:eastAsia="Calibri"/>
                <w:sz w:val="24"/>
                <w:szCs w:val="24"/>
                <w:lang w:val="vi-VN"/>
              </w:rPr>
              <w:t>Luật Tiếp công dân, Luật Khiếu nại, Luật Tố cáo (được Quốc khóa 15 thông qua tại Kỳ họp thứ 10 ngày 10/12/2025).</w:t>
            </w:r>
          </w:p>
        </w:tc>
      </w:tr>
      <w:tr w:rsidR="00D47F53" w:rsidRPr="00D326D5" w14:paraId="3A99D800" w14:textId="77777777" w:rsidTr="00953E29">
        <w:tc>
          <w:tcPr>
            <w:tcW w:w="670" w:type="dxa"/>
            <w:vAlign w:val="center"/>
          </w:tcPr>
          <w:p w14:paraId="7BC9617E" w14:textId="77777777" w:rsidR="00D47F53" w:rsidRPr="00D47F53" w:rsidRDefault="00D47F53" w:rsidP="00D47F53">
            <w:pPr>
              <w:numPr>
                <w:ilvl w:val="0"/>
                <w:numId w:val="1"/>
              </w:numPr>
              <w:contextualSpacing/>
              <w:jc w:val="center"/>
              <w:rPr>
                <w:rFonts w:eastAsia="Calibri"/>
                <w:b/>
                <w:bCs/>
                <w:sz w:val="24"/>
                <w:szCs w:val="24"/>
                <w:lang w:val="vi-VN"/>
              </w:rPr>
            </w:pPr>
          </w:p>
        </w:tc>
        <w:tc>
          <w:tcPr>
            <w:tcW w:w="1858" w:type="dxa"/>
          </w:tcPr>
          <w:p w14:paraId="77AE1D19" w14:textId="12FDCEB8" w:rsidR="00D47F53" w:rsidRPr="007C64F8" w:rsidRDefault="00D47F53" w:rsidP="00D47F53">
            <w:pPr>
              <w:spacing w:line="259" w:lineRule="auto"/>
              <w:jc w:val="both"/>
              <w:rPr>
                <w:rFonts w:eastAsia="Calibri"/>
                <w:sz w:val="24"/>
                <w:szCs w:val="24"/>
                <w:lang w:val="vi-VN"/>
              </w:rPr>
            </w:pPr>
            <w:r>
              <w:rPr>
                <w:sz w:val="24"/>
                <w:szCs w:val="24"/>
                <w:lang w:val="vi-VN"/>
              </w:rPr>
              <w:t>Khoản 8 Điều 30 Luật Phòng, chống tham nhũng năm 2018</w:t>
            </w:r>
          </w:p>
        </w:tc>
        <w:tc>
          <w:tcPr>
            <w:tcW w:w="2996" w:type="dxa"/>
          </w:tcPr>
          <w:p w14:paraId="6D9F51DF" w14:textId="70FC7621" w:rsidR="00D47F53" w:rsidRPr="007C64F8" w:rsidRDefault="00D47F53" w:rsidP="00D47F53">
            <w:pPr>
              <w:spacing w:line="259" w:lineRule="auto"/>
              <w:jc w:val="both"/>
              <w:rPr>
                <w:rFonts w:eastAsia="Calibri"/>
                <w:sz w:val="24"/>
                <w:szCs w:val="24"/>
                <w:lang w:val="vi-VN"/>
              </w:rPr>
            </w:pPr>
            <w:r>
              <w:rPr>
                <w:sz w:val="24"/>
                <w:szCs w:val="24"/>
                <w:lang w:val="vi-VN"/>
              </w:rPr>
              <w:t xml:space="preserve">Trách nhiệm kiểm soát tài sản, thu nhập của Ủy ban Trung ương Mặt trận Tổ quốc Việt Nam và các tổ chức thành viên khác trên thực tế chưa triển khai thực hiện; do đó dẫn đến tình trạng các bản kê khai của công chức công tác tại các cơ quan này (trừ diện BTV các cấp quản lý) không được bàn giao, kiểm soát và xác minh. Nội dung này đã được Đoàn ĐBQH tỉnh Tây Ninh kiến nghị tại Kỳ họp thứ 5, Quốc hội khóa XV. Quan điểm của Ủy ban Trung ương Mặt trận Tổ quốc Việt Nam không thống nhất với quy định vì cho rằng mình không phải là tổ chức chính trị - xã hội nên không là cơ quan kiểm soát tài sản, thu nhập đối với Ủy ban Mặt trận Tổ quốc Việt Nam các cấp; tương tự với các tổ chức thành viên. Tại thời điểm chất vấn, căn cứ khoản 1 Điều 9 Nghị định số 06/2010/NĐ-CP ngày 25/01/2010 của Chính phủ (còn hiệu lực tại thời điểm </w:t>
            </w:r>
            <w:r>
              <w:rPr>
                <w:sz w:val="24"/>
                <w:szCs w:val="24"/>
                <w:lang w:val="vi-VN"/>
              </w:rPr>
              <w:lastRenderedPageBreak/>
              <w:t>chất vấn), Mặt trận Tổ quốc Việt Nam được xác định là tổ chức chính trị - xã hội; có thẩm quyền quản lý, tuyển dụng công chức. Tuy nhiên, do hiện nay Nghị định số 06/2010/NĐ-CP của Chính phủ đã được thay thế bởi Nghị định số 170/2025/NĐ-CP ngày 30/6/2025 của Chính phủ, điều khoản căn cứ nêu trên không được ghi nhận rõ trong quy định mới nên có thể dẫn đến cách hiểu không đúng như lập luận của Ủy ban Trung ương Mặt trận Tổ quốc Việt Nam.</w:t>
            </w:r>
          </w:p>
        </w:tc>
        <w:tc>
          <w:tcPr>
            <w:tcW w:w="1934" w:type="dxa"/>
          </w:tcPr>
          <w:p w14:paraId="1414D9B7" w14:textId="3B85D473" w:rsidR="00D47F53" w:rsidRPr="007C64F8" w:rsidRDefault="00D47F53" w:rsidP="00D47F53">
            <w:pPr>
              <w:spacing w:line="259" w:lineRule="auto"/>
              <w:jc w:val="both"/>
              <w:rPr>
                <w:rFonts w:eastAsia="Calibri"/>
                <w:b/>
                <w:bCs/>
                <w:sz w:val="24"/>
                <w:szCs w:val="24"/>
                <w:lang w:val="vi-VN"/>
              </w:rPr>
            </w:pPr>
            <w:r>
              <w:rPr>
                <w:sz w:val="24"/>
                <w:szCs w:val="24"/>
                <w:lang w:val="vi-VN"/>
              </w:rPr>
              <w:lastRenderedPageBreak/>
              <w:t>C. Sửa đổi, bổ sung, thay thế, ban hành mới VBQPPL (theo trình tự, thủ tục rút gọn ban hành VBQPPL của Luật Ban hành VBQPPL)</w:t>
            </w:r>
          </w:p>
        </w:tc>
        <w:tc>
          <w:tcPr>
            <w:tcW w:w="1447" w:type="dxa"/>
          </w:tcPr>
          <w:p w14:paraId="7EF10523" w14:textId="1EFBD446" w:rsidR="00D47F53" w:rsidRPr="007C64F8" w:rsidRDefault="00D47F53" w:rsidP="00D47F53">
            <w:pPr>
              <w:spacing w:line="259" w:lineRule="auto"/>
              <w:jc w:val="both"/>
              <w:rPr>
                <w:rFonts w:eastAsia="Calibri"/>
                <w:sz w:val="24"/>
                <w:szCs w:val="24"/>
                <w:lang w:val="vi-VN"/>
              </w:rPr>
            </w:pPr>
            <w:r>
              <w:rPr>
                <w:sz w:val="24"/>
                <w:szCs w:val="24"/>
                <w:lang w:val="vi-VN"/>
              </w:rPr>
              <w:t>Sở Tư pháp tỉnh Tây Ninh</w:t>
            </w:r>
          </w:p>
        </w:tc>
        <w:tc>
          <w:tcPr>
            <w:tcW w:w="2567" w:type="dxa"/>
          </w:tcPr>
          <w:p w14:paraId="7F5F10BD" w14:textId="53352932" w:rsidR="00D47F53" w:rsidRPr="007C64F8" w:rsidRDefault="00D47F53" w:rsidP="00D47F53">
            <w:pPr>
              <w:spacing w:line="259" w:lineRule="auto"/>
              <w:jc w:val="both"/>
              <w:rPr>
                <w:rFonts w:eastAsia="Calibri"/>
                <w:sz w:val="24"/>
                <w:szCs w:val="24"/>
                <w:lang w:val="vi-VN"/>
              </w:rPr>
            </w:pPr>
            <w:r>
              <w:rPr>
                <w:rFonts w:eastAsia="Calibri"/>
                <w:sz w:val="24"/>
                <w:szCs w:val="24"/>
                <w:lang w:val="vi-VN"/>
              </w:rPr>
              <w:t>Thanh tra Chính phủ nhất trí với nội dung được phản ánh và phương án xử lý được đề xuất.</w:t>
            </w:r>
          </w:p>
        </w:tc>
        <w:tc>
          <w:tcPr>
            <w:tcW w:w="3244" w:type="dxa"/>
          </w:tcPr>
          <w:p w14:paraId="7D121AC4" w14:textId="11A53B5C" w:rsidR="00D47F53" w:rsidRPr="007C64F8" w:rsidRDefault="00D326D5" w:rsidP="00D47F53">
            <w:pPr>
              <w:spacing w:line="259" w:lineRule="auto"/>
              <w:jc w:val="both"/>
              <w:rPr>
                <w:rFonts w:eastAsia="Calibri"/>
                <w:sz w:val="24"/>
                <w:szCs w:val="24"/>
                <w:lang w:val="vi-VN"/>
              </w:rPr>
            </w:pPr>
            <w:r w:rsidRPr="00FA1900">
              <w:rPr>
                <w:rFonts w:eastAsia="Calibri"/>
                <w:b/>
                <w:bCs/>
                <w:sz w:val="24"/>
                <w:szCs w:val="24"/>
                <w:lang w:val="vi-VN"/>
              </w:rPr>
              <w:t>Đã xử lý</w:t>
            </w:r>
            <w:r>
              <w:rPr>
                <w:rFonts w:eastAsia="Calibri"/>
                <w:sz w:val="24"/>
                <w:szCs w:val="24"/>
                <w:lang w:val="vi-VN"/>
              </w:rPr>
              <w:t xml:space="preserve"> tại Khoản 7 Điều 1 Luật sửa đổi bổ sung một số điều của Luật Phòng, chống tham nhũng  (được Quốc khóa 15 thông qua tại Kỳ họp thứ 10 ngày 10/12/2025).</w:t>
            </w:r>
          </w:p>
        </w:tc>
      </w:tr>
      <w:tr w:rsidR="00D47F53" w:rsidRPr="00D326D5" w14:paraId="219DE1F7" w14:textId="77777777" w:rsidTr="00953E29">
        <w:tc>
          <w:tcPr>
            <w:tcW w:w="670" w:type="dxa"/>
            <w:vAlign w:val="center"/>
          </w:tcPr>
          <w:p w14:paraId="3B004926" w14:textId="77777777" w:rsidR="00D47F53" w:rsidRPr="00D47F53" w:rsidRDefault="00D47F53" w:rsidP="00D47F53">
            <w:pPr>
              <w:numPr>
                <w:ilvl w:val="0"/>
                <w:numId w:val="1"/>
              </w:numPr>
              <w:contextualSpacing/>
              <w:jc w:val="center"/>
              <w:rPr>
                <w:rFonts w:eastAsia="Calibri"/>
                <w:b/>
                <w:bCs/>
                <w:sz w:val="24"/>
                <w:szCs w:val="24"/>
                <w:lang w:val="vi-VN"/>
              </w:rPr>
            </w:pPr>
          </w:p>
        </w:tc>
        <w:tc>
          <w:tcPr>
            <w:tcW w:w="1858" w:type="dxa"/>
          </w:tcPr>
          <w:p w14:paraId="150305C8" w14:textId="6330E6C1" w:rsidR="00D47F53" w:rsidRPr="007C64F8" w:rsidRDefault="00D47F53" w:rsidP="00D47F53">
            <w:pPr>
              <w:spacing w:line="259" w:lineRule="auto"/>
              <w:jc w:val="both"/>
              <w:rPr>
                <w:rFonts w:eastAsia="Calibri"/>
                <w:sz w:val="24"/>
                <w:szCs w:val="24"/>
                <w:lang w:val="vi-VN"/>
              </w:rPr>
            </w:pPr>
            <w:r>
              <w:rPr>
                <w:sz w:val="24"/>
                <w:szCs w:val="24"/>
                <w:lang w:val="vi-VN"/>
              </w:rPr>
              <w:t>Điều 17 Luật Phòng, chống tham nhũng năm 2018</w:t>
            </w:r>
          </w:p>
        </w:tc>
        <w:tc>
          <w:tcPr>
            <w:tcW w:w="2996" w:type="dxa"/>
          </w:tcPr>
          <w:p w14:paraId="30018E5E" w14:textId="43F6707B" w:rsidR="00D47F53" w:rsidRPr="007C64F8" w:rsidRDefault="00D47F53" w:rsidP="00D47F53">
            <w:pPr>
              <w:spacing w:line="259" w:lineRule="auto"/>
              <w:jc w:val="both"/>
              <w:rPr>
                <w:rFonts w:eastAsia="Calibri"/>
                <w:sz w:val="24"/>
                <w:szCs w:val="24"/>
                <w:lang w:val="vi-VN"/>
              </w:rPr>
            </w:pPr>
            <w:r>
              <w:rPr>
                <w:sz w:val="24"/>
                <w:szCs w:val="24"/>
                <w:lang w:val="vi-VN"/>
              </w:rPr>
              <w:t xml:space="preserve">Các tiêu chí mục C, D trong Bộ Chỉ số đánh giá công tác phòng, chống tham nhũng hằng năm tính điểm theo cơ chế “có sai phạm” thì mới có điểm. Bản chất mối quan hệ nhân - quả giữa hoạt động quản lý nhà nước, phòng ngừa tham nhũng (thuộc phần A, B của Bộ Chỉ số) với kết quả phát hiện và xử lý tham nhũng (thuộc phần C, D của Bộ Chỉ số) đang phát sinh bất cập. Cụ thể, chất </w:t>
            </w:r>
            <w:r>
              <w:rPr>
                <w:sz w:val="24"/>
                <w:szCs w:val="24"/>
                <w:lang w:val="vi-VN"/>
              </w:rPr>
              <w:lastRenderedPageBreak/>
              <w:t>lượng công tác chỉ đạo, phòng ngừa càng đạt hiệu quả, mang tính thiết thực (phần A, B cao điểm) thì số lượng vụ việc, vụ án tham nhũng phải giảm ở tỷ lệ tương đối (phần C, D giảm điểm). Với cơ chế hiện hành “có sai phạm thì mới có điểm” tại phần C, D sẽ tạo ra bất cập và thiếu tính logic.</w:t>
            </w:r>
          </w:p>
        </w:tc>
        <w:tc>
          <w:tcPr>
            <w:tcW w:w="1934" w:type="dxa"/>
          </w:tcPr>
          <w:p w14:paraId="46BF7547" w14:textId="7972A64B" w:rsidR="00D47F53" w:rsidRPr="007C64F8" w:rsidRDefault="00D47F53" w:rsidP="00D47F53">
            <w:pPr>
              <w:spacing w:line="259" w:lineRule="auto"/>
              <w:jc w:val="both"/>
              <w:rPr>
                <w:rFonts w:eastAsia="Calibri"/>
                <w:b/>
                <w:bCs/>
                <w:sz w:val="24"/>
                <w:szCs w:val="24"/>
                <w:lang w:val="vi-VN"/>
              </w:rPr>
            </w:pPr>
            <w:r>
              <w:rPr>
                <w:sz w:val="24"/>
                <w:szCs w:val="24"/>
                <w:lang w:val="vi-VN"/>
              </w:rPr>
              <w:lastRenderedPageBreak/>
              <w:t>C. Sửa đổi, bổ sung, thay thế, ban hành mới VBQPPL (theo trình tự, thủ tục rút gọn ban hành VBQPPL của Luật Ban hành VBQPPL)</w:t>
            </w:r>
          </w:p>
        </w:tc>
        <w:tc>
          <w:tcPr>
            <w:tcW w:w="1447" w:type="dxa"/>
          </w:tcPr>
          <w:p w14:paraId="3A03096C" w14:textId="65980C01" w:rsidR="00D47F53" w:rsidRPr="007C64F8" w:rsidRDefault="00D47F53" w:rsidP="00D47F53">
            <w:pPr>
              <w:spacing w:line="259" w:lineRule="auto"/>
              <w:jc w:val="both"/>
              <w:rPr>
                <w:rFonts w:eastAsia="Calibri"/>
                <w:sz w:val="24"/>
                <w:szCs w:val="24"/>
                <w:lang w:val="vi-VN"/>
              </w:rPr>
            </w:pPr>
            <w:r>
              <w:rPr>
                <w:sz w:val="24"/>
                <w:szCs w:val="24"/>
                <w:lang w:val="vi-VN"/>
              </w:rPr>
              <w:t>Sở Tư pháp tỉnh Tây Ninh</w:t>
            </w:r>
          </w:p>
        </w:tc>
        <w:tc>
          <w:tcPr>
            <w:tcW w:w="2567" w:type="dxa"/>
          </w:tcPr>
          <w:p w14:paraId="218D4BE7" w14:textId="5A4C778C" w:rsidR="00D47F53" w:rsidRPr="007C64F8" w:rsidRDefault="00D47F53" w:rsidP="00D47F53">
            <w:pPr>
              <w:spacing w:line="259" w:lineRule="auto"/>
              <w:jc w:val="both"/>
              <w:rPr>
                <w:rFonts w:eastAsia="Calibri"/>
                <w:sz w:val="24"/>
                <w:szCs w:val="24"/>
                <w:lang w:val="vi-VN"/>
              </w:rPr>
            </w:pPr>
            <w:r>
              <w:rPr>
                <w:rFonts w:eastAsia="Calibri"/>
                <w:sz w:val="24"/>
                <w:szCs w:val="24"/>
                <w:lang w:val="vi-VN"/>
              </w:rPr>
              <w:t>Thanh tra Chính phủ nhất trí với nội dung được phản ánh và phương án xử lý được đề xuất.</w:t>
            </w:r>
          </w:p>
        </w:tc>
        <w:tc>
          <w:tcPr>
            <w:tcW w:w="3244" w:type="dxa"/>
          </w:tcPr>
          <w:p w14:paraId="44A5A453" w14:textId="3F663195" w:rsidR="00D47F53" w:rsidRPr="007C64F8" w:rsidRDefault="00FA1900" w:rsidP="00D47F53">
            <w:pPr>
              <w:spacing w:line="259" w:lineRule="auto"/>
              <w:jc w:val="both"/>
              <w:rPr>
                <w:rFonts w:eastAsia="Calibri"/>
                <w:sz w:val="24"/>
                <w:szCs w:val="24"/>
                <w:lang w:val="vi-VN"/>
              </w:rPr>
            </w:pPr>
            <w:r w:rsidRPr="00FA1900">
              <w:rPr>
                <w:rFonts w:eastAsia="Calibri"/>
                <w:b/>
                <w:bCs/>
                <w:sz w:val="24"/>
                <w:szCs w:val="24"/>
                <w:lang w:val="vi-VN"/>
              </w:rPr>
              <w:t>Đã xử lý</w:t>
            </w:r>
            <w:r>
              <w:rPr>
                <w:rFonts w:eastAsia="Calibri"/>
                <w:sz w:val="24"/>
                <w:szCs w:val="24"/>
                <w:lang w:val="vi-VN"/>
              </w:rPr>
              <w:t xml:space="preserve"> tại Khoản 5 Điều 1 Luật sửa đổi bổ sung một số điều của Luật Phòng, chống tham nhũng  (được Quốc khóa 15 thông qua tại Kỳ họp thứ 10 ngày 10/12/2025).</w:t>
            </w:r>
          </w:p>
        </w:tc>
      </w:tr>
    </w:tbl>
    <w:p w14:paraId="02B9EA92" w14:textId="77777777" w:rsidR="006027B4" w:rsidRPr="00D326D5" w:rsidRDefault="006027B4">
      <w:pPr>
        <w:rPr>
          <w:lang w:val="vi-VN"/>
        </w:rPr>
      </w:pPr>
    </w:p>
    <w:sectPr w:rsidR="006027B4" w:rsidRPr="00D326D5" w:rsidSect="007C64F8">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A90AF" w14:textId="77777777" w:rsidR="00366B9B" w:rsidRDefault="00366B9B" w:rsidP="007C64F8">
      <w:pPr>
        <w:spacing w:after="0" w:line="240" w:lineRule="auto"/>
      </w:pPr>
      <w:r>
        <w:separator/>
      </w:r>
    </w:p>
  </w:endnote>
  <w:endnote w:type="continuationSeparator" w:id="0">
    <w:p w14:paraId="7680767D" w14:textId="77777777" w:rsidR="00366B9B" w:rsidRDefault="00366B9B" w:rsidP="007C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D0068" w14:textId="77777777" w:rsidR="00366B9B" w:rsidRDefault="00366B9B" w:rsidP="007C64F8">
      <w:pPr>
        <w:spacing w:after="0" w:line="240" w:lineRule="auto"/>
      </w:pPr>
      <w:r>
        <w:separator/>
      </w:r>
    </w:p>
  </w:footnote>
  <w:footnote w:type="continuationSeparator" w:id="0">
    <w:p w14:paraId="70794C89" w14:textId="77777777" w:rsidR="00366B9B" w:rsidRDefault="00366B9B" w:rsidP="007C6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53531706"/>
      <w:docPartObj>
        <w:docPartGallery w:val="Page Numbers (Top of Page)"/>
        <w:docPartUnique/>
      </w:docPartObj>
    </w:sdtPr>
    <w:sdtEndPr>
      <w:rPr>
        <w:noProof/>
      </w:rPr>
    </w:sdtEndPr>
    <w:sdtContent>
      <w:p w14:paraId="3214E8EC" w14:textId="594879D6" w:rsidR="007C64F8" w:rsidRPr="007C64F8" w:rsidRDefault="007C64F8">
        <w:pPr>
          <w:pStyle w:val="Header"/>
          <w:jc w:val="center"/>
          <w:rPr>
            <w:rFonts w:ascii="Times New Roman" w:hAnsi="Times New Roman" w:cs="Times New Roman"/>
          </w:rPr>
        </w:pPr>
        <w:r w:rsidRPr="007C64F8">
          <w:rPr>
            <w:rFonts w:ascii="Times New Roman" w:hAnsi="Times New Roman" w:cs="Times New Roman"/>
          </w:rPr>
          <w:fldChar w:fldCharType="begin"/>
        </w:r>
        <w:r w:rsidRPr="007C64F8">
          <w:rPr>
            <w:rFonts w:ascii="Times New Roman" w:hAnsi="Times New Roman" w:cs="Times New Roman"/>
          </w:rPr>
          <w:instrText xml:space="preserve"> PAGE   \* MERGEFORMAT </w:instrText>
        </w:r>
        <w:r w:rsidRPr="007C64F8">
          <w:rPr>
            <w:rFonts w:ascii="Times New Roman" w:hAnsi="Times New Roman" w:cs="Times New Roman"/>
          </w:rPr>
          <w:fldChar w:fldCharType="separate"/>
        </w:r>
        <w:r w:rsidR="00D85090">
          <w:rPr>
            <w:rFonts w:ascii="Times New Roman" w:hAnsi="Times New Roman" w:cs="Times New Roman"/>
            <w:noProof/>
          </w:rPr>
          <w:t>2</w:t>
        </w:r>
        <w:r w:rsidRPr="007C64F8">
          <w:rPr>
            <w:rFonts w:ascii="Times New Roman" w:hAnsi="Times New Roman" w:cs="Times New Roman"/>
            <w:noProof/>
          </w:rPr>
          <w:fldChar w:fldCharType="end"/>
        </w:r>
      </w:p>
    </w:sdtContent>
  </w:sdt>
  <w:p w14:paraId="7DB08AA8" w14:textId="77777777" w:rsidR="007C64F8" w:rsidRPr="007C64F8" w:rsidRDefault="007C64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4C60"/>
    <w:multiLevelType w:val="multilevel"/>
    <w:tmpl w:val="10194C6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F8"/>
    <w:rsid w:val="00005AE1"/>
    <w:rsid w:val="00032CAC"/>
    <w:rsid w:val="000E4BA0"/>
    <w:rsid w:val="00197081"/>
    <w:rsid w:val="001D19B2"/>
    <w:rsid w:val="002411C0"/>
    <w:rsid w:val="002A5EA0"/>
    <w:rsid w:val="00366B9B"/>
    <w:rsid w:val="003B1407"/>
    <w:rsid w:val="003D1EF8"/>
    <w:rsid w:val="00434570"/>
    <w:rsid w:val="005638CF"/>
    <w:rsid w:val="006027B4"/>
    <w:rsid w:val="007C64F8"/>
    <w:rsid w:val="00953E29"/>
    <w:rsid w:val="009C74BF"/>
    <w:rsid w:val="00A57AD6"/>
    <w:rsid w:val="00AE39D0"/>
    <w:rsid w:val="00B42036"/>
    <w:rsid w:val="00B461B4"/>
    <w:rsid w:val="00BE4AA1"/>
    <w:rsid w:val="00D326D5"/>
    <w:rsid w:val="00D47F53"/>
    <w:rsid w:val="00D85090"/>
    <w:rsid w:val="00ED147E"/>
    <w:rsid w:val="00FA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FD36"/>
  <w15:chartTrackingRefBased/>
  <w15:docId w15:val="{559AC4BC-082E-450B-8EAB-765CFF56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4F8"/>
  </w:style>
  <w:style w:type="paragraph" w:styleId="Heading1">
    <w:name w:val="heading 1"/>
    <w:basedOn w:val="Normal"/>
    <w:next w:val="Normal"/>
    <w:link w:val="Heading1Char"/>
    <w:uiPriority w:val="9"/>
    <w:qFormat/>
    <w:rsid w:val="007C6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6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4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4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64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4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64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4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4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64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4F8"/>
    <w:rPr>
      <w:rFonts w:eastAsiaTheme="majorEastAsia" w:cstheme="majorBidi"/>
      <w:color w:val="272727" w:themeColor="text1" w:themeTint="D8"/>
    </w:rPr>
  </w:style>
  <w:style w:type="paragraph" w:styleId="Title">
    <w:name w:val="Title"/>
    <w:basedOn w:val="Normal"/>
    <w:next w:val="Normal"/>
    <w:link w:val="TitleChar"/>
    <w:uiPriority w:val="10"/>
    <w:qFormat/>
    <w:rsid w:val="007C6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4F8"/>
    <w:pPr>
      <w:spacing w:before="160"/>
      <w:jc w:val="center"/>
    </w:pPr>
    <w:rPr>
      <w:i/>
      <w:iCs/>
      <w:color w:val="404040" w:themeColor="text1" w:themeTint="BF"/>
    </w:rPr>
  </w:style>
  <w:style w:type="character" w:customStyle="1" w:styleId="QuoteChar">
    <w:name w:val="Quote Char"/>
    <w:basedOn w:val="DefaultParagraphFont"/>
    <w:link w:val="Quote"/>
    <w:uiPriority w:val="29"/>
    <w:rsid w:val="007C64F8"/>
    <w:rPr>
      <w:i/>
      <w:iCs/>
      <w:color w:val="404040" w:themeColor="text1" w:themeTint="BF"/>
    </w:rPr>
  </w:style>
  <w:style w:type="paragraph" w:styleId="ListParagraph">
    <w:name w:val="List Paragraph"/>
    <w:basedOn w:val="Normal"/>
    <w:uiPriority w:val="34"/>
    <w:qFormat/>
    <w:rsid w:val="007C64F8"/>
    <w:pPr>
      <w:ind w:left="720"/>
      <w:contextualSpacing/>
    </w:pPr>
  </w:style>
  <w:style w:type="character" w:styleId="IntenseEmphasis">
    <w:name w:val="Intense Emphasis"/>
    <w:basedOn w:val="DefaultParagraphFont"/>
    <w:uiPriority w:val="21"/>
    <w:qFormat/>
    <w:rsid w:val="007C64F8"/>
    <w:rPr>
      <w:i/>
      <w:iCs/>
      <w:color w:val="2F5496" w:themeColor="accent1" w:themeShade="BF"/>
    </w:rPr>
  </w:style>
  <w:style w:type="paragraph" w:styleId="IntenseQuote">
    <w:name w:val="Intense Quote"/>
    <w:basedOn w:val="Normal"/>
    <w:next w:val="Normal"/>
    <w:link w:val="IntenseQuoteChar"/>
    <w:uiPriority w:val="30"/>
    <w:qFormat/>
    <w:rsid w:val="007C6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4F8"/>
    <w:rPr>
      <w:i/>
      <w:iCs/>
      <w:color w:val="2F5496" w:themeColor="accent1" w:themeShade="BF"/>
    </w:rPr>
  </w:style>
  <w:style w:type="character" w:styleId="IntenseReference">
    <w:name w:val="Intense Reference"/>
    <w:basedOn w:val="DefaultParagraphFont"/>
    <w:uiPriority w:val="32"/>
    <w:qFormat/>
    <w:rsid w:val="007C64F8"/>
    <w:rPr>
      <w:b/>
      <w:bCs/>
      <w:smallCaps/>
      <w:color w:val="2F5496" w:themeColor="accent1" w:themeShade="BF"/>
      <w:spacing w:val="5"/>
    </w:rPr>
  </w:style>
  <w:style w:type="table" w:customStyle="1" w:styleId="TableGrid1">
    <w:name w:val="Table Grid1"/>
    <w:basedOn w:val="TableNormal"/>
    <w:qFormat/>
    <w:rsid w:val="007C64F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64F8"/>
    <w:pPr>
      <w:spacing w:before="100" w:beforeAutospacing="1" w:after="100" w:afterAutospacing="1" w:line="240" w:lineRule="auto"/>
    </w:pPr>
    <w:rPr>
      <w:rFonts w:ascii="Times New Roman" w:eastAsiaTheme="minorEastAsia" w:hAnsi="Times New Roman" w:cs="Times New Roman"/>
      <w:kern w:val="0"/>
    </w:rPr>
  </w:style>
  <w:style w:type="character" w:styleId="Strong">
    <w:name w:val="Strong"/>
    <w:basedOn w:val="DefaultParagraphFont"/>
    <w:uiPriority w:val="22"/>
    <w:qFormat/>
    <w:rsid w:val="007C64F8"/>
    <w:rPr>
      <w:b/>
      <w:bCs/>
    </w:rPr>
  </w:style>
  <w:style w:type="paragraph" w:styleId="Header">
    <w:name w:val="header"/>
    <w:basedOn w:val="Normal"/>
    <w:link w:val="HeaderChar"/>
    <w:uiPriority w:val="99"/>
    <w:unhideWhenUsed/>
    <w:rsid w:val="007C6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4F8"/>
  </w:style>
  <w:style w:type="paragraph" w:styleId="Footer">
    <w:name w:val="footer"/>
    <w:basedOn w:val="Normal"/>
    <w:link w:val="FooterChar"/>
    <w:uiPriority w:val="99"/>
    <w:unhideWhenUsed/>
    <w:rsid w:val="007C6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Nhu Quynh</dc:creator>
  <cp:keywords/>
  <dc:description/>
  <cp:lastModifiedBy>Home</cp:lastModifiedBy>
  <cp:revision>2</cp:revision>
  <dcterms:created xsi:type="dcterms:W3CDTF">2025-12-14T07:10:00Z</dcterms:created>
  <dcterms:modified xsi:type="dcterms:W3CDTF">2025-12-14T07:10:00Z</dcterms:modified>
</cp:coreProperties>
</file>