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EEBB8C" w14:textId="1F13340A" w:rsidR="007C64F8" w:rsidRPr="008F7B60" w:rsidRDefault="007C64F8" w:rsidP="007C64F8">
      <w:pPr>
        <w:pStyle w:val="NormalWeb"/>
        <w:spacing w:after="0" w:afterAutospacing="0" w:line="264" w:lineRule="auto"/>
        <w:jc w:val="center"/>
        <w:rPr>
          <w:rFonts w:eastAsia="Calibri"/>
          <w:b/>
          <w:bCs/>
          <w:sz w:val="28"/>
          <w:szCs w:val="22"/>
          <w:lang w:val="vi-VN"/>
          <w14:ligatures w14:val="none"/>
        </w:rPr>
      </w:pPr>
      <w:r>
        <w:rPr>
          <w:rFonts w:eastAsia="Calibri"/>
          <w:b/>
          <w:bCs/>
          <w:noProof/>
          <w:sz w:val="28"/>
          <w:szCs w:val="22"/>
        </w:rPr>
        <mc:AlternateContent>
          <mc:Choice Requires="wps">
            <w:drawing>
              <wp:anchor distT="0" distB="0" distL="114300" distR="114300" simplePos="0" relativeHeight="251660288" behindDoc="0" locked="0" layoutInCell="1" allowOverlap="1" wp14:anchorId="0AE13320" wp14:editId="46688844">
                <wp:simplePos x="0" y="0"/>
                <wp:positionH relativeFrom="column">
                  <wp:posOffset>3754419</wp:posOffset>
                </wp:positionH>
                <wp:positionV relativeFrom="paragraph">
                  <wp:posOffset>-570155</wp:posOffset>
                </wp:positionV>
                <wp:extent cx="903642" cy="365760"/>
                <wp:effectExtent l="0" t="0" r="10795" b="15240"/>
                <wp:wrapNone/>
                <wp:docPr id="798863337" name="Rectangle 1"/>
                <wp:cNvGraphicFramePr/>
                <a:graphic xmlns:a="http://schemas.openxmlformats.org/drawingml/2006/main">
                  <a:graphicData uri="http://schemas.microsoft.com/office/word/2010/wordprocessingShape">
                    <wps:wsp>
                      <wps:cNvSpPr/>
                      <wps:spPr>
                        <a:xfrm>
                          <a:off x="0" y="0"/>
                          <a:ext cx="903642" cy="36576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2C180FFF" id="Rectangle 1" o:spid="_x0000_s1026" style="position:absolute;margin-left:295.6pt;margin-top:-44.9pt;width:71.15pt;height:28.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" fillcolor="white [3212]" strokecolor="white [3212]" strokeweight="1pt"/>
            </w:pict>
          </mc:Fallback>
        </mc:AlternateContent>
      </w:r>
      <w:r>
        <w:rPr>
          <w:rFonts w:eastAsia="Calibri"/>
          <w:b/>
          <w:bCs/>
          <w:sz w:val="28"/>
          <w:szCs w:val="22"/>
          <w:lang w:val="vi-VN"/>
          <w14:ligatures w14:val="none"/>
        </w:rPr>
        <w:t xml:space="preserve">Phụ lục </w:t>
      </w:r>
      <w:r w:rsidR="004E1425">
        <w:rPr>
          <w:rFonts w:eastAsia="Calibri"/>
          <w:b/>
          <w:bCs/>
          <w:sz w:val="28"/>
          <w:szCs w:val="22"/>
          <w14:ligatures w14:val="none"/>
        </w:rPr>
        <w:t>I</w:t>
      </w:r>
      <w:r>
        <w:rPr>
          <w:rFonts w:eastAsia="Calibri"/>
          <w:b/>
          <w:bCs/>
          <w:sz w:val="28"/>
          <w:szCs w:val="22"/>
          <w:lang w:val="vi-VN"/>
          <w14:ligatures w14:val="none"/>
        </w:rPr>
        <w:t>.16.1.A</w:t>
      </w:r>
      <w:r>
        <w:rPr>
          <w:rFonts w:eastAsia="Calibri"/>
          <w:b/>
          <w:bCs/>
          <w:sz w:val="28"/>
          <w:szCs w:val="22"/>
          <w:lang w:val="vi-VN"/>
          <w14:ligatures w14:val="none"/>
        </w:rPr>
        <w:br/>
      </w:r>
      <w:r w:rsidRPr="008F7B60">
        <w:rPr>
          <w:rFonts w:eastAsia="Calibri"/>
          <w:b/>
          <w:bCs/>
          <w:sz w:val="28"/>
          <w:szCs w:val="22"/>
          <w:lang w:val="vi-VN"/>
          <w14:ligatures w14:val="none"/>
        </w:rPr>
        <w:t>TÌNH HÌNH XỬ LÝ ĐỐI VỚI KHÓ KHĂN, VƯỚNG MẮC DO QUY ĐỊNH PHÁP LUẬT</w:t>
      </w:r>
    </w:p>
    <w:p w14:paraId="629DE74A" w14:textId="77777777" w:rsidR="007C64F8" w:rsidRPr="00BE5465" w:rsidRDefault="007C64F8" w:rsidP="007C64F8">
      <w:pPr>
        <w:pStyle w:val="NormalWeb"/>
        <w:spacing w:before="0" w:beforeAutospacing="0" w:after="0" w:afterAutospacing="0" w:line="264" w:lineRule="auto"/>
        <w:jc w:val="center"/>
        <w:rPr>
          <w:rFonts w:eastAsia="Calibri"/>
          <w:b/>
          <w:bCs/>
          <w:sz w:val="28"/>
          <w:szCs w:val="22"/>
          <w:lang w:val="vi-VN"/>
          <w14:ligatures w14:val="none"/>
        </w:rPr>
      </w:pPr>
      <w:r w:rsidRPr="008F7B60">
        <w:rPr>
          <w:rFonts w:eastAsia="Calibri"/>
          <w:b/>
          <w:bCs/>
          <w:sz w:val="28"/>
          <w:szCs w:val="22"/>
          <w:lang w:val="vi-VN"/>
          <w14:ligatures w14:val="none"/>
        </w:rPr>
        <w:t xml:space="preserve">THUỘC PHẠM VI PHỤ TRÁCH CỦA </w:t>
      </w:r>
      <w:r w:rsidRPr="00BE5465">
        <w:rPr>
          <w:rFonts w:eastAsia="Calibri"/>
          <w:b/>
          <w:bCs/>
          <w:sz w:val="28"/>
          <w:szCs w:val="22"/>
          <w:lang w:val="vi-VN"/>
          <w14:ligatures w14:val="none"/>
        </w:rPr>
        <w:t>THANH TRA CHÍNH PHỦ</w:t>
      </w:r>
    </w:p>
    <w:p w14:paraId="5EBEDE6B" w14:textId="2517A8E6" w:rsidR="007C64F8" w:rsidRPr="00BE5465" w:rsidRDefault="007C64F8" w:rsidP="007C64F8">
      <w:pPr>
        <w:pStyle w:val="NormalWeb"/>
        <w:spacing w:before="0" w:beforeAutospacing="0" w:after="0" w:afterAutospacing="0" w:line="264" w:lineRule="auto"/>
        <w:jc w:val="center"/>
        <w:rPr>
          <w:b/>
          <w:color w:val="000000" w:themeColor="text1"/>
          <w:sz w:val="26"/>
          <w:szCs w:val="26"/>
          <w:lang w:val="vi-VN"/>
        </w:rPr>
      </w:pPr>
      <w:r>
        <w:rPr>
          <w:rFonts w:eastAsia="Calibri"/>
          <w:b/>
          <w:bCs/>
          <w:sz w:val="28"/>
          <w:szCs w:val="22"/>
          <w:lang w:val="vi-VN"/>
          <w14:ligatures w14:val="none"/>
        </w:rPr>
        <w:t>Tiêu chí: Quy định mâu thuẫn, chồng chéo trong cùng một VBQPPL hoặc giữa các VBQPPL</w:t>
      </w:r>
      <w:r>
        <w:rPr>
          <w:rFonts w:eastAsia="Calibri"/>
          <w:b/>
          <w:bCs/>
          <w:sz w:val="28"/>
          <w:szCs w:val="22"/>
          <w:lang w:val="vi-VN"/>
          <w14:ligatures w14:val="none"/>
        </w:rPr>
        <w:br/>
      </w:r>
      <w:r w:rsidRPr="00BE5465">
        <w:rPr>
          <w:rFonts w:eastAsia="Calibri"/>
          <w:b/>
          <w:bCs/>
          <w:sz w:val="28"/>
          <w:szCs w:val="22"/>
          <w:lang w:val="vi-VN"/>
          <w14:ligatures w14:val="none"/>
        </w:rPr>
        <w:t>Nhóm A. Nhóm</w:t>
      </w:r>
      <w:r w:rsidRPr="008F7B60">
        <w:rPr>
          <w:rFonts w:eastAsia="Calibri"/>
          <w:b/>
          <w:bCs/>
          <w:sz w:val="28"/>
          <w:szCs w:val="22"/>
          <w:lang w:val="vi-VN"/>
          <w14:ligatures w14:val="none"/>
        </w:rPr>
        <w:t xml:space="preserve"> các nội dung cho ý kiến nhất trí và đề xuất xử lý theo phương án, quy trình nêu tại khoản 1 Điều 4 Nghị quyết số 206/2025/QH15 (thực hiện trong năm 2025)</w:t>
      </w:r>
      <w:r w:rsidRPr="008F7B60">
        <w:rPr>
          <w:rFonts w:eastAsia="Calibri"/>
          <w:sz w:val="28"/>
          <w:szCs w:val="22"/>
          <w:lang w:val="vi-VN"/>
          <w14:ligatures w14:val="none"/>
        </w:rPr>
        <w:br/>
      </w:r>
    </w:p>
    <w:p w14:paraId="2FD48A31" w14:textId="77777777" w:rsidR="007C64F8" w:rsidRPr="00BE5465" w:rsidRDefault="007C64F8" w:rsidP="007C64F8">
      <w:pPr>
        <w:pStyle w:val="NormalWeb"/>
        <w:spacing w:before="0" w:beforeAutospacing="0" w:after="0" w:afterAutospacing="0" w:line="288" w:lineRule="auto"/>
        <w:rPr>
          <w:i/>
          <w:iCs/>
          <w:color w:val="000000"/>
          <w:sz w:val="26"/>
          <w:szCs w:val="26"/>
          <w:lang w:val="vi-VN"/>
        </w:rPr>
      </w:pPr>
      <w:r w:rsidRPr="00A713FB">
        <w:rPr>
          <w:i/>
          <w:iCs/>
          <w:noProof/>
          <w:color w:val="000000"/>
          <w:sz w:val="26"/>
          <w:szCs w:val="26"/>
        </w:rPr>
        <mc:AlternateContent>
          <mc:Choice Requires="wps">
            <w:drawing>
              <wp:anchor distT="0" distB="0" distL="114300" distR="114300" simplePos="0" relativeHeight="251659264" behindDoc="0" locked="0" layoutInCell="1" allowOverlap="1" wp14:anchorId="4832C7CE" wp14:editId="1AC1C2C1">
                <wp:simplePos x="0" y="0"/>
                <wp:positionH relativeFrom="margin">
                  <wp:align>center</wp:align>
                </wp:positionH>
                <wp:positionV relativeFrom="paragraph">
                  <wp:posOffset>16510</wp:posOffset>
                </wp:positionV>
                <wp:extent cx="2314135" cy="7034"/>
                <wp:effectExtent l="0" t="0" r="29210" b="31115"/>
                <wp:wrapNone/>
                <wp:docPr id="1" name="Straight Connector 1"/>
                <wp:cNvGraphicFramePr/>
                <a:graphic xmlns:a="http://schemas.openxmlformats.org/drawingml/2006/main">
                  <a:graphicData uri="http://schemas.microsoft.com/office/word/2010/wordprocessingShape">
                    <wps:wsp>
                      <wps:cNvCnPr/>
                      <wps:spPr>
                        <a:xfrm flipV="1">
                          <a:off x="0" y="0"/>
                          <a:ext cx="2314135" cy="703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15A986A" id="Straight Connector 1" o:spid="_x0000_s1026" style="position:absolute;flip:y;z-index:251659264;visibility:visible;mso-wrap-style:square;mso-wrap-distance-left:9pt;mso-wrap-distance-top:0;mso-wrap-distance-right:9pt;mso-wrap-distance-bottom:0;mso-position-horizontal:center;mso-position-horizontal-relative:margin;mso-position-vertical:absolute;mso-position-vertical-relative:text" from="0,1.3pt" to="182.2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" strokecolor="black [3200]" strokeweight=".5pt">
                <v:stroke joinstyle="miter"/>
                <w10:wrap anchorx="margin"/>
              </v:line>
            </w:pict>
          </mc:Fallback>
        </mc:AlternateContent>
      </w:r>
    </w:p>
    <w:tbl>
      <w:tblPr>
        <w:tblStyle w:val="TableGrid1"/>
        <w:tblpPr w:rightFromText="181" w:vertAnchor="text" w:tblpXSpec="center" w:tblpY="1"/>
        <w:tblOverlap w:val="never"/>
        <w:tblW w:w="14170" w:type="dxa"/>
        <w:tblCellMar>
          <w:left w:w="85" w:type="dxa"/>
        </w:tblCellMar>
        <w:tblLook w:val="04A0" w:firstRow="1" w:lastRow="0" w:firstColumn="1" w:lastColumn="0" w:noHBand="0" w:noVBand="1"/>
      </w:tblPr>
      <w:tblGrid>
        <w:gridCol w:w="670"/>
        <w:gridCol w:w="2160"/>
        <w:gridCol w:w="2450"/>
        <w:gridCol w:w="1934"/>
        <w:gridCol w:w="1447"/>
        <w:gridCol w:w="2567"/>
        <w:gridCol w:w="2942"/>
      </w:tblGrid>
      <w:tr w:rsidR="007C64F8" w:rsidRPr="0083002B" w14:paraId="1B8C88F0" w14:textId="77777777" w:rsidTr="00B17EE3">
        <w:tc>
          <w:tcPr>
            <w:tcW w:w="670" w:type="dxa"/>
            <w:shd w:val="clear" w:color="auto" w:fill="FBE4D5" w:themeFill="accent2" w:themeFillTint="33"/>
            <w:vAlign w:val="center"/>
          </w:tcPr>
          <w:p w14:paraId="07C65584" w14:textId="77777777" w:rsidR="007C64F8" w:rsidRPr="0083002B" w:rsidRDefault="007C64F8" w:rsidP="007C64F8">
            <w:pPr>
              <w:spacing w:line="259" w:lineRule="auto"/>
              <w:jc w:val="center"/>
              <w:rPr>
                <w:rFonts w:eastAsia="Calibri"/>
                <w:b/>
                <w:bCs/>
                <w:sz w:val="24"/>
                <w:szCs w:val="24"/>
                <w:lang w:val="vi-VN"/>
              </w:rPr>
            </w:pPr>
            <w:r w:rsidRPr="0083002B">
              <w:rPr>
                <w:rFonts w:eastAsia="Calibri"/>
                <w:b/>
                <w:bCs/>
                <w:sz w:val="24"/>
                <w:szCs w:val="24"/>
                <w:lang w:val="vi-VN"/>
              </w:rPr>
              <w:t>STT</w:t>
            </w:r>
          </w:p>
        </w:tc>
        <w:tc>
          <w:tcPr>
            <w:tcW w:w="2160" w:type="dxa"/>
            <w:shd w:val="clear" w:color="auto" w:fill="FBE4D5" w:themeFill="accent2" w:themeFillTint="33"/>
            <w:vAlign w:val="center"/>
          </w:tcPr>
          <w:p w14:paraId="5ECB6904" w14:textId="77777777" w:rsidR="007C64F8" w:rsidRPr="0083002B" w:rsidRDefault="007C64F8" w:rsidP="007C64F8">
            <w:pPr>
              <w:spacing w:line="259" w:lineRule="auto"/>
              <w:jc w:val="center"/>
              <w:rPr>
                <w:rFonts w:eastAsia="Calibri"/>
                <w:b/>
                <w:bCs/>
                <w:sz w:val="24"/>
                <w:szCs w:val="24"/>
                <w:lang w:val="vi-VN"/>
              </w:rPr>
            </w:pPr>
            <w:r w:rsidRPr="0083002B">
              <w:rPr>
                <w:rFonts w:eastAsia="Calibri"/>
                <w:b/>
                <w:bCs/>
                <w:sz w:val="24"/>
                <w:szCs w:val="24"/>
                <w:lang w:val="vi-VN"/>
              </w:rPr>
              <w:t>Điều, khoản, điểm, tên văn bản đề xuất xử lý</w:t>
            </w:r>
          </w:p>
        </w:tc>
        <w:tc>
          <w:tcPr>
            <w:tcW w:w="2450" w:type="dxa"/>
            <w:shd w:val="clear" w:color="auto" w:fill="FBE4D5" w:themeFill="accent2" w:themeFillTint="33"/>
            <w:vAlign w:val="center"/>
          </w:tcPr>
          <w:p w14:paraId="3C88A3E8" w14:textId="77777777" w:rsidR="007C64F8" w:rsidRPr="0083002B" w:rsidRDefault="007C64F8" w:rsidP="007C64F8">
            <w:pPr>
              <w:spacing w:line="259" w:lineRule="auto"/>
              <w:jc w:val="center"/>
              <w:rPr>
                <w:rFonts w:eastAsia="Calibri"/>
                <w:b/>
                <w:bCs/>
                <w:sz w:val="24"/>
                <w:szCs w:val="24"/>
                <w:lang w:val="vi-VN"/>
              </w:rPr>
            </w:pPr>
            <w:r w:rsidRPr="0083002B">
              <w:rPr>
                <w:rFonts w:eastAsia="Calibri"/>
                <w:b/>
                <w:bCs/>
                <w:sz w:val="24"/>
                <w:szCs w:val="24"/>
                <w:lang w:val="vi-VN"/>
              </w:rPr>
              <w:t>Nội dung quy định được phản ánh mâu thuẫn, chồng chéo</w:t>
            </w:r>
          </w:p>
        </w:tc>
        <w:tc>
          <w:tcPr>
            <w:tcW w:w="1934" w:type="dxa"/>
            <w:shd w:val="clear" w:color="auto" w:fill="FBE4D5" w:themeFill="accent2" w:themeFillTint="33"/>
            <w:vAlign w:val="center"/>
          </w:tcPr>
          <w:p w14:paraId="6104D2DF" w14:textId="77777777" w:rsidR="007C64F8" w:rsidRPr="0083002B" w:rsidRDefault="007C64F8" w:rsidP="007C64F8">
            <w:pPr>
              <w:spacing w:line="259" w:lineRule="auto"/>
              <w:jc w:val="center"/>
              <w:rPr>
                <w:rFonts w:eastAsia="Calibri"/>
                <w:b/>
                <w:bCs/>
                <w:sz w:val="24"/>
                <w:szCs w:val="24"/>
                <w:lang w:val="vi-VN"/>
              </w:rPr>
            </w:pPr>
            <w:r w:rsidRPr="0083002B">
              <w:rPr>
                <w:rFonts w:eastAsia="Calibri"/>
                <w:b/>
                <w:bCs/>
                <w:sz w:val="24"/>
                <w:szCs w:val="24"/>
                <w:lang w:val="vi-VN"/>
              </w:rPr>
              <w:t>Phương án xử lý được đề xuất</w:t>
            </w:r>
          </w:p>
        </w:tc>
        <w:tc>
          <w:tcPr>
            <w:tcW w:w="1447" w:type="dxa"/>
            <w:shd w:val="clear" w:color="auto" w:fill="FBE4D5" w:themeFill="accent2" w:themeFillTint="33"/>
            <w:vAlign w:val="center"/>
          </w:tcPr>
          <w:p w14:paraId="111A9BD1" w14:textId="77777777" w:rsidR="007C64F8" w:rsidRPr="0083002B" w:rsidRDefault="007C64F8" w:rsidP="007C64F8">
            <w:pPr>
              <w:spacing w:line="259" w:lineRule="auto"/>
              <w:jc w:val="center"/>
              <w:rPr>
                <w:rFonts w:eastAsia="Calibri"/>
                <w:b/>
                <w:bCs/>
                <w:sz w:val="24"/>
                <w:szCs w:val="24"/>
                <w:lang w:val="vi-VN"/>
              </w:rPr>
            </w:pPr>
            <w:r w:rsidRPr="0083002B">
              <w:rPr>
                <w:rFonts w:eastAsia="Calibri"/>
                <w:b/>
                <w:bCs/>
                <w:sz w:val="24"/>
                <w:szCs w:val="24"/>
                <w:lang w:val="vi-VN"/>
              </w:rPr>
              <w:t>Cơ quan, tổ chức rà soát, phản ánh</w:t>
            </w:r>
          </w:p>
        </w:tc>
        <w:tc>
          <w:tcPr>
            <w:tcW w:w="2567" w:type="dxa"/>
            <w:shd w:val="clear" w:color="auto" w:fill="FBE4D5" w:themeFill="accent2" w:themeFillTint="33"/>
            <w:vAlign w:val="center"/>
          </w:tcPr>
          <w:p w14:paraId="44D85C7E" w14:textId="77777777" w:rsidR="007C64F8" w:rsidRPr="0083002B" w:rsidRDefault="007C64F8" w:rsidP="007C64F8">
            <w:pPr>
              <w:spacing w:line="259" w:lineRule="auto"/>
              <w:jc w:val="center"/>
              <w:rPr>
                <w:rFonts w:eastAsia="Calibri"/>
                <w:b/>
                <w:bCs/>
                <w:sz w:val="24"/>
                <w:szCs w:val="24"/>
                <w:lang w:val="vi-VN"/>
              </w:rPr>
            </w:pPr>
            <w:r w:rsidRPr="0083002B">
              <w:rPr>
                <w:rFonts w:eastAsia="Calibri"/>
                <w:b/>
                <w:bCs/>
                <w:sz w:val="24"/>
                <w:szCs w:val="24"/>
                <w:lang w:val="vi-VN"/>
              </w:rPr>
              <w:t>Ý kiến của các Bộ, ngành, cơ quan về nội dung rà soát, phản ánh</w:t>
            </w:r>
          </w:p>
        </w:tc>
        <w:tc>
          <w:tcPr>
            <w:tcW w:w="2942" w:type="dxa"/>
            <w:shd w:val="clear" w:color="auto" w:fill="FBE4D5" w:themeFill="accent2" w:themeFillTint="33"/>
            <w:vAlign w:val="center"/>
          </w:tcPr>
          <w:p w14:paraId="3B613720" w14:textId="0A2D06FF" w:rsidR="007C64F8" w:rsidRPr="0083002B" w:rsidRDefault="007C64F8" w:rsidP="00A04445">
            <w:pPr>
              <w:spacing w:line="259" w:lineRule="auto"/>
              <w:jc w:val="center"/>
              <w:rPr>
                <w:rFonts w:eastAsia="Calibri"/>
                <w:b/>
                <w:bCs/>
                <w:sz w:val="24"/>
                <w:szCs w:val="24"/>
                <w:lang w:val="vi-VN"/>
              </w:rPr>
            </w:pPr>
            <w:r w:rsidRPr="0083002B">
              <w:rPr>
                <w:b/>
                <w:bCs/>
                <w:sz w:val="24"/>
                <w:szCs w:val="24"/>
                <w:lang w:val="vi-VN"/>
              </w:rPr>
              <w:t xml:space="preserve">Tình hình xử lý </w:t>
            </w:r>
          </w:p>
        </w:tc>
      </w:tr>
      <w:tr w:rsidR="007C64F8" w:rsidRPr="0083002B" w14:paraId="01B37DA8" w14:textId="77777777" w:rsidTr="00B17EE3">
        <w:tc>
          <w:tcPr>
            <w:tcW w:w="670" w:type="dxa"/>
            <w:vAlign w:val="center"/>
          </w:tcPr>
          <w:p w14:paraId="796E2F82" w14:textId="77777777" w:rsidR="007C64F8" w:rsidRPr="0083002B" w:rsidRDefault="007C64F8" w:rsidP="00B73EEA">
            <w:pPr>
              <w:spacing w:line="259" w:lineRule="auto"/>
              <w:jc w:val="center"/>
              <w:rPr>
                <w:rFonts w:eastAsia="Calibri"/>
                <w:b/>
                <w:bCs/>
                <w:i/>
                <w:iCs/>
                <w:sz w:val="24"/>
                <w:szCs w:val="24"/>
                <w:lang w:val="vi-VN"/>
              </w:rPr>
            </w:pPr>
            <w:r w:rsidRPr="0083002B">
              <w:rPr>
                <w:rFonts w:eastAsia="Calibri"/>
                <w:b/>
                <w:bCs/>
                <w:i/>
                <w:iCs/>
                <w:sz w:val="24"/>
                <w:szCs w:val="24"/>
                <w:lang w:val="vi-VN"/>
              </w:rPr>
              <w:t>(1)</w:t>
            </w:r>
          </w:p>
        </w:tc>
        <w:tc>
          <w:tcPr>
            <w:tcW w:w="2160" w:type="dxa"/>
            <w:vAlign w:val="center"/>
          </w:tcPr>
          <w:p w14:paraId="132183A4" w14:textId="77777777" w:rsidR="007C64F8" w:rsidRPr="0083002B" w:rsidRDefault="007C64F8" w:rsidP="00B73EEA">
            <w:pPr>
              <w:spacing w:line="259" w:lineRule="auto"/>
              <w:jc w:val="center"/>
              <w:rPr>
                <w:rFonts w:eastAsia="Calibri"/>
                <w:b/>
                <w:bCs/>
                <w:i/>
                <w:iCs/>
                <w:sz w:val="24"/>
                <w:szCs w:val="24"/>
                <w:lang w:val="vi-VN"/>
              </w:rPr>
            </w:pPr>
            <w:r w:rsidRPr="0083002B">
              <w:rPr>
                <w:rFonts w:eastAsia="Calibri"/>
                <w:b/>
                <w:bCs/>
                <w:i/>
                <w:iCs/>
                <w:sz w:val="24"/>
                <w:szCs w:val="24"/>
                <w:lang w:val="vi-VN"/>
              </w:rPr>
              <w:t>(2)</w:t>
            </w:r>
          </w:p>
        </w:tc>
        <w:tc>
          <w:tcPr>
            <w:tcW w:w="2450" w:type="dxa"/>
            <w:vAlign w:val="center"/>
          </w:tcPr>
          <w:p w14:paraId="07C3F656" w14:textId="77777777" w:rsidR="007C64F8" w:rsidRPr="0083002B" w:rsidRDefault="007C64F8" w:rsidP="00B73EEA">
            <w:pPr>
              <w:spacing w:line="259" w:lineRule="auto"/>
              <w:jc w:val="center"/>
              <w:rPr>
                <w:rFonts w:eastAsia="Calibri"/>
                <w:b/>
                <w:bCs/>
                <w:i/>
                <w:iCs/>
                <w:sz w:val="24"/>
                <w:szCs w:val="24"/>
                <w:lang w:val="vi-VN"/>
              </w:rPr>
            </w:pPr>
            <w:r w:rsidRPr="0083002B">
              <w:rPr>
                <w:rFonts w:eastAsia="Calibri"/>
                <w:b/>
                <w:bCs/>
                <w:i/>
                <w:iCs/>
                <w:sz w:val="24"/>
                <w:szCs w:val="24"/>
                <w:lang w:val="vi-VN"/>
              </w:rPr>
              <w:t>(3)</w:t>
            </w:r>
          </w:p>
        </w:tc>
        <w:tc>
          <w:tcPr>
            <w:tcW w:w="1934" w:type="dxa"/>
            <w:vAlign w:val="center"/>
          </w:tcPr>
          <w:p w14:paraId="03CDE6DC" w14:textId="77777777" w:rsidR="007C64F8" w:rsidRPr="0083002B" w:rsidRDefault="007C64F8" w:rsidP="00B73EEA">
            <w:pPr>
              <w:spacing w:line="259" w:lineRule="auto"/>
              <w:jc w:val="center"/>
              <w:rPr>
                <w:rFonts w:eastAsia="Calibri"/>
                <w:b/>
                <w:bCs/>
                <w:i/>
                <w:iCs/>
                <w:sz w:val="24"/>
                <w:szCs w:val="24"/>
                <w:lang w:val="vi-VN"/>
              </w:rPr>
            </w:pPr>
            <w:r w:rsidRPr="0083002B">
              <w:rPr>
                <w:rFonts w:eastAsia="Calibri"/>
                <w:b/>
                <w:bCs/>
                <w:i/>
                <w:iCs/>
                <w:sz w:val="24"/>
                <w:szCs w:val="24"/>
                <w:lang w:val="vi-VN"/>
              </w:rPr>
              <w:t>(4)</w:t>
            </w:r>
          </w:p>
        </w:tc>
        <w:tc>
          <w:tcPr>
            <w:tcW w:w="1447" w:type="dxa"/>
          </w:tcPr>
          <w:p w14:paraId="0D1E4072" w14:textId="77777777" w:rsidR="007C64F8" w:rsidRPr="0083002B" w:rsidRDefault="007C64F8" w:rsidP="00B73EEA">
            <w:pPr>
              <w:spacing w:line="259" w:lineRule="auto"/>
              <w:jc w:val="center"/>
              <w:rPr>
                <w:rFonts w:eastAsia="Calibri"/>
                <w:b/>
                <w:bCs/>
                <w:i/>
                <w:iCs/>
                <w:sz w:val="24"/>
                <w:szCs w:val="24"/>
                <w:lang w:val="vi-VN"/>
              </w:rPr>
            </w:pPr>
            <w:r w:rsidRPr="0083002B">
              <w:rPr>
                <w:rFonts w:eastAsia="Calibri"/>
                <w:b/>
                <w:bCs/>
                <w:i/>
                <w:iCs/>
                <w:sz w:val="24"/>
                <w:szCs w:val="24"/>
                <w:lang w:val="vi-VN"/>
              </w:rPr>
              <w:t>(5)</w:t>
            </w:r>
          </w:p>
        </w:tc>
        <w:tc>
          <w:tcPr>
            <w:tcW w:w="2567" w:type="dxa"/>
            <w:vAlign w:val="center"/>
          </w:tcPr>
          <w:p w14:paraId="5C9B0392" w14:textId="77777777" w:rsidR="007C64F8" w:rsidRPr="0083002B" w:rsidRDefault="007C64F8" w:rsidP="00B73EEA">
            <w:pPr>
              <w:spacing w:line="259" w:lineRule="auto"/>
              <w:jc w:val="center"/>
              <w:rPr>
                <w:rFonts w:eastAsia="Calibri"/>
                <w:b/>
                <w:bCs/>
                <w:i/>
                <w:iCs/>
                <w:sz w:val="24"/>
                <w:szCs w:val="24"/>
                <w:lang w:val="vi-VN"/>
              </w:rPr>
            </w:pPr>
            <w:r w:rsidRPr="0083002B">
              <w:rPr>
                <w:rFonts w:eastAsia="Calibri"/>
                <w:b/>
                <w:bCs/>
                <w:i/>
                <w:iCs/>
                <w:sz w:val="24"/>
                <w:szCs w:val="24"/>
                <w:lang w:val="vi-VN"/>
              </w:rPr>
              <w:t>(6)</w:t>
            </w:r>
          </w:p>
        </w:tc>
        <w:tc>
          <w:tcPr>
            <w:tcW w:w="2942" w:type="dxa"/>
          </w:tcPr>
          <w:p w14:paraId="41E4CDAF" w14:textId="70FDE7DD" w:rsidR="007C64F8" w:rsidRPr="0083002B" w:rsidRDefault="007C64F8" w:rsidP="00B73EEA">
            <w:pPr>
              <w:spacing w:line="259" w:lineRule="auto"/>
              <w:jc w:val="center"/>
              <w:rPr>
                <w:rFonts w:eastAsia="Calibri"/>
                <w:b/>
                <w:bCs/>
                <w:i/>
                <w:iCs/>
                <w:sz w:val="24"/>
                <w:szCs w:val="24"/>
              </w:rPr>
            </w:pPr>
            <w:r w:rsidRPr="0083002B">
              <w:rPr>
                <w:rFonts w:eastAsia="Calibri"/>
                <w:b/>
                <w:bCs/>
                <w:i/>
                <w:iCs/>
                <w:sz w:val="24"/>
                <w:szCs w:val="24"/>
              </w:rPr>
              <w:t>(7)</w:t>
            </w:r>
          </w:p>
        </w:tc>
      </w:tr>
      <w:tr w:rsidR="007C64F8" w:rsidRPr="0083002B" w14:paraId="11F4EA33" w14:textId="77777777" w:rsidTr="00B17EE3">
        <w:tc>
          <w:tcPr>
            <w:tcW w:w="670" w:type="dxa"/>
            <w:vAlign w:val="center"/>
          </w:tcPr>
          <w:p w14:paraId="5DE849A8" w14:textId="77777777" w:rsidR="007C64F8" w:rsidRPr="0083002B" w:rsidRDefault="007C64F8" w:rsidP="00B73EEA">
            <w:pPr>
              <w:numPr>
                <w:ilvl w:val="0"/>
                <w:numId w:val="1"/>
              </w:numPr>
              <w:contextualSpacing/>
              <w:jc w:val="center"/>
              <w:rPr>
                <w:rFonts w:eastAsia="Calibri"/>
                <w:b/>
                <w:bCs/>
                <w:i/>
                <w:iCs/>
                <w:sz w:val="24"/>
                <w:szCs w:val="24"/>
                <w:lang w:val="vi-VN"/>
              </w:rPr>
            </w:pPr>
          </w:p>
        </w:tc>
        <w:tc>
          <w:tcPr>
            <w:tcW w:w="2160" w:type="dxa"/>
          </w:tcPr>
          <w:p w14:paraId="335E91A5" w14:textId="77777777" w:rsidR="007C64F8" w:rsidRPr="0083002B" w:rsidRDefault="007C64F8" w:rsidP="00B73EEA">
            <w:pPr>
              <w:spacing w:line="259" w:lineRule="auto"/>
              <w:jc w:val="both"/>
              <w:rPr>
                <w:rFonts w:eastAsia="Calibri"/>
                <w:sz w:val="24"/>
                <w:szCs w:val="24"/>
                <w:lang w:val="vi-VN"/>
              </w:rPr>
            </w:pPr>
            <w:r w:rsidRPr="0083002B">
              <w:rPr>
                <w:rFonts w:eastAsia="Calibri"/>
                <w:sz w:val="24"/>
                <w:szCs w:val="24"/>
                <w:lang w:val="vi-VN"/>
              </w:rPr>
              <w:t>Khoản 2 Điều 2;  khoản 1 Điều 11 Luật Khiếu nại năm 2011</w:t>
            </w:r>
          </w:p>
          <w:p w14:paraId="4E0628BA" w14:textId="77777777" w:rsidR="007C64F8" w:rsidRPr="0083002B" w:rsidRDefault="007C64F8" w:rsidP="00B73EEA">
            <w:pPr>
              <w:spacing w:line="259" w:lineRule="auto"/>
              <w:jc w:val="both"/>
              <w:rPr>
                <w:rFonts w:eastAsia="Calibri"/>
                <w:sz w:val="24"/>
                <w:szCs w:val="24"/>
                <w:lang w:val="vi-VN"/>
              </w:rPr>
            </w:pPr>
          </w:p>
        </w:tc>
        <w:tc>
          <w:tcPr>
            <w:tcW w:w="2450" w:type="dxa"/>
          </w:tcPr>
          <w:p w14:paraId="5D5553D7" w14:textId="77777777" w:rsidR="007C64F8" w:rsidRPr="0083002B" w:rsidRDefault="007C64F8" w:rsidP="00B73EEA">
            <w:pPr>
              <w:spacing w:line="259" w:lineRule="auto"/>
              <w:jc w:val="both"/>
              <w:rPr>
                <w:rFonts w:eastAsia="Calibri"/>
                <w:sz w:val="24"/>
                <w:szCs w:val="24"/>
                <w:lang w:val="vi-VN"/>
              </w:rPr>
            </w:pPr>
            <w:r w:rsidRPr="0083002B">
              <w:rPr>
                <w:rFonts w:eastAsia="Calibri"/>
                <w:sz w:val="24"/>
                <w:szCs w:val="24"/>
                <w:lang w:val="vi-VN"/>
              </w:rPr>
              <w:t xml:space="preserve">Tại khoản 2 Điều 2 quy định chủ thể khiếu nại là công dân, cơ quan, tổ chức hoặc cán bộ, công chức. Tuy nhiên Điều 30 Hiến pháp năm 2013 quy định “mọi người” có quyền khiếu nại là chưa thống nhất về thẩm quyền, chủ thể Tại khoản 1 Điều 11 quy định các trường hợp khiếu nại không được thụ lý giải quyết: “Quyết định hành chính, hành vi hành </w:t>
            </w:r>
            <w:r w:rsidRPr="0083002B">
              <w:rPr>
                <w:rFonts w:eastAsia="Calibri"/>
                <w:sz w:val="24"/>
                <w:szCs w:val="24"/>
                <w:lang w:val="vi-VN"/>
              </w:rPr>
              <w:lastRenderedPageBreak/>
              <w:t xml:space="preserve">chính trong nội bộ cơ quan nhà nước để chỉ đạo, tổ chức thực hiện nhiệm vụ, công vụ; quyết định hành chính, hành vi hành chính trong chỉ đạo điều hành của cơ quan hành chính cấp trên với cơ quan hành chính cấp dưới;…”, cụm từ “Quyết định hành chính, hành vi hành chính trong nội bộ cơ quan…” không thống nhất với quy định tại khoản 6 Điều 3 Luật tố tụng hành chính “Quyết định hành chính, hành vi hành chính mang tính nội bộ của cơ quan…” nên gây khó khăn, vướng mắc trong việc xác định đối tượng khiếu nại và tiếp nhận giải quyết theo thẩm quyền để hạn chế tình trạng khiếu nại hành vi không thực hiện thụ lý đơn. Sửa cụm từ “Quyết định hành </w:t>
            </w:r>
            <w:r w:rsidRPr="0083002B">
              <w:rPr>
                <w:rFonts w:eastAsia="Calibri"/>
                <w:sz w:val="24"/>
                <w:szCs w:val="24"/>
                <w:lang w:val="vi-VN"/>
              </w:rPr>
              <w:lastRenderedPageBreak/>
              <w:t>chính, hành vi hành chính trong nội bộ cơ quan…” thống nhất với Luật tố tụng hành chính “Quyết định hành chính, hành vi hành chính mang tính nội bộ của cơ quan…”.</w:t>
            </w:r>
          </w:p>
        </w:tc>
        <w:tc>
          <w:tcPr>
            <w:tcW w:w="1934" w:type="dxa"/>
          </w:tcPr>
          <w:p w14:paraId="2D7E4B01" w14:textId="77777777" w:rsidR="007C64F8" w:rsidRPr="0083002B" w:rsidRDefault="007C64F8" w:rsidP="00B73EEA">
            <w:pPr>
              <w:spacing w:line="259" w:lineRule="auto"/>
              <w:jc w:val="both"/>
              <w:rPr>
                <w:rFonts w:eastAsia="Calibri"/>
                <w:sz w:val="24"/>
                <w:szCs w:val="24"/>
                <w:lang w:val="vi-VN"/>
              </w:rPr>
            </w:pPr>
            <w:r w:rsidRPr="0083002B">
              <w:rPr>
                <w:rFonts w:eastAsia="Calibri"/>
                <w:b/>
                <w:bCs/>
                <w:sz w:val="24"/>
                <w:szCs w:val="24"/>
                <w:lang w:val="vi-VN"/>
              </w:rPr>
              <w:lastRenderedPageBreak/>
              <w:t xml:space="preserve">C. </w:t>
            </w:r>
            <w:r w:rsidRPr="0083002B">
              <w:rPr>
                <w:rFonts w:eastAsia="Calibri"/>
                <w:sz w:val="24"/>
                <w:szCs w:val="24"/>
                <w:lang w:val="vi-VN"/>
              </w:rPr>
              <w:t>Sửa đổi, bổ sung, thay thế, ban hà</w:t>
            </w:r>
            <w:bookmarkStart w:id="0" w:name="_GoBack"/>
            <w:bookmarkEnd w:id="0"/>
            <w:r w:rsidRPr="0083002B">
              <w:rPr>
                <w:rFonts w:eastAsia="Calibri"/>
                <w:sz w:val="24"/>
                <w:szCs w:val="24"/>
                <w:lang w:val="vi-VN"/>
              </w:rPr>
              <w:t>nh VBQPPL (theo trình tự, thủ tục rút gọn ban hành VBQPPL của Luật Ban hành VBQPPL)</w:t>
            </w:r>
          </w:p>
        </w:tc>
        <w:tc>
          <w:tcPr>
            <w:tcW w:w="1447" w:type="dxa"/>
          </w:tcPr>
          <w:p w14:paraId="61102E6B" w14:textId="77777777" w:rsidR="007C64F8" w:rsidRPr="0083002B" w:rsidRDefault="007C64F8" w:rsidP="00B73EEA">
            <w:pPr>
              <w:spacing w:line="259" w:lineRule="auto"/>
              <w:jc w:val="both"/>
              <w:rPr>
                <w:rFonts w:eastAsia="Calibri"/>
                <w:sz w:val="24"/>
                <w:szCs w:val="24"/>
                <w:lang w:val="vi-VN"/>
              </w:rPr>
            </w:pPr>
            <w:r w:rsidRPr="0083002B">
              <w:rPr>
                <w:rFonts w:eastAsia="Calibri"/>
                <w:sz w:val="24"/>
                <w:szCs w:val="24"/>
                <w:lang w:val="vi-VN"/>
              </w:rPr>
              <w:t>Sở Tư pháp tỉnh Quảng Ngãi</w:t>
            </w:r>
          </w:p>
        </w:tc>
        <w:tc>
          <w:tcPr>
            <w:tcW w:w="2567" w:type="dxa"/>
          </w:tcPr>
          <w:p w14:paraId="44D19C88" w14:textId="77777777" w:rsidR="007C64F8" w:rsidRPr="0083002B" w:rsidRDefault="007C64F8" w:rsidP="00B73EEA">
            <w:pPr>
              <w:spacing w:line="259" w:lineRule="auto"/>
              <w:jc w:val="both"/>
              <w:rPr>
                <w:rFonts w:eastAsia="Calibri"/>
                <w:sz w:val="24"/>
                <w:szCs w:val="24"/>
                <w:lang w:val="vi-VN"/>
              </w:rPr>
            </w:pPr>
            <w:r w:rsidRPr="0083002B">
              <w:rPr>
                <w:rFonts w:eastAsia="Calibri"/>
                <w:sz w:val="24"/>
                <w:szCs w:val="24"/>
                <w:lang w:val="vi-VN"/>
              </w:rPr>
              <w:t>Thanh tra Chính phủ nhất trí với nội dung được phản ánh và phương án xử lý được đề xuất.</w:t>
            </w:r>
          </w:p>
        </w:tc>
        <w:tc>
          <w:tcPr>
            <w:tcW w:w="2942" w:type="dxa"/>
          </w:tcPr>
          <w:p w14:paraId="386EE932" w14:textId="0F13BCB0" w:rsidR="007C64F8" w:rsidRPr="0083002B" w:rsidRDefault="00BE5465" w:rsidP="00B73EEA">
            <w:pPr>
              <w:spacing w:line="259" w:lineRule="auto"/>
              <w:jc w:val="both"/>
              <w:rPr>
                <w:rFonts w:eastAsia="Calibri"/>
                <w:sz w:val="24"/>
                <w:szCs w:val="24"/>
                <w:lang w:val="vi-VN"/>
              </w:rPr>
            </w:pPr>
            <w:r w:rsidRPr="0083002B">
              <w:rPr>
                <w:rFonts w:eastAsia="Calibri"/>
                <w:b/>
                <w:bCs/>
                <w:sz w:val="24"/>
                <w:szCs w:val="24"/>
                <w:lang w:val="vi-VN"/>
              </w:rPr>
              <w:t>Đã xử lý</w:t>
            </w:r>
            <w:r w:rsidRPr="0083002B">
              <w:rPr>
                <w:rFonts w:eastAsia="Calibri"/>
                <w:sz w:val="24"/>
                <w:szCs w:val="24"/>
                <w:lang w:val="vi-VN"/>
              </w:rPr>
              <w:t xml:space="preserve"> tại </w:t>
            </w:r>
            <w:r w:rsidR="0059287F" w:rsidRPr="0083002B">
              <w:rPr>
                <w:rFonts w:eastAsia="Calibri"/>
                <w:sz w:val="24"/>
                <w:szCs w:val="24"/>
                <w:lang w:val="vi-VN"/>
              </w:rPr>
              <w:t xml:space="preserve">Khoản 1 Điều 2 của </w:t>
            </w:r>
            <w:r w:rsidR="007C64F8" w:rsidRPr="0083002B">
              <w:rPr>
                <w:rFonts w:eastAsia="Calibri"/>
                <w:sz w:val="24"/>
                <w:szCs w:val="24"/>
                <w:lang w:val="vi-VN"/>
              </w:rPr>
              <w:t xml:space="preserve">Luật sửa đổi, bổ sung một số điều của Luật Tiếp công dân, Luật Khiếu nại, Luật Tố cáo </w:t>
            </w:r>
            <w:r w:rsidRPr="0083002B">
              <w:rPr>
                <w:rFonts w:eastAsia="Calibri"/>
                <w:sz w:val="24"/>
                <w:szCs w:val="24"/>
                <w:lang w:val="vi-VN"/>
              </w:rPr>
              <w:t>(được Quốc khóa 15 thông qua tại Kỳ họp thứ 10 ngày 10/12/2025)</w:t>
            </w:r>
          </w:p>
        </w:tc>
      </w:tr>
      <w:tr w:rsidR="007C64F8" w:rsidRPr="0083002B" w14:paraId="3A99D800" w14:textId="77777777" w:rsidTr="00B17EE3">
        <w:tc>
          <w:tcPr>
            <w:tcW w:w="670" w:type="dxa"/>
            <w:vAlign w:val="center"/>
          </w:tcPr>
          <w:p w14:paraId="7BC9617E" w14:textId="77777777" w:rsidR="007C64F8" w:rsidRPr="0083002B" w:rsidRDefault="007C64F8" w:rsidP="00B73EEA">
            <w:pPr>
              <w:numPr>
                <w:ilvl w:val="0"/>
                <w:numId w:val="1"/>
              </w:numPr>
              <w:contextualSpacing/>
              <w:jc w:val="center"/>
              <w:rPr>
                <w:rFonts w:eastAsia="Calibri"/>
                <w:b/>
                <w:bCs/>
                <w:i/>
                <w:iCs/>
                <w:sz w:val="24"/>
                <w:szCs w:val="24"/>
                <w:lang w:val="vi-VN"/>
              </w:rPr>
            </w:pPr>
          </w:p>
        </w:tc>
        <w:tc>
          <w:tcPr>
            <w:tcW w:w="2160" w:type="dxa"/>
          </w:tcPr>
          <w:p w14:paraId="77AE1D19" w14:textId="77777777" w:rsidR="007C64F8" w:rsidRPr="0083002B" w:rsidRDefault="007C64F8" w:rsidP="00B73EEA">
            <w:pPr>
              <w:spacing w:line="259" w:lineRule="auto"/>
              <w:jc w:val="both"/>
              <w:rPr>
                <w:rFonts w:eastAsia="Calibri"/>
                <w:sz w:val="24"/>
                <w:szCs w:val="24"/>
                <w:lang w:val="vi-VN"/>
              </w:rPr>
            </w:pPr>
            <w:r w:rsidRPr="0083002B">
              <w:rPr>
                <w:rFonts w:eastAsia="Calibri"/>
                <w:sz w:val="24"/>
                <w:szCs w:val="24"/>
                <w:lang w:val="vi-VN"/>
              </w:rPr>
              <w:t>Luật Khiếu nại năm 2011</w:t>
            </w:r>
          </w:p>
        </w:tc>
        <w:tc>
          <w:tcPr>
            <w:tcW w:w="2450" w:type="dxa"/>
          </w:tcPr>
          <w:p w14:paraId="6D9F51DF" w14:textId="77777777" w:rsidR="007C64F8" w:rsidRPr="0083002B" w:rsidRDefault="007C64F8" w:rsidP="00B73EEA">
            <w:pPr>
              <w:spacing w:line="259" w:lineRule="auto"/>
              <w:jc w:val="both"/>
              <w:rPr>
                <w:rFonts w:eastAsia="Calibri"/>
                <w:sz w:val="24"/>
                <w:szCs w:val="24"/>
                <w:lang w:val="vi-VN"/>
              </w:rPr>
            </w:pPr>
            <w:r w:rsidRPr="0083002B">
              <w:rPr>
                <w:rFonts w:eastAsia="Calibri"/>
                <w:sz w:val="24"/>
                <w:szCs w:val="24"/>
                <w:lang w:val="vi-VN"/>
              </w:rPr>
              <w:t>Quy định hiện hành sử dụng thuật ngữ “công dân” làm giới hạn chủ thể khiếu nại, không phản ánh đầy đủ các quy định của Hiến pháp năm 2013, do đó cần sửa đổi để đảm bảo tính thống nhất với Hiến pháp năm 2013 và các văn bản pháp luật khác có liên quan. Do đó cần sửa đổi quy định về chủ thể thực hiện quyền khiếu nại từ “công dân” thành “cá nhân” cho phù hợp với quy định của Hiến pháp năm 2013, đồng thời bảo đảm tính thống nhất với các văn bản quy phạm pháp luật khác.</w:t>
            </w:r>
          </w:p>
        </w:tc>
        <w:tc>
          <w:tcPr>
            <w:tcW w:w="1934" w:type="dxa"/>
          </w:tcPr>
          <w:p w14:paraId="1414D9B7" w14:textId="77777777" w:rsidR="007C64F8" w:rsidRPr="0083002B" w:rsidRDefault="007C64F8" w:rsidP="00B73EEA">
            <w:pPr>
              <w:spacing w:line="259" w:lineRule="auto"/>
              <w:jc w:val="both"/>
              <w:rPr>
                <w:rFonts w:eastAsia="Calibri"/>
                <w:b/>
                <w:bCs/>
                <w:sz w:val="24"/>
                <w:szCs w:val="24"/>
                <w:lang w:val="vi-VN"/>
              </w:rPr>
            </w:pPr>
            <w:r w:rsidRPr="0083002B">
              <w:rPr>
                <w:rFonts w:eastAsia="Calibri"/>
                <w:b/>
                <w:bCs/>
                <w:sz w:val="24"/>
                <w:szCs w:val="24"/>
                <w:lang w:val="vi-VN"/>
              </w:rPr>
              <w:t xml:space="preserve">C. </w:t>
            </w:r>
            <w:r w:rsidRPr="0083002B">
              <w:rPr>
                <w:rFonts w:eastAsia="Calibri"/>
                <w:sz w:val="24"/>
                <w:szCs w:val="24"/>
                <w:lang w:val="vi-VN"/>
              </w:rPr>
              <w:t>Sửa đổi, bổ sung, thay thế, ban hành mới VBQPPL (theo trình tự, thủ tục rút gọn ban hành VBQPPL của Luật Ban hành VBQPPL)</w:t>
            </w:r>
          </w:p>
        </w:tc>
        <w:tc>
          <w:tcPr>
            <w:tcW w:w="1447" w:type="dxa"/>
          </w:tcPr>
          <w:p w14:paraId="7EF10523" w14:textId="77777777" w:rsidR="007C64F8" w:rsidRPr="0083002B" w:rsidRDefault="007C64F8" w:rsidP="00B73EEA">
            <w:pPr>
              <w:spacing w:line="259" w:lineRule="auto"/>
              <w:jc w:val="both"/>
              <w:rPr>
                <w:rFonts w:eastAsia="Calibri"/>
                <w:sz w:val="24"/>
                <w:szCs w:val="24"/>
                <w:lang w:val="vi-VN"/>
              </w:rPr>
            </w:pPr>
            <w:r w:rsidRPr="0083002B">
              <w:rPr>
                <w:rFonts w:eastAsia="Calibri"/>
                <w:sz w:val="24"/>
                <w:szCs w:val="24"/>
                <w:lang w:val="vi-VN"/>
              </w:rPr>
              <w:t>Thanh tra Chính phủ</w:t>
            </w:r>
          </w:p>
        </w:tc>
        <w:tc>
          <w:tcPr>
            <w:tcW w:w="2567" w:type="dxa"/>
          </w:tcPr>
          <w:p w14:paraId="7F5F10BD" w14:textId="77777777" w:rsidR="007C64F8" w:rsidRPr="0083002B" w:rsidRDefault="007C64F8" w:rsidP="00B73EEA">
            <w:pPr>
              <w:spacing w:line="259" w:lineRule="auto"/>
              <w:jc w:val="both"/>
              <w:rPr>
                <w:rFonts w:eastAsia="Calibri"/>
                <w:sz w:val="24"/>
                <w:szCs w:val="24"/>
                <w:lang w:val="vi-VN"/>
              </w:rPr>
            </w:pPr>
          </w:p>
        </w:tc>
        <w:tc>
          <w:tcPr>
            <w:tcW w:w="2942" w:type="dxa"/>
          </w:tcPr>
          <w:p w14:paraId="7D121AC4" w14:textId="074B67CB" w:rsidR="007C64F8" w:rsidRPr="0083002B" w:rsidRDefault="00523317" w:rsidP="00B73EEA">
            <w:pPr>
              <w:spacing w:line="259" w:lineRule="auto"/>
              <w:jc w:val="both"/>
              <w:rPr>
                <w:rFonts w:eastAsia="Calibri"/>
                <w:sz w:val="24"/>
                <w:szCs w:val="24"/>
                <w:lang w:val="vi-VN"/>
              </w:rPr>
            </w:pPr>
            <w:r w:rsidRPr="0083002B">
              <w:rPr>
                <w:rFonts w:eastAsia="Calibri"/>
                <w:b/>
                <w:bCs/>
                <w:sz w:val="24"/>
                <w:szCs w:val="24"/>
                <w:lang w:val="vi-VN"/>
              </w:rPr>
              <w:t xml:space="preserve">Đã xử lý </w:t>
            </w:r>
            <w:r w:rsidRPr="0083002B">
              <w:rPr>
                <w:rFonts w:eastAsia="Calibri"/>
                <w:sz w:val="24"/>
                <w:szCs w:val="24"/>
                <w:lang w:val="vi-VN"/>
              </w:rPr>
              <w:t>tại</w:t>
            </w:r>
            <w:r w:rsidR="0059287F" w:rsidRPr="0083002B">
              <w:rPr>
                <w:rFonts w:eastAsia="Calibri"/>
                <w:sz w:val="24"/>
                <w:szCs w:val="24"/>
                <w:lang w:val="vi-VN"/>
              </w:rPr>
              <w:t xml:space="preserve"> Khoản 1 Điều 2</w:t>
            </w:r>
            <w:r w:rsidRPr="0083002B">
              <w:rPr>
                <w:rFonts w:eastAsia="Calibri"/>
                <w:sz w:val="24"/>
                <w:szCs w:val="24"/>
                <w:lang w:val="vi-VN"/>
              </w:rPr>
              <w:t xml:space="preserve"> Luật sửa đổi, bổ sung một số điều của Luật Tiếp công dân, Luật Khiếu nại, Luật Tố cáo (được Quốc khóa 15 thông qua tại Kỳ họp thứ 10 ngày 10/12/2025)</w:t>
            </w:r>
          </w:p>
        </w:tc>
      </w:tr>
      <w:tr w:rsidR="007C64F8" w:rsidRPr="0083002B" w14:paraId="219DE1F7" w14:textId="77777777" w:rsidTr="00B17EE3">
        <w:tc>
          <w:tcPr>
            <w:tcW w:w="670" w:type="dxa"/>
            <w:vAlign w:val="center"/>
          </w:tcPr>
          <w:p w14:paraId="3B004926" w14:textId="77777777" w:rsidR="007C64F8" w:rsidRPr="0083002B" w:rsidRDefault="007C64F8" w:rsidP="00B73EEA">
            <w:pPr>
              <w:numPr>
                <w:ilvl w:val="0"/>
                <w:numId w:val="1"/>
              </w:numPr>
              <w:contextualSpacing/>
              <w:jc w:val="center"/>
              <w:rPr>
                <w:rFonts w:eastAsia="Calibri"/>
                <w:b/>
                <w:bCs/>
                <w:i/>
                <w:iCs/>
                <w:sz w:val="24"/>
                <w:szCs w:val="24"/>
                <w:lang w:val="vi-VN"/>
              </w:rPr>
            </w:pPr>
          </w:p>
        </w:tc>
        <w:tc>
          <w:tcPr>
            <w:tcW w:w="2160" w:type="dxa"/>
          </w:tcPr>
          <w:p w14:paraId="150305C8" w14:textId="77777777" w:rsidR="007C64F8" w:rsidRPr="0083002B" w:rsidRDefault="007C64F8" w:rsidP="00B73EEA">
            <w:pPr>
              <w:spacing w:line="259" w:lineRule="auto"/>
              <w:jc w:val="both"/>
              <w:rPr>
                <w:rFonts w:eastAsia="Calibri"/>
                <w:sz w:val="24"/>
                <w:szCs w:val="24"/>
                <w:lang w:val="vi-VN"/>
              </w:rPr>
            </w:pPr>
            <w:r w:rsidRPr="0083002B">
              <w:rPr>
                <w:sz w:val="24"/>
                <w:szCs w:val="24"/>
                <w:lang w:val="vi-VN"/>
              </w:rPr>
              <w:t>Điểm b khoản 2 Điều 26 Luật Tiếp công dân 2013</w:t>
            </w:r>
          </w:p>
        </w:tc>
        <w:tc>
          <w:tcPr>
            <w:tcW w:w="2450" w:type="dxa"/>
          </w:tcPr>
          <w:p w14:paraId="30018E5E" w14:textId="77777777" w:rsidR="007C64F8" w:rsidRPr="0083002B" w:rsidRDefault="007C64F8" w:rsidP="00B73EEA">
            <w:pPr>
              <w:spacing w:line="259" w:lineRule="auto"/>
              <w:jc w:val="both"/>
              <w:rPr>
                <w:rFonts w:eastAsia="Calibri"/>
                <w:sz w:val="24"/>
                <w:szCs w:val="24"/>
                <w:lang w:val="vi-VN"/>
              </w:rPr>
            </w:pPr>
            <w:r w:rsidRPr="0083002B">
              <w:rPr>
                <w:sz w:val="24"/>
                <w:szCs w:val="24"/>
                <w:lang w:val="vi-VN"/>
              </w:rPr>
              <w:t xml:space="preserve">Điểm b khoản 2 Điều 26 Luật Tiếp công dân 2013 quy định về phân loại, chuyển nội dung: “b) Trường hợp kiến nghị, phản ánh không thuộc thẩm quyền giải quyết của cơ quan, tổ chức, đơn vị mình thì người tiếp công dân chuyển đơn hoặc chuyển bản ghi lại nội dung trình bày của người kiến nghị, phản ánh đến cơ quan, tổ chức, đơn vị có thẩm quyền để nghiên cứu, tiếp thu, xem xét, giải quyết”. Quy định này hiện chưa thống nhất với các quy định: Khoản 1 Điều 30 Luật Tiếp công dân 2013 quy định về trường hợp xử lý trường hợp nhiều người cùng khiếu nại về một nội dung “nếu vụ việc không thuộc thẩm quyền giải quyết của cơ quan, tổ chức, đơn vị mình thì chuyển </w:t>
            </w:r>
            <w:r w:rsidRPr="0083002B">
              <w:rPr>
                <w:sz w:val="24"/>
                <w:szCs w:val="24"/>
                <w:lang w:val="vi-VN"/>
              </w:rPr>
              <w:lastRenderedPageBreak/>
              <w:t>đơn hoặc hướng dẫn người khiếu nại, tố cáo, kiến nghị, phản ánh đến cơ quan có thẩm quyền giải quyết”, chưa thống nhất với quy định về hướng dẫn đối với đơn khiếu nại không thuộc thẩm quyền tại Điều 8 Thông tư 05/2021/TT-TTCP, chưa thống nhất với quy định về chuyển đơn đối với đơn tố cáo không thuộc thẩm quyền tại Điều 14 Thông tư 05/2021/TT-TTCP.</w:t>
            </w:r>
          </w:p>
        </w:tc>
        <w:tc>
          <w:tcPr>
            <w:tcW w:w="1934" w:type="dxa"/>
          </w:tcPr>
          <w:p w14:paraId="46BF7547" w14:textId="77777777" w:rsidR="007C64F8" w:rsidRPr="0083002B" w:rsidRDefault="007C64F8" w:rsidP="00B73EEA">
            <w:pPr>
              <w:spacing w:line="259" w:lineRule="auto"/>
              <w:jc w:val="both"/>
              <w:rPr>
                <w:rFonts w:eastAsia="Calibri"/>
                <w:b/>
                <w:bCs/>
                <w:sz w:val="24"/>
                <w:szCs w:val="24"/>
                <w:lang w:val="vi-VN"/>
              </w:rPr>
            </w:pPr>
            <w:r w:rsidRPr="0083002B">
              <w:rPr>
                <w:b/>
                <w:bCs/>
                <w:sz w:val="24"/>
                <w:szCs w:val="24"/>
                <w:lang w:val="vi-VN"/>
              </w:rPr>
              <w:lastRenderedPageBreak/>
              <w:t>D.</w:t>
            </w:r>
            <w:r w:rsidRPr="0083002B">
              <w:rPr>
                <w:sz w:val="24"/>
                <w:szCs w:val="24"/>
                <w:lang w:val="vi-VN"/>
              </w:rPr>
              <w:t xml:space="preserve"> Ban hành nghị quyết QPPL của Chính phủ, nghị quyết của UBTVQH theo quy định tại điểm c khoản 1 Điều 4 Nghị quyết số 206/2025/QH15</w:t>
            </w:r>
          </w:p>
        </w:tc>
        <w:tc>
          <w:tcPr>
            <w:tcW w:w="1447" w:type="dxa"/>
          </w:tcPr>
          <w:p w14:paraId="3A03096C" w14:textId="77777777" w:rsidR="007C64F8" w:rsidRPr="0083002B" w:rsidRDefault="007C64F8" w:rsidP="00B73EEA">
            <w:pPr>
              <w:spacing w:line="259" w:lineRule="auto"/>
              <w:jc w:val="both"/>
              <w:rPr>
                <w:rFonts w:eastAsia="Calibri"/>
                <w:sz w:val="24"/>
                <w:szCs w:val="24"/>
                <w:lang w:val="vi-VN"/>
              </w:rPr>
            </w:pPr>
            <w:r w:rsidRPr="0083002B">
              <w:rPr>
                <w:sz w:val="24"/>
                <w:szCs w:val="24"/>
                <w:lang w:val="vi-VN"/>
              </w:rPr>
              <w:t>Sở Tư pháp thành phố Hồ Chí Minh</w:t>
            </w:r>
          </w:p>
        </w:tc>
        <w:tc>
          <w:tcPr>
            <w:tcW w:w="2567" w:type="dxa"/>
          </w:tcPr>
          <w:p w14:paraId="218D4BE7" w14:textId="77777777" w:rsidR="007C64F8" w:rsidRPr="0083002B" w:rsidRDefault="007C64F8" w:rsidP="00B73EEA">
            <w:pPr>
              <w:spacing w:line="259" w:lineRule="auto"/>
              <w:jc w:val="both"/>
              <w:rPr>
                <w:rFonts w:eastAsia="Calibri"/>
                <w:sz w:val="24"/>
                <w:szCs w:val="24"/>
                <w:lang w:val="vi-VN"/>
              </w:rPr>
            </w:pPr>
            <w:r w:rsidRPr="0083002B">
              <w:rPr>
                <w:rFonts w:eastAsia="Calibri"/>
                <w:sz w:val="24"/>
                <w:szCs w:val="24"/>
                <w:lang w:val="vi-VN"/>
              </w:rPr>
              <w:t>Thanh tra Chính phủ nhất trí với nội dung được phản ánh và đề xuất thay đổi phương án xử lý thành phương án C.  Sửa đổi, bổ sung, thay thế, ban hành mới VBQPPL (theo trình tự, thủ tục rút gọn ban hành VBQPPL của Luật Ban hành VBQPPL).</w:t>
            </w:r>
          </w:p>
        </w:tc>
        <w:tc>
          <w:tcPr>
            <w:tcW w:w="2942" w:type="dxa"/>
          </w:tcPr>
          <w:p w14:paraId="44A5A453" w14:textId="5CA23E35" w:rsidR="007C64F8" w:rsidRPr="0083002B" w:rsidRDefault="00523317" w:rsidP="00B73EEA">
            <w:pPr>
              <w:spacing w:line="259" w:lineRule="auto"/>
              <w:jc w:val="both"/>
              <w:rPr>
                <w:rFonts w:eastAsia="Calibri"/>
                <w:sz w:val="24"/>
                <w:szCs w:val="24"/>
                <w:lang w:val="vi-VN"/>
              </w:rPr>
            </w:pPr>
            <w:r w:rsidRPr="0083002B">
              <w:rPr>
                <w:rFonts w:eastAsia="Calibri"/>
                <w:b/>
                <w:bCs/>
                <w:sz w:val="24"/>
                <w:szCs w:val="24"/>
                <w:lang w:val="vi-VN"/>
              </w:rPr>
              <w:t>Đã xử lý</w:t>
            </w:r>
            <w:r w:rsidRPr="0083002B">
              <w:rPr>
                <w:rFonts w:eastAsia="Calibri"/>
                <w:sz w:val="24"/>
                <w:szCs w:val="24"/>
                <w:lang w:val="vi-VN"/>
              </w:rPr>
              <w:t xml:space="preserve"> tại </w:t>
            </w:r>
            <w:r w:rsidR="006671FF" w:rsidRPr="0083002B">
              <w:rPr>
                <w:rFonts w:eastAsia="Calibri"/>
                <w:sz w:val="24"/>
                <w:szCs w:val="24"/>
                <w:lang w:val="vi-VN"/>
              </w:rPr>
              <w:t xml:space="preserve">Khoản 11 Điều 1 </w:t>
            </w:r>
            <w:r w:rsidRPr="0083002B">
              <w:rPr>
                <w:rFonts w:eastAsia="Calibri"/>
                <w:sz w:val="24"/>
                <w:szCs w:val="24"/>
                <w:lang w:val="vi-VN"/>
              </w:rPr>
              <w:t>Luật sửa đổi, bổ sung một số điều của Luật Tiếp công dân, Luật Khiếu nại, Luật Tố cáo (được Quốc khóa 15 thông qua tại Kỳ họp thứ 10 ngày 10/12/2025)</w:t>
            </w:r>
          </w:p>
        </w:tc>
      </w:tr>
      <w:tr w:rsidR="007C64F8" w:rsidRPr="0083002B" w14:paraId="402B4487" w14:textId="77777777" w:rsidTr="00B17EE3">
        <w:tc>
          <w:tcPr>
            <w:tcW w:w="670" w:type="dxa"/>
            <w:vAlign w:val="center"/>
          </w:tcPr>
          <w:p w14:paraId="40F28417" w14:textId="77777777" w:rsidR="007C64F8" w:rsidRPr="0083002B" w:rsidRDefault="007C64F8" w:rsidP="00B73EEA">
            <w:pPr>
              <w:numPr>
                <w:ilvl w:val="0"/>
                <w:numId w:val="1"/>
              </w:numPr>
              <w:contextualSpacing/>
              <w:jc w:val="center"/>
              <w:rPr>
                <w:rFonts w:eastAsia="Calibri"/>
                <w:b/>
                <w:bCs/>
                <w:i/>
                <w:iCs/>
                <w:sz w:val="24"/>
                <w:szCs w:val="24"/>
                <w:lang w:val="vi-VN"/>
              </w:rPr>
            </w:pPr>
          </w:p>
        </w:tc>
        <w:tc>
          <w:tcPr>
            <w:tcW w:w="2160" w:type="dxa"/>
          </w:tcPr>
          <w:p w14:paraId="32C24B83" w14:textId="77777777" w:rsidR="007C64F8" w:rsidRPr="0083002B" w:rsidRDefault="007C64F8" w:rsidP="00B73EEA">
            <w:pPr>
              <w:spacing w:line="259" w:lineRule="auto"/>
              <w:jc w:val="both"/>
              <w:rPr>
                <w:rFonts w:eastAsia="Calibri"/>
                <w:sz w:val="24"/>
                <w:szCs w:val="24"/>
                <w:lang w:val="vi-VN"/>
              </w:rPr>
            </w:pPr>
            <w:r w:rsidRPr="0083002B">
              <w:rPr>
                <w:rFonts w:eastAsia="Calibri"/>
                <w:sz w:val="24"/>
                <w:szCs w:val="24"/>
                <w:lang w:val="vi-VN"/>
              </w:rPr>
              <w:t>Điều 28 Luật Tiếp công dân năm 2013</w:t>
            </w:r>
          </w:p>
        </w:tc>
        <w:tc>
          <w:tcPr>
            <w:tcW w:w="2450" w:type="dxa"/>
          </w:tcPr>
          <w:p w14:paraId="62D79C4E" w14:textId="77777777" w:rsidR="007C64F8" w:rsidRPr="0083002B" w:rsidRDefault="007C64F8" w:rsidP="00B73EEA">
            <w:pPr>
              <w:spacing w:line="259" w:lineRule="auto"/>
              <w:jc w:val="both"/>
              <w:rPr>
                <w:rFonts w:eastAsia="Calibri"/>
                <w:sz w:val="24"/>
                <w:szCs w:val="24"/>
                <w:lang w:val="vi-VN"/>
              </w:rPr>
            </w:pPr>
            <w:r w:rsidRPr="0083002B">
              <w:rPr>
                <w:rFonts w:eastAsia="Calibri"/>
                <w:sz w:val="24"/>
                <w:szCs w:val="24"/>
                <w:lang w:val="vi-VN"/>
              </w:rPr>
              <w:t xml:space="preserve">Điều 28 Luật Tiếp công dân 2013 quy định </w:t>
            </w:r>
            <w:bookmarkStart w:id="1" w:name="_Hlk204078539"/>
            <w:r w:rsidRPr="0083002B">
              <w:rPr>
                <w:rFonts w:eastAsia="Calibri"/>
                <w:sz w:val="24"/>
                <w:szCs w:val="24"/>
                <w:lang w:val="vi-VN"/>
              </w:rPr>
              <w:t xml:space="preserve">thông báo kết quả xử lý khiếu nại, tố cáo, kiến nghị, phản ánh, </w:t>
            </w:r>
            <w:bookmarkEnd w:id="1"/>
            <w:r w:rsidRPr="0083002B">
              <w:rPr>
                <w:rFonts w:eastAsia="Calibri"/>
                <w:sz w:val="24"/>
                <w:szCs w:val="24"/>
                <w:lang w:val="vi-VN"/>
              </w:rPr>
              <w:t xml:space="preserve">theo đó, trong thời hạn 10 ngày làm việc, kể từ ngày tiếp nhận nội dung khiếu nại, tố cáo, kiến nghị, phản ánh, người tiếp công dân có trách nhiệm trả lời trực tiếp hoặc thông báo bằng văn bản đến người đã </w:t>
            </w:r>
            <w:r w:rsidRPr="0083002B">
              <w:rPr>
                <w:rFonts w:eastAsia="Calibri"/>
                <w:sz w:val="24"/>
                <w:szCs w:val="24"/>
                <w:lang w:val="vi-VN"/>
              </w:rPr>
              <w:lastRenderedPageBreak/>
              <w:t>đến khiếu nại, tố cáo, kiến nghị, phản ánh về một trong các nội dung sau đây: Khiếu nại, tố cáo, kiến nghị, phản ánh đã được thụ lý để giải quyết… Quy định này hiện chưa thống nhất với các quy định: Điều 27 Luật Khiếu nại năm 2011 quy định thời hạn thụ lý là 10 ngày (không phải ngày làm việc); Điều 24 Luật tố cáo năm 2018 quy định trong thời hạn 07 ngày làm việc kể từ ngày nhận được tố cáo.</w:t>
            </w:r>
          </w:p>
        </w:tc>
        <w:tc>
          <w:tcPr>
            <w:tcW w:w="1934" w:type="dxa"/>
          </w:tcPr>
          <w:p w14:paraId="049453A0" w14:textId="77777777" w:rsidR="007C64F8" w:rsidRPr="0083002B" w:rsidRDefault="007C64F8" w:rsidP="00B73EEA">
            <w:pPr>
              <w:spacing w:line="259" w:lineRule="auto"/>
              <w:jc w:val="both"/>
              <w:rPr>
                <w:rFonts w:eastAsia="Calibri"/>
                <w:b/>
                <w:bCs/>
                <w:sz w:val="24"/>
                <w:szCs w:val="24"/>
                <w:lang w:val="vi-VN"/>
              </w:rPr>
            </w:pPr>
            <w:r w:rsidRPr="0083002B">
              <w:rPr>
                <w:rFonts w:eastAsia="Calibri"/>
                <w:b/>
                <w:bCs/>
                <w:sz w:val="24"/>
                <w:szCs w:val="24"/>
                <w:lang w:val="vi-VN"/>
              </w:rPr>
              <w:lastRenderedPageBreak/>
              <w:t>D.</w:t>
            </w:r>
            <w:r w:rsidRPr="0083002B">
              <w:rPr>
                <w:rFonts w:eastAsia="Calibri"/>
                <w:sz w:val="24"/>
                <w:szCs w:val="24"/>
                <w:lang w:val="vi-VN"/>
              </w:rPr>
              <w:t xml:space="preserve"> Ban hành nghị quyết QPPL của Chính phủ, nghị quyết của UBTVQH theo quy định tại điểm c khoản 1 Điều 4 Nghị quyết số 206/2025/QH15</w:t>
            </w:r>
          </w:p>
        </w:tc>
        <w:tc>
          <w:tcPr>
            <w:tcW w:w="1447" w:type="dxa"/>
          </w:tcPr>
          <w:p w14:paraId="4958DB32" w14:textId="77777777" w:rsidR="007C64F8" w:rsidRPr="0083002B" w:rsidRDefault="007C64F8" w:rsidP="00B73EEA">
            <w:pPr>
              <w:spacing w:line="259" w:lineRule="auto"/>
              <w:jc w:val="both"/>
              <w:rPr>
                <w:rFonts w:eastAsia="Calibri"/>
                <w:sz w:val="24"/>
                <w:szCs w:val="24"/>
                <w:lang w:val="vi-VN"/>
              </w:rPr>
            </w:pPr>
            <w:r w:rsidRPr="0083002B">
              <w:rPr>
                <w:rFonts w:eastAsia="Calibri"/>
                <w:sz w:val="24"/>
                <w:szCs w:val="24"/>
                <w:lang w:val="vi-VN"/>
              </w:rPr>
              <w:t>Sở Tư pháp thành phố Hồ Chí Minh</w:t>
            </w:r>
          </w:p>
        </w:tc>
        <w:tc>
          <w:tcPr>
            <w:tcW w:w="2567" w:type="dxa"/>
          </w:tcPr>
          <w:p w14:paraId="70DDDE3C" w14:textId="77777777" w:rsidR="007C64F8" w:rsidRPr="0083002B" w:rsidRDefault="007C64F8" w:rsidP="00B73EEA">
            <w:pPr>
              <w:spacing w:line="259" w:lineRule="auto"/>
              <w:jc w:val="both"/>
              <w:rPr>
                <w:rFonts w:eastAsia="Calibri"/>
                <w:sz w:val="24"/>
                <w:szCs w:val="24"/>
                <w:lang w:val="vi-VN"/>
              </w:rPr>
            </w:pPr>
            <w:r w:rsidRPr="0083002B">
              <w:rPr>
                <w:rFonts w:eastAsia="Calibri"/>
                <w:sz w:val="24"/>
                <w:szCs w:val="24"/>
                <w:lang w:val="vi-VN"/>
              </w:rPr>
              <w:t xml:space="preserve">Thanh tra Chính phủ nhất trí với nội dung được phản ánh và đề xuất phương án xử lý </w:t>
            </w:r>
            <w:r w:rsidRPr="0083002B">
              <w:rPr>
                <w:b/>
                <w:bCs/>
                <w:sz w:val="24"/>
                <w:szCs w:val="24"/>
                <w:lang w:val="vi-VN"/>
              </w:rPr>
              <w:t>C.</w:t>
            </w:r>
            <w:r w:rsidRPr="0083002B">
              <w:rPr>
                <w:sz w:val="24"/>
                <w:szCs w:val="24"/>
                <w:lang w:val="vi-VN"/>
              </w:rPr>
              <w:t xml:space="preserve"> Sửa đổi, bổ sung, thay thế, ban hành mới VBQPPL (theo trình tự, thủ tục rút gọn ban hành VBQPPL)</w:t>
            </w:r>
            <w:r w:rsidRPr="0083002B">
              <w:rPr>
                <w:rFonts w:eastAsia="Calibri"/>
                <w:sz w:val="24"/>
                <w:szCs w:val="24"/>
                <w:lang w:val="vi-VN"/>
              </w:rPr>
              <w:t>.</w:t>
            </w:r>
          </w:p>
        </w:tc>
        <w:tc>
          <w:tcPr>
            <w:tcW w:w="2942" w:type="dxa"/>
          </w:tcPr>
          <w:p w14:paraId="0AA3922B" w14:textId="512DB433" w:rsidR="007C64F8" w:rsidRPr="0083002B" w:rsidRDefault="00523317" w:rsidP="00B73EEA">
            <w:pPr>
              <w:spacing w:line="259" w:lineRule="auto"/>
              <w:jc w:val="both"/>
              <w:rPr>
                <w:rFonts w:eastAsia="Calibri"/>
                <w:sz w:val="24"/>
                <w:szCs w:val="24"/>
                <w:lang w:val="vi-VN"/>
              </w:rPr>
            </w:pPr>
            <w:r w:rsidRPr="0083002B">
              <w:rPr>
                <w:rFonts w:eastAsia="Calibri"/>
                <w:b/>
                <w:bCs/>
                <w:sz w:val="24"/>
                <w:szCs w:val="24"/>
                <w:lang w:val="vi-VN"/>
              </w:rPr>
              <w:t>Đã xử lý</w:t>
            </w:r>
            <w:r w:rsidRPr="0083002B">
              <w:rPr>
                <w:rFonts w:eastAsia="Calibri"/>
                <w:sz w:val="24"/>
                <w:szCs w:val="24"/>
                <w:lang w:val="vi-VN"/>
              </w:rPr>
              <w:t xml:space="preserve"> tại</w:t>
            </w:r>
            <w:r w:rsidR="000A7A6E" w:rsidRPr="0083002B">
              <w:rPr>
                <w:rFonts w:eastAsia="Calibri"/>
                <w:sz w:val="24"/>
                <w:szCs w:val="24"/>
                <w:lang w:val="vi-VN"/>
              </w:rPr>
              <w:t xml:space="preserve"> điểm b</w:t>
            </w:r>
            <w:r w:rsidR="006671FF" w:rsidRPr="0083002B">
              <w:rPr>
                <w:rFonts w:eastAsia="Calibri"/>
                <w:sz w:val="24"/>
                <w:szCs w:val="24"/>
                <w:lang w:val="vi-VN"/>
              </w:rPr>
              <w:t xml:space="preserve"> Khoản 15 Điều 2</w:t>
            </w:r>
            <w:r w:rsidRPr="0083002B">
              <w:rPr>
                <w:rFonts w:eastAsia="Calibri"/>
                <w:sz w:val="24"/>
                <w:szCs w:val="24"/>
                <w:lang w:val="vi-VN"/>
              </w:rPr>
              <w:t xml:space="preserve"> Luật sửa đổi, bổ sung một số điều của Luật Tiếp công dân, Luật Khiếu nại, Luật Tố cáo (được Quốc khóa 15 thông qua tại Kỳ họp thứ 10 ngày 10/12/2025)</w:t>
            </w:r>
          </w:p>
        </w:tc>
      </w:tr>
      <w:tr w:rsidR="007C64F8" w:rsidRPr="0083002B" w14:paraId="03E5D238" w14:textId="77777777" w:rsidTr="00B17EE3">
        <w:tc>
          <w:tcPr>
            <w:tcW w:w="670" w:type="dxa"/>
            <w:vAlign w:val="center"/>
          </w:tcPr>
          <w:p w14:paraId="56F0BEC4" w14:textId="77777777" w:rsidR="007C64F8" w:rsidRPr="0083002B" w:rsidRDefault="007C64F8" w:rsidP="00B73EEA">
            <w:pPr>
              <w:numPr>
                <w:ilvl w:val="0"/>
                <w:numId w:val="1"/>
              </w:numPr>
              <w:contextualSpacing/>
              <w:jc w:val="center"/>
              <w:rPr>
                <w:rFonts w:eastAsia="Calibri"/>
                <w:b/>
                <w:bCs/>
                <w:i/>
                <w:iCs/>
                <w:sz w:val="24"/>
                <w:szCs w:val="24"/>
                <w:lang w:val="vi-VN"/>
              </w:rPr>
            </w:pPr>
          </w:p>
        </w:tc>
        <w:tc>
          <w:tcPr>
            <w:tcW w:w="2160" w:type="dxa"/>
          </w:tcPr>
          <w:p w14:paraId="6CD3493B" w14:textId="77777777" w:rsidR="007C64F8" w:rsidRPr="0083002B" w:rsidRDefault="007C64F8" w:rsidP="00B73EEA">
            <w:pPr>
              <w:spacing w:line="259" w:lineRule="auto"/>
              <w:jc w:val="both"/>
              <w:rPr>
                <w:rFonts w:eastAsia="Calibri"/>
                <w:sz w:val="24"/>
                <w:szCs w:val="24"/>
                <w:lang w:val="vi-VN"/>
              </w:rPr>
            </w:pPr>
            <w:r w:rsidRPr="0083002B">
              <w:rPr>
                <w:sz w:val="24"/>
                <w:szCs w:val="24"/>
                <w:lang w:val="vi-VN"/>
              </w:rPr>
              <w:t>Điểm a khoản 2 Điều 7 Luật Tiếp công dân 2013/Luật Tố cáo năm 2018</w:t>
            </w:r>
          </w:p>
        </w:tc>
        <w:tc>
          <w:tcPr>
            <w:tcW w:w="2450" w:type="dxa"/>
          </w:tcPr>
          <w:p w14:paraId="00AD4915" w14:textId="77777777" w:rsidR="007C64F8" w:rsidRPr="0083002B" w:rsidRDefault="007C64F8" w:rsidP="00B73EEA">
            <w:pPr>
              <w:spacing w:line="259" w:lineRule="auto"/>
              <w:jc w:val="both"/>
              <w:rPr>
                <w:rFonts w:eastAsia="Calibri"/>
                <w:sz w:val="24"/>
                <w:szCs w:val="24"/>
                <w:lang w:val="vi-VN"/>
              </w:rPr>
            </w:pPr>
            <w:r w:rsidRPr="0083002B">
              <w:rPr>
                <w:sz w:val="24"/>
                <w:szCs w:val="24"/>
                <w:lang w:val="vi-VN"/>
              </w:rPr>
              <w:t xml:space="preserve">Tại điểm a khoản 2 Điều 7 Luật Tiếp công dân 2013 quy định khi đến nơi tiếp công dân, người khiếu nại, tố cáo, kiến nghị, phản ánh có nghĩa vụ: “Nêu rõ họ tên, địa chỉ hoặc xuất trình giấy tờ tùy thân, giấy ủy quyền (nếu có)”. Tuy nhiên, việc ủy quyền cho người đại diện hợp pháp chỉ phù </w:t>
            </w:r>
            <w:r w:rsidRPr="0083002B">
              <w:rPr>
                <w:sz w:val="24"/>
                <w:szCs w:val="24"/>
                <w:lang w:val="vi-VN"/>
              </w:rPr>
              <w:lastRenderedPageBreak/>
              <w:t>hợp với người khiếu nại, kiến nghị, phản ánh; đối với trường hợp người tố cáo thì Luật Tố cáo năm 2018 không quy định việc ủy quyền của người tố cáo cho người khác. Do đó, quy định này là có khó khăn khi áp dụng, có thể dẫn đến công dân viện lý do này và chống đối khi người tiếp công dân không cho phép ủy quyền.</w:t>
            </w:r>
          </w:p>
        </w:tc>
        <w:tc>
          <w:tcPr>
            <w:tcW w:w="1934" w:type="dxa"/>
          </w:tcPr>
          <w:p w14:paraId="12D96CCB" w14:textId="77777777" w:rsidR="007C64F8" w:rsidRPr="0083002B" w:rsidRDefault="007C64F8" w:rsidP="00B73EEA">
            <w:pPr>
              <w:spacing w:line="259" w:lineRule="auto"/>
              <w:jc w:val="both"/>
              <w:rPr>
                <w:rFonts w:eastAsia="Calibri"/>
                <w:b/>
                <w:bCs/>
                <w:sz w:val="24"/>
                <w:szCs w:val="24"/>
                <w:lang w:val="vi-VN"/>
              </w:rPr>
            </w:pPr>
            <w:r w:rsidRPr="0083002B">
              <w:rPr>
                <w:b/>
                <w:bCs/>
                <w:sz w:val="24"/>
                <w:szCs w:val="24"/>
                <w:lang w:val="vi-VN"/>
              </w:rPr>
              <w:lastRenderedPageBreak/>
              <w:t>D.</w:t>
            </w:r>
            <w:r w:rsidRPr="0083002B">
              <w:rPr>
                <w:sz w:val="24"/>
                <w:szCs w:val="24"/>
                <w:lang w:val="vi-VN"/>
              </w:rPr>
              <w:t xml:space="preserve"> Ban hành nghị quyết QPPL của Chính phủ, nghị quyết của UBTVQH theo quy định tại điểm c khoản 1 Điều 4 Nghị quyết số 206/2025/QH15</w:t>
            </w:r>
          </w:p>
        </w:tc>
        <w:tc>
          <w:tcPr>
            <w:tcW w:w="1447" w:type="dxa"/>
          </w:tcPr>
          <w:p w14:paraId="3A2F6A22" w14:textId="77777777" w:rsidR="007C64F8" w:rsidRPr="0083002B" w:rsidRDefault="007C64F8" w:rsidP="00B73EEA">
            <w:pPr>
              <w:spacing w:line="259" w:lineRule="auto"/>
              <w:jc w:val="both"/>
              <w:rPr>
                <w:rFonts w:eastAsia="Calibri"/>
                <w:sz w:val="24"/>
                <w:szCs w:val="24"/>
                <w:lang w:val="vi-VN"/>
              </w:rPr>
            </w:pPr>
            <w:r w:rsidRPr="0083002B">
              <w:rPr>
                <w:sz w:val="24"/>
                <w:szCs w:val="24"/>
                <w:lang w:val="vi-VN"/>
              </w:rPr>
              <w:t>Sở Tư pháp thành phố Hồ Chí Minh</w:t>
            </w:r>
          </w:p>
        </w:tc>
        <w:tc>
          <w:tcPr>
            <w:tcW w:w="2567" w:type="dxa"/>
          </w:tcPr>
          <w:p w14:paraId="48077D25" w14:textId="77777777" w:rsidR="007C64F8" w:rsidRPr="0083002B" w:rsidRDefault="007C64F8" w:rsidP="00B73EEA">
            <w:pPr>
              <w:spacing w:line="259" w:lineRule="auto"/>
              <w:jc w:val="both"/>
              <w:rPr>
                <w:rFonts w:eastAsia="Calibri"/>
                <w:sz w:val="24"/>
                <w:szCs w:val="24"/>
                <w:lang w:val="vi-VN"/>
              </w:rPr>
            </w:pPr>
            <w:r w:rsidRPr="0083002B">
              <w:rPr>
                <w:rFonts w:eastAsia="Calibri"/>
                <w:sz w:val="24"/>
                <w:szCs w:val="24"/>
                <w:lang w:val="vi-VN"/>
              </w:rPr>
              <w:t xml:space="preserve">Thanh tra Chính phủ nhất trí với nội dung được phản ánh và đề xuất phương án xử lý </w:t>
            </w:r>
            <w:r w:rsidRPr="0083002B">
              <w:rPr>
                <w:b/>
                <w:bCs/>
                <w:sz w:val="24"/>
                <w:szCs w:val="24"/>
                <w:lang w:val="vi-VN"/>
              </w:rPr>
              <w:t>C.</w:t>
            </w:r>
            <w:r w:rsidRPr="0083002B">
              <w:rPr>
                <w:sz w:val="24"/>
                <w:szCs w:val="24"/>
                <w:lang w:val="vi-VN"/>
              </w:rPr>
              <w:t xml:space="preserve"> Sửa đổi, bổ sung, thay thế, ban hành mới VBQPPL (theo trình tự, thủ tục rút gọn ban hành VBQPPL)</w:t>
            </w:r>
            <w:r w:rsidRPr="0083002B">
              <w:rPr>
                <w:rFonts w:eastAsia="Calibri"/>
                <w:sz w:val="24"/>
                <w:szCs w:val="24"/>
                <w:lang w:val="vi-VN"/>
              </w:rPr>
              <w:t>.</w:t>
            </w:r>
          </w:p>
        </w:tc>
        <w:tc>
          <w:tcPr>
            <w:tcW w:w="2942" w:type="dxa"/>
          </w:tcPr>
          <w:p w14:paraId="6258CE0E" w14:textId="0BCE8558" w:rsidR="007C64F8" w:rsidRPr="0083002B" w:rsidRDefault="00523317" w:rsidP="00B73EEA">
            <w:pPr>
              <w:spacing w:line="259" w:lineRule="auto"/>
              <w:jc w:val="both"/>
              <w:rPr>
                <w:rFonts w:eastAsia="Calibri"/>
                <w:sz w:val="24"/>
                <w:szCs w:val="24"/>
                <w:lang w:val="vi-VN"/>
              </w:rPr>
            </w:pPr>
            <w:r w:rsidRPr="0083002B">
              <w:rPr>
                <w:rFonts w:eastAsia="Calibri"/>
                <w:b/>
                <w:bCs/>
                <w:sz w:val="24"/>
                <w:szCs w:val="24"/>
                <w:lang w:val="vi-VN"/>
              </w:rPr>
              <w:t>Đã xử lý</w:t>
            </w:r>
            <w:r w:rsidRPr="0083002B">
              <w:rPr>
                <w:rFonts w:eastAsia="Calibri"/>
                <w:sz w:val="24"/>
                <w:szCs w:val="24"/>
                <w:lang w:val="vi-VN"/>
              </w:rPr>
              <w:t xml:space="preserve"> tại</w:t>
            </w:r>
            <w:r w:rsidR="000A7A6E" w:rsidRPr="0083002B">
              <w:rPr>
                <w:rFonts w:eastAsia="Calibri"/>
                <w:sz w:val="24"/>
                <w:szCs w:val="24"/>
                <w:lang w:val="vi-VN"/>
              </w:rPr>
              <w:t xml:space="preserve"> Khoản 3 Điều 1</w:t>
            </w:r>
            <w:r w:rsidRPr="0083002B">
              <w:rPr>
                <w:rFonts w:eastAsia="Calibri"/>
                <w:sz w:val="24"/>
                <w:szCs w:val="24"/>
                <w:lang w:val="vi-VN"/>
              </w:rPr>
              <w:t xml:space="preserve"> Luật sửa đổi, bổ sung một số điều của Luật Tiếp công dân, Luật Khiếu nại, Luật Tố cáo (được Quốc khóa 15 thông qua tại Kỳ họp thứ 10 ngày 10/12/2025)</w:t>
            </w:r>
          </w:p>
        </w:tc>
      </w:tr>
      <w:tr w:rsidR="007C64F8" w:rsidRPr="0083002B" w14:paraId="7C043359" w14:textId="77777777" w:rsidTr="00B17EE3">
        <w:tc>
          <w:tcPr>
            <w:tcW w:w="670" w:type="dxa"/>
            <w:vAlign w:val="center"/>
          </w:tcPr>
          <w:p w14:paraId="22BE6DBC" w14:textId="77777777" w:rsidR="007C64F8" w:rsidRPr="0083002B" w:rsidRDefault="007C64F8" w:rsidP="00B73EEA">
            <w:pPr>
              <w:numPr>
                <w:ilvl w:val="0"/>
                <w:numId w:val="1"/>
              </w:numPr>
              <w:contextualSpacing/>
              <w:jc w:val="center"/>
              <w:rPr>
                <w:rFonts w:eastAsia="Calibri"/>
                <w:b/>
                <w:bCs/>
                <w:i/>
                <w:iCs/>
                <w:sz w:val="24"/>
                <w:szCs w:val="24"/>
                <w:lang w:val="vi-VN"/>
              </w:rPr>
            </w:pPr>
          </w:p>
        </w:tc>
        <w:tc>
          <w:tcPr>
            <w:tcW w:w="2160" w:type="dxa"/>
          </w:tcPr>
          <w:p w14:paraId="7E849265" w14:textId="77777777" w:rsidR="007C64F8" w:rsidRPr="0083002B" w:rsidRDefault="007C64F8" w:rsidP="00B73EEA">
            <w:pPr>
              <w:spacing w:line="276" w:lineRule="auto"/>
              <w:jc w:val="both"/>
              <w:rPr>
                <w:sz w:val="24"/>
                <w:szCs w:val="24"/>
                <w:lang w:val="vi-VN"/>
              </w:rPr>
            </w:pPr>
            <w:r w:rsidRPr="0083002B">
              <w:rPr>
                <w:sz w:val="24"/>
                <w:szCs w:val="24"/>
                <w:lang w:val="vi-VN"/>
              </w:rPr>
              <w:t xml:space="preserve">- Điểm b khoản 1 Điều 35 Luật Phòng, chống tham nhũng năm 2018: “Kim khí, đá quý, tiền, giấy tờ có giá và động sản khác mà mỗi tài sản có giá trị từ 50.000.000 đồng trở lên”. </w:t>
            </w:r>
          </w:p>
          <w:p w14:paraId="3EF1295F" w14:textId="77777777" w:rsidR="007C64F8" w:rsidRPr="0083002B" w:rsidRDefault="007C64F8" w:rsidP="00B73EEA">
            <w:pPr>
              <w:spacing w:line="259" w:lineRule="auto"/>
              <w:jc w:val="both"/>
              <w:rPr>
                <w:rFonts w:eastAsia="Calibri"/>
                <w:sz w:val="24"/>
                <w:szCs w:val="24"/>
                <w:lang w:val="vi-VN"/>
              </w:rPr>
            </w:pPr>
            <w:r w:rsidRPr="0083002B">
              <w:rPr>
                <w:sz w:val="24"/>
                <w:szCs w:val="24"/>
                <w:lang w:val="vi-VN"/>
              </w:rPr>
              <w:t xml:space="preserve">- Nghị định số 130/2020/NĐ-CP ngàỵ 30/10/2020 của Chính phủ quy định về kiểm soát tài </w:t>
            </w:r>
            <w:r w:rsidRPr="0083002B">
              <w:rPr>
                <w:sz w:val="24"/>
                <w:szCs w:val="24"/>
                <w:lang w:val="vi-VN"/>
              </w:rPr>
              <w:lastRenderedPageBreak/>
              <w:t xml:space="preserve">sản, thu nhập của người có chức vụ, quyền hạn trong cơ quan, tổ chức, đơn vị: “Vàng, kim cương, bạch kim và các kim loại quý, đá quý khác có tổng giá trị từ 50.000.000 đồng trở' lên; ô tô xe gắn máy, xe máy, tàu thủy, tàu bay, thuyền và những động sản khác theo quy định phải đăng ký sử dụng và được cấp giấy đăng ký có giá trị mỗi loại từ 50 triệu đồng trở lên ” </w:t>
            </w:r>
          </w:p>
        </w:tc>
        <w:tc>
          <w:tcPr>
            <w:tcW w:w="2450" w:type="dxa"/>
          </w:tcPr>
          <w:p w14:paraId="44CD04F1" w14:textId="77777777" w:rsidR="007C64F8" w:rsidRPr="0083002B" w:rsidRDefault="007C64F8" w:rsidP="00B73EEA">
            <w:pPr>
              <w:spacing w:line="259" w:lineRule="auto"/>
              <w:jc w:val="both"/>
              <w:rPr>
                <w:rFonts w:eastAsia="Calibri"/>
                <w:sz w:val="24"/>
                <w:szCs w:val="24"/>
                <w:lang w:val="vi-VN"/>
              </w:rPr>
            </w:pPr>
            <w:r w:rsidRPr="0083002B">
              <w:rPr>
                <w:sz w:val="24"/>
                <w:szCs w:val="24"/>
                <w:lang w:val="vi-VN"/>
              </w:rPr>
              <w:lastRenderedPageBreak/>
              <w:t>Quy định tại điểm b khoản 1 Điều 35 Luật Phòng, chống tham nhũng năm 2018 quy định mỗi tài sản cần kê khai có giá trị từ 50.000.000 đồng trở lên là chưa hợp lý. Dẫn đến việc người kê khai có tài sản lớn nhưng mỗi tài sản dưới 50.000.000 đồng nên không phải kê khai.</w:t>
            </w:r>
          </w:p>
        </w:tc>
        <w:tc>
          <w:tcPr>
            <w:tcW w:w="1934" w:type="dxa"/>
          </w:tcPr>
          <w:p w14:paraId="08436CD1" w14:textId="77777777" w:rsidR="007C64F8" w:rsidRPr="0083002B" w:rsidRDefault="007C64F8" w:rsidP="00B73EEA">
            <w:pPr>
              <w:spacing w:line="259" w:lineRule="auto"/>
              <w:jc w:val="both"/>
              <w:rPr>
                <w:rFonts w:eastAsia="Calibri"/>
                <w:b/>
                <w:bCs/>
                <w:sz w:val="24"/>
                <w:szCs w:val="24"/>
                <w:lang w:val="vi-VN"/>
              </w:rPr>
            </w:pPr>
            <w:r w:rsidRPr="0083002B">
              <w:rPr>
                <w:b/>
                <w:bCs/>
                <w:sz w:val="24"/>
                <w:szCs w:val="24"/>
                <w:lang w:val="vi-VN"/>
              </w:rPr>
              <w:t>C.</w:t>
            </w:r>
            <w:r w:rsidRPr="0083002B">
              <w:rPr>
                <w:sz w:val="24"/>
                <w:szCs w:val="24"/>
                <w:lang w:val="vi-VN"/>
              </w:rPr>
              <w:t xml:space="preserve"> Sửa đổi, bổ sung, thay thế, ban hành mới VBQPPL (theo trình tự, thủ tục rút gọn ban hành VBQPPL của Luật Ban hành VBQPPL)</w:t>
            </w:r>
          </w:p>
        </w:tc>
        <w:tc>
          <w:tcPr>
            <w:tcW w:w="1447" w:type="dxa"/>
          </w:tcPr>
          <w:p w14:paraId="1DB24A8C" w14:textId="77777777" w:rsidR="007C64F8" w:rsidRPr="0083002B" w:rsidRDefault="007C64F8" w:rsidP="00B73EEA">
            <w:pPr>
              <w:spacing w:line="259" w:lineRule="auto"/>
              <w:jc w:val="both"/>
              <w:rPr>
                <w:rFonts w:eastAsia="Calibri"/>
                <w:sz w:val="24"/>
                <w:szCs w:val="24"/>
                <w:lang w:val="vi-VN"/>
              </w:rPr>
            </w:pPr>
            <w:r w:rsidRPr="0083002B">
              <w:rPr>
                <w:sz w:val="24"/>
                <w:szCs w:val="24"/>
                <w:lang w:val="vi-VN"/>
              </w:rPr>
              <w:t>Sở Tư pháp tỉnh Khánh Hòa</w:t>
            </w:r>
          </w:p>
        </w:tc>
        <w:tc>
          <w:tcPr>
            <w:tcW w:w="2567" w:type="dxa"/>
          </w:tcPr>
          <w:p w14:paraId="5BE28E50" w14:textId="77777777" w:rsidR="007C64F8" w:rsidRPr="0083002B" w:rsidRDefault="007C64F8" w:rsidP="00B73EEA">
            <w:pPr>
              <w:spacing w:line="259" w:lineRule="auto"/>
              <w:jc w:val="both"/>
              <w:rPr>
                <w:rFonts w:eastAsia="Calibri"/>
                <w:sz w:val="24"/>
                <w:szCs w:val="24"/>
                <w:lang w:val="vi-VN"/>
              </w:rPr>
            </w:pPr>
            <w:r w:rsidRPr="0083002B">
              <w:rPr>
                <w:rFonts w:eastAsia="Calibri"/>
                <w:sz w:val="24"/>
                <w:szCs w:val="24"/>
                <w:lang w:val="vi-VN"/>
              </w:rPr>
              <w:t>Thanh tra Chính phủ nhất trí với nội dung được phản ánh và phương án xử lý được đề xuất.</w:t>
            </w:r>
          </w:p>
        </w:tc>
        <w:tc>
          <w:tcPr>
            <w:tcW w:w="2942" w:type="dxa"/>
          </w:tcPr>
          <w:p w14:paraId="1D7A6869" w14:textId="44C862CA" w:rsidR="007C64F8" w:rsidRPr="0083002B" w:rsidRDefault="00523317" w:rsidP="000A7A6E">
            <w:pPr>
              <w:spacing w:line="259" w:lineRule="auto"/>
              <w:jc w:val="both"/>
              <w:rPr>
                <w:rFonts w:eastAsia="Calibri"/>
                <w:sz w:val="24"/>
                <w:szCs w:val="24"/>
                <w:lang w:val="vi-VN"/>
              </w:rPr>
            </w:pPr>
            <w:r w:rsidRPr="0083002B">
              <w:rPr>
                <w:rFonts w:eastAsia="Calibri"/>
                <w:b/>
                <w:bCs/>
                <w:sz w:val="24"/>
                <w:szCs w:val="24"/>
                <w:lang w:val="vi-VN"/>
              </w:rPr>
              <w:t>Đã xử lý</w:t>
            </w:r>
            <w:r w:rsidRPr="0083002B">
              <w:rPr>
                <w:rFonts w:eastAsia="Calibri"/>
                <w:sz w:val="24"/>
                <w:szCs w:val="24"/>
                <w:lang w:val="vi-VN"/>
              </w:rPr>
              <w:t xml:space="preserve"> tại </w:t>
            </w:r>
            <w:r w:rsidR="000A7A6E" w:rsidRPr="0083002B">
              <w:rPr>
                <w:rFonts w:eastAsia="Calibri"/>
                <w:sz w:val="24"/>
                <w:szCs w:val="24"/>
                <w:lang w:val="vi-VN"/>
              </w:rPr>
              <w:t xml:space="preserve">Khoản 11 Điều 11 </w:t>
            </w:r>
            <w:r w:rsidRPr="0083002B">
              <w:rPr>
                <w:rFonts w:eastAsia="Calibri"/>
                <w:sz w:val="24"/>
                <w:szCs w:val="24"/>
                <w:lang w:val="vi-VN"/>
              </w:rPr>
              <w:t xml:space="preserve">Luật sửa đổi, bổ sung một số điều của Luật </w:t>
            </w:r>
            <w:r w:rsidR="0059287F" w:rsidRPr="0083002B">
              <w:rPr>
                <w:rFonts w:eastAsia="Calibri"/>
                <w:sz w:val="24"/>
                <w:szCs w:val="24"/>
                <w:lang w:val="vi-VN"/>
              </w:rPr>
              <w:t xml:space="preserve">Phòng, chống tham nhũng </w:t>
            </w:r>
            <w:r w:rsidRPr="0083002B">
              <w:rPr>
                <w:rFonts w:eastAsia="Calibri"/>
                <w:sz w:val="24"/>
                <w:szCs w:val="24"/>
                <w:lang w:val="vi-VN"/>
              </w:rPr>
              <w:t>(được Quốc khóa 15 thông qua tại Kỳ họp thứ 10 ngày 10/12/2025)</w:t>
            </w:r>
            <w:r w:rsidR="000A7A6E" w:rsidRPr="0083002B">
              <w:rPr>
                <w:rFonts w:eastAsia="Calibri"/>
                <w:sz w:val="24"/>
                <w:szCs w:val="24"/>
                <w:lang w:val="vi-VN"/>
              </w:rPr>
              <w:t>.</w:t>
            </w:r>
          </w:p>
        </w:tc>
      </w:tr>
    </w:tbl>
    <w:p w14:paraId="02B9EA92" w14:textId="77777777" w:rsidR="006027B4" w:rsidRPr="00BE5465" w:rsidRDefault="006027B4">
      <w:pPr>
        <w:rPr>
          <w:lang w:val="vi-VN"/>
        </w:rPr>
      </w:pPr>
    </w:p>
    <w:sectPr w:rsidR="006027B4" w:rsidRPr="00BE5465" w:rsidSect="007C64F8">
      <w:head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B07B82" w14:textId="77777777" w:rsidR="0080505A" w:rsidRDefault="0080505A" w:rsidP="007C64F8">
      <w:pPr>
        <w:spacing w:after="0" w:line="240" w:lineRule="auto"/>
      </w:pPr>
      <w:r>
        <w:separator/>
      </w:r>
    </w:p>
  </w:endnote>
  <w:endnote w:type="continuationSeparator" w:id="0">
    <w:p w14:paraId="1EE6B5BF" w14:textId="77777777" w:rsidR="0080505A" w:rsidRDefault="0080505A" w:rsidP="007C6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B69CEF" w14:textId="77777777" w:rsidR="0080505A" w:rsidRDefault="0080505A" w:rsidP="007C64F8">
      <w:pPr>
        <w:spacing w:after="0" w:line="240" w:lineRule="auto"/>
      </w:pPr>
      <w:r>
        <w:separator/>
      </w:r>
    </w:p>
  </w:footnote>
  <w:footnote w:type="continuationSeparator" w:id="0">
    <w:p w14:paraId="6E2ECBD0" w14:textId="77777777" w:rsidR="0080505A" w:rsidRDefault="0080505A" w:rsidP="007C64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653531706"/>
      <w:docPartObj>
        <w:docPartGallery w:val="Page Numbers (Top of Page)"/>
        <w:docPartUnique/>
      </w:docPartObj>
    </w:sdtPr>
    <w:sdtEndPr>
      <w:rPr>
        <w:noProof/>
      </w:rPr>
    </w:sdtEndPr>
    <w:sdtContent>
      <w:p w14:paraId="3214E8EC" w14:textId="538ED401" w:rsidR="007C64F8" w:rsidRPr="007C64F8" w:rsidRDefault="007C64F8">
        <w:pPr>
          <w:pStyle w:val="Header"/>
          <w:jc w:val="center"/>
          <w:rPr>
            <w:rFonts w:ascii="Times New Roman" w:hAnsi="Times New Roman" w:cs="Times New Roman"/>
          </w:rPr>
        </w:pPr>
        <w:r w:rsidRPr="007C64F8">
          <w:rPr>
            <w:rFonts w:ascii="Times New Roman" w:hAnsi="Times New Roman" w:cs="Times New Roman"/>
          </w:rPr>
          <w:fldChar w:fldCharType="begin"/>
        </w:r>
        <w:r w:rsidRPr="007C64F8">
          <w:rPr>
            <w:rFonts w:ascii="Times New Roman" w:hAnsi="Times New Roman" w:cs="Times New Roman"/>
          </w:rPr>
          <w:instrText xml:space="preserve"> PAGE   \* MERGEFORMAT </w:instrText>
        </w:r>
        <w:r w:rsidRPr="007C64F8">
          <w:rPr>
            <w:rFonts w:ascii="Times New Roman" w:hAnsi="Times New Roman" w:cs="Times New Roman"/>
          </w:rPr>
          <w:fldChar w:fldCharType="separate"/>
        </w:r>
        <w:r w:rsidR="0083002B">
          <w:rPr>
            <w:rFonts w:ascii="Times New Roman" w:hAnsi="Times New Roman" w:cs="Times New Roman"/>
            <w:noProof/>
          </w:rPr>
          <w:t>1</w:t>
        </w:r>
        <w:r w:rsidRPr="007C64F8">
          <w:rPr>
            <w:rFonts w:ascii="Times New Roman" w:hAnsi="Times New Roman" w:cs="Times New Roman"/>
            <w:noProof/>
          </w:rPr>
          <w:fldChar w:fldCharType="end"/>
        </w:r>
      </w:p>
    </w:sdtContent>
  </w:sdt>
  <w:p w14:paraId="7DB08AA8" w14:textId="77777777" w:rsidR="007C64F8" w:rsidRPr="007C64F8" w:rsidRDefault="007C64F8">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94C60"/>
    <w:multiLevelType w:val="multilevel"/>
    <w:tmpl w:val="10194C6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4F8"/>
    <w:rsid w:val="000A7A6E"/>
    <w:rsid w:val="00197081"/>
    <w:rsid w:val="001D19B2"/>
    <w:rsid w:val="002A5A7A"/>
    <w:rsid w:val="002A5EA0"/>
    <w:rsid w:val="002C2261"/>
    <w:rsid w:val="002D28CE"/>
    <w:rsid w:val="002D483A"/>
    <w:rsid w:val="00434570"/>
    <w:rsid w:val="004E1425"/>
    <w:rsid w:val="00523317"/>
    <w:rsid w:val="0059287F"/>
    <w:rsid w:val="006027B4"/>
    <w:rsid w:val="006671FF"/>
    <w:rsid w:val="007B2875"/>
    <w:rsid w:val="007C64F8"/>
    <w:rsid w:val="0080505A"/>
    <w:rsid w:val="0083002B"/>
    <w:rsid w:val="00981E7B"/>
    <w:rsid w:val="009C74BF"/>
    <w:rsid w:val="00A04445"/>
    <w:rsid w:val="00A76264"/>
    <w:rsid w:val="00AC222E"/>
    <w:rsid w:val="00B17EE3"/>
    <w:rsid w:val="00B42036"/>
    <w:rsid w:val="00BE5465"/>
    <w:rsid w:val="00CD3700"/>
    <w:rsid w:val="00DC6698"/>
    <w:rsid w:val="00EC7B0E"/>
    <w:rsid w:val="00ED147E"/>
    <w:rsid w:val="00F01334"/>
    <w:rsid w:val="00F10C46"/>
    <w:rsid w:val="00F95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BFD36"/>
  <w15:chartTrackingRefBased/>
  <w15:docId w15:val="{559AC4BC-082E-450B-8EAB-765CFF568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64F8"/>
  </w:style>
  <w:style w:type="paragraph" w:styleId="Heading1">
    <w:name w:val="heading 1"/>
    <w:basedOn w:val="Normal"/>
    <w:next w:val="Normal"/>
    <w:link w:val="Heading1Char"/>
    <w:uiPriority w:val="9"/>
    <w:qFormat/>
    <w:rsid w:val="007C64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C64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C64F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C64F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C64F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C64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64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64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64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64F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C64F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C64F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C64F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C64F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C64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64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64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64F8"/>
    <w:rPr>
      <w:rFonts w:eastAsiaTheme="majorEastAsia" w:cstheme="majorBidi"/>
      <w:color w:val="272727" w:themeColor="text1" w:themeTint="D8"/>
    </w:rPr>
  </w:style>
  <w:style w:type="paragraph" w:styleId="Title">
    <w:name w:val="Title"/>
    <w:basedOn w:val="Normal"/>
    <w:next w:val="Normal"/>
    <w:link w:val="TitleChar"/>
    <w:uiPriority w:val="10"/>
    <w:qFormat/>
    <w:rsid w:val="007C64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64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64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64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64F8"/>
    <w:pPr>
      <w:spacing w:before="160"/>
      <w:jc w:val="center"/>
    </w:pPr>
    <w:rPr>
      <w:i/>
      <w:iCs/>
      <w:color w:val="404040" w:themeColor="text1" w:themeTint="BF"/>
    </w:rPr>
  </w:style>
  <w:style w:type="character" w:customStyle="1" w:styleId="QuoteChar">
    <w:name w:val="Quote Char"/>
    <w:basedOn w:val="DefaultParagraphFont"/>
    <w:link w:val="Quote"/>
    <w:uiPriority w:val="29"/>
    <w:rsid w:val="007C64F8"/>
    <w:rPr>
      <w:i/>
      <w:iCs/>
      <w:color w:val="404040" w:themeColor="text1" w:themeTint="BF"/>
    </w:rPr>
  </w:style>
  <w:style w:type="paragraph" w:styleId="ListParagraph">
    <w:name w:val="List Paragraph"/>
    <w:basedOn w:val="Normal"/>
    <w:uiPriority w:val="34"/>
    <w:qFormat/>
    <w:rsid w:val="007C64F8"/>
    <w:pPr>
      <w:ind w:left="720"/>
      <w:contextualSpacing/>
    </w:pPr>
  </w:style>
  <w:style w:type="character" w:styleId="IntenseEmphasis">
    <w:name w:val="Intense Emphasis"/>
    <w:basedOn w:val="DefaultParagraphFont"/>
    <w:uiPriority w:val="21"/>
    <w:qFormat/>
    <w:rsid w:val="007C64F8"/>
    <w:rPr>
      <w:i/>
      <w:iCs/>
      <w:color w:val="2F5496" w:themeColor="accent1" w:themeShade="BF"/>
    </w:rPr>
  </w:style>
  <w:style w:type="paragraph" w:styleId="IntenseQuote">
    <w:name w:val="Intense Quote"/>
    <w:basedOn w:val="Normal"/>
    <w:next w:val="Normal"/>
    <w:link w:val="IntenseQuoteChar"/>
    <w:uiPriority w:val="30"/>
    <w:qFormat/>
    <w:rsid w:val="007C64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C64F8"/>
    <w:rPr>
      <w:i/>
      <w:iCs/>
      <w:color w:val="2F5496" w:themeColor="accent1" w:themeShade="BF"/>
    </w:rPr>
  </w:style>
  <w:style w:type="character" w:styleId="IntenseReference">
    <w:name w:val="Intense Reference"/>
    <w:basedOn w:val="DefaultParagraphFont"/>
    <w:uiPriority w:val="32"/>
    <w:qFormat/>
    <w:rsid w:val="007C64F8"/>
    <w:rPr>
      <w:b/>
      <w:bCs/>
      <w:smallCaps/>
      <w:color w:val="2F5496" w:themeColor="accent1" w:themeShade="BF"/>
      <w:spacing w:val="5"/>
    </w:rPr>
  </w:style>
  <w:style w:type="table" w:customStyle="1" w:styleId="TableGrid1">
    <w:name w:val="Table Grid1"/>
    <w:basedOn w:val="TableNormal"/>
    <w:qFormat/>
    <w:rsid w:val="007C64F8"/>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C64F8"/>
    <w:pPr>
      <w:spacing w:before="100" w:beforeAutospacing="1" w:after="100" w:afterAutospacing="1" w:line="240" w:lineRule="auto"/>
    </w:pPr>
    <w:rPr>
      <w:rFonts w:ascii="Times New Roman" w:eastAsiaTheme="minorEastAsia" w:hAnsi="Times New Roman" w:cs="Times New Roman"/>
      <w:kern w:val="0"/>
    </w:rPr>
  </w:style>
  <w:style w:type="character" w:styleId="Strong">
    <w:name w:val="Strong"/>
    <w:basedOn w:val="DefaultParagraphFont"/>
    <w:uiPriority w:val="22"/>
    <w:qFormat/>
    <w:rsid w:val="007C64F8"/>
    <w:rPr>
      <w:b/>
      <w:bCs/>
    </w:rPr>
  </w:style>
  <w:style w:type="paragraph" w:styleId="Header">
    <w:name w:val="header"/>
    <w:basedOn w:val="Normal"/>
    <w:link w:val="HeaderChar"/>
    <w:uiPriority w:val="99"/>
    <w:unhideWhenUsed/>
    <w:rsid w:val="007C64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64F8"/>
  </w:style>
  <w:style w:type="paragraph" w:styleId="Footer">
    <w:name w:val="footer"/>
    <w:basedOn w:val="Normal"/>
    <w:link w:val="FooterChar"/>
    <w:uiPriority w:val="99"/>
    <w:unhideWhenUsed/>
    <w:rsid w:val="007C64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64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1273</Words>
  <Characters>7261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Nhu Quynh</dc:creator>
  <cp:keywords/>
  <dc:description/>
  <cp:lastModifiedBy>Home</cp:lastModifiedBy>
  <cp:revision>3</cp:revision>
  <dcterms:created xsi:type="dcterms:W3CDTF">2025-12-14T07:09:00Z</dcterms:created>
  <dcterms:modified xsi:type="dcterms:W3CDTF">2025-12-14T07:11:00Z</dcterms:modified>
</cp:coreProperties>
</file>