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27164" w14:textId="007A7857" w:rsidR="00F63C83" w:rsidRPr="00CE2A4C" w:rsidRDefault="0076709A" w:rsidP="00F8000A">
      <w:pPr>
        <w:pStyle w:val="NormalWeb"/>
        <w:spacing w:before="0" w:beforeAutospacing="0" w:after="0" w:afterAutospacing="0" w:line="264" w:lineRule="auto"/>
        <w:jc w:val="center"/>
        <w:rPr>
          <w:rFonts w:ascii="Times New Roman" w:hAnsi="Times New Roman" w:cs="Times New Roman"/>
          <w:color w:val="000000" w:themeColor="text1"/>
          <w:sz w:val="26"/>
          <w:szCs w:val="26"/>
        </w:rPr>
      </w:pPr>
      <w:r w:rsidRPr="00CE2A4C">
        <w:rPr>
          <w:rStyle w:val="Strong"/>
          <w:rFonts w:ascii="Times New Roman" w:hAnsi="Times New Roman" w:cs="Times New Roman"/>
          <w:color w:val="000000" w:themeColor="text1"/>
          <w:sz w:val="26"/>
          <w:szCs w:val="26"/>
        </w:rPr>
        <w:t xml:space="preserve">Phụ lục </w:t>
      </w:r>
      <w:r w:rsidR="00A50258">
        <w:rPr>
          <w:rStyle w:val="Strong"/>
          <w:rFonts w:ascii="Times New Roman" w:hAnsi="Times New Roman" w:cs="Times New Roman"/>
          <w:color w:val="000000" w:themeColor="text1"/>
          <w:sz w:val="26"/>
          <w:szCs w:val="26"/>
        </w:rPr>
        <w:t>I</w:t>
      </w:r>
      <w:r w:rsidR="00D52622" w:rsidRPr="00CE2A4C">
        <w:rPr>
          <w:rStyle w:val="Strong"/>
          <w:rFonts w:ascii="Times New Roman" w:hAnsi="Times New Roman" w:cs="Times New Roman"/>
          <w:color w:val="000000" w:themeColor="text1"/>
          <w:sz w:val="26"/>
          <w:szCs w:val="26"/>
        </w:rPr>
        <w:t>.13</w:t>
      </w:r>
      <w:r w:rsidR="00F63C83" w:rsidRPr="00CE2A4C">
        <w:rPr>
          <w:rStyle w:val="Strong"/>
          <w:rFonts w:ascii="Times New Roman" w:hAnsi="Times New Roman" w:cs="Times New Roman"/>
          <w:color w:val="000000" w:themeColor="text1"/>
          <w:sz w:val="26"/>
          <w:szCs w:val="26"/>
        </w:rPr>
        <w:t>.1</w:t>
      </w:r>
      <w:r w:rsidR="00665DDE" w:rsidRPr="00CE2A4C">
        <w:rPr>
          <w:rStyle w:val="Strong"/>
          <w:rFonts w:ascii="Times New Roman" w:hAnsi="Times New Roman" w:cs="Times New Roman"/>
          <w:color w:val="000000" w:themeColor="text1"/>
          <w:sz w:val="26"/>
          <w:szCs w:val="26"/>
        </w:rPr>
        <w:t>.B</w:t>
      </w:r>
    </w:p>
    <w:p w14:paraId="2FB4E976" w14:textId="77777777" w:rsidR="00F63C83" w:rsidRPr="00CE2A4C" w:rsidRDefault="004C38D8" w:rsidP="00F8000A">
      <w:pPr>
        <w:spacing w:after="0" w:line="264" w:lineRule="auto"/>
        <w:jc w:val="center"/>
        <w:rPr>
          <w:b/>
          <w:color w:val="000000" w:themeColor="text1"/>
          <w:sz w:val="26"/>
          <w:szCs w:val="26"/>
        </w:rPr>
      </w:pPr>
      <w:r w:rsidRPr="00CE2A4C">
        <w:rPr>
          <w:b/>
          <w:color w:val="000000" w:themeColor="text1"/>
          <w:sz w:val="26"/>
          <w:szCs w:val="26"/>
        </w:rPr>
        <w:t xml:space="preserve"> </w:t>
      </w:r>
      <w:r w:rsidRPr="00CE2A4C">
        <w:rPr>
          <w:rStyle w:val="Strong"/>
          <w:color w:val="000000" w:themeColor="text1"/>
          <w:sz w:val="26"/>
          <w:szCs w:val="26"/>
        </w:rPr>
        <w:t xml:space="preserve">TÌNH HÌNH XỬ LÝ ĐỐI VỚI </w:t>
      </w:r>
      <w:r w:rsidR="00F63C83" w:rsidRPr="00CE2A4C">
        <w:rPr>
          <w:b/>
          <w:color w:val="000000" w:themeColor="text1"/>
          <w:sz w:val="26"/>
          <w:szCs w:val="26"/>
        </w:rPr>
        <w:t>KHÓ KHĂN, VƯỚNG MẮC DO QUY ĐỊNH PHÁP LUẬT</w:t>
      </w:r>
    </w:p>
    <w:p w14:paraId="4A6D2F6E" w14:textId="77777777" w:rsidR="00F63C83" w:rsidRPr="00CE2A4C" w:rsidRDefault="00F63C83" w:rsidP="00F8000A">
      <w:pPr>
        <w:spacing w:after="0" w:line="264" w:lineRule="auto"/>
        <w:jc w:val="center"/>
        <w:rPr>
          <w:b/>
          <w:color w:val="000000" w:themeColor="text1"/>
          <w:sz w:val="26"/>
          <w:szCs w:val="26"/>
        </w:rPr>
      </w:pPr>
      <w:r w:rsidRPr="00CE2A4C">
        <w:rPr>
          <w:rStyle w:val="Strong"/>
          <w:color w:val="000000" w:themeColor="text1"/>
          <w:sz w:val="26"/>
          <w:szCs w:val="26"/>
        </w:rPr>
        <w:t xml:space="preserve">THUỘC PHẠM VI PHỤ TRÁCH </w:t>
      </w:r>
      <w:r w:rsidRPr="00CE2A4C">
        <w:rPr>
          <w:b/>
          <w:bCs/>
          <w:color w:val="000000" w:themeColor="text1"/>
          <w:spacing w:val="-4"/>
          <w:sz w:val="26"/>
          <w:szCs w:val="26"/>
          <w:lang w:val="de-DE"/>
        </w:rPr>
        <w:t>CỦA BỘ NỘI VỤ</w:t>
      </w:r>
    </w:p>
    <w:p w14:paraId="59C16773" w14:textId="77777777" w:rsidR="00F63C83" w:rsidRPr="00CE2A4C" w:rsidRDefault="00F63C83" w:rsidP="00F8000A">
      <w:pPr>
        <w:spacing w:after="0" w:line="264" w:lineRule="auto"/>
        <w:jc w:val="center"/>
        <w:rPr>
          <w:b/>
          <w:bCs/>
          <w:color w:val="000000" w:themeColor="text1"/>
          <w:sz w:val="26"/>
          <w:szCs w:val="26"/>
        </w:rPr>
      </w:pPr>
      <w:r w:rsidRPr="00CE2A4C">
        <w:rPr>
          <w:b/>
          <w:color w:val="000000" w:themeColor="text1"/>
          <w:sz w:val="26"/>
          <w:szCs w:val="26"/>
        </w:rPr>
        <w:t xml:space="preserve">Tiêu chí: </w:t>
      </w:r>
      <w:r w:rsidRPr="00CE2A4C">
        <w:rPr>
          <w:b/>
          <w:bCs/>
          <w:color w:val="000000" w:themeColor="text1"/>
          <w:sz w:val="26"/>
          <w:szCs w:val="26"/>
        </w:rPr>
        <w:t xml:space="preserve">Quy định mâu thuẫn, chồng chéo trong cùng một VBQPPL hoặc giữa các VBQPPL </w:t>
      </w:r>
    </w:p>
    <w:p w14:paraId="6BAA9478" w14:textId="77777777" w:rsidR="00665DDE" w:rsidRPr="00CE2A4C" w:rsidRDefault="00665DDE" w:rsidP="00F8000A">
      <w:pPr>
        <w:pStyle w:val="NormalWeb"/>
        <w:spacing w:before="0" w:beforeAutospacing="0" w:after="0" w:afterAutospacing="0" w:line="264" w:lineRule="auto"/>
        <w:jc w:val="center"/>
        <w:rPr>
          <w:rFonts w:ascii="Times New Roman" w:hAnsi="Times New Roman" w:cs="Times New Roman"/>
          <w:b/>
          <w:color w:val="000000" w:themeColor="text1"/>
          <w:sz w:val="26"/>
          <w:szCs w:val="26"/>
          <w:lang w:val="en"/>
        </w:rPr>
      </w:pPr>
      <w:r w:rsidRPr="00CE2A4C">
        <w:rPr>
          <w:rFonts w:ascii="Times New Roman" w:hAnsi="Times New Roman" w:cs="Times New Roman"/>
          <w:b/>
          <w:color w:val="000000" w:themeColor="text1"/>
          <w:sz w:val="26"/>
          <w:szCs w:val="26"/>
          <w:lang w:val="en"/>
        </w:rPr>
        <w:t xml:space="preserve">Nhóm B: Nhóm các nội dung cho ý kiến nhất trí nhưng không áp dụng phương án, quy trình xử lý </w:t>
      </w:r>
    </w:p>
    <w:p w14:paraId="0A0EBCCD" w14:textId="77777777" w:rsidR="00665DDE" w:rsidRDefault="00665DDE" w:rsidP="00F8000A">
      <w:pPr>
        <w:pStyle w:val="NormalWeb"/>
        <w:spacing w:before="0" w:beforeAutospacing="0" w:after="0" w:afterAutospacing="0" w:line="264" w:lineRule="auto"/>
        <w:jc w:val="center"/>
        <w:rPr>
          <w:rFonts w:ascii="Times New Roman" w:hAnsi="Times New Roman" w:cs="Times New Roman"/>
          <w:b/>
          <w:color w:val="000000" w:themeColor="text1"/>
          <w:sz w:val="26"/>
          <w:szCs w:val="26"/>
          <w:lang w:val="en"/>
        </w:rPr>
      </w:pPr>
      <w:r w:rsidRPr="00CE2A4C">
        <w:rPr>
          <w:rFonts w:ascii="Times New Roman" w:hAnsi="Times New Roman" w:cs="Times New Roman"/>
          <w:b/>
          <w:color w:val="000000" w:themeColor="text1"/>
          <w:sz w:val="26"/>
          <w:szCs w:val="26"/>
          <w:lang w:val="en"/>
        </w:rPr>
        <w:t>nêu tại khoản 1 Điều 4 Nghị quyết số 206/2025/QH15 (xử lý theo quy trình thông thường)</w:t>
      </w:r>
    </w:p>
    <w:p w14:paraId="726DCC07" w14:textId="43D372FA" w:rsidR="004628C7" w:rsidRPr="00CE2A4C" w:rsidRDefault="00036280" w:rsidP="004C43AA">
      <w:pPr>
        <w:pStyle w:val="NormalWeb"/>
        <w:spacing w:before="0" w:beforeAutospacing="0"/>
        <w:rPr>
          <w:rFonts w:ascii="Times New Roman" w:hAnsi="Times New Roman" w:cs="Times New Roman"/>
          <w:color w:val="000000" w:themeColor="text1"/>
          <w:sz w:val="26"/>
          <w:szCs w:val="26"/>
        </w:rPr>
      </w:pPr>
      <w:r w:rsidRPr="00CE2A4C">
        <w:rPr>
          <w:noProof/>
          <w:color w:val="000000" w:themeColor="text1"/>
          <w:sz w:val="26"/>
          <w:szCs w:val="26"/>
        </w:rPr>
        <mc:AlternateContent>
          <mc:Choice Requires="wps">
            <w:drawing>
              <wp:anchor distT="4294967294" distB="4294967294" distL="114300" distR="114300" simplePos="0" relativeHeight="251663360" behindDoc="0" locked="0" layoutInCell="1" allowOverlap="1" wp14:anchorId="59046CAB" wp14:editId="33424C79">
                <wp:simplePos x="0" y="0"/>
                <wp:positionH relativeFrom="margin">
                  <wp:align>center</wp:align>
                </wp:positionH>
                <wp:positionV relativeFrom="paragraph">
                  <wp:posOffset>283323</wp:posOffset>
                </wp:positionV>
                <wp:extent cx="1764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4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48437" id="Straight Connector 1" o:spid="_x0000_s1026" style="position:absolute;z-index:251663360;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22.3pt" to="138.9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" strokeweight="1pt">
                <w10:wrap anchorx="margin"/>
              </v:line>
            </w:pict>
          </mc:Fallback>
        </mc:AlternateContent>
      </w:r>
    </w:p>
    <w:tbl>
      <w:tblPr>
        <w:tblStyle w:val="a1"/>
        <w:tblW w:w="1540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6"/>
        <w:gridCol w:w="1964"/>
        <w:gridCol w:w="3827"/>
        <w:gridCol w:w="1559"/>
        <w:gridCol w:w="1418"/>
        <w:gridCol w:w="2835"/>
        <w:gridCol w:w="2835"/>
      </w:tblGrid>
      <w:tr w:rsidR="00665DDE" w:rsidRPr="00CE2A4C" w14:paraId="0D6AFAA9" w14:textId="77777777" w:rsidTr="00C41A92">
        <w:trPr>
          <w:tblHeader/>
        </w:trPr>
        <w:tc>
          <w:tcPr>
            <w:tcW w:w="966" w:type="dxa"/>
            <w:shd w:val="clear" w:color="auto" w:fill="F2DBDB" w:themeFill="accent2" w:themeFillTint="33"/>
          </w:tcPr>
          <w:p w14:paraId="79391449" w14:textId="77777777" w:rsidR="00665DDE" w:rsidRPr="00CE2A4C" w:rsidRDefault="00665DDE" w:rsidP="00325EB8">
            <w:pPr>
              <w:jc w:val="center"/>
              <w:rPr>
                <w:b/>
                <w:bCs/>
                <w:color w:val="000000" w:themeColor="text1"/>
                <w:sz w:val="25"/>
                <w:szCs w:val="25"/>
              </w:rPr>
            </w:pPr>
            <w:r w:rsidRPr="00CE2A4C">
              <w:rPr>
                <w:b/>
                <w:bCs/>
                <w:color w:val="000000" w:themeColor="text1"/>
                <w:sz w:val="25"/>
                <w:szCs w:val="25"/>
              </w:rPr>
              <w:t>STT</w:t>
            </w:r>
          </w:p>
        </w:tc>
        <w:tc>
          <w:tcPr>
            <w:tcW w:w="1964" w:type="dxa"/>
            <w:shd w:val="clear" w:color="auto" w:fill="F2DBDB" w:themeFill="accent2" w:themeFillTint="33"/>
          </w:tcPr>
          <w:p w14:paraId="1DCC3C84" w14:textId="77777777" w:rsidR="00325EB8" w:rsidRPr="00CE2A4C" w:rsidRDefault="00665DDE" w:rsidP="00325EB8">
            <w:pPr>
              <w:jc w:val="center"/>
              <w:rPr>
                <w:b/>
                <w:bCs/>
                <w:color w:val="000000" w:themeColor="text1"/>
                <w:sz w:val="25"/>
                <w:szCs w:val="25"/>
              </w:rPr>
            </w:pPr>
            <w:r w:rsidRPr="00CE2A4C">
              <w:rPr>
                <w:b/>
                <w:bCs/>
                <w:color w:val="000000" w:themeColor="text1"/>
                <w:sz w:val="25"/>
                <w:szCs w:val="25"/>
              </w:rPr>
              <w:t>Điều, khoản, điểm, tên văn bản đề xuất</w:t>
            </w:r>
          </w:p>
          <w:p w14:paraId="3F3A6181" w14:textId="77777777" w:rsidR="00665DDE" w:rsidRPr="00CE2A4C" w:rsidRDefault="00665DDE" w:rsidP="00325EB8">
            <w:pPr>
              <w:jc w:val="center"/>
              <w:rPr>
                <w:b/>
                <w:bCs/>
                <w:color w:val="000000" w:themeColor="text1"/>
                <w:sz w:val="25"/>
                <w:szCs w:val="25"/>
              </w:rPr>
            </w:pPr>
            <w:r w:rsidRPr="00CE2A4C">
              <w:rPr>
                <w:b/>
                <w:bCs/>
                <w:color w:val="000000" w:themeColor="text1"/>
                <w:sz w:val="25"/>
                <w:szCs w:val="25"/>
              </w:rPr>
              <w:t>xử lý</w:t>
            </w:r>
          </w:p>
        </w:tc>
        <w:tc>
          <w:tcPr>
            <w:tcW w:w="3827" w:type="dxa"/>
            <w:shd w:val="clear" w:color="auto" w:fill="F2DBDB" w:themeFill="accent2" w:themeFillTint="33"/>
          </w:tcPr>
          <w:p w14:paraId="3DBB6BA1" w14:textId="77777777" w:rsidR="00325EB8" w:rsidRPr="00CE2A4C" w:rsidRDefault="00665DDE" w:rsidP="00325EB8">
            <w:pPr>
              <w:jc w:val="center"/>
              <w:rPr>
                <w:b/>
                <w:bCs/>
                <w:color w:val="000000" w:themeColor="text1"/>
                <w:sz w:val="25"/>
                <w:szCs w:val="25"/>
              </w:rPr>
            </w:pPr>
            <w:r w:rsidRPr="00CE2A4C">
              <w:rPr>
                <w:b/>
                <w:bCs/>
                <w:color w:val="000000" w:themeColor="text1"/>
                <w:sz w:val="25"/>
                <w:szCs w:val="25"/>
              </w:rPr>
              <w:t>Nội dung quy định</w:t>
            </w:r>
          </w:p>
          <w:p w14:paraId="5A1CCA31" w14:textId="77777777" w:rsidR="00325EB8" w:rsidRPr="00CE2A4C" w:rsidRDefault="00665DDE" w:rsidP="00325EB8">
            <w:pPr>
              <w:jc w:val="center"/>
              <w:rPr>
                <w:b/>
                <w:bCs/>
                <w:color w:val="000000" w:themeColor="text1"/>
                <w:sz w:val="25"/>
                <w:szCs w:val="25"/>
              </w:rPr>
            </w:pPr>
            <w:r w:rsidRPr="00CE2A4C">
              <w:rPr>
                <w:b/>
                <w:bCs/>
                <w:color w:val="000000" w:themeColor="text1"/>
                <w:sz w:val="25"/>
                <w:szCs w:val="25"/>
              </w:rPr>
              <w:t>được phản ánh mâu thuẫn,</w:t>
            </w:r>
          </w:p>
          <w:p w14:paraId="1D859750" w14:textId="77777777" w:rsidR="00665DDE" w:rsidRPr="00CE2A4C" w:rsidRDefault="00665DDE" w:rsidP="00325EB8">
            <w:pPr>
              <w:jc w:val="center"/>
              <w:rPr>
                <w:b/>
                <w:bCs/>
                <w:color w:val="000000" w:themeColor="text1"/>
                <w:sz w:val="25"/>
                <w:szCs w:val="25"/>
              </w:rPr>
            </w:pPr>
            <w:r w:rsidRPr="00CE2A4C">
              <w:rPr>
                <w:b/>
                <w:bCs/>
                <w:color w:val="000000" w:themeColor="text1"/>
                <w:sz w:val="25"/>
                <w:szCs w:val="25"/>
              </w:rPr>
              <w:t>chồng chéo</w:t>
            </w:r>
          </w:p>
        </w:tc>
        <w:tc>
          <w:tcPr>
            <w:tcW w:w="1559" w:type="dxa"/>
            <w:shd w:val="clear" w:color="auto" w:fill="F2DBDB" w:themeFill="accent2" w:themeFillTint="33"/>
          </w:tcPr>
          <w:p w14:paraId="290AA5EA" w14:textId="77777777" w:rsidR="00665DDE" w:rsidRPr="00CE2A4C" w:rsidRDefault="00665DDE" w:rsidP="00325EB8">
            <w:pPr>
              <w:jc w:val="center"/>
              <w:rPr>
                <w:b/>
                <w:bCs/>
                <w:color w:val="000000" w:themeColor="text1"/>
                <w:sz w:val="25"/>
                <w:szCs w:val="25"/>
              </w:rPr>
            </w:pPr>
            <w:r w:rsidRPr="00CE2A4C">
              <w:rPr>
                <w:b/>
                <w:bCs/>
                <w:color w:val="000000" w:themeColor="text1"/>
                <w:sz w:val="25"/>
                <w:szCs w:val="25"/>
              </w:rPr>
              <w:t>Phương án xử lý được đề xuất</w:t>
            </w:r>
          </w:p>
        </w:tc>
        <w:tc>
          <w:tcPr>
            <w:tcW w:w="1418" w:type="dxa"/>
            <w:shd w:val="clear" w:color="auto" w:fill="F2DBDB" w:themeFill="accent2" w:themeFillTint="33"/>
          </w:tcPr>
          <w:p w14:paraId="188BD149" w14:textId="77777777" w:rsidR="00665DDE" w:rsidRPr="00CE2A4C" w:rsidRDefault="00665DDE" w:rsidP="00325EB8">
            <w:pPr>
              <w:jc w:val="center"/>
              <w:rPr>
                <w:b/>
                <w:bCs/>
                <w:color w:val="000000" w:themeColor="text1"/>
                <w:sz w:val="25"/>
                <w:szCs w:val="25"/>
              </w:rPr>
            </w:pPr>
            <w:r w:rsidRPr="00CE2A4C">
              <w:rPr>
                <w:b/>
                <w:bCs/>
                <w:color w:val="000000" w:themeColor="text1"/>
                <w:sz w:val="25"/>
                <w:szCs w:val="25"/>
              </w:rPr>
              <w:t>Cơ quan, tổ chức</w:t>
            </w:r>
          </w:p>
          <w:p w14:paraId="46E897BD" w14:textId="77777777" w:rsidR="00665DDE" w:rsidRPr="00CE2A4C" w:rsidRDefault="00665DDE" w:rsidP="00325EB8">
            <w:pPr>
              <w:jc w:val="center"/>
              <w:rPr>
                <w:b/>
                <w:bCs/>
                <w:color w:val="000000" w:themeColor="text1"/>
                <w:sz w:val="25"/>
                <w:szCs w:val="25"/>
              </w:rPr>
            </w:pPr>
            <w:r w:rsidRPr="00CE2A4C">
              <w:rPr>
                <w:b/>
                <w:bCs/>
                <w:color w:val="000000" w:themeColor="text1"/>
                <w:sz w:val="25"/>
                <w:szCs w:val="25"/>
              </w:rPr>
              <w:t>rà soát, phản ánh</w:t>
            </w:r>
          </w:p>
        </w:tc>
        <w:tc>
          <w:tcPr>
            <w:tcW w:w="2835" w:type="dxa"/>
            <w:shd w:val="clear" w:color="auto" w:fill="F2DBDB" w:themeFill="accent2" w:themeFillTint="33"/>
          </w:tcPr>
          <w:p w14:paraId="64120CAB" w14:textId="77777777" w:rsidR="00665DDE" w:rsidRPr="00CE2A4C" w:rsidRDefault="00665DDE" w:rsidP="00325EB8">
            <w:pPr>
              <w:jc w:val="center"/>
              <w:rPr>
                <w:b/>
                <w:bCs/>
                <w:color w:val="000000" w:themeColor="text1"/>
                <w:sz w:val="25"/>
                <w:szCs w:val="25"/>
              </w:rPr>
            </w:pPr>
            <w:r w:rsidRPr="00CE2A4C">
              <w:rPr>
                <w:b/>
                <w:bCs/>
                <w:color w:val="000000" w:themeColor="text1"/>
                <w:sz w:val="25"/>
                <w:szCs w:val="25"/>
              </w:rPr>
              <w:t>Ý kiến của Bộ Nội vụ</w:t>
            </w:r>
          </w:p>
          <w:p w14:paraId="237CE240" w14:textId="77777777" w:rsidR="00665DDE" w:rsidRPr="00CE2A4C" w:rsidRDefault="00665DDE" w:rsidP="00325EB8">
            <w:pPr>
              <w:jc w:val="center"/>
              <w:rPr>
                <w:b/>
                <w:bCs/>
                <w:color w:val="000000" w:themeColor="text1"/>
                <w:sz w:val="25"/>
                <w:szCs w:val="25"/>
              </w:rPr>
            </w:pPr>
            <w:r w:rsidRPr="00CE2A4C">
              <w:rPr>
                <w:b/>
                <w:bCs/>
                <w:color w:val="000000" w:themeColor="text1"/>
                <w:sz w:val="25"/>
                <w:szCs w:val="25"/>
              </w:rPr>
              <w:t>về nội dung rà soát, phản ánh</w:t>
            </w:r>
          </w:p>
        </w:tc>
        <w:tc>
          <w:tcPr>
            <w:tcW w:w="2835" w:type="dxa"/>
            <w:shd w:val="clear" w:color="auto" w:fill="F2DBDB" w:themeFill="accent2" w:themeFillTint="33"/>
          </w:tcPr>
          <w:p w14:paraId="7274FF17" w14:textId="67C2C81A" w:rsidR="00665DDE" w:rsidRPr="00CE2A4C" w:rsidRDefault="00DE76FE" w:rsidP="00A50258">
            <w:pPr>
              <w:jc w:val="center"/>
              <w:rPr>
                <w:b/>
                <w:color w:val="000000" w:themeColor="text1"/>
              </w:rPr>
            </w:pPr>
            <w:r w:rsidRPr="00CE2A4C">
              <w:rPr>
                <w:b/>
                <w:bCs/>
                <w:color w:val="000000" w:themeColor="text1"/>
                <w:sz w:val="25"/>
                <w:szCs w:val="25"/>
              </w:rPr>
              <w:t xml:space="preserve">Tình hình xử lý </w:t>
            </w:r>
          </w:p>
        </w:tc>
      </w:tr>
      <w:tr w:rsidR="00665DDE" w:rsidRPr="00CE2A4C" w14:paraId="5E04B9F0" w14:textId="77777777" w:rsidTr="00C41A92">
        <w:tc>
          <w:tcPr>
            <w:tcW w:w="966" w:type="dxa"/>
            <w:vAlign w:val="center"/>
          </w:tcPr>
          <w:p w14:paraId="5C1EEF0C" w14:textId="77777777" w:rsidR="00665DDE" w:rsidRPr="00CE2A4C" w:rsidRDefault="00665DDE" w:rsidP="00665DDE">
            <w:pPr>
              <w:numPr>
                <w:ilvl w:val="0"/>
                <w:numId w:val="1"/>
              </w:numPr>
              <w:pBdr>
                <w:top w:val="nil"/>
                <w:left w:val="nil"/>
                <w:bottom w:val="nil"/>
                <w:right w:val="nil"/>
                <w:between w:val="nil"/>
              </w:pBdr>
              <w:spacing w:before="120" w:after="120" w:line="259" w:lineRule="auto"/>
              <w:jc w:val="center"/>
              <w:rPr>
                <w:color w:val="000000" w:themeColor="text1"/>
                <w:sz w:val="25"/>
                <w:szCs w:val="25"/>
              </w:rPr>
            </w:pPr>
          </w:p>
        </w:tc>
        <w:tc>
          <w:tcPr>
            <w:tcW w:w="1964" w:type="dxa"/>
            <w:vAlign w:val="center"/>
          </w:tcPr>
          <w:p w14:paraId="29C58E68" w14:textId="77777777" w:rsidR="00665DDE" w:rsidRPr="00CE2A4C" w:rsidRDefault="00665DDE" w:rsidP="00325EB8">
            <w:pPr>
              <w:spacing w:before="120" w:after="120"/>
              <w:jc w:val="both"/>
              <w:rPr>
                <w:color w:val="000000" w:themeColor="text1"/>
                <w:sz w:val="25"/>
                <w:szCs w:val="25"/>
              </w:rPr>
            </w:pPr>
            <w:r w:rsidRPr="00CE2A4C">
              <w:rPr>
                <w:color w:val="000000" w:themeColor="text1"/>
                <w:sz w:val="25"/>
                <w:szCs w:val="25"/>
              </w:rPr>
              <w:t>Khoản 2 Điều 16 Luật Bảo hiểm xã hội năm 2024</w:t>
            </w:r>
          </w:p>
        </w:tc>
        <w:tc>
          <w:tcPr>
            <w:tcW w:w="3827" w:type="dxa"/>
            <w:vAlign w:val="center"/>
          </w:tcPr>
          <w:p w14:paraId="1AF4E69A" w14:textId="77777777" w:rsidR="00665DDE" w:rsidRPr="00CE2A4C" w:rsidRDefault="00665DDE" w:rsidP="003F609A">
            <w:pPr>
              <w:spacing w:before="120" w:after="120"/>
              <w:jc w:val="both"/>
              <w:rPr>
                <w:color w:val="000000" w:themeColor="text1"/>
                <w:sz w:val="25"/>
                <w:szCs w:val="25"/>
              </w:rPr>
            </w:pPr>
            <w:r w:rsidRPr="00CE2A4C">
              <w:rPr>
                <w:color w:val="000000" w:themeColor="text1"/>
                <w:sz w:val="25"/>
                <w:szCs w:val="25"/>
              </w:rPr>
              <w:t>Tại khoản 2 Điều 16 Luật Bảo hiểm xã hội quy định: Chính phủ</w:t>
            </w:r>
            <w:r w:rsidR="00F50601" w:rsidRPr="00CE2A4C">
              <w:rPr>
                <w:color w:val="000000" w:themeColor="text1"/>
                <w:sz w:val="25"/>
                <w:szCs w:val="25"/>
              </w:rPr>
              <w:t>. Tuy nhiên, tại k</w:t>
            </w:r>
            <w:r w:rsidRPr="00CE2A4C">
              <w:rPr>
                <w:color w:val="000000" w:themeColor="text1"/>
                <w:sz w:val="25"/>
                <w:szCs w:val="25"/>
              </w:rPr>
              <w:t xml:space="preserve">hoản 35 Điều 3 Nghị định số 29/2025/NĐ-CP ngày 24/2/2025 của Chính phủ quy định Bảo hiểm xã hội Việt Nam là đơn vị thuộc Bộ Tài chính; Đồng thời, tại Điều 3 đã quy định: Bộ trưởng Bộ Tài chính quy định chức năng, nhiệm vụ, quyền hạn và cơ cấu tổ chức của các tổ chức, đơn vị thuộc Bộ Tài chính; quy định số lượng các đơn vị tham mưu, giúp việc của Chi cục và tương đương thuộc Cục và tương đương thuộc bộ; trình Thủ tướng Chính phủ ban hành danh sách các đơn vị sự nghiệp công lập khác thuộc bộ. Do vậy, cần bãi bỏ </w:t>
            </w:r>
            <w:r w:rsidRPr="00CE2A4C">
              <w:rPr>
                <w:color w:val="000000" w:themeColor="text1"/>
                <w:sz w:val="25"/>
                <w:szCs w:val="25"/>
              </w:rPr>
              <w:lastRenderedPageBreak/>
              <w:t>quy định tại khoản 2 Điều 16 Luật Bảo hiểm xã hội năm 2024.</w:t>
            </w:r>
          </w:p>
        </w:tc>
        <w:tc>
          <w:tcPr>
            <w:tcW w:w="1559" w:type="dxa"/>
            <w:vAlign w:val="center"/>
          </w:tcPr>
          <w:p w14:paraId="403F6BFA" w14:textId="77777777" w:rsidR="00665DDE" w:rsidRPr="00CE2A4C" w:rsidRDefault="00665DDE" w:rsidP="00325EB8">
            <w:pPr>
              <w:spacing w:before="120" w:after="120"/>
              <w:jc w:val="both"/>
              <w:rPr>
                <w:color w:val="000000" w:themeColor="text1"/>
                <w:sz w:val="25"/>
                <w:szCs w:val="25"/>
              </w:rPr>
            </w:pPr>
            <w:r w:rsidRPr="00CE2A4C">
              <w:rPr>
                <w:color w:val="000000" w:themeColor="text1"/>
                <w:sz w:val="25"/>
                <w:szCs w:val="25"/>
              </w:rPr>
              <w:lastRenderedPageBreak/>
              <w:t>C. Sửa đổi, bổ sung, thay thế, ban hành mới VBQPPL (theo trình tự, thủ tục rút gọn ban hành VBQPPL của Luật Ban hành VBQPPL)</w:t>
            </w:r>
          </w:p>
        </w:tc>
        <w:tc>
          <w:tcPr>
            <w:tcW w:w="1418" w:type="dxa"/>
            <w:vAlign w:val="center"/>
          </w:tcPr>
          <w:p w14:paraId="5C1E1AFA" w14:textId="77777777" w:rsidR="00665DDE" w:rsidRPr="00CE2A4C" w:rsidRDefault="00665DDE" w:rsidP="00665DDE">
            <w:pPr>
              <w:spacing w:before="120" w:after="120"/>
              <w:rPr>
                <w:color w:val="000000" w:themeColor="text1"/>
                <w:sz w:val="25"/>
                <w:szCs w:val="25"/>
              </w:rPr>
            </w:pPr>
            <w:r w:rsidRPr="00CE2A4C">
              <w:rPr>
                <w:color w:val="000000" w:themeColor="text1"/>
                <w:sz w:val="25"/>
                <w:szCs w:val="25"/>
              </w:rPr>
              <w:t>Bộ Nội vụ</w:t>
            </w:r>
          </w:p>
        </w:tc>
        <w:tc>
          <w:tcPr>
            <w:tcW w:w="2835" w:type="dxa"/>
            <w:vAlign w:val="center"/>
          </w:tcPr>
          <w:p w14:paraId="09FDDBC4" w14:textId="77777777" w:rsidR="00665DDE" w:rsidRPr="00CE2A4C" w:rsidRDefault="00665DDE" w:rsidP="00325EB8">
            <w:pPr>
              <w:spacing w:before="120" w:after="120"/>
              <w:jc w:val="both"/>
              <w:rPr>
                <w:color w:val="000000" w:themeColor="text1"/>
                <w:sz w:val="25"/>
                <w:szCs w:val="25"/>
                <w:lang w:val="vi-VN"/>
              </w:rPr>
            </w:pPr>
            <w:r w:rsidRPr="00CE2A4C">
              <w:rPr>
                <w:color w:val="000000" w:themeColor="text1"/>
                <w:sz w:val="25"/>
                <w:szCs w:val="25"/>
              </w:rPr>
              <w:t>Nhất trí đề xuất, nhưng không nhất trí phương án xử lý theo Nghị quyết 206</w:t>
            </w:r>
            <w:r w:rsidR="00B95C69" w:rsidRPr="00CE2A4C">
              <w:rPr>
                <w:color w:val="000000" w:themeColor="text1"/>
                <w:sz w:val="25"/>
                <w:szCs w:val="25"/>
                <w:lang w:val="vi-VN"/>
              </w:rPr>
              <w:t xml:space="preserve">. </w:t>
            </w:r>
            <w:r w:rsidRPr="00CE2A4C">
              <w:rPr>
                <w:color w:val="000000" w:themeColor="text1"/>
                <w:sz w:val="25"/>
                <w:szCs w:val="25"/>
              </w:rPr>
              <w:t>(bởi vì dự án Luật sửa đổi, bổ sung Luật Bảo hiểm xã hội dự kiến trình Quốc hội vào kỳ họp tháng 5/2026)</w:t>
            </w:r>
            <w:r w:rsidR="00B95C69" w:rsidRPr="00CE2A4C">
              <w:rPr>
                <w:color w:val="000000" w:themeColor="text1"/>
                <w:sz w:val="25"/>
                <w:szCs w:val="25"/>
                <w:lang w:val="vi-VN"/>
              </w:rPr>
              <w:t xml:space="preserve">. Đồng thời, hiện nay, việc thực hiện quy định tại khoản 35 Điều 3 Nghị định số 29/2025/NĐ-CP bảo đảm phù hợp với quy định tại khoản 2 Điều 4 Nghị quyết số 190/2025/QH15 ngày 19/02/2025 của Quốc hội quy định về xử lý một số vấn đề liên quan đến sắp </w:t>
            </w:r>
            <w:r w:rsidR="00B95C69" w:rsidRPr="00CE2A4C">
              <w:rPr>
                <w:color w:val="000000" w:themeColor="text1"/>
                <w:sz w:val="25"/>
                <w:szCs w:val="25"/>
                <w:lang w:val="vi-VN"/>
              </w:rPr>
              <w:lastRenderedPageBreak/>
              <w:t xml:space="preserve">xếp tổ chức bộ máy nhà nước </w:t>
            </w:r>
          </w:p>
        </w:tc>
        <w:tc>
          <w:tcPr>
            <w:tcW w:w="2835" w:type="dxa"/>
            <w:vAlign w:val="center"/>
          </w:tcPr>
          <w:p w14:paraId="214EF826" w14:textId="06114E90" w:rsidR="00665DDE" w:rsidRPr="004B3C43" w:rsidRDefault="004B3C43" w:rsidP="00325EB8">
            <w:pPr>
              <w:spacing w:before="120" w:after="120"/>
              <w:jc w:val="both"/>
              <w:rPr>
                <w:b/>
                <w:color w:val="000000" w:themeColor="text1"/>
                <w:sz w:val="25"/>
                <w:szCs w:val="25"/>
              </w:rPr>
            </w:pPr>
            <w:r w:rsidRPr="004B3C43">
              <w:rPr>
                <w:b/>
                <w:color w:val="000000" w:themeColor="text1"/>
                <w:sz w:val="25"/>
                <w:szCs w:val="25"/>
              </w:rPr>
              <w:lastRenderedPageBreak/>
              <w:t>Chưa xử lý:</w:t>
            </w:r>
          </w:p>
          <w:p w14:paraId="2EFC2211" w14:textId="77777777" w:rsidR="00836A03" w:rsidRPr="00836A03" w:rsidRDefault="00836A03" w:rsidP="00836A03">
            <w:pPr>
              <w:spacing w:before="120" w:after="120"/>
              <w:jc w:val="both"/>
              <w:rPr>
                <w:color w:val="FF0000"/>
                <w:sz w:val="25"/>
                <w:szCs w:val="25"/>
              </w:rPr>
            </w:pPr>
            <w:r w:rsidRPr="00836A03">
              <w:rPr>
                <w:color w:val="FF0000"/>
                <w:sz w:val="25"/>
                <w:szCs w:val="25"/>
              </w:rPr>
              <w:t>- Ngày 26/9/2025, Ủy ban Thường vụ Quốc hội ban hành Nghị quyết số 105/2025/UBTVQH15 về Chương trình lập pháp năm 2026, trong đó dự án Luật sửa đổi, bổ sung một số điều của Luật BHXH sẽ được Quốc hội xem xét, thông qua tại kỳ họp thứ nhất Quốc hội khoá XVI.</w:t>
            </w:r>
          </w:p>
          <w:p w14:paraId="6AE493BD" w14:textId="19B3BE12" w:rsidR="007B23D5" w:rsidRPr="00CE2A4C" w:rsidRDefault="00836A03" w:rsidP="00836A03">
            <w:pPr>
              <w:spacing w:before="120" w:after="120"/>
              <w:jc w:val="both"/>
              <w:rPr>
                <w:color w:val="000000" w:themeColor="text1"/>
                <w:sz w:val="25"/>
                <w:szCs w:val="25"/>
              </w:rPr>
            </w:pPr>
            <w:r w:rsidRPr="00836A03">
              <w:rPr>
                <w:color w:val="FF0000"/>
                <w:sz w:val="25"/>
                <w:szCs w:val="25"/>
              </w:rPr>
              <w:t xml:space="preserve">- Thực hiện nhiệm vụ được phân công tại Quyết định số 2352/QĐ-TTg ngày 24/10/2025 của Thủ tướng Chính phủ, ngày 14/11/2025, Bộ Nội vụ đẫ có văn bản số </w:t>
            </w:r>
            <w:r w:rsidRPr="00836A03">
              <w:rPr>
                <w:color w:val="FF0000"/>
                <w:sz w:val="25"/>
                <w:szCs w:val="25"/>
              </w:rPr>
              <w:lastRenderedPageBreak/>
              <w:t>10679/CTL&amp;BHXH-BHXH gửi xin ý kiến các Bộ, ngành cơ quan đối với hồ sơ dự án Luật.</w:t>
            </w:r>
          </w:p>
        </w:tc>
      </w:tr>
      <w:tr w:rsidR="00665DDE" w:rsidRPr="00CE2A4C" w14:paraId="7FDB1CE3" w14:textId="77777777" w:rsidTr="00C41A92">
        <w:tc>
          <w:tcPr>
            <w:tcW w:w="966" w:type="dxa"/>
            <w:vAlign w:val="center"/>
          </w:tcPr>
          <w:p w14:paraId="765E04D3" w14:textId="77777777" w:rsidR="00665DDE" w:rsidRPr="00CE2A4C" w:rsidRDefault="00665DDE" w:rsidP="00665DDE">
            <w:pPr>
              <w:numPr>
                <w:ilvl w:val="0"/>
                <w:numId w:val="1"/>
              </w:numPr>
              <w:pBdr>
                <w:top w:val="nil"/>
                <w:left w:val="nil"/>
                <w:bottom w:val="nil"/>
                <w:right w:val="nil"/>
                <w:between w:val="nil"/>
              </w:pBdr>
              <w:spacing w:before="120" w:after="120" w:line="259" w:lineRule="auto"/>
              <w:jc w:val="center"/>
              <w:rPr>
                <w:color w:val="000000" w:themeColor="text1"/>
                <w:sz w:val="25"/>
                <w:szCs w:val="25"/>
              </w:rPr>
            </w:pPr>
          </w:p>
        </w:tc>
        <w:tc>
          <w:tcPr>
            <w:tcW w:w="1964" w:type="dxa"/>
            <w:vAlign w:val="center"/>
          </w:tcPr>
          <w:p w14:paraId="0FEC0E4A" w14:textId="77777777" w:rsidR="00665DDE" w:rsidRPr="00CE2A4C" w:rsidRDefault="00665DDE" w:rsidP="00325EB8">
            <w:pPr>
              <w:spacing w:before="120" w:after="120"/>
              <w:jc w:val="both"/>
              <w:rPr>
                <w:color w:val="000000" w:themeColor="text1"/>
                <w:sz w:val="25"/>
                <w:szCs w:val="25"/>
              </w:rPr>
            </w:pPr>
            <w:r w:rsidRPr="00CE2A4C">
              <w:rPr>
                <w:color w:val="000000" w:themeColor="text1"/>
                <w:sz w:val="25"/>
                <w:szCs w:val="25"/>
              </w:rPr>
              <w:t>Khoản 1, 3, 4 Điều 136 Luật Bảo hiểm xã hội năm 2024</w:t>
            </w:r>
          </w:p>
        </w:tc>
        <w:tc>
          <w:tcPr>
            <w:tcW w:w="3827" w:type="dxa"/>
            <w:vAlign w:val="center"/>
          </w:tcPr>
          <w:p w14:paraId="6DECD544" w14:textId="77777777" w:rsidR="00665DDE" w:rsidRPr="00CE2A4C" w:rsidRDefault="00665DDE" w:rsidP="00325EB8">
            <w:pPr>
              <w:spacing w:before="120" w:after="120"/>
              <w:jc w:val="both"/>
              <w:rPr>
                <w:color w:val="000000" w:themeColor="text1"/>
                <w:sz w:val="25"/>
                <w:szCs w:val="25"/>
              </w:rPr>
            </w:pPr>
            <w:r w:rsidRPr="00CE2A4C">
              <w:rPr>
                <w:color w:val="000000" w:themeColor="text1"/>
                <w:sz w:val="25"/>
                <w:szCs w:val="25"/>
              </w:rPr>
              <w:t xml:space="preserve">Tại khoản 1, khoản 3, khoản 4 Điều 136 Luật Bảo hiểm xã hội năm 2024 quy định: Bộ Lao động – Thương binh và Xã hội (nay là Bộ Nội vụ) có trách nhiệm: xây dựng, trình cấp có thẩm quyền ban hành hoặc ban hành theo thẩm quyền chính sách, pháp luật về trợ cấp hưu trí xã hội; tuyên truyền, phổ biến, giáo dục pháp luật về trợ cấp hưu trí xã hội; chỉ đạo, hướng dẫn tổ chức thực hiện chính sách, pháp luật về trợ cấp hưu trí xã hội. Tuy nhiên, tại khoản 9 Điều 2 Nghị định số 42/2025/NĐ-CP ngày 27/2/2025 của Chính phủ quy định chức năng, nhiệm vụ, quyền hạn và cơ cấu tổ chức của Bộ Y tế thì Bộ Y tế có nhiệm vụ, quyền hạn về xây dựng, ban hành hoặc trình cấp có thẩm quyền ban hành văn bản quy phạm pháp luật, chính sách, chương trình, kế hoạch về trợ cấp hưu trí xã hội và chỉ đạo, hướng dẫn, tổ chức </w:t>
            </w:r>
            <w:r w:rsidRPr="00CE2A4C">
              <w:rPr>
                <w:color w:val="000000" w:themeColor="text1"/>
                <w:sz w:val="25"/>
                <w:szCs w:val="25"/>
              </w:rPr>
              <w:lastRenderedPageBreak/>
              <w:t>thực hiện chính sách, pháp luật về trợ cấp hưu trí xã hội. Do vậy, cần bãi bỏ các quy định về trách nhiệm của Bộ Lao động – Thương binh và Xã hội (nay là Bộ Nội vụ) về trợ cấp hưu trí xã hội tại Luật Bảo hiểm xã hội năm 2024.</w:t>
            </w:r>
          </w:p>
        </w:tc>
        <w:tc>
          <w:tcPr>
            <w:tcW w:w="1559" w:type="dxa"/>
            <w:vAlign w:val="center"/>
          </w:tcPr>
          <w:p w14:paraId="31BE8E3C" w14:textId="77777777" w:rsidR="00665DDE" w:rsidRPr="00CE2A4C" w:rsidRDefault="00665DDE" w:rsidP="00325EB8">
            <w:pPr>
              <w:spacing w:before="120" w:after="120"/>
              <w:jc w:val="both"/>
              <w:rPr>
                <w:color w:val="000000" w:themeColor="text1"/>
                <w:sz w:val="25"/>
                <w:szCs w:val="25"/>
              </w:rPr>
            </w:pPr>
            <w:r w:rsidRPr="00CE2A4C">
              <w:rPr>
                <w:color w:val="000000" w:themeColor="text1"/>
                <w:sz w:val="25"/>
                <w:szCs w:val="25"/>
              </w:rPr>
              <w:lastRenderedPageBreak/>
              <w:t>C. Sửa đổi, bổ sung, thay thế, ban hành mới VBQPPL (theo trình tự, thủ tục rút gọn ban hành VBQPPL của Luật Ban hành VBQPPL)</w:t>
            </w:r>
          </w:p>
        </w:tc>
        <w:tc>
          <w:tcPr>
            <w:tcW w:w="1418" w:type="dxa"/>
            <w:vAlign w:val="center"/>
          </w:tcPr>
          <w:p w14:paraId="76636970" w14:textId="77777777" w:rsidR="00665DDE" w:rsidRPr="00CE2A4C" w:rsidRDefault="00665DDE" w:rsidP="00665DDE">
            <w:pPr>
              <w:spacing w:before="120" w:after="120"/>
              <w:jc w:val="both"/>
              <w:rPr>
                <w:color w:val="000000" w:themeColor="text1"/>
                <w:sz w:val="25"/>
                <w:szCs w:val="25"/>
              </w:rPr>
            </w:pPr>
            <w:r w:rsidRPr="00CE2A4C">
              <w:rPr>
                <w:color w:val="000000" w:themeColor="text1"/>
                <w:sz w:val="25"/>
                <w:szCs w:val="25"/>
              </w:rPr>
              <w:t>Bộ Nội vụ</w:t>
            </w:r>
          </w:p>
        </w:tc>
        <w:tc>
          <w:tcPr>
            <w:tcW w:w="2835" w:type="dxa"/>
            <w:vAlign w:val="center"/>
          </w:tcPr>
          <w:p w14:paraId="5ED0DF21" w14:textId="77777777" w:rsidR="00665DDE" w:rsidRPr="00CE2A4C" w:rsidRDefault="00665DDE" w:rsidP="00325EB8">
            <w:pPr>
              <w:spacing w:before="120" w:after="120"/>
              <w:jc w:val="both"/>
              <w:rPr>
                <w:color w:val="000000" w:themeColor="text1"/>
                <w:sz w:val="25"/>
                <w:szCs w:val="25"/>
              </w:rPr>
            </w:pPr>
            <w:r w:rsidRPr="00CE2A4C">
              <w:rPr>
                <w:color w:val="000000" w:themeColor="text1"/>
                <w:sz w:val="25"/>
                <w:szCs w:val="25"/>
              </w:rPr>
              <w:t>Nhất trí đề xuất, nhưng không nhất trí phương án xử lý theo Nghị quyết 206 (bởi vì dự án Luật sửa đổi, bổ sung Luật Bảo hiểm xã hội dự kiến trình Quốc hội vào kỳ họp tháng 5/2026)</w:t>
            </w:r>
          </w:p>
          <w:p w14:paraId="0E0CCF21" w14:textId="77777777" w:rsidR="00665DDE" w:rsidRPr="00CE2A4C" w:rsidRDefault="00665DDE" w:rsidP="00325EB8">
            <w:pPr>
              <w:spacing w:before="120" w:after="120"/>
              <w:jc w:val="both"/>
              <w:rPr>
                <w:color w:val="000000" w:themeColor="text1"/>
                <w:sz w:val="25"/>
                <w:szCs w:val="25"/>
              </w:rPr>
            </w:pPr>
          </w:p>
        </w:tc>
        <w:tc>
          <w:tcPr>
            <w:tcW w:w="2835" w:type="dxa"/>
            <w:vAlign w:val="center"/>
          </w:tcPr>
          <w:p w14:paraId="31C155B6" w14:textId="77777777" w:rsidR="004B3C43" w:rsidRPr="004B3C43" w:rsidRDefault="004B3C43" w:rsidP="004B3C43">
            <w:pPr>
              <w:spacing w:before="120" w:after="120"/>
              <w:jc w:val="both"/>
              <w:rPr>
                <w:b/>
                <w:color w:val="000000" w:themeColor="text1"/>
                <w:sz w:val="25"/>
                <w:szCs w:val="25"/>
              </w:rPr>
            </w:pPr>
            <w:r w:rsidRPr="004B3C43">
              <w:rPr>
                <w:b/>
                <w:color w:val="000000" w:themeColor="text1"/>
                <w:sz w:val="25"/>
                <w:szCs w:val="25"/>
              </w:rPr>
              <w:t>Chưa xử lý:</w:t>
            </w:r>
          </w:p>
          <w:p w14:paraId="561CDD24" w14:textId="77777777" w:rsidR="00836A03" w:rsidRPr="00836A03" w:rsidRDefault="00836A03" w:rsidP="00836A03">
            <w:pPr>
              <w:spacing w:before="120" w:after="120"/>
              <w:jc w:val="both"/>
              <w:rPr>
                <w:color w:val="FF0000"/>
                <w:sz w:val="25"/>
                <w:szCs w:val="25"/>
              </w:rPr>
            </w:pPr>
            <w:r w:rsidRPr="00836A03">
              <w:rPr>
                <w:color w:val="FF0000"/>
                <w:sz w:val="25"/>
                <w:szCs w:val="25"/>
              </w:rPr>
              <w:t>- Ngày 26/9/2025, Ủy ban Thường vụ Quốc hội ban hành Nghị quyết số 105/2025/UBTVQH15 về Chương trình lập pháp năm 2026, trong đó dự án Luật sửa đổi, bổ sung một số điều của Luật BHXH sẽ được Quốc hội xem xét, thông qua tại kỳ họp thứ nhất Quốc hội khoá XVI.</w:t>
            </w:r>
          </w:p>
          <w:p w14:paraId="1C72EC2C" w14:textId="2C5C849F" w:rsidR="00665DDE" w:rsidRPr="00CE2A4C" w:rsidRDefault="00836A03" w:rsidP="00836A03">
            <w:pPr>
              <w:spacing w:before="120" w:after="120"/>
              <w:jc w:val="both"/>
              <w:rPr>
                <w:color w:val="000000" w:themeColor="text1"/>
                <w:sz w:val="25"/>
                <w:szCs w:val="25"/>
              </w:rPr>
            </w:pPr>
            <w:r w:rsidRPr="00836A03">
              <w:rPr>
                <w:color w:val="FF0000"/>
                <w:sz w:val="25"/>
                <w:szCs w:val="25"/>
              </w:rPr>
              <w:t xml:space="preserve">- Thực hiện nhiệm vụ được phân công tại Quyết định số 2352/QĐ-TTg ngày 24/10/2025 của Thủ tướng Chính phủ, ngày 14/11/2025, Bộ Nội vụ đẫ có văn bản số 10679/CTL&amp;BHXH-BHXH gửi xin ý kiến các </w:t>
            </w:r>
            <w:r w:rsidRPr="00836A03">
              <w:rPr>
                <w:color w:val="FF0000"/>
                <w:sz w:val="25"/>
                <w:szCs w:val="25"/>
              </w:rPr>
              <w:lastRenderedPageBreak/>
              <w:t>Bộ, ngành cơ quan đối với hồ sơ dự án Luật.</w:t>
            </w:r>
          </w:p>
        </w:tc>
      </w:tr>
      <w:tr w:rsidR="00361517" w:rsidRPr="00CE2A4C" w14:paraId="67B268F6" w14:textId="77777777" w:rsidTr="00C41A92">
        <w:tc>
          <w:tcPr>
            <w:tcW w:w="966" w:type="dxa"/>
            <w:vAlign w:val="center"/>
          </w:tcPr>
          <w:p w14:paraId="13F0268E" w14:textId="77777777" w:rsidR="00361517" w:rsidRPr="00CE2A4C" w:rsidRDefault="00361517" w:rsidP="00361517">
            <w:pPr>
              <w:numPr>
                <w:ilvl w:val="0"/>
                <w:numId w:val="1"/>
              </w:numPr>
              <w:pBdr>
                <w:top w:val="nil"/>
                <w:left w:val="nil"/>
                <w:bottom w:val="nil"/>
                <w:right w:val="nil"/>
                <w:between w:val="nil"/>
              </w:pBdr>
              <w:spacing w:before="120" w:after="120" w:line="259" w:lineRule="auto"/>
              <w:jc w:val="center"/>
              <w:rPr>
                <w:color w:val="000000" w:themeColor="text1"/>
                <w:sz w:val="25"/>
                <w:szCs w:val="25"/>
              </w:rPr>
            </w:pPr>
          </w:p>
        </w:tc>
        <w:tc>
          <w:tcPr>
            <w:tcW w:w="1964" w:type="dxa"/>
            <w:vAlign w:val="center"/>
          </w:tcPr>
          <w:p w14:paraId="7F03D340" w14:textId="77777777" w:rsidR="00361517" w:rsidRPr="00CE2A4C" w:rsidRDefault="00361517" w:rsidP="00361517">
            <w:pPr>
              <w:spacing w:before="120" w:after="120"/>
              <w:jc w:val="both"/>
              <w:rPr>
                <w:color w:val="000000" w:themeColor="text1"/>
                <w:sz w:val="25"/>
                <w:szCs w:val="25"/>
              </w:rPr>
            </w:pPr>
            <w:r w:rsidRPr="00CE2A4C">
              <w:rPr>
                <w:color w:val="000000" w:themeColor="text1"/>
                <w:sz w:val="25"/>
                <w:szCs w:val="25"/>
              </w:rPr>
              <w:t>Tại Khoản 1 Điều 16; khoản 5 Điều 17; khoản 5 Điều 136 và khoản 2, khoản 6 Điều 137 Luật Bảo hiểm xã hội năm 2024</w:t>
            </w:r>
          </w:p>
        </w:tc>
        <w:tc>
          <w:tcPr>
            <w:tcW w:w="3827" w:type="dxa"/>
            <w:vAlign w:val="center"/>
          </w:tcPr>
          <w:p w14:paraId="50CC2AE5" w14:textId="77777777" w:rsidR="00361517" w:rsidRPr="00CE2A4C" w:rsidRDefault="00361517" w:rsidP="00361517">
            <w:pPr>
              <w:spacing w:before="120" w:after="120"/>
              <w:jc w:val="both"/>
              <w:rPr>
                <w:color w:val="000000" w:themeColor="text1"/>
                <w:sz w:val="25"/>
                <w:szCs w:val="25"/>
              </w:rPr>
            </w:pPr>
            <w:r w:rsidRPr="00CE2A4C">
              <w:rPr>
                <w:color w:val="000000" w:themeColor="text1"/>
                <w:sz w:val="25"/>
                <w:szCs w:val="25"/>
              </w:rPr>
              <w:t xml:space="preserve">Tại Khoản 1 Điều 16 và khoản 5 Điều 17 quy định: cơ quan bảo hiểm xã hội có chức năng thanh tra chuyên ngành về đóng bảo hiểm xã hội, bảo hiểm thất nghiệp, bảo hiểm y tế. Khoản 5 Điều 136 quy định Bộ Lao động - Thương binh và Xã hội (nay là Bộ Nội vụ) có trách nhiệm thanh tra, xử lý vi phạm pháp luật về trợ cấp hưu trí xã hội, bảo hiểm xã hội bắt buộc, bảo hiểm xã hội tự nguyện. Khoản 2 và khoản 6 Điều 137 quy định Bộ Tài chính có trách nhiệm thanh tra, xử lý vi phạm pháp luật về quản lý tài chính bảo hiểm xã hội và thanh tra, xử lý vi phạm pháp luật về bảo hiểm hưu trí bổ sung. Tuy nhiên, tại Điều 7 Luật Thanh tra năm 2025 quy định cơ quan thanh tra gồm: (i) Thanh tra Chính phủ; (ii) </w:t>
            </w:r>
            <w:r w:rsidRPr="00CE2A4C">
              <w:rPr>
                <w:color w:val="000000" w:themeColor="text1"/>
                <w:sz w:val="25"/>
                <w:szCs w:val="25"/>
              </w:rPr>
              <w:lastRenderedPageBreak/>
              <w:t>Thanh tra tỉnh, thành phố (sau đây gọi chung là Thanh tra tỉnh); (iii) Cơ quan thanh tra trong Quân đội nhân dân, Công an nhân dân, Ngân hàng Nhà nước Việt Nam, bao gồm Thanh tra Bộ Quốc phòng, Thanh tra Bộ Công an, Thanh tra Ngân hàng Nhà nước và các cơ quan thanh tra khác trong Quân đội nhân dân, Công an nhân dân, Ngân hàng Nhà nước Việt Nam theo quy định của Chính phủ; (iv) Thanh tra Cơ yếu; cơ quan thanh tra được thành lập theo điều ước quốc tế mà nước Cộng hòa xã hội chủ nghĩa Việt Nam là thành viên; không có quy định thanh tra tại các Bộ, ngành. Do vậy, cần thiết phải bỏ các quy định về thanh tra trong lĩnh vực bảo hiểm xã hội của các Bộ ngành, Bảo hiểm xã hội Việt Nam tại Luật Bảo hiểm xã hội năm 2024.</w:t>
            </w:r>
          </w:p>
        </w:tc>
        <w:tc>
          <w:tcPr>
            <w:tcW w:w="1559" w:type="dxa"/>
            <w:vAlign w:val="center"/>
          </w:tcPr>
          <w:p w14:paraId="43967BB7" w14:textId="77777777" w:rsidR="00361517" w:rsidRPr="00CE2A4C" w:rsidRDefault="00361517" w:rsidP="00361517">
            <w:pPr>
              <w:spacing w:before="120" w:after="120"/>
              <w:jc w:val="both"/>
              <w:rPr>
                <w:color w:val="000000" w:themeColor="text1"/>
                <w:sz w:val="25"/>
                <w:szCs w:val="25"/>
              </w:rPr>
            </w:pPr>
            <w:r w:rsidRPr="00CE2A4C">
              <w:rPr>
                <w:color w:val="000000" w:themeColor="text1"/>
                <w:sz w:val="25"/>
                <w:szCs w:val="25"/>
              </w:rPr>
              <w:lastRenderedPageBreak/>
              <w:t>C. Sửa đổi, bổ sung, thay thế, ban hành mới VBQPPL (theo trình tự, thủ tục rút gọn ban hành VBQPPL của Luật Ban hành VBQPPL)</w:t>
            </w:r>
          </w:p>
        </w:tc>
        <w:tc>
          <w:tcPr>
            <w:tcW w:w="1418" w:type="dxa"/>
            <w:vAlign w:val="center"/>
          </w:tcPr>
          <w:p w14:paraId="7F15043A" w14:textId="77777777" w:rsidR="00361517" w:rsidRPr="00CE2A4C" w:rsidRDefault="00361517" w:rsidP="00361517">
            <w:pPr>
              <w:spacing w:before="120" w:after="120"/>
              <w:jc w:val="both"/>
              <w:rPr>
                <w:color w:val="000000" w:themeColor="text1"/>
                <w:sz w:val="25"/>
                <w:szCs w:val="25"/>
              </w:rPr>
            </w:pPr>
            <w:r w:rsidRPr="00CE2A4C">
              <w:rPr>
                <w:color w:val="000000" w:themeColor="text1"/>
                <w:sz w:val="25"/>
                <w:szCs w:val="25"/>
              </w:rPr>
              <w:t>Bộ Nội vụ</w:t>
            </w:r>
          </w:p>
        </w:tc>
        <w:tc>
          <w:tcPr>
            <w:tcW w:w="2835" w:type="dxa"/>
            <w:vAlign w:val="center"/>
          </w:tcPr>
          <w:p w14:paraId="645022B9" w14:textId="77777777" w:rsidR="00361517" w:rsidRPr="00CE2A4C" w:rsidRDefault="00361517" w:rsidP="00361517">
            <w:pPr>
              <w:spacing w:before="120" w:after="120"/>
              <w:jc w:val="both"/>
              <w:rPr>
                <w:color w:val="000000" w:themeColor="text1"/>
                <w:sz w:val="25"/>
                <w:szCs w:val="25"/>
              </w:rPr>
            </w:pPr>
            <w:r w:rsidRPr="00CE2A4C">
              <w:rPr>
                <w:color w:val="000000" w:themeColor="text1"/>
                <w:sz w:val="25"/>
                <w:szCs w:val="25"/>
              </w:rPr>
              <w:t>Nhất trí đề xuất, nhưng không nhất trí phương án xử lý theo Nghị quyết 206 (bởi vì dự án Luật sửa đổi, bổ sung Luật Bảo hiểm xã hội dự kiến trình Quốc hội vào kỳ họp tháng 5/2026)</w:t>
            </w:r>
          </w:p>
          <w:p w14:paraId="71510492" w14:textId="77777777" w:rsidR="00361517" w:rsidRPr="00CE2A4C" w:rsidRDefault="00361517" w:rsidP="00361517">
            <w:pPr>
              <w:spacing w:before="120" w:after="120"/>
              <w:jc w:val="both"/>
              <w:rPr>
                <w:color w:val="000000" w:themeColor="text1"/>
                <w:sz w:val="25"/>
                <w:szCs w:val="25"/>
              </w:rPr>
            </w:pPr>
          </w:p>
        </w:tc>
        <w:tc>
          <w:tcPr>
            <w:tcW w:w="2835" w:type="dxa"/>
            <w:vAlign w:val="center"/>
          </w:tcPr>
          <w:p w14:paraId="21CEF23B" w14:textId="77777777" w:rsidR="004B3C43" w:rsidRPr="004B3C43" w:rsidRDefault="004B3C43" w:rsidP="004B3C43">
            <w:pPr>
              <w:spacing w:before="120" w:after="120"/>
              <w:jc w:val="both"/>
              <w:rPr>
                <w:b/>
                <w:color w:val="000000" w:themeColor="text1"/>
                <w:sz w:val="25"/>
                <w:szCs w:val="25"/>
              </w:rPr>
            </w:pPr>
            <w:r w:rsidRPr="004B3C43">
              <w:rPr>
                <w:b/>
                <w:color w:val="000000" w:themeColor="text1"/>
                <w:sz w:val="25"/>
                <w:szCs w:val="25"/>
              </w:rPr>
              <w:t>Chưa xử lý:</w:t>
            </w:r>
          </w:p>
          <w:p w14:paraId="060E9033" w14:textId="77777777" w:rsidR="00836A03" w:rsidRPr="00836A03" w:rsidRDefault="00836A03" w:rsidP="00836A03">
            <w:pPr>
              <w:spacing w:before="120" w:after="120"/>
              <w:jc w:val="both"/>
              <w:rPr>
                <w:color w:val="FF0000"/>
                <w:sz w:val="25"/>
                <w:szCs w:val="25"/>
              </w:rPr>
            </w:pPr>
            <w:r w:rsidRPr="00836A03">
              <w:rPr>
                <w:color w:val="FF0000"/>
                <w:sz w:val="25"/>
                <w:szCs w:val="25"/>
              </w:rPr>
              <w:t>- Ngày 26/9/2025, Ủy ban Thường vụ Quốc hội ban hành Nghị quyết số 105/2025/UBTVQH15 về Chương trình lập pháp năm 2026, trong đó dự án Luật sửa đổi, bổ sung một số điều của Luật BHXH sẽ được Quốc hội xem xét, thông qua tại kỳ họp thứ nhất Quốc hội khoá XVI.</w:t>
            </w:r>
          </w:p>
          <w:p w14:paraId="4C294E6C" w14:textId="77BEB257" w:rsidR="00361517" w:rsidRPr="00CE2A4C" w:rsidRDefault="00836A03" w:rsidP="00836A03">
            <w:pPr>
              <w:spacing w:before="120" w:after="120"/>
              <w:jc w:val="both"/>
              <w:rPr>
                <w:color w:val="000000" w:themeColor="text1"/>
                <w:sz w:val="25"/>
                <w:szCs w:val="25"/>
              </w:rPr>
            </w:pPr>
            <w:r w:rsidRPr="00836A03">
              <w:rPr>
                <w:color w:val="FF0000"/>
                <w:sz w:val="25"/>
                <w:szCs w:val="25"/>
              </w:rPr>
              <w:t xml:space="preserve">- Thực hiện nhiệm vụ được phân công tại Quyết định số 2352/QĐ-TTg ngày 24/10/2025 của Thủ tướng Chính phủ, ngày 14/11/2025, Bộ Nội vụ đẫ có văn bản số </w:t>
            </w:r>
            <w:r w:rsidRPr="00836A03">
              <w:rPr>
                <w:color w:val="FF0000"/>
                <w:sz w:val="25"/>
                <w:szCs w:val="25"/>
              </w:rPr>
              <w:lastRenderedPageBreak/>
              <w:t>10679/CTL&amp;BHXH-BHXH gửi xin ý kiến các Bộ, ngành cơ quan đối với hồ sơ dự án Luật.</w:t>
            </w:r>
          </w:p>
        </w:tc>
      </w:tr>
      <w:tr w:rsidR="00665DDE" w:rsidRPr="00CE2A4C" w14:paraId="73CD3770" w14:textId="77777777" w:rsidTr="00C41A92">
        <w:tc>
          <w:tcPr>
            <w:tcW w:w="966" w:type="dxa"/>
            <w:vAlign w:val="center"/>
          </w:tcPr>
          <w:p w14:paraId="42719C81" w14:textId="77777777" w:rsidR="00665DDE" w:rsidRPr="00CE2A4C" w:rsidRDefault="00665DDE" w:rsidP="00665DDE">
            <w:pPr>
              <w:numPr>
                <w:ilvl w:val="0"/>
                <w:numId w:val="1"/>
              </w:numPr>
              <w:pBdr>
                <w:top w:val="nil"/>
                <w:left w:val="nil"/>
                <w:bottom w:val="nil"/>
                <w:right w:val="nil"/>
                <w:between w:val="nil"/>
              </w:pBdr>
              <w:spacing w:before="120" w:after="120" w:line="259" w:lineRule="auto"/>
              <w:jc w:val="center"/>
              <w:rPr>
                <w:color w:val="000000" w:themeColor="text1"/>
                <w:sz w:val="25"/>
                <w:szCs w:val="25"/>
              </w:rPr>
            </w:pPr>
          </w:p>
        </w:tc>
        <w:tc>
          <w:tcPr>
            <w:tcW w:w="1964" w:type="dxa"/>
            <w:vAlign w:val="center"/>
          </w:tcPr>
          <w:p w14:paraId="1B8DD35D" w14:textId="77777777" w:rsidR="00665DDE" w:rsidRPr="00CE2A4C" w:rsidRDefault="00665DDE" w:rsidP="00325EB8">
            <w:pPr>
              <w:jc w:val="both"/>
              <w:rPr>
                <w:rFonts w:eastAsia="Times"/>
                <w:color w:val="000000" w:themeColor="text1"/>
                <w:sz w:val="25"/>
                <w:szCs w:val="25"/>
              </w:rPr>
            </w:pPr>
            <w:r w:rsidRPr="00CE2A4C">
              <w:rPr>
                <w:rFonts w:eastAsia="Times"/>
                <w:color w:val="000000" w:themeColor="text1"/>
                <w:sz w:val="25"/>
                <w:szCs w:val="25"/>
              </w:rPr>
              <w:t xml:space="preserve">- Điểm c khoản 2 Điều 15 Luật Tổ chức chính quyền địa phương - Khoản 2 Điều 67 Nghị định </w:t>
            </w:r>
            <w:r w:rsidRPr="00CE2A4C">
              <w:rPr>
                <w:rFonts w:eastAsia="Times"/>
                <w:color w:val="000000" w:themeColor="text1"/>
                <w:sz w:val="25"/>
                <w:szCs w:val="25"/>
              </w:rPr>
              <w:lastRenderedPageBreak/>
              <w:t>35/2022/NĐ-CP - Điểm a khoản 2 Điều 7 Nghị định số 118/2025/NĐ-CP</w:t>
            </w:r>
          </w:p>
        </w:tc>
        <w:tc>
          <w:tcPr>
            <w:tcW w:w="3827" w:type="dxa"/>
            <w:vAlign w:val="center"/>
          </w:tcPr>
          <w:p w14:paraId="2AF249BD" w14:textId="77777777" w:rsidR="00665DDE" w:rsidRPr="00CE2A4C" w:rsidRDefault="00665DDE" w:rsidP="00325EB8">
            <w:pPr>
              <w:jc w:val="both"/>
              <w:rPr>
                <w:rFonts w:eastAsia="Times"/>
                <w:color w:val="000000" w:themeColor="text1"/>
                <w:sz w:val="25"/>
                <w:szCs w:val="25"/>
              </w:rPr>
            </w:pPr>
            <w:r w:rsidRPr="00CE2A4C">
              <w:rPr>
                <w:rFonts w:eastAsia="Times"/>
                <w:color w:val="000000" w:themeColor="text1"/>
                <w:sz w:val="25"/>
                <w:szCs w:val="25"/>
              </w:rPr>
              <w:lastRenderedPageBreak/>
              <w:t xml:space="preserve">Điểm c khoản 2 Điều 15 Luật Tổ chức chính quyền địa phương ngày 16/6/2025 quy định trách nhiệm của HĐND tỉnh: “Quyết định thành lập, tổ chức lại, thay đổi tên gọi, giải thể cơ quan chuyên môn, tổ chức hành </w:t>
            </w:r>
            <w:r w:rsidRPr="00CE2A4C">
              <w:rPr>
                <w:rFonts w:eastAsia="Times"/>
                <w:color w:val="000000" w:themeColor="text1"/>
                <w:sz w:val="25"/>
                <w:szCs w:val="25"/>
              </w:rPr>
              <w:lastRenderedPageBreak/>
              <w:t xml:space="preserve">chính khác thuộc Ủy ban nhân dân cùng cấp theo quy định của pháp luật”. Tuy nhiên, tại khoản 2 Điều 67 Nghị định 35/2022/NĐ-CP ngày 28/5/2022 quy định về quản lý khu công nghiệp và khu kinh tế quy định: “Ban quản lý khu công nghiệp, khu kinh tế do Thủ tướng Chính phủ quyết định thành lập; chịu sự chỉ đạo và quản lý về tổ chức, biên chế, chương trình kế hoạch công tác và kinh phí hoạt động của Ủy ban nhân dân cấp tỉnh;” và tại điểm a khoản 2 Điều 7 Nghị định số 118/2025/NĐ-CP ngày 09/6/2025 của Chính phủ quy định về thực hiện thủ tục hành chính theo cơ chế một cửa, một cửa liên thông tại bộ phận một cửa và cổng dịch vụ công quốc gia quy định: “Ủy ban nhân dân cấp tỉnh quyết định thành lập Trung tâm Phục vụ hành chính công cấp tỉnh là tổ chức hành chính thuộc Văn phòng Ủy ban nhân dân cấp tỉnh, có con dấu và tài khoản riêng để thực hiện nhiệm vụ, quyền hạn được giao”. Các quy định nêu trên chưa đảm bảo </w:t>
            </w:r>
            <w:r w:rsidRPr="00CE2A4C">
              <w:rPr>
                <w:rFonts w:eastAsia="Times"/>
                <w:color w:val="000000" w:themeColor="text1"/>
                <w:sz w:val="25"/>
                <w:szCs w:val="25"/>
              </w:rPr>
              <w:lastRenderedPageBreak/>
              <w:t>thống nhất trong thành lập tổ chức hành chính.</w:t>
            </w:r>
          </w:p>
        </w:tc>
        <w:tc>
          <w:tcPr>
            <w:tcW w:w="1559" w:type="dxa"/>
            <w:vAlign w:val="center"/>
          </w:tcPr>
          <w:p w14:paraId="2C039EEB" w14:textId="77777777" w:rsidR="00665DDE" w:rsidRPr="00CE2A4C" w:rsidRDefault="00665DDE" w:rsidP="00325EB8">
            <w:pPr>
              <w:jc w:val="both"/>
              <w:rPr>
                <w:rFonts w:eastAsia="Times"/>
                <w:color w:val="000000" w:themeColor="text1"/>
                <w:sz w:val="25"/>
                <w:szCs w:val="25"/>
              </w:rPr>
            </w:pPr>
            <w:r w:rsidRPr="00CE2A4C">
              <w:rPr>
                <w:rFonts w:eastAsia="Times"/>
                <w:color w:val="000000" w:themeColor="text1"/>
                <w:sz w:val="25"/>
                <w:szCs w:val="25"/>
              </w:rPr>
              <w:lastRenderedPageBreak/>
              <w:t xml:space="preserve">C. Sửa đổi, bổ sung, thay thế, ban hành mới VBQPPL (theo trình </w:t>
            </w:r>
            <w:r w:rsidRPr="00CE2A4C">
              <w:rPr>
                <w:rFonts w:eastAsia="Times"/>
                <w:color w:val="000000" w:themeColor="text1"/>
                <w:sz w:val="25"/>
                <w:szCs w:val="25"/>
              </w:rPr>
              <w:lastRenderedPageBreak/>
              <w:t>tự, thủ tục rút gọn ban hành VBQPPL của Luật Ban hành VBQPPL)</w:t>
            </w:r>
          </w:p>
        </w:tc>
        <w:tc>
          <w:tcPr>
            <w:tcW w:w="1418" w:type="dxa"/>
            <w:vAlign w:val="center"/>
          </w:tcPr>
          <w:p w14:paraId="21F46D3F" w14:textId="77777777" w:rsidR="00665DDE" w:rsidRPr="00CE2A4C" w:rsidRDefault="00665DDE" w:rsidP="00665DDE">
            <w:pPr>
              <w:rPr>
                <w:rFonts w:eastAsia="Times"/>
                <w:color w:val="000000" w:themeColor="text1"/>
                <w:sz w:val="25"/>
                <w:szCs w:val="25"/>
              </w:rPr>
            </w:pPr>
            <w:r w:rsidRPr="00CE2A4C">
              <w:rPr>
                <w:rFonts w:eastAsia="Times"/>
                <w:color w:val="000000" w:themeColor="text1"/>
                <w:sz w:val="25"/>
                <w:szCs w:val="25"/>
              </w:rPr>
              <w:lastRenderedPageBreak/>
              <w:t>Sở Tư pháp tỉnh Đồng Tháp</w:t>
            </w:r>
          </w:p>
        </w:tc>
        <w:tc>
          <w:tcPr>
            <w:tcW w:w="2835" w:type="dxa"/>
            <w:vAlign w:val="center"/>
          </w:tcPr>
          <w:p w14:paraId="390FD57D" w14:textId="77777777" w:rsidR="00665DDE" w:rsidRPr="00CE2A4C" w:rsidRDefault="00665DDE" w:rsidP="00325EB8">
            <w:pPr>
              <w:ind w:left="60" w:right="60"/>
              <w:jc w:val="both"/>
              <w:rPr>
                <w:rFonts w:eastAsia="Times"/>
                <w:color w:val="000000" w:themeColor="text1"/>
                <w:sz w:val="25"/>
                <w:szCs w:val="25"/>
              </w:rPr>
            </w:pPr>
            <w:r w:rsidRPr="00CE2A4C">
              <w:rPr>
                <w:rFonts w:eastAsia="Times"/>
                <w:color w:val="000000" w:themeColor="text1"/>
                <w:sz w:val="25"/>
                <w:szCs w:val="25"/>
              </w:rPr>
              <w:t>Nhất trí với nội dung phản ánh. Tuy nhiên, đây không phải điểm nghẽn vì đã được dự liệu bằng nguyên tắc xử lý văn bản tại Luật TCCQĐP.</w:t>
            </w:r>
          </w:p>
          <w:p w14:paraId="2F7E00D1" w14:textId="77777777" w:rsidR="00665DDE" w:rsidRPr="00CE2A4C" w:rsidRDefault="00665DDE" w:rsidP="00325EB8">
            <w:pPr>
              <w:ind w:left="60" w:right="60"/>
              <w:jc w:val="both"/>
              <w:rPr>
                <w:rFonts w:eastAsia="Times"/>
                <w:color w:val="000000" w:themeColor="text1"/>
                <w:sz w:val="25"/>
                <w:szCs w:val="25"/>
              </w:rPr>
            </w:pPr>
            <w:r w:rsidRPr="00CE2A4C">
              <w:rPr>
                <w:rFonts w:eastAsia="Times"/>
                <w:color w:val="000000" w:themeColor="text1"/>
                <w:sz w:val="25"/>
                <w:szCs w:val="25"/>
              </w:rPr>
              <w:lastRenderedPageBreak/>
              <w:t>Tại Công văn số 14/CV-BCĐ ngày 16/7/2025 của BCĐ sắp xếp ĐVHC các cấp và xây dựng mô hình tổ chức CQĐP 02 cấp của Chính phủ đã giao Bộ Nội vụ chủ trì phối hợp với các Bộ, ngành có liên quan hướng dẫn cụ thể, rõ về thẩm quyền quyết định thành lập Trung tâm phục vụ hành chính công để áp dụng thống nhất, bảo đảm phù hợp, thống nhất với quy định của Luật Tổ chức chính quyền địa phương số 72/2025/QH15.</w:t>
            </w:r>
          </w:p>
          <w:p w14:paraId="0FF214B1" w14:textId="77777777" w:rsidR="00665DDE" w:rsidRPr="00CE2A4C" w:rsidRDefault="00665DDE" w:rsidP="00325EB8">
            <w:pPr>
              <w:jc w:val="both"/>
              <w:rPr>
                <w:rFonts w:eastAsia="Times"/>
                <w:color w:val="000000" w:themeColor="text1"/>
                <w:sz w:val="25"/>
                <w:szCs w:val="25"/>
              </w:rPr>
            </w:pPr>
          </w:p>
        </w:tc>
        <w:tc>
          <w:tcPr>
            <w:tcW w:w="2835" w:type="dxa"/>
            <w:vAlign w:val="center"/>
          </w:tcPr>
          <w:p w14:paraId="22AF1059" w14:textId="0A88FF62" w:rsidR="00B06A70" w:rsidRPr="004B3C43" w:rsidRDefault="004B3C43" w:rsidP="00B06A70">
            <w:pPr>
              <w:jc w:val="both"/>
              <w:rPr>
                <w:rFonts w:eastAsia="Times"/>
                <w:b/>
                <w:color w:val="000000" w:themeColor="text1"/>
                <w:sz w:val="25"/>
                <w:szCs w:val="25"/>
              </w:rPr>
            </w:pPr>
            <w:r w:rsidRPr="004B3C43">
              <w:rPr>
                <w:rFonts w:eastAsia="Times"/>
                <w:b/>
                <w:color w:val="000000" w:themeColor="text1"/>
                <w:sz w:val="25"/>
                <w:szCs w:val="25"/>
              </w:rPr>
              <w:lastRenderedPageBreak/>
              <w:t>Đ</w:t>
            </w:r>
            <w:r w:rsidR="00B06A70" w:rsidRPr="004B3C43">
              <w:rPr>
                <w:rFonts w:eastAsia="Times"/>
                <w:b/>
                <w:color w:val="000000" w:themeColor="text1"/>
                <w:sz w:val="25"/>
                <w:szCs w:val="25"/>
              </w:rPr>
              <w:t>ã xử</w:t>
            </w:r>
            <w:r w:rsidRPr="004B3C43">
              <w:rPr>
                <w:rFonts w:eastAsia="Times"/>
                <w:b/>
                <w:color w:val="000000" w:themeColor="text1"/>
                <w:sz w:val="25"/>
                <w:szCs w:val="25"/>
              </w:rPr>
              <w:t xml:space="preserve"> lý:</w:t>
            </w:r>
          </w:p>
          <w:p w14:paraId="5BBBECB8" w14:textId="4F76BB37" w:rsidR="00B06A70" w:rsidRPr="00E826A5" w:rsidRDefault="006B5446" w:rsidP="00B06A70">
            <w:pPr>
              <w:jc w:val="both"/>
              <w:rPr>
                <w:rFonts w:eastAsia="Times"/>
                <w:color w:val="000000" w:themeColor="text1"/>
                <w:sz w:val="25"/>
                <w:szCs w:val="25"/>
              </w:rPr>
            </w:pPr>
            <w:r w:rsidRPr="00E826A5">
              <w:rPr>
                <w:color w:val="000000" w:themeColor="text1"/>
                <w:sz w:val="25"/>
                <w:szCs w:val="25"/>
              </w:rPr>
              <w:t xml:space="preserve">Ngày 04/8/2025, Văn phòng Chính phủ đã có Văn bản số 7216/VPCPKSTT hướng dẫn về việc tổ chức Trung </w:t>
            </w:r>
            <w:r w:rsidRPr="00E826A5">
              <w:rPr>
                <w:color w:val="000000" w:themeColor="text1"/>
                <w:sz w:val="25"/>
                <w:szCs w:val="25"/>
              </w:rPr>
              <w:lastRenderedPageBreak/>
              <w:t>tâm Phục vụ hành chính công để giải quyết, tháo gỡ vướng mắc liên quan đến thẩm quyền thành lập Trung tâm hành chính công.</w:t>
            </w:r>
          </w:p>
          <w:p w14:paraId="551077B5" w14:textId="48C73A09" w:rsidR="00B06A70" w:rsidRPr="00E826A5" w:rsidRDefault="00B06A70" w:rsidP="00325EB8">
            <w:pPr>
              <w:jc w:val="both"/>
              <w:rPr>
                <w:rFonts w:eastAsia="Times"/>
                <w:color w:val="000000" w:themeColor="text1"/>
                <w:sz w:val="25"/>
                <w:szCs w:val="25"/>
              </w:rPr>
            </w:pPr>
          </w:p>
        </w:tc>
      </w:tr>
      <w:tr w:rsidR="00707FAA" w:rsidRPr="00CE2A4C" w14:paraId="35290F11" w14:textId="77777777" w:rsidTr="00C41A92">
        <w:tc>
          <w:tcPr>
            <w:tcW w:w="966" w:type="dxa"/>
            <w:vAlign w:val="center"/>
          </w:tcPr>
          <w:p w14:paraId="22D4B7FA" w14:textId="77777777" w:rsidR="00707FAA" w:rsidRPr="00CE2A4C" w:rsidRDefault="00707FAA" w:rsidP="00707FAA">
            <w:pPr>
              <w:numPr>
                <w:ilvl w:val="0"/>
                <w:numId w:val="1"/>
              </w:numPr>
              <w:pBdr>
                <w:top w:val="nil"/>
                <w:left w:val="nil"/>
                <w:bottom w:val="nil"/>
                <w:right w:val="nil"/>
                <w:between w:val="nil"/>
              </w:pBdr>
              <w:spacing w:before="120" w:after="120" w:line="259" w:lineRule="auto"/>
              <w:jc w:val="center"/>
              <w:rPr>
                <w:color w:val="000000" w:themeColor="text1"/>
                <w:sz w:val="25"/>
                <w:szCs w:val="25"/>
              </w:rPr>
            </w:pPr>
          </w:p>
        </w:tc>
        <w:tc>
          <w:tcPr>
            <w:tcW w:w="1964" w:type="dxa"/>
            <w:vAlign w:val="center"/>
          </w:tcPr>
          <w:p w14:paraId="55A2C810" w14:textId="77777777" w:rsidR="00707FAA" w:rsidRPr="00CE2A4C" w:rsidRDefault="00707FAA" w:rsidP="00707FAA">
            <w:pPr>
              <w:spacing w:before="120" w:after="120"/>
              <w:jc w:val="both"/>
              <w:rPr>
                <w:color w:val="000000" w:themeColor="text1"/>
                <w:sz w:val="25"/>
                <w:szCs w:val="25"/>
              </w:rPr>
            </w:pPr>
            <w:r w:rsidRPr="00CE2A4C">
              <w:rPr>
                <w:color w:val="000000" w:themeColor="text1"/>
                <w:sz w:val="25"/>
                <w:szCs w:val="25"/>
              </w:rPr>
              <w:t>Khoản 2, Điều 14, Nghị định số 128/2025/NĐ-CP</w:t>
            </w:r>
          </w:p>
        </w:tc>
        <w:tc>
          <w:tcPr>
            <w:tcW w:w="3827" w:type="dxa"/>
            <w:vAlign w:val="center"/>
          </w:tcPr>
          <w:p w14:paraId="60E1EA46" w14:textId="77777777" w:rsidR="00707FAA" w:rsidRPr="00CE2A4C" w:rsidRDefault="00707FAA" w:rsidP="00707FAA">
            <w:pPr>
              <w:spacing w:before="120" w:after="120"/>
              <w:jc w:val="both"/>
              <w:rPr>
                <w:color w:val="000000" w:themeColor="text1"/>
                <w:sz w:val="25"/>
                <w:szCs w:val="25"/>
              </w:rPr>
            </w:pPr>
            <w:r w:rsidRPr="00CE2A4C">
              <w:rPr>
                <w:color w:val="000000" w:themeColor="text1"/>
                <w:sz w:val="25"/>
                <w:szCs w:val="25"/>
              </w:rPr>
              <w:t xml:space="preserve">- Khoản 2, Điều 14, Nghị định số 128/2025/NĐ-CP ngày 11/6/2025 quy định về phân quyền, phân cấp trong quản lý nhà nước lĩnh vực nội vụ: Nhiệm vụ, quyền hạn quyết định cơ quan, tổ chức khác của Nhà nước không thuộc trường hợp quy định tại khoản 2, Điều 18 của Luật Lưu trữ nộp hồ sơ, tài liệu vào Lưu trữ lịch sử nhà nước ở địa phương do Chủ tịch UBND cấp tỉnh thực hiện. - Điểm a, khoản 14, Điều 14, Thông tư số 10/2025/TT-BNV ngày 19/6/2025 quy định về thẩm quyền ban hành danh mục cơ quan, tổ chức của Nhà nước không thuộc trường hợp quy định tại khoản 2 Điều 18 Luật Lưu trữ nộp hồ sơ, tài liệu vào lưu trữ lịch sử của Nhà nước ở cấp tỉnh: Sở Nội vụ, trình Ủy ban nhân dân cấp tỉnh ban hành danh mục cơ quan, tổ chức của Nhà nước không thuộc trường hợp quy định tại khoản 2 Điều 18 Luật Lưu trữ nộp hồ sơ, tài liệu vào lưu trữ lịch sử của Nhà nước ở cấp tỉnh theo thẩm quyền; </w:t>
            </w:r>
            <w:r w:rsidRPr="00CE2A4C">
              <w:rPr>
                <w:color w:val="000000" w:themeColor="text1"/>
                <w:sz w:val="25"/>
                <w:szCs w:val="25"/>
              </w:rPr>
              <w:lastRenderedPageBreak/>
              <w:t>Theo Nghị định số 128/2025/NĐ-CP: thẩm quyền do Chủ tịch UBND cấp tỉnh thực hiện. Tuy nhiên, Thông tư số 10/2025/TT-BNV thì thẩm quyền do UBND cấp tỉnh thực hiện</w:t>
            </w:r>
          </w:p>
        </w:tc>
        <w:tc>
          <w:tcPr>
            <w:tcW w:w="1559" w:type="dxa"/>
            <w:vAlign w:val="center"/>
          </w:tcPr>
          <w:p w14:paraId="55E55ED0" w14:textId="77777777" w:rsidR="00707FAA" w:rsidRPr="00CE2A4C" w:rsidRDefault="00707FAA" w:rsidP="00707FAA">
            <w:pPr>
              <w:spacing w:before="120" w:after="120"/>
              <w:jc w:val="both"/>
              <w:rPr>
                <w:color w:val="000000" w:themeColor="text1"/>
                <w:sz w:val="25"/>
                <w:szCs w:val="25"/>
              </w:rPr>
            </w:pPr>
            <w:r w:rsidRPr="00CE2A4C">
              <w:rPr>
                <w:color w:val="000000" w:themeColor="text1"/>
                <w:sz w:val="25"/>
                <w:szCs w:val="25"/>
              </w:rPr>
              <w:lastRenderedPageBreak/>
              <w:t>C. Sửa đổi, bổ sung, thay thế, ban hành mới VBQPPL (theo trình tự, thủ tục rút gọn ban hành VBQPPL của Luật Ban hành VBQPPL)</w:t>
            </w:r>
          </w:p>
        </w:tc>
        <w:tc>
          <w:tcPr>
            <w:tcW w:w="1418" w:type="dxa"/>
            <w:vAlign w:val="center"/>
          </w:tcPr>
          <w:p w14:paraId="5B73342B" w14:textId="77777777" w:rsidR="00707FAA" w:rsidRPr="00CE2A4C" w:rsidRDefault="00707FAA" w:rsidP="00707FAA">
            <w:pPr>
              <w:spacing w:before="120" w:after="120"/>
              <w:jc w:val="both"/>
              <w:rPr>
                <w:color w:val="000000" w:themeColor="text1"/>
                <w:sz w:val="25"/>
                <w:szCs w:val="25"/>
              </w:rPr>
            </w:pPr>
            <w:r w:rsidRPr="00CE2A4C">
              <w:rPr>
                <w:color w:val="000000" w:themeColor="text1"/>
                <w:sz w:val="25"/>
                <w:szCs w:val="25"/>
              </w:rPr>
              <w:t>Sở Tư pháp tỉnh Hải Phòng</w:t>
            </w:r>
          </w:p>
        </w:tc>
        <w:tc>
          <w:tcPr>
            <w:tcW w:w="2835" w:type="dxa"/>
            <w:vAlign w:val="center"/>
          </w:tcPr>
          <w:p w14:paraId="6DA530F5" w14:textId="77777777" w:rsidR="00707FAA" w:rsidRPr="00CE2A4C" w:rsidRDefault="00707FAA" w:rsidP="00707FAA">
            <w:pPr>
              <w:ind w:right="60"/>
              <w:jc w:val="both"/>
              <w:rPr>
                <w:color w:val="000000" w:themeColor="text1"/>
                <w:sz w:val="25"/>
                <w:szCs w:val="25"/>
              </w:rPr>
            </w:pPr>
            <w:r w:rsidRPr="00CE2A4C">
              <w:rPr>
                <w:b/>
                <w:color w:val="000000" w:themeColor="text1"/>
                <w:sz w:val="25"/>
                <w:szCs w:val="25"/>
              </w:rPr>
              <w:t>Không nhất trí</w:t>
            </w:r>
            <w:r w:rsidRPr="00CE2A4C">
              <w:rPr>
                <w:color w:val="000000" w:themeColor="text1"/>
                <w:sz w:val="25"/>
                <w:szCs w:val="25"/>
              </w:rPr>
              <w:t xml:space="preserve"> với văn bản đề xuất xử lý, </w:t>
            </w:r>
            <w:r w:rsidRPr="00CE2A4C">
              <w:rPr>
                <w:b/>
                <w:color w:val="000000" w:themeColor="text1"/>
                <w:sz w:val="25"/>
                <w:szCs w:val="25"/>
              </w:rPr>
              <w:t xml:space="preserve">nhất trí </w:t>
            </w:r>
            <w:r w:rsidRPr="00CE2A4C">
              <w:rPr>
                <w:color w:val="000000" w:themeColor="text1"/>
                <w:sz w:val="25"/>
                <w:szCs w:val="25"/>
              </w:rPr>
              <w:t>với phản ánh</w:t>
            </w:r>
          </w:p>
          <w:p w14:paraId="755410F3" w14:textId="77777777" w:rsidR="00707FAA" w:rsidRPr="00CE2A4C" w:rsidRDefault="00707FAA" w:rsidP="00707FAA">
            <w:pPr>
              <w:spacing w:before="120" w:after="120"/>
              <w:jc w:val="both"/>
              <w:rPr>
                <w:color w:val="000000" w:themeColor="text1"/>
                <w:sz w:val="25"/>
                <w:szCs w:val="25"/>
              </w:rPr>
            </w:pPr>
            <w:r w:rsidRPr="00CE2A4C">
              <w:rPr>
                <w:color w:val="000000" w:themeColor="text1"/>
                <w:sz w:val="25"/>
                <w:szCs w:val="25"/>
              </w:rPr>
              <w:t>Bộ Nội vụ sẽ nghiên cứu, sửa đổi, bảo đảm sự thống nhất của hệ thống pháp luật</w:t>
            </w:r>
          </w:p>
        </w:tc>
        <w:tc>
          <w:tcPr>
            <w:tcW w:w="2835" w:type="dxa"/>
            <w:vAlign w:val="center"/>
          </w:tcPr>
          <w:p w14:paraId="2C0B51E7" w14:textId="6645F24B" w:rsidR="00B10279" w:rsidRPr="004B3C43" w:rsidRDefault="004B3C43" w:rsidP="00707FAA">
            <w:pPr>
              <w:spacing w:before="120" w:after="120"/>
              <w:jc w:val="both"/>
              <w:rPr>
                <w:b/>
                <w:color w:val="000000" w:themeColor="text1"/>
                <w:sz w:val="25"/>
                <w:szCs w:val="25"/>
              </w:rPr>
            </w:pPr>
            <w:r w:rsidRPr="004B3C43">
              <w:rPr>
                <w:b/>
                <w:color w:val="000000" w:themeColor="text1"/>
                <w:sz w:val="25"/>
                <w:szCs w:val="25"/>
              </w:rPr>
              <w:t>Chưa xử lý:</w:t>
            </w:r>
          </w:p>
          <w:p w14:paraId="61578E47" w14:textId="77777777" w:rsidR="00836A03" w:rsidRPr="00836A03" w:rsidRDefault="00836A03" w:rsidP="00E96842">
            <w:pPr>
              <w:spacing w:before="120" w:after="120"/>
              <w:jc w:val="both"/>
              <w:rPr>
                <w:color w:val="FF0000"/>
                <w:sz w:val="25"/>
                <w:szCs w:val="25"/>
              </w:rPr>
            </w:pPr>
            <w:r w:rsidRPr="00836A03">
              <w:rPr>
                <w:color w:val="FF0000"/>
                <w:sz w:val="25"/>
                <w:szCs w:val="25"/>
              </w:rPr>
              <w:t>Bộ Nội vụ ban hành Công văn số 8717/BNV-CVT&amp;LTNN ngày 30/9/2025 của Bộ Nội vụ hướng dẫn áp dụng văn bản quy phạm pháp luật.</w:t>
            </w:r>
          </w:p>
          <w:p w14:paraId="6FB95CC6" w14:textId="21FA6F45" w:rsidR="00E96842" w:rsidRPr="00CE2A4C" w:rsidRDefault="00836A03" w:rsidP="00E96842">
            <w:pPr>
              <w:spacing w:before="120" w:after="120"/>
              <w:jc w:val="both"/>
              <w:rPr>
                <w:color w:val="000000" w:themeColor="text1"/>
                <w:sz w:val="25"/>
                <w:szCs w:val="25"/>
              </w:rPr>
            </w:pPr>
            <w:r w:rsidRPr="00836A03">
              <w:rPr>
                <w:color w:val="FF0000"/>
                <w:sz w:val="25"/>
                <w:szCs w:val="25"/>
              </w:rPr>
              <w:t>Dự kiền sẽ nghiên cứu sửa đổi, bổ sung Thông tư số 10/2025/TT-BNV trong năm 2026.</w:t>
            </w:r>
          </w:p>
        </w:tc>
      </w:tr>
      <w:tr w:rsidR="00707FAA" w:rsidRPr="00CE2A4C" w14:paraId="102AA467" w14:textId="77777777" w:rsidTr="00C41A92">
        <w:tc>
          <w:tcPr>
            <w:tcW w:w="966" w:type="dxa"/>
            <w:vAlign w:val="center"/>
          </w:tcPr>
          <w:p w14:paraId="0333D1D3" w14:textId="77777777" w:rsidR="00707FAA" w:rsidRPr="00CE2A4C" w:rsidRDefault="00707FAA" w:rsidP="00707FAA">
            <w:pPr>
              <w:numPr>
                <w:ilvl w:val="0"/>
                <w:numId w:val="1"/>
              </w:numPr>
              <w:pBdr>
                <w:top w:val="nil"/>
                <w:left w:val="nil"/>
                <w:bottom w:val="nil"/>
                <w:right w:val="nil"/>
                <w:between w:val="nil"/>
              </w:pBdr>
              <w:spacing w:before="120" w:after="120" w:line="259" w:lineRule="auto"/>
              <w:ind w:right="-30"/>
              <w:rPr>
                <w:color w:val="000000" w:themeColor="text1"/>
                <w:sz w:val="25"/>
                <w:szCs w:val="25"/>
              </w:rPr>
            </w:pPr>
          </w:p>
        </w:tc>
        <w:tc>
          <w:tcPr>
            <w:tcW w:w="1964" w:type="dxa"/>
            <w:vAlign w:val="center"/>
          </w:tcPr>
          <w:p w14:paraId="76054C8A" w14:textId="77777777" w:rsidR="00707FAA" w:rsidRPr="00CE2A4C" w:rsidRDefault="00707FAA" w:rsidP="00707FAA">
            <w:pPr>
              <w:jc w:val="both"/>
              <w:rPr>
                <w:color w:val="000000" w:themeColor="text1"/>
                <w:sz w:val="25"/>
                <w:szCs w:val="25"/>
              </w:rPr>
            </w:pPr>
            <w:r w:rsidRPr="00CE2A4C">
              <w:rPr>
                <w:color w:val="000000" w:themeColor="text1"/>
                <w:sz w:val="25"/>
                <w:szCs w:val="25"/>
              </w:rPr>
              <w:t>Điểm đ khoản 13 Điều 42 Nghị định số 12/2022/NĐ-CP và điểm d khoản 2 Điều 16 Luật Người lao động Việt Nam đi làm việc ở nước ngoài theo hợp đồng 2020</w:t>
            </w:r>
            <w:r w:rsidRPr="00CE2A4C">
              <w:rPr>
                <w:color w:val="000000" w:themeColor="text1"/>
                <w:sz w:val="25"/>
                <w:szCs w:val="25"/>
                <w:lang w:val="vi-VN"/>
              </w:rPr>
              <w:t xml:space="preserve"> </w:t>
            </w:r>
            <w:r w:rsidRPr="00CE2A4C">
              <w:rPr>
                <w:color w:val="000000" w:themeColor="text1"/>
                <w:sz w:val="25"/>
                <w:szCs w:val="25"/>
              </w:rPr>
              <w:t xml:space="preserve">về quy định xử phạt vi phạm hành chính trong lĩnh vực lao động, bảo hiểm xã hội, người LĐVN đi làm việc ở nước ngoài quy định phạt tiền và “Đình chỉ hoạt động Chuẩn bị </w:t>
            </w:r>
            <w:r w:rsidRPr="00CE2A4C">
              <w:rPr>
                <w:color w:val="000000" w:themeColor="text1"/>
                <w:sz w:val="25"/>
                <w:szCs w:val="25"/>
              </w:rPr>
              <w:lastRenderedPageBreak/>
              <w:t>nguồn từ 6-12 tháng đối với hành vi lợi dụng hoạt động CBN để thu tiền của người lao động trái pháp luật quy định tại khoản 6 điều này...”</w:t>
            </w:r>
          </w:p>
        </w:tc>
        <w:tc>
          <w:tcPr>
            <w:tcW w:w="3827" w:type="dxa"/>
            <w:vAlign w:val="center"/>
          </w:tcPr>
          <w:p w14:paraId="44562F83" w14:textId="77777777" w:rsidR="00707FAA" w:rsidRPr="00CE2A4C" w:rsidRDefault="00707FAA" w:rsidP="00707FAA">
            <w:pPr>
              <w:jc w:val="both"/>
              <w:rPr>
                <w:color w:val="000000" w:themeColor="text1"/>
                <w:sz w:val="25"/>
                <w:szCs w:val="25"/>
                <w:lang w:val="vi-VN"/>
              </w:rPr>
            </w:pPr>
            <w:r w:rsidRPr="00CE2A4C">
              <w:rPr>
                <w:color w:val="000000" w:themeColor="text1"/>
                <w:sz w:val="25"/>
                <w:szCs w:val="25"/>
              </w:rPr>
              <w:lastRenderedPageBreak/>
              <w:t>Hành vi lợi dụng hoạt động chuẩn bị nguồn lao động, tuyển chọn người lao động đi làm việc ở nước ngoài để thu tiền của người lao động trái pháp luật là hành vi nghiêm cấm dẫn đến thu hồi Giấy phép</w:t>
            </w:r>
            <w:r w:rsidRPr="00CE2A4C">
              <w:rPr>
                <w:color w:val="000000" w:themeColor="text1"/>
                <w:sz w:val="25"/>
                <w:szCs w:val="25"/>
                <w:lang w:val="vi-VN"/>
              </w:rPr>
              <w:t xml:space="preserve"> theo </w:t>
            </w:r>
            <w:r w:rsidRPr="00CE2A4C">
              <w:rPr>
                <w:color w:val="000000" w:themeColor="text1"/>
                <w:sz w:val="25"/>
                <w:szCs w:val="25"/>
              </w:rPr>
              <w:t xml:space="preserve">điểm d khoản 2 Điều 16 Luật Người lao động Việt Nam đi làm việc ở nước ngoài theo hợp đồng 2020. Tuy nhiên hình thức xử phạt bổ sung </w:t>
            </w:r>
            <w:r w:rsidRPr="00CE2A4C">
              <w:rPr>
                <w:color w:val="000000" w:themeColor="text1"/>
                <w:sz w:val="25"/>
                <w:szCs w:val="25"/>
                <w:lang w:val="vi-VN"/>
              </w:rPr>
              <w:t>tại đ</w:t>
            </w:r>
            <w:r w:rsidRPr="00CE2A4C">
              <w:rPr>
                <w:color w:val="000000" w:themeColor="text1"/>
                <w:sz w:val="25"/>
                <w:szCs w:val="25"/>
              </w:rPr>
              <w:t>iểm đ khoản 13 Điều 42 Nghị định số 12/2022/NĐ-CP có quy định về việc “Đình chỉ hoạt động chuẩn bị nguồn lao động từ 06 tháng đến 12 tháng đối với hành vi lợi dụng hoạt động chuẩn bị nguồn lao động để thu tiền của người lao động”.</w:t>
            </w:r>
            <w:r w:rsidRPr="00CE2A4C">
              <w:rPr>
                <w:color w:val="000000" w:themeColor="text1"/>
                <w:sz w:val="25"/>
                <w:szCs w:val="25"/>
                <w:lang w:val="vi-VN"/>
              </w:rPr>
              <w:t xml:space="preserve"> </w:t>
            </w:r>
          </w:p>
        </w:tc>
        <w:tc>
          <w:tcPr>
            <w:tcW w:w="1559" w:type="dxa"/>
            <w:vAlign w:val="center"/>
          </w:tcPr>
          <w:p w14:paraId="39699C37" w14:textId="77777777" w:rsidR="00707FAA" w:rsidRPr="00CE2A4C" w:rsidRDefault="00707FAA" w:rsidP="00707FAA">
            <w:pPr>
              <w:jc w:val="both"/>
              <w:rPr>
                <w:color w:val="000000" w:themeColor="text1"/>
                <w:sz w:val="25"/>
                <w:szCs w:val="25"/>
              </w:rPr>
            </w:pPr>
            <w:r w:rsidRPr="00CE2A4C">
              <w:rPr>
                <w:color w:val="000000" w:themeColor="text1"/>
                <w:sz w:val="25"/>
                <w:szCs w:val="25"/>
              </w:rPr>
              <w:t>C. Sửa đổi, bổ sung, thay thế, ban hành mới VBQPPL (theo trình tự, thủ tục rút gọn ban hành VBQPPL của Luật Ban hành VBQPPL)</w:t>
            </w:r>
          </w:p>
        </w:tc>
        <w:tc>
          <w:tcPr>
            <w:tcW w:w="1418" w:type="dxa"/>
            <w:vAlign w:val="center"/>
          </w:tcPr>
          <w:p w14:paraId="239ACBD7" w14:textId="77777777" w:rsidR="00707FAA" w:rsidRPr="00CE2A4C" w:rsidRDefault="00707FAA" w:rsidP="00707FAA">
            <w:pPr>
              <w:rPr>
                <w:color w:val="000000" w:themeColor="text1"/>
                <w:sz w:val="25"/>
                <w:szCs w:val="25"/>
              </w:rPr>
            </w:pPr>
            <w:r w:rsidRPr="00CE2A4C">
              <w:rPr>
                <w:color w:val="000000" w:themeColor="text1"/>
                <w:sz w:val="25"/>
                <w:szCs w:val="25"/>
              </w:rPr>
              <w:t>Bộ Nội vụ</w:t>
            </w:r>
          </w:p>
        </w:tc>
        <w:tc>
          <w:tcPr>
            <w:tcW w:w="2835" w:type="dxa"/>
            <w:vAlign w:val="center"/>
          </w:tcPr>
          <w:p w14:paraId="048AB321" w14:textId="77777777" w:rsidR="00707FAA" w:rsidRPr="00CE2A4C" w:rsidRDefault="00707FAA" w:rsidP="00707FAA">
            <w:pPr>
              <w:jc w:val="both"/>
              <w:rPr>
                <w:color w:val="000000" w:themeColor="text1"/>
                <w:sz w:val="25"/>
                <w:szCs w:val="25"/>
              </w:rPr>
            </w:pPr>
            <w:r w:rsidRPr="00CE2A4C">
              <w:rPr>
                <w:color w:val="000000" w:themeColor="text1"/>
                <w:sz w:val="25"/>
                <w:szCs w:val="25"/>
              </w:rPr>
              <w:t>Nhất trí đề xuất, Nghị định này đang trong quá trình sửa đổi, bổ sung, thời hạn trình Quý II/2026</w:t>
            </w:r>
          </w:p>
        </w:tc>
        <w:tc>
          <w:tcPr>
            <w:tcW w:w="2835" w:type="dxa"/>
            <w:vAlign w:val="center"/>
          </w:tcPr>
          <w:p w14:paraId="4B181BAE" w14:textId="77777777" w:rsidR="004B3C43" w:rsidRPr="004B3C43" w:rsidRDefault="004B3C43" w:rsidP="004B3C43">
            <w:pPr>
              <w:spacing w:before="120" w:after="120"/>
              <w:jc w:val="both"/>
              <w:rPr>
                <w:b/>
                <w:color w:val="000000" w:themeColor="text1"/>
                <w:sz w:val="25"/>
                <w:szCs w:val="25"/>
              </w:rPr>
            </w:pPr>
            <w:r w:rsidRPr="004B3C43">
              <w:rPr>
                <w:b/>
                <w:color w:val="000000" w:themeColor="text1"/>
                <w:sz w:val="25"/>
                <w:szCs w:val="25"/>
              </w:rPr>
              <w:t>Chưa xử lý:</w:t>
            </w:r>
          </w:p>
          <w:p w14:paraId="1BA1999A" w14:textId="77777777" w:rsidR="00F37A31" w:rsidRPr="00CE2A4C" w:rsidRDefault="00F37A31" w:rsidP="00707FAA">
            <w:pPr>
              <w:jc w:val="both"/>
              <w:rPr>
                <w:color w:val="000000" w:themeColor="text1"/>
                <w:sz w:val="25"/>
                <w:szCs w:val="25"/>
              </w:rPr>
            </w:pPr>
            <w:r w:rsidRPr="00CE2A4C">
              <w:rPr>
                <w:color w:val="000000" w:themeColor="text1"/>
                <w:sz w:val="25"/>
                <w:szCs w:val="25"/>
              </w:rPr>
              <w:t>Bộ Nội vụ đã thành lập Tổ soạn thảo Nghị định, soạn thảo Nghị định đăng tải trên cổng thông tin điện tử của Bộ, lấy ý kiến Bộ, ngành, địa phương.</w:t>
            </w:r>
          </w:p>
          <w:p w14:paraId="5806990E" w14:textId="31A94BF9" w:rsidR="00392999" w:rsidRPr="00CE2A4C" w:rsidRDefault="00392999" w:rsidP="00707FAA">
            <w:pPr>
              <w:jc w:val="both"/>
              <w:rPr>
                <w:color w:val="000000" w:themeColor="text1"/>
                <w:sz w:val="25"/>
                <w:szCs w:val="25"/>
              </w:rPr>
            </w:pPr>
            <w:r w:rsidRPr="00CE2A4C">
              <w:rPr>
                <w:color w:val="000000" w:themeColor="text1"/>
                <w:sz w:val="25"/>
                <w:szCs w:val="25"/>
              </w:rPr>
              <w:t>Dự kiền Quý II/2026.</w:t>
            </w:r>
          </w:p>
        </w:tc>
      </w:tr>
      <w:tr w:rsidR="005F2F7D" w:rsidRPr="00CE2A4C" w14:paraId="0B570DE6" w14:textId="77777777" w:rsidTr="00C41A92">
        <w:tc>
          <w:tcPr>
            <w:tcW w:w="966" w:type="dxa"/>
            <w:vAlign w:val="center"/>
          </w:tcPr>
          <w:p w14:paraId="4EF1AFA0" w14:textId="77777777" w:rsidR="005F2F7D" w:rsidRPr="00CE2A4C" w:rsidRDefault="005F2F7D" w:rsidP="005F2F7D">
            <w:pPr>
              <w:numPr>
                <w:ilvl w:val="0"/>
                <w:numId w:val="1"/>
              </w:numPr>
              <w:pBdr>
                <w:top w:val="nil"/>
                <w:left w:val="nil"/>
                <w:bottom w:val="nil"/>
                <w:right w:val="nil"/>
                <w:between w:val="nil"/>
              </w:pBdr>
              <w:spacing w:before="120" w:after="120" w:line="259" w:lineRule="auto"/>
              <w:jc w:val="center"/>
              <w:rPr>
                <w:color w:val="000000" w:themeColor="text1"/>
                <w:sz w:val="25"/>
                <w:szCs w:val="25"/>
              </w:rPr>
            </w:pPr>
          </w:p>
        </w:tc>
        <w:tc>
          <w:tcPr>
            <w:tcW w:w="1964" w:type="dxa"/>
            <w:vAlign w:val="center"/>
          </w:tcPr>
          <w:p w14:paraId="28EB6D69" w14:textId="77777777" w:rsidR="005F2F7D" w:rsidRPr="00CE2A4C" w:rsidRDefault="005F2F7D" w:rsidP="005F2F7D">
            <w:pPr>
              <w:jc w:val="both"/>
              <w:rPr>
                <w:color w:val="000000" w:themeColor="text1"/>
                <w:sz w:val="25"/>
                <w:szCs w:val="25"/>
              </w:rPr>
            </w:pPr>
            <w:r w:rsidRPr="00CE2A4C">
              <w:rPr>
                <w:color w:val="000000" w:themeColor="text1"/>
                <w:sz w:val="25"/>
                <w:szCs w:val="25"/>
              </w:rPr>
              <w:t>Điều 42, 43, 44, 45, 46 Nghị định 12/2022/NĐ-CP ngày 17/01/2022 của Chính phủ</w:t>
            </w:r>
          </w:p>
        </w:tc>
        <w:tc>
          <w:tcPr>
            <w:tcW w:w="3827" w:type="dxa"/>
            <w:vAlign w:val="center"/>
          </w:tcPr>
          <w:p w14:paraId="6AD11847" w14:textId="77777777" w:rsidR="005F2F7D" w:rsidRPr="00CE2A4C" w:rsidRDefault="005F2F7D" w:rsidP="005F2F7D">
            <w:pPr>
              <w:jc w:val="both"/>
              <w:rPr>
                <w:color w:val="000000" w:themeColor="text1"/>
                <w:sz w:val="25"/>
                <w:szCs w:val="25"/>
              </w:rPr>
            </w:pPr>
            <w:r w:rsidRPr="00CE2A4C">
              <w:rPr>
                <w:color w:val="000000" w:themeColor="text1"/>
                <w:sz w:val="25"/>
                <w:szCs w:val="25"/>
              </w:rPr>
              <w:t>Sửa đổi điều chỉnh nội dung Nghị định 12/2022/NĐ-CP theo nguyên tắc tại khoản 3 Điều 1 Nghị định số 68/2025/NĐ-CP ngày 18/3/2025 của Chính phủ: Khi vi phạm hành chính nhiều lần hoặc tái phạm thì sẽ áp dụng tình tiết tăng nặng và bị xử phạt ở mức cao nhất</w:t>
            </w:r>
          </w:p>
        </w:tc>
        <w:tc>
          <w:tcPr>
            <w:tcW w:w="1559" w:type="dxa"/>
            <w:vAlign w:val="center"/>
          </w:tcPr>
          <w:p w14:paraId="729D5267" w14:textId="77777777" w:rsidR="005F2F7D" w:rsidRPr="00CE2A4C" w:rsidRDefault="005F2F7D" w:rsidP="005F2F7D">
            <w:pPr>
              <w:jc w:val="both"/>
              <w:rPr>
                <w:color w:val="000000" w:themeColor="text1"/>
                <w:sz w:val="25"/>
                <w:szCs w:val="25"/>
              </w:rPr>
            </w:pPr>
            <w:r w:rsidRPr="00CE2A4C">
              <w:rPr>
                <w:color w:val="000000" w:themeColor="text1"/>
                <w:sz w:val="25"/>
                <w:szCs w:val="25"/>
              </w:rPr>
              <w:t>C. Sửa đổi, bổ sung, thay thế, ban hành mới VBQPPL (theo trình tự, thủ tục rút gọn ban hành VBQPPL của Luật Ban hành VBQPPL)</w:t>
            </w:r>
          </w:p>
        </w:tc>
        <w:tc>
          <w:tcPr>
            <w:tcW w:w="1418" w:type="dxa"/>
            <w:vAlign w:val="center"/>
          </w:tcPr>
          <w:p w14:paraId="186F27F1" w14:textId="77777777" w:rsidR="005F2F7D" w:rsidRPr="00CE2A4C" w:rsidRDefault="005F2F7D" w:rsidP="005F2F7D">
            <w:pPr>
              <w:rPr>
                <w:color w:val="000000" w:themeColor="text1"/>
                <w:sz w:val="25"/>
                <w:szCs w:val="25"/>
              </w:rPr>
            </w:pPr>
            <w:r w:rsidRPr="00CE2A4C">
              <w:rPr>
                <w:color w:val="000000" w:themeColor="text1"/>
                <w:sz w:val="25"/>
                <w:szCs w:val="25"/>
              </w:rPr>
              <w:t>Bộ Nội vụ</w:t>
            </w:r>
          </w:p>
        </w:tc>
        <w:tc>
          <w:tcPr>
            <w:tcW w:w="2835" w:type="dxa"/>
            <w:vAlign w:val="center"/>
          </w:tcPr>
          <w:p w14:paraId="7B5BF907" w14:textId="77777777" w:rsidR="005F2F7D" w:rsidRPr="00CE2A4C" w:rsidRDefault="005F2F7D" w:rsidP="005F2F7D">
            <w:pPr>
              <w:jc w:val="both"/>
              <w:rPr>
                <w:color w:val="000000" w:themeColor="text1"/>
                <w:sz w:val="25"/>
                <w:szCs w:val="25"/>
              </w:rPr>
            </w:pPr>
            <w:r w:rsidRPr="00CE2A4C">
              <w:rPr>
                <w:color w:val="000000" w:themeColor="text1"/>
                <w:sz w:val="25"/>
                <w:szCs w:val="25"/>
              </w:rPr>
              <w:t>Nhất trí đề xuất, Nghị định này đang trong quá trình sửa đổi, bổ sung, thời hạn trình Quý II/2026</w:t>
            </w:r>
          </w:p>
        </w:tc>
        <w:tc>
          <w:tcPr>
            <w:tcW w:w="2835" w:type="dxa"/>
            <w:vAlign w:val="center"/>
          </w:tcPr>
          <w:p w14:paraId="3EE763B4" w14:textId="77777777" w:rsidR="004B3C43" w:rsidRPr="004B3C43" w:rsidRDefault="004B3C43" w:rsidP="004B3C43">
            <w:pPr>
              <w:spacing w:before="120" w:after="120"/>
              <w:jc w:val="both"/>
              <w:rPr>
                <w:b/>
                <w:color w:val="000000" w:themeColor="text1"/>
                <w:sz w:val="25"/>
                <w:szCs w:val="25"/>
              </w:rPr>
            </w:pPr>
            <w:r w:rsidRPr="004B3C43">
              <w:rPr>
                <w:b/>
                <w:color w:val="000000" w:themeColor="text1"/>
                <w:sz w:val="25"/>
                <w:szCs w:val="25"/>
              </w:rPr>
              <w:t>Chưa xử lý:</w:t>
            </w:r>
          </w:p>
          <w:p w14:paraId="4B7D4E9F" w14:textId="77777777" w:rsidR="005F2F7D" w:rsidRPr="00CE2A4C" w:rsidRDefault="005F2F7D" w:rsidP="005F2F7D">
            <w:pPr>
              <w:jc w:val="both"/>
              <w:rPr>
                <w:color w:val="000000" w:themeColor="text1"/>
                <w:sz w:val="25"/>
                <w:szCs w:val="25"/>
              </w:rPr>
            </w:pPr>
            <w:r w:rsidRPr="00CE2A4C">
              <w:rPr>
                <w:color w:val="000000" w:themeColor="text1"/>
                <w:sz w:val="25"/>
                <w:szCs w:val="25"/>
              </w:rPr>
              <w:t>Bộ Nội vụ đã thành lập Tổ soạn thảo Nghị định, soạn thảo Nghị định đăng tải trên cổng thông tin điện tử của Bộ, lấy ý kiến Bộ, ngành, địa phương.</w:t>
            </w:r>
          </w:p>
          <w:p w14:paraId="126D6F64" w14:textId="4D831ADE" w:rsidR="00D25C61" w:rsidRPr="00CE2A4C" w:rsidRDefault="00D25C61" w:rsidP="005F2F7D">
            <w:pPr>
              <w:jc w:val="both"/>
              <w:rPr>
                <w:color w:val="000000" w:themeColor="text1"/>
                <w:sz w:val="25"/>
                <w:szCs w:val="25"/>
              </w:rPr>
            </w:pPr>
            <w:r w:rsidRPr="00CE2A4C">
              <w:rPr>
                <w:color w:val="000000" w:themeColor="text1"/>
                <w:sz w:val="25"/>
                <w:szCs w:val="25"/>
              </w:rPr>
              <w:t>Dự kiền Quý II/2026.</w:t>
            </w:r>
          </w:p>
        </w:tc>
      </w:tr>
      <w:tr w:rsidR="007E0AB1" w:rsidRPr="00CE2A4C" w14:paraId="30FF502F" w14:textId="77777777" w:rsidTr="00C41A92">
        <w:tc>
          <w:tcPr>
            <w:tcW w:w="966" w:type="dxa"/>
            <w:vAlign w:val="center"/>
          </w:tcPr>
          <w:p w14:paraId="25BCD75F" w14:textId="77777777" w:rsidR="007E0AB1" w:rsidRPr="00CE2A4C" w:rsidRDefault="007E0AB1" w:rsidP="007E0AB1">
            <w:pPr>
              <w:numPr>
                <w:ilvl w:val="0"/>
                <w:numId w:val="1"/>
              </w:numPr>
              <w:pBdr>
                <w:top w:val="nil"/>
                <w:left w:val="nil"/>
                <w:bottom w:val="nil"/>
                <w:right w:val="nil"/>
                <w:between w:val="nil"/>
              </w:pBdr>
              <w:spacing w:before="120" w:after="120" w:line="259" w:lineRule="auto"/>
              <w:jc w:val="center"/>
              <w:rPr>
                <w:color w:val="000000" w:themeColor="text1"/>
                <w:sz w:val="25"/>
                <w:szCs w:val="25"/>
              </w:rPr>
            </w:pPr>
          </w:p>
        </w:tc>
        <w:tc>
          <w:tcPr>
            <w:tcW w:w="1964" w:type="dxa"/>
            <w:vAlign w:val="center"/>
          </w:tcPr>
          <w:p w14:paraId="589F0E6F" w14:textId="77777777" w:rsidR="007E0AB1" w:rsidRPr="00CE2A4C" w:rsidRDefault="007E0AB1" w:rsidP="007E0AB1">
            <w:pPr>
              <w:spacing w:before="120" w:after="120"/>
              <w:jc w:val="both"/>
              <w:rPr>
                <w:color w:val="000000" w:themeColor="text1"/>
                <w:sz w:val="25"/>
                <w:szCs w:val="25"/>
              </w:rPr>
            </w:pPr>
            <w:r w:rsidRPr="00CE2A4C">
              <w:rPr>
                <w:color w:val="000000" w:themeColor="text1"/>
                <w:sz w:val="25"/>
                <w:szCs w:val="25"/>
              </w:rPr>
              <w:t xml:space="preserve">Thông tư liên tịch số 01/2013/TTLT-BNV-BQP ngày 10/4/2013 của Bộ Nội vụ, Bộ Quốc phòng Hướng </w:t>
            </w:r>
            <w:r w:rsidRPr="00CE2A4C">
              <w:rPr>
                <w:color w:val="000000" w:themeColor="text1"/>
                <w:sz w:val="25"/>
                <w:szCs w:val="25"/>
              </w:rPr>
              <w:lastRenderedPageBreak/>
              <w:t>dẫn việc quy hoạch, đào tạo, bồi dưỡng và bố trí sử dụng Chỉ huy trưởng, Chỉ huy phó Ban Chỉ huy quân sự xã, phường, thị trấn</w:t>
            </w:r>
          </w:p>
        </w:tc>
        <w:tc>
          <w:tcPr>
            <w:tcW w:w="3827" w:type="dxa"/>
            <w:vAlign w:val="center"/>
          </w:tcPr>
          <w:p w14:paraId="68F997A1" w14:textId="77777777" w:rsidR="007E0AB1" w:rsidRPr="00CE2A4C" w:rsidRDefault="007E0AB1" w:rsidP="007E0AB1">
            <w:pPr>
              <w:spacing w:before="120" w:after="120"/>
              <w:jc w:val="both"/>
              <w:rPr>
                <w:color w:val="000000" w:themeColor="text1"/>
                <w:sz w:val="25"/>
                <w:szCs w:val="25"/>
              </w:rPr>
            </w:pPr>
            <w:r w:rsidRPr="00CE2A4C">
              <w:rPr>
                <w:color w:val="000000" w:themeColor="text1"/>
                <w:sz w:val="25"/>
                <w:szCs w:val="25"/>
              </w:rPr>
              <w:lastRenderedPageBreak/>
              <w:t xml:space="preserve">Hiện nay chức danh Chỉ huy trưởng Ban Chỉ huy quân sự cấp xã (công chức cấp xã) và Phó Chỉ huy trưởng Ban Chỉ huy quân sự cấp xã (người hoạt động không chuyên trách cấp xã) thuộc đối tượng điều chỉnh bởi Nghị định số 33/2023/NĐ-CP ngày </w:t>
            </w:r>
            <w:r w:rsidRPr="00CE2A4C">
              <w:rPr>
                <w:color w:val="000000" w:themeColor="text1"/>
                <w:sz w:val="25"/>
                <w:szCs w:val="25"/>
              </w:rPr>
              <w:lastRenderedPageBreak/>
              <w:t>10/6/2023 của Chính phủ về quy định cán bộ, công chức cấp xã và người hoạt động không chuyên trách ở cấp xã, ở thôn, tổ dân phố. Đề nghị cấp thẩm quyền sớm sửa đổi, bổ sung hoặc ban hành mới Thông tư hướng dẫn, thay thế Thông tư số 01/2013/TTLT-BNV-BQP ngày 10/4/2013 phù hợp với Nghị định số 33/2023/NĐ-CP</w:t>
            </w:r>
          </w:p>
        </w:tc>
        <w:tc>
          <w:tcPr>
            <w:tcW w:w="1559" w:type="dxa"/>
            <w:vAlign w:val="center"/>
          </w:tcPr>
          <w:p w14:paraId="4A3AFD7D" w14:textId="77777777" w:rsidR="007E0AB1" w:rsidRPr="00CE2A4C" w:rsidRDefault="007E0AB1" w:rsidP="007E0AB1">
            <w:pPr>
              <w:spacing w:before="120" w:after="120"/>
              <w:jc w:val="both"/>
              <w:rPr>
                <w:color w:val="000000" w:themeColor="text1"/>
                <w:sz w:val="25"/>
                <w:szCs w:val="25"/>
              </w:rPr>
            </w:pPr>
            <w:r w:rsidRPr="00CE2A4C">
              <w:rPr>
                <w:color w:val="000000" w:themeColor="text1"/>
                <w:sz w:val="25"/>
                <w:szCs w:val="25"/>
              </w:rPr>
              <w:lastRenderedPageBreak/>
              <w:t xml:space="preserve">C. Sửa đổi, bổ sung, thay thế, ban hành mới VBQPPL (theo trình tự, thủ tục rút </w:t>
            </w:r>
            <w:r w:rsidRPr="00CE2A4C">
              <w:rPr>
                <w:color w:val="000000" w:themeColor="text1"/>
                <w:sz w:val="25"/>
                <w:szCs w:val="25"/>
              </w:rPr>
              <w:lastRenderedPageBreak/>
              <w:t>gọn ban hành VBQPPL của Luật Ban hành VBQPPL)</w:t>
            </w:r>
          </w:p>
        </w:tc>
        <w:tc>
          <w:tcPr>
            <w:tcW w:w="1418" w:type="dxa"/>
            <w:vAlign w:val="center"/>
          </w:tcPr>
          <w:p w14:paraId="541B83DE" w14:textId="77777777" w:rsidR="007E0AB1" w:rsidRPr="00CE2A4C" w:rsidRDefault="007E0AB1" w:rsidP="007E0AB1">
            <w:pPr>
              <w:spacing w:before="120" w:after="120"/>
              <w:jc w:val="both"/>
              <w:rPr>
                <w:color w:val="000000" w:themeColor="text1"/>
                <w:sz w:val="25"/>
                <w:szCs w:val="25"/>
              </w:rPr>
            </w:pPr>
            <w:r w:rsidRPr="00CE2A4C">
              <w:rPr>
                <w:color w:val="000000" w:themeColor="text1"/>
                <w:sz w:val="25"/>
                <w:szCs w:val="25"/>
              </w:rPr>
              <w:lastRenderedPageBreak/>
              <w:t>Sở Tư pháp tỉnh Quảng Ngãi</w:t>
            </w:r>
          </w:p>
        </w:tc>
        <w:tc>
          <w:tcPr>
            <w:tcW w:w="2835" w:type="dxa"/>
            <w:vAlign w:val="center"/>
          </w:tcPr>
          <w:p w14:paraId="3E9EC539" w14:textId="77777777" w:rsidR="007E0AB1" w:rsidRPr="00CE2A4C" w:rsidRDefault="007E0AB1" w:rsidP="007E0AB1">
            <w:pPr>
              <w:ind w:left="60" w:right="60"/>
              <w:jc w:val="both"/>
              <w:rPr>
                <w:b/>
                <w:color w:val="000000" w:themeColor="text1"/>
                <w:sz w:val="25"/>
                <w:szCs w:val="25"/>
              </w:rPr>
            </w:pPr>
            <w:r w:rsidRPr="00CE2A4C">
              <w:rPr>
                <w:b/>
                <w:color w:val="000000" w:themeColor="text1"/>
                <w:sz w:val="25"/>
                <w:szCs w:val="25"/>
              </w:rPr>
              <w:t>Cơ bản nhất trí</w:t>
            </w:r>
          </w:p>
          <w:p w14:paraId="6C00F2EC" w14:textId="77777777" w:rsidR="007E0AB1" w:rsidRPr="00CE2A4C" w:rsidRDefault="007E0AB1" w:rsidP="007E0AB1">
            <w:pPr>
              <w:ind w:left="60" w:right="60"/>
              <w:jc w:val="both"/>
              <w:rPr>
                <w:color w:val="000000" w:themeColor="text1"/>
                <w:sz w:val="25"/>
                <w:szCs w:val="25"/>
              </w:rPr>
            </w:pPr>
            <w:r w:rsidRPr="00CE2A4C">
              <w:rPr>
                <w:color w:val="000000" w:themeColor="text1"/>
                <w:sz w:val="25"/>
                <w:szCs w:val="25"/>
              </w:rPr>
              <w:t xml:space="preserve">Triển khai Luật Dân quân tự vệ năm 2019, Bộ Nội vụ đã phối hợp với Bộ Quốc phòng và các đơn vị liên quan xây dựng và gửi lấy ý kiến </w:t>
            </w:r>
            <w:r w:rsidRPr="00CE2A4C">
              <w:rPr>
                <w:color w:val="000000" w:themeColor="text1"/>
                <w:sz w:val="25"/>
                <w:szCs w:val="25"/>
              </w:rPr>
              <w:lastRenderedPageBreak/>
              <w:t>các bộ, ngành, địa phương về dự thảo Thông tư hướng dẫn quy hoạch, đào tạo, bồi dưỡng, bố trí sử dụng Chỉ huy trưởng, Phó Chỉ huy trưởng Ban Chỉ huy Quân sự cấp xã và thực hiện chế độ, chính sách đối với các chức vụ chỉ huy của Ban Chỉ huy Quân sự cấp xã.</w:t>
            </w:r>
          </w:p>
          <w:p w14:paraId="7B74320E" w14:textId="77777777" w:rsidR="007E0AB1" w:rsidRPr="00CE2A4C" w:rsidRDefault="007E0AB1" w:rsidP="007E0AB1">
            <w:pPr>
              <w:spacing w:before="120" w:after="120"/>
              <w:jc w:val="both"/>
              <w:rPr>
                <w:color w:val="000000" w:themeColor="text1"/>
                <w:sz w:val="25"/>
                <w:szCs w:val="25"/>
              </w:rPr>
            </w:pPr>
            <w:r w:rsidRPr="00CE2A4C">
              <w:rPr>
                <w:color w:val="000000" w:themeColor="text1"/>
                <w:sz w:val="25"/>
                <w:szCs w:val="25"/>
              </w:rPr>
              <w:t xml:space="preserve">Tuy nhiên, thực hiện mô hình chính quyền địa phương 02 cấp và quy định tại điểm b khoản 2 trong nội dung khoản 19 Điều 10 Luật sửa đổi, bổ sung một số điều của 11 Luật về quân sự, quốc phòng năm 2025 và Luật Cán bộ, công chức năm 2025, Bộ Nội vụ sẽ tiếp tục nghiên cứu, xây dựng và hoàn thiện dự thảo Thông tư quy hoạch, đào tạo, bồi dưỡng, bố trí sử dụng Chỉ huy trưởng, Phó </w:t>
            </w:r>
            <w:r w:rsidRPr="00CE2A4C">
              <w:rPr>
                <w:color w:val="000000" w:themeColor="text1"/>
                <w:sz w:val="25"/>
                <w:szCs w:val="25"/>
              </w:rPr>
              <w:lastRenderedPageBreak/>
              <w:t>Chỉ trưởng, Trợ lý Ban chỉ huy quân sự cấp xã; về thực hiện chế độ, chính sách đối với các chức vụ của ban Chỉ huy quân sự cấp xã.</w:t>
            </w:r>
          </w:p>
        </w:tc>
        <w:tc>
          <w:tcPr>
            <w:tcW w:w="2835" w:type="dxa"/>
            <w:vAlign w:val="center"/>
          </w:tcPr>
          <w:p w14:paraId="2B5A639E" w14:textId="77777777" w:rsidR="004B3C43" w:rsidRPr="004B3C43" w:rsidRDefault="004B3C43" w:rsidP="004B3C43">
            <w:pPr>
              <w:spacing w:before="120" w:after="120"/>
              <w:jc w:val="both"/>
              <w:rPr>
                <w:b/>
                <w:color w:val="000000" w:themeColor="text1"/>
                <w:sz w:val="25"/>
                <w:szCs w:val="25"/>
              </w:rPr>
            </w:pPr>
            <w:r w:rsidRPr="004B3C43">
              <w:rPr>
                <w:b/>
                <w:color w:val="000000" w:themeColor="text1"/>
                <w:sz w:val="25"/>
                <w:szCs w:val="25"/>
              </w:rPr>
              <w:lastRenderedPageBreak/>
              <w:t>Chưa xử lý:</w:t>
            </w:r>
          </w:p>
          <w:p w14:paraId="2BA46ACA" w14:textId="77777777" w:rsidR="00D25C61" w:rsidRPr="00CE2A4C" w:rsidRDefault="00D25C61" w:rsidP="007E0AB1">
            <w:pPr>
              <w:spacing w:before="120" w:after="120"/>
              <w:jc w:val="both"/>
              <w:rPr>
                <w:color w:val="000000" w:themeColor="text1"/>
                <w:sz w:val="25"/>
                <w:szCs w:val="25"/>
              </w:rPr>
            </w:pPr>
            <w:r w:rsidRPr="00CE2A4C">
              <w:rPr>
                <w:color w:val="000000" w:themeColor="text1"/>
                <w:sz w:val="25"/>
                <w:szCs w:val="25"/>
              </w:rPr>
              <w:t xml:space="preserve">Bộ Nội vụ đã phối hợp với Bộ Quốc phòng và các đơn vị liên quan xây dựng và gửi lấy ý kiến các bộ, ngành, địa phương về dự </w:t>
            </w:r>
            <w:r w:rsidRPr="00CE2A4C">
              <w:rPr>
                <w:color w:val="000000" w:themeColor="text1"/>
                <w:sz w:val="25"/>
                <w:szCs w:val="25"/>
              </w:rPr>
              <w:lastRenderedPageBreak/>
              <w:t>thảo Thông tư hướng dẫn quy hoạch, đào tạo, bồi dưỡng, bố trí sử dụng Chỉ huy trưởng, Phó Chỉ huy trưởng Ban Chỉ huy Quân sự cấp xã và thực hiện chế độ, chính sách đối với các chức vụ chỉ huy của Ban Chỉ huy Quân sự cấp xã.</w:t>
            </w:r>
          </w:p>
          <w:p w14:paraId="33B139B3" w14:textId="3759AAD3" w:rsidR="00E96842" w:rsidRPr="00CE2A4C" w:rsidRDefault="00E96842" w:rsidP="007E0AB1">
            <w:pPr>
              <w:spacing w:before="120" w:after="120"/>
              <w:jc w:val="both"/>
              <w:rPr>
                <w:color w:val="000000" w:themeColor="text1"/>
                <w:sz w:val="25"/>
                <w:szCs w:val="25"/>
              </w:rPr>
            </w:pPr>
            <w:r w:rsidRPr="00CE2A4C">
              <w:rPr>
                <w:color w:val="000000" w:themeColor="text1"/>
                <w:sz w:val="25"/>
                <w:szCs w:val="25"/>
              </w:rPr>
              <w:t>Dự kiến năm 2026.</w:t>
            </w:r>
          </w:p>
        </w:tc>
      </w:tr>
      <w:tr w:rsidR="00E96842" w:rsidRPr="00CE2A4C" w14:paraId="00E0015F" w14:textId="77777777" w:rsidTr="00C41A92">
        <w:tc>
          <w:tcPr>
            <w:tcW w:w="966" w:type="dxa"/>
            <w:vAlign w:val="center"/>
          </w:tcPr>
          <w:p w14:paraId="4DB3F1D7" w14:textId="77777777" w:rsidR="00E96842" w:rsidRPr="00CE2A4C" w:rsidRDefault="00E96842" w:rsidP="00E96842">
            <w:pPr>
              <w:numPr>
                <w:ilvl w:val="0"/>
                <w:numId w:val="1"/>
              </w:numPr>
              <w:pBdr>
                <w:top w:val="nil"/>
                <w:left w:val="nil"/>
                <w:bottom w:val="nil"/>
                <w:right w:val="nil"/>
                <w:between w:val="nil"/>
              </w:pBdr>
              <w:spacing w:before="120" w:after="120"/>
              <w:jc w:val="center"/>
              <w:rPr>
                <w:color w:val="000000" w:themeColor="text1"/>
                <w:sz w:val="25"/>
                <w:szCs w:val="25"/>
              </w:rPr>
            </w:pPr>
          </w:p>
        </w:tc>
        <w:tc>
          <w:tcPr>
            <w:tcW w:w="1964" w:type="dxa"/>
            <w:vAlign w:val="center"/>
          </w:tcPr>
          <w:p w14:paraId="0B51ABFC" w14:textId="77777777" w:rsidR="00E96842" w:rsidRPr="00CE2A4C" w:rsidRDefault="00E96842" w:rsidP="00E96842">
            <w:pPr>
              <w:spacing w:line="264" w:lineRule="auto"/>
              <w:jc w:val="both"/>
              <w:rPr>
                <w:color w:val="000000" w:themeColor="text1"/>
                <w:sz w:val="24"/>
                <w:szCs w:val="24"/>
              </w:rPr>
            </w:pPr>
            <w:r w:rsidRPr="00CE2A4C">
              <w:rPr>
                <w:color w:val="000000" w:themeColor="text1"/>
                <w:sz w:val="24"/>
                <w:szCs w:val="24"/>
              </w:rPr>
              <w:t>Điều 38 Nghị định số 113/2025/NĐ-CP</w:t>
            </w:r>
          </w:p>
          <w:p w14:paraId="573FA515" w14:textId="77777777" w:rsidR="00E96842" w:rsidRPr="00CE2A4C" w:rsidRDefault="00E96842" w:rsidP="00E96842">
            <w:pPr>
              <w:spacing w:line="264" w:lineRule="auto"/>
              <w:jc w:val="both"/>
              <w:rPr>
                <w:color w:val="000000" w:themeColor="text1"/>
                <w:sz w:val="24"/>
                <w:szCs w:val="24"/>
              </w:rPr>
            </w:pPr>
            <w:r w:rsidRPr="00CE2A4C">
              <w:rPr>
                <w:color w:val="000000" w:themeColor="text1"/>
                <w:sz w:val="24"/>
                <w:szCs w:val="24"/>
              </w:rPr>
              <w:t>Điểm d, khoản 14, Điều 2, Thông tư số 10/2025/TT-BNV</w:t>
            </w:r>
          </w:p>
        </w:tc>
        <w:tc>
          <w:tcPr>
            <w:tcW w:w="3827" w:type="dxa"/>
            <w:vAlign w:val="center"/>
          </w:tcPr>
          <w:p w14:paraId="3FACFBDB" w14:textId="77777777" w:rsidR="00E96842" w:rsidRPr="00CE2A4C" w:rsidRDefault="00E96842" w:rsidP="00E96842">
            <w:pPr>
              <w:spacing w:line="264" w:lineRule="auto"/>
              <w:jc w:val="both"/>
              <w:rPr>
                <w:color w:val="000000" w:themeColor="text1"/>
                <w:sz w:val="24"/>
                <w:szCs w:val="24"/>
              </w:rPr>
            </w:pPr>
            <w:r w:rsidRPr="00CE2A4C">
              <w:rPr>
                <w:color w:val="000000" w:themeColor="text1"/>
                <w:sz w:val="24"/>
                <w:szCs w:val="24"/>
              </w:rPr>
              <w:t>- Điều 38, Nghị định số 113/2025/NĐ-CP ngày 03/6/2025 quy định về thủ tục cấp Giấy chứng nhận đủ điều kiện kinh doanh dịch vụ lưu trữ: do Sở Nội vụ tỉnh, thành phố trực thuộc TW cấp theo đề nghị của tổ chức kinh doanh dịch vụ lưu trữ quy định tại điểm a và điểm b khoản 1 Điều 53 Luật Lưu trữ - Điểm d, khoản 14, Điều 2, Thông tư số 10/2025/TT-BNV ngày 19/6/2025: Sở Nội vụ tham mưu, giúp Ủy ban nhân dân cấp tỉnh cấp Giấy chứng nhận đủ điều kiện kinh doanh dịch vụ lưu trữ Theo Nghị định số 113/2025/NĐ-CP: thẩm quyền do Sở Nội vụ thực hiện. Tuy nhiên, Thông tư số 10/2025/TT-BNV thì thẩm quyền do UBND cấp tỉnh thực hiện</w:t>
            </w:r>
          </w:p>
        </w:tc>
        <w:tc>
          <w:tcPr>
            <w:tcW w:w="1559" w:type="dxa"/>
            <w:vAlign w:val="center"/>
          </w:tcPr>
          <w:p w14:paraId="6A46E99B" w14:textId="77777777" w:rsidR="00E96842" w:rsidRPr="00CE2A4C" w:rsidRDefault="00E96842" w:rsidP="00E96842">
            <w:pPr>
              <w:spacing w:line="264" w:lineRule="auto"/>
              <w:jc w:val="both"/>
              <w:rPr>
                <w:color w:val="000000" w:themeColor="text1"/>
                <w:sz w:val="24"/>
                <w:szCs w:val="24"/>
              </w:rPr>
            </w:pPr>
            <w:r w:rsidRPr="00CE2A4C">
              <w:rPr>
                <w:color w:val="000000" w:themeColor="text1"/>
                <w:sz w:val="24"/>
                <w:szCs w:val="24"/>
              </w:rPr>
              <w:t>C. Sửa đổi, bổ sung, thay thế, ban hành mới VBQPPL (theo trình tự, thủ tục rút gọn ban hành VBQPPL của Luật Ban hành VBQPPL)</w:t>
            </w:r>
          </w:p>
        </w:tc>
        <w:tc>
          <w:tcPr>
            <w:tcW w:w="1418" w:type="dxa"/>
            <w:vAlign w:val="center"/>
          </w:tcPr>
          <w:p w14:paraId="3D7CD279" w14:textId="77777777" w:rsidR="00E96842" w:rsidRPr="00CE2A4C" w:rsidRDefault="00E96842" w:rsidP="00E96842">
            <w:pPr>
              <w:spacing w:line="264" w:lineRule="auto"/>
              <w:jc w:val="both"/>
              <w:rPr>
                <w:color w:val="000000" w:themeColor="text1"/>
                <w:sz w:val="24"/>
                <w:szCs w:val="24"/>
              </w:rPr>
            </w:pPr>
            <w:r w:rsidRPr="00CE2A4C">
              <w:rPr>
                <w:color w:val="000000" w:themeColor="text1"/>
                <w:sz w:val="24"/>
                <w:szCs w:val="24"/>
              </w:rPr>
              <w:t>Sở Tư pháp tỉnh Hải Phòng</w:t>
            </w:r>
          </w:p>
        </w:tc>
        <w:tc>
          <w:tcPr>
            <w:tcW w:w="2835" w:type="dxa"/>
            <w:vAlign w:val="center"/>
          </w:tcPr>
          <w:p w14:paraId="78A34CC3" w14:textId="77777777" w:rsidR="00E96842" w:rsidRPr="00CE2A4C" w:rsidRDefault="00E96842" w:rsidP="00E96842">
            <w:pPr>
              <w:spacing w:line="264" w:lineRule="auto"/>
              <w:ind w:left="60" w:right="60"/>
              <w:jc w:val="both"/>
              <w:rPr>
                <w:color w:val="000000" w:themeColor="text1"/>
                <w:sz w:val="24"/>
                <w:szCs w:val="24"/>
              </w:rPr>
            </w:pPr>
            <w:r w:rsidRPr="00CE2A4C">
              <w:rPr>
                <w:b/>
                <w:color w:val="000000" w:themeColor="text1"/>
                <w:sz w:val="24"/>
                <w:szCs w:val="24"/>
              </w:rPr>
              <w:t xml:space="preserve">Nhất trí </w:t>
            </w:r>
            <w:r w:rsidRPr="00CE2A4C">
              <w:rPr>
                <w:color w:val="000000" w:themeColor="text1"/>
                <w:sz w:val="24"/>
                <w:szCs w:val="24"/>
              </w:rPr>
              <w:t>ghi nhận phản ánh, Bộ Nội vụ sẽ nghiên cứu sửa đổi, bổ sung Thông tư số 10/2025/TT-BNV.</w:t>
            </w:r>
          </w:p>
          <w:p w14:paraId="2BC4C8C1" w14:textId="77777777" w:rsidR="00E96842" w:rsidRPr="00CE2A4C" w:rsidRDefault="00E96842" w:rsidP="00E96842">
            <w:pPr>
              <w:spacing w:line="264" w:lineRule="auto"/>
              <w:ind w:left="60" w:right="60"/>
              <w:jc w:val="both"/>
              <w:rPr>
                <w:color w:val="000000" w:themeColor="text1"/>
                <w:sz w:val="24"/>
                <w:szCs w:val="24"/>
              </w:rPr>
            </w:pPr>
            <w:r w:rsidRPr="00CE2A4C">
              <w:rPr>
                <w:color w:val="000000" w:themeColor="text1"/>
                <w:sz w:val="24"/>
                <w:szCs w:val="24"/>
              </w:rPr>
              <w:t>Tuy nhiên, việc thực hiện cấp giấy chứng nhận thực hiện theo khoản 1 Điều 38 Nghị định số 113/2025/NĐ-CP (văn bản có hiệu lực pháp lý cao hơn).</w:t>
            </w:r>
          </w:p>
          <w:p w14:paraId="37566DF4" w14:textId="77777777" w:rsidR="00E96842" w:rsidRPr="00CE2A4C" w:rsidRDefault="00E96842" w:rsidP="00E96842">
            <w:pPr>
              <w:spacing w:line="264" w:lineRule="auto"/>
              <w:ind w:left="60" w:right="60"/>
              <w:jc w:val="both"/>
              <w:rPr>
                <w:color w:val="000000" w:themeColor="text1"/>
                <w:sz w:val="24"/>
                <w:szCs w:val="24"/>
              </w:rPr>
            </w:pPr>
            <w:r w:rsidRPr="00CE2A4C">
              <w:rPr>
                <w:color w:val="000000" w:themeColor="text1"/>
                <w:sz w:val="24"/>
                <w:szCs w:val="24"/>
              </w:rPr>
              <w:t>(</w:t>
            </w:r>
            <w:r w:rsidRPr="00CE2A4C">
              <w:rPr>
                <w:bCs/>
                <w:color w:val="000000" w:themeColor="text1"/>
                <w:sz w:val="25"/>
                <w:szCs w:val="25"/>
              </w:rPr>
              <w:t>Chuyển từ Phụ lục V.13.1.C sang Phụ lục V.13.1.B</w:t>
            </w:r>
            <w:r w:rsidRPr="00CE2A4C">
              <w:rPr>
                <w:color w:val="000000" w:themeColor="text1"/>
                <w:sz w:val="24"/>
                <w:szCs w:val="24"/>
              </w:rPr>
              <w:t>)</w:t>
            </w:r>
          </w:p>
        </w:tc>
        <w:tc>
          <w:tcPr>
            <w:tcW w:w="2835" w:type="dxa"/>
            <w:vAlign w:val="center"/>
          </w:tcPr>
          <w:p w14:paraId="50D7C4CC" w14:textId="77777777" w:rsidR="004B3C43" w:rsidRPr="004B3C43" w:rsidRDefault="004B3C43" w:rsidP="004B3C43">
            <w:pPr>
              <w:spacing w:before="120" w:after="120"/>
              <w:jc w:val="both"/>
              <w:rPr>
                <w:b/>
                <w:color w:val="000000" w:themeColor="text1"/>
                <w:sz w:val="25"/>
                <w:szCs w:val="25"/>
              </w:rPr>
            </w:pPr>
            <w:r w:rsidRPr="004B3C43">
              <w:rPr>
                <w:b/>
                <w:color w:val="000000" w:themeColor="text1"/>
                <w:sz w:val="25"/>
                <w:szCs w:val="25"/>
              </w:rPr>
              <w:t>Chưa xử lý:</w:t>
            </w:r>
          </w:p>
          <w:p w14:paraId="58B7E40C" w14:textId="766340A0" w:rsidR="00836A03" w:rsidRPr="00836A03" w:rsidRDefault="00836A03" w:rsidP="00836A03">
            <w:pPr>
              <w:spacing w:before="120" w:after="120"/>
              <w:jc w:val="both"/>
              <w:rPr>
                <w:color w:val="FF0000"/>
                <w:sz w:val="25"/>
                <w:szCs w:val="25"/>
              </w:rPr>
            </w:pPr>
            <w:r w:rsidRPr="00836A03">
              <w:rPr>
                <w:color w:val="FF0000"/>
                <w:sz w:val="25"/>
                <w:szCs w:val="25"/>
              </w:rPr>
              <w:t>Bộ Nội vụ ban hành Công văn số 8717/BNV-CVT&amp;LTNN ngày 30/9/2025 của Bộ Nội vụ hướng dẫn áp dụng văn bản quy phạm pháp luật.</w:t>
            </w:r>
          </w:p>
          <w:p w14:paraId="64EA0573" w14:textId="366E28A4" w:rsidR="00E96842" w:rsidRPr="00CE2A4C" w:rsidRDefault="00E96842" w:rsidP="00836A03">
            <w:pPr>
              <w:spacing w:before="120" w:after="120"/>
              <w:jc w:val="both"/>
              <w:rPr>
                <w:color w:val="000000" w:themeColor="text1"/>
                <w:sz w:val="25"/>
                <w:szCs w:val="25"/>
              </w:rPr>
            </w:pPr>
            <w:r w:rsidRPr="00836A03">
              <w:rPr>
                <w:color w:val="FF0000"/>
                <w:sz w:val="25"/>
                <w:szCs w:val="25"/>
              </w:rPr>
              <w:t xml:space="preserve">Dự kiền </w:t>
            </w:r>
            <w:r w:rsidR="00836A03" w:rsidRPr="00836A03">
              <w:rPr>
                <w:color w:val="FF0000"/>
                <w:sz w:val="25"/>
                <w:szCs w:val="25"/>
              </w:rPr>
              <w:t>sẽ nghiên cứu sửa đổi, bổ sung Thông tư số 10/2025/TT-BNV trong năm 2026</w:t>
            </w:r>
            <w:r w:rsidRPr="00836A03">
              <w:rPr>
                <w:color w:val="FF0000"/>
                <w:sz w:val="25"/>
                <w:szCs w:val="25"/>
              </w:rPr>
              <w:t>.</w:t>
            </w:r>
          </w:p>
        </w:tc>
      </w:tr>
      <w:tr w:rsidR="004B3C43" w:rsidRPr="00CE2A4C" w14:paraId="3882F480" w14:textId="77777777" w:rsidTr="007E6A5D">
        <w:tc>
          <w:tcPr>
            <w:tcW w:w="966" w:type="dxa"/>
            <w:vAlign w:val="center"/>
          </w:tcPr>
          <w:p w14:paraId="2CA13EE7" w14:textId="77777777" w:rsidR="004B3C43" w:rsidRPr="00CE2A4C" w:rsidRDefault="004B3C43" w:rsidP="004B3C43">
            <w:pPr>
              <w:numPr>
                <w:ilvl w:val="0"/>
                <w:numId w:val="1"/>
              </w:numPr>
              <w:pBdr>
                <w:top w:val="nil"/>
                <w:left w:val="nil"/>
                <w:bottom w:val="nil"/>
                <w:right w:val="nil"/>
                <w:between w:val="nil"/>
              </w:pBdr>
              <w:spacing w:before="120" w:after="120"/>
              <w:jc w:val="center"/>
              <w:rPr>
                <w:color w:val="000000" w:themeColor="text1"/>
                <w:sz w:val="25"/>
                <w:szCs w:val="25"/>
              </w:rPr>
            </w:pPr>
          </w:p>
        </w:tc>
        <w:tc>
          <w:tcPr>
            <w:tcW w:w="1964" w:type="dxa"/>
            <w:vAlign w:val="center"/>
          </w:tcPr>
          <w:p w14:paraId="40F6EFE6" w14:textId="77777777" w:rsidR="004B3C43" w:rsidRPr="00CE2A4C" w:rsidRDefault="004B3C43" w:rsidP="004B3C43">
            <w:pPr>
              <w:spacing w:line="264" w:lineRule="auto"/>
              <w:jc w:val="both"/>
              <w:rPr>
                <w:color w:val="000000" w:themeColor="text1"/>
                <w:sz w:val="25"/>
                <w:szCs w:val="25"/>
              </w:rPr>
            </w:pPr>
            <w:r w:rsidRPr="00CE2A4C">
              <w:rPr>
                <w:color w:val="000000" w:themeColor="text1"/>
                <w:sz w:val="25"/>
                <w:szCs w:val="25"/>
              </w:rPr>
              <w:t>Điểm b Khoản 2 Điều 19 Nghị định số 120/2020/NĐ-CP</w:t>
            </w:r>
          </w:p>
        </w:tc>
        <w:tc>
          <w:tcPr>
            <w:tcW w:w="3827" w:type="dxa"/>
            <w:vAlign w:val="center"/>
          </w:tcPr>
          <w:p w14:paraId="5C5E1093" w14:textId="77777777" w:rsidR="004B3C43" w:rsidRPr="00CE2A4C" w:rsidRDefault="004B3C43" w:rsidP="004B3C43">
            <w:pPr>
              <w:spacing w:line="264" w:lineRule="auto"/>
              <w:jc w:val="both"/>
              <w:rPr>
                <w:color w:val="000000" w:themeColor="text1"/>
                <w:sz w:val="25"/>
                <w:szCs w:val="25"/>
              </w:rPr>
            </w:pPr>
            <w:r w:rsidRPr="00CE2A4C">
              <w:rPr>
                <w:color w:val="000000" w:themeColor="text1"/>
                <w:sz w:val="25"/>
                <w:szCs w:val="25"/>
              </w:rPr>
              <w:t xml:space="preserve">Điểm b Khoản 2 Điều 19. Thẩm quyền của Chính phủ, Thủ tướng Chính phủ (Nghị định số 120/2020/NĐ-CP ngày 07/10/2020 Quy định về thành lập, tổ chức lại, giải thể đơn vị sự nghiệp công lập) quy định b) Quyết định thành lập, tổ chức lại, giải thể: Đơn vị sự nghiệp công lập quy định tại điểm a, b khoản 1, khoản 2, khoản 3, điểm a khoản 4 Điều 2 Nghị định này (trừ đơn vị quy định tại khoản 1 Điều này); đơn vị sự nghiệp công lập thuộc thẩm quyền quyết định của Thủ tướng Chính phủ theo quy định của luật chuyên ngành và đơn vị sự nghiệp công lập khác theo quy định của pháp luật. Mâu thuẫn với Luật Tổ chức chính quyền địa phương năm 2025 tại: Điều 16. Nhiệm vụ, quyền hạn của Ủy ban nhân dân cấp tỉnh 1. Ủy ban nhân dân tỉnh thực hiện nhiệm vụ, quyền hạn sau đây: e) Quy định tổ chức bộ máy và nhiệm vụ, quyền hạn cụ thể của cơ quan chuyên môn thuộc Ủy ban </w:t>
            </w:r>
            <w:r w:rsidRPr="00CE2A4C">
              <w:rPr>
                <w:color w:val="000000" w:themeColor="text1"/>
                <w:sz w:val="25"/>
                <w:szCs w:val="25"/>
              </w:rPr>
              <w:lastRenderedPageBreak/>
              <w:t>nhân dân cấp mình; quyết định thành lập, tổ chức lại, thay đổi tên gọi, giải thể và quy định tổ chức bộ máy, nhiệm vụ, quyền hạn cụ thể của đơn vị sự nghiệp công lập thuộc Ủy ban nhân dân cấp mình theo quy định của pháp luật</w:t>
            </w:r>
          </w:p>
        </w:tc>
        <w:tc>
          <w:tcPr>
            <w:tcW w:w="1559" w:type="dxa"/>
            <w:vAlign w:val="center"/>
          </w:tcPr>
          <w:p w14:paraId="1FAEBA9C" w14:textId="77777777" w:rsidR="004B3C43" w:rsidRPr="00CE2A4C" w:rsidRDefault="004B3C43" w:rsidP="004B3C43">
            <w:pPr>
              <w:spacing w:line="264" w:lineRule="auto"/>
              <w:jc w:val="both"/>
              <w:rPr>
                <w:color w:val="000000" w:themeColor="text1"/>
                <w:sz w:val="25"/>
                <w:szCs w:val="25"/>
              </w:rPr>
            </w:pPr>
            <w:r w:rsidRPr="00CE2A4C">
              <w:rPr>
                <w:color w:val="000000" w:themeColor="text1"/>
                <w:sz w:val="25"/>
                <w:szCs w:val="25"/>
              </w:rPr>
              <w:lastRenderedPageBreak/>
              <w:t>C. Sửa đổi, bổ sung, thay thế, ban hành mới VBQPPL (theo trình tự, thủ tục rút gọn ban hành VBQPPL của Luật Ban hành VBQPPL)</w:t>
            </w:r>
          </w:p>
        </w:tc>
        <w:tc>
          <w:tcPr>
            <w:tcW w:w="1418" w:type="dxa"/>
            <w:vAlign w:val="center"/>
          </w:tcPr>
          <w:p w14:paraId="0D39B908" w14:textId="77777777" w:rsidR="004B3C43" w:rsidRPr="00CE2A4C" w:rsidRDefault="004B3C43" w:rsidP="004B3C43">
            <w:pPr>
              <w:spacing w:line="264" w:lineRule="auto"/>
              <w:jc w:val="both"/>
              <w:rPr>
                <w:color w:val="000000" w:themeColor="text1"/>
                <w:sz w:val="25"/>
                <w:szCs w:val="25"/>
              </w:rPr>
            </w:pPr>
            <w:r w:rsidRPr="00CE2A4C">
              <w:rPr>
                <w:color w:val="000000" w:themeColor="text1"/>
                <w:sz w:val="25"/>
                <w:szCs w:val="25"/>
              </w:rPr>
              <w:t>Sở Tư pháp tỉnh Hải Phòng</w:t>
            </w:r>
          </w:p>
        </w:tc>
        <w:tc>
          <w:tcPr>
            <w:tcW w:w="2835" w:type="dxa"/>
            <w:vAlign w:val="center"/>
          </w:tcPr>
          <w:p w14:paraId="7A7C30E2" w14:textId="77777777" w:rsidR="004B3C43" w:rsidRPr="00CE2A4C" w:rsidRDefault="004B3C43" w:rsidP="004B3C43">
            <w:pPr>
              <w:spacing w:line="264" w:lineRule="auto"/>
              <w:ind w:left="60" w:right="60"/>
              <w:jc w:val="both"/>
              <w:rPr>
                <w:color w:val="000000" w:themeColor="text1"/>
                <w:sz w:val="24"/>
                <w:szCs w:val="24"/>
              </w:rPr>
            </w:pPr>
            <w:r w:rsidRPr="00CE2A4C">
              <w:rPr>
                <w:color w:val="000000" w:themeColor="text1"/>
                <w:sz w:val="24"/>
                <w:szCs w:val="24"/>
              </w:rPr>
              <w:t xml:space="preserve">- Ghi nhận ý kiến phản ánh nhưng đây không phải điểm nghẽn. </w:t>
            </w:r>
          </w:p>
          <w:p w14:paraId="096C4B29" w14:textId="77777777" w:rsidR="004B3C43" w:rsidRPr="00CE2A4C" w:rsidRDefault="004B3C43" w:rsidP="004B3C43">
            <w:pPr>
              <w:jc w:val="both"/>
              <w:rPr>
                <w:color w:val="000000" w:themeColor="text1"/>
                <w:sz w:val="24"/>
                <w:szCs w:val="24"/>
              </w:rPr>
            </w:pPr>
            <w:r w:rsidRPr="00CE2A4C">
              <w:rPr>
                <w:color w:val="000000" w:themeColor="text1"/>
                <w:sz w:val="24"/>
                <w:szCs w:val="24"/>
              </w:rPr>
              <w:t xml:space="preserve">- Tại khoản 6 Điều 16 Luật Tổ chức chính quyền địa phương ngày 16/6/2025 quy định khung về thẩm quyền Ủy ban nhân dân tỉnh: “Quyết định thành lập, tổ chức lại, thay đổi tên gọi, giải thể, quy định tổ chức bộ máy, nhiệm vụ, quyền hạn của đơn vị sự nghiệp công lập thuộc Ủy ban nhân dân cấp mình theo quy định của pháp luật”. Theo đó, trường hợp pháp luật chuyên ngành có quy định khác về thẩm quyền thành lập, tổ chức lại, giải thể; quy định tổ chức bộ máy, nhiệm vụ, quyền hạn của đơn vị sự nghiệp công lập thuộc Ủy ban nhân dân cấp tỉnh thì thực hiện theo quy định của pháp luật chuyên ngành. Trường pháp luật chuyên ngành không quy định cụ </w:t>
            </w:r>
            <w:r w:rsidRPr="00CE2A4C">
              <w:rPr>
                <w:color w:val="000000" w:themeColor="text1"/>
                <w:sz w:val="24"/>
                <w:szCs w:val="24"/>
              </w:rPr>
              <w:lastRenderedPageBreak/>
              <w:t>thể thì thực hiện theo Nghị định số 120/2020/NĐ-CP, bảo đảm phù hợp với Nghị quyết số 19-NQ/TW của Hội nghị Trung ương 6 khóa XII về tiếp tục đổi mới hệ thống tổ chức và quản lý, nâng cao chất lượng và hiệu quả hoạt động của các đơn vị sự nghiệp công lập. Để tiếp tục thực hiện chủ trương đẩy mạnh phân cấp, đẩy mạnh tự chủ và nâng cao hiệu quả hoạt động của các đơn vị sự nghiệp công lập, trong thời gian tới, Bộ Nội vụ sẽ chủ trì, phối hợp với các Bộ, ngành, địa phương nghiên cứu, xây dựng dự thảo Nghị định sửa đổi, bổ sung Nghị định số 120/2020/NĐ-CP cho phù hợp với tình hình thực tiễn.</w:t>
            </w:r>
          </w:p>
          <w:p w14:paraId="1A8C1D84" w14:textId="77777777" w:rsidR="004B3C43" w:rsidRPr="00CE2A4C" w:rsidRDefault="004B3C43" w:rsidP="004B3C43">
            <w:pPr>
              <w:jc w:val="both"/>
              <w:rPr>
                <w:color w:val="000000" w:themeColor="text1"/>
                <w:sz w:val="25"/>
                <w:szCs w:val="25"/>
              </w:rPr>
            </w:pPr>
            <w:r w:rsidRPr="00CE2A4C">
              <w:rPr>
                <w:color w:val="000000" w:themeColor="text1"/>
                <w:sz w:val="24"/>
                <w:szCs w:val="24"/>
              </w:rPr>
              <w:t>(</w:t>
            </w:r>
            <w:r w:rsidRPr="00CE2A4C">
              <w:rPr>
                <w:bCs/>
                <w:color w:val="000000" w:themeColor="text1"/>
                <w:sz w:val="25"/>
                <w:szCs w:val="25"/>
              </w:rPr>
              <w:t>Chuyển từ Phụ lục V.13.1.C sang Phụ lục V.13.1.B</w:t>
            </w:r>
            <w:r w:rsidRPr="00CE2A4C">
              <w:rPr>
                <w:color w:val="000000" w:themeColor="text1"/>
                <w:sz w:val="24"/>
                <w:szCs w:val="24"/>
              </w:rPr>
              <w:t>)</w:t>
            </w:r>
          </w:p>
        </w:tc>
        <w:tc>
          <w:tcPr>
            <w:tcW w:w="2835" w:type="dxa"/>
          </w:tcPr>
          <w:p w14:paraId="0C242E83" w14:textId="77777777" w:rsidR="004B3C43" w:rsidRPr="00B93D37" w:rsidRDefault="004B3C43" w:rsidP="004B3C43">
            <w:pPr>
              <w:jc w:val="both"/>
              <w:rPr>
                <w:rFonts w:eastAsia="Calibri"/>
                <w:b/>
                <w:sz w:val="26"/>
                <w:szCs w:val="26"/>
                <w:lang w:val="en-US"/>
              </w:rPr>
            </w:pPr>
            <w:r w:rsidRPr="00B93D37">
              <w:rPr>
                <w:rFonts w:eastAsia="Calibri"/>
                <w:b/>
                <w:sz w:val="26"/>
                <w:szCs w:val="26"/>
                <w:lang w:val="vi-VN"/>
              </w:rPr>
              <w:lastRenderedPageBreak/>
              <w:t>Đã xử lý</w:t>
            </w:r>
            <w:r>
              <w:rPr>
                <w:rFonts w:eastAsia="Calibri"/>
                <w:b/>
                <w:sz w:val="26"/>
                <w:szCs w:val="26"/>
              </w:rPr>
              <w:t>:</w:t>
            </w:r>
          </w:p>
          <w:p w14:paraId="63191F4B" w14:textId="77777777" w:rsidR="004B3C43" w:rsidRPr="0056718C" w:rsidRDefault="004B3C43" w:rsidP="004B3C43">
            <w:pPr>
              <w:jc w:val="both"/>
              <w:rPr>
                <w:rFonts w:eastAsia="Calibri"/>
                <w:sz w:val="26"/>
                <w:szCs w:val="26"/>
                <w:lang w:val="vi-VN"/>
              </w:rPr>
            </w:pPr>
            <w:r w:rsidRPr="0056718C">
              <w:rPr>
                <w:rFonts w:eastAsia="Calibri"/>
                <w:sz w:val="26"/>
                <w:szCs w:val="26"/>
                <w:lang w:val="vi-VN"/>
              </w:rPr>
              <w:t xml:space="preserve">Bộ Nội vụ đã trình Chính phủ ban hành Nghị định số 283/2025/NĐ-CP, trong đó: </w:t>
            </w:r>
          </w:p>
          <w:p w14:paraId="55D279EE" w14:textId="77777777" w:rsidR="004B3C43" w:rsidRPr="0056718C" w:rsidRDefault="004B3C43" w:rsidP="004B3C43">
            <w:pPr>
              <w:jc w:val="both"/>
              <w:rPr>
                <w:rFonts w:eastAsia="Calibri"/>
                <w:sz w:val="26"/>
                <w:szCs w:val="26"/>
                <w:lang w:val="vi-VN"/>
              </w:rPr>
            </w:pPr>
            <w:r w:rsidRPr="0056718C">
              <w:rPr>
                <w:rFonts w:eastAsia="Calibri"/>
                <w:sz w:val="26"/>
                <w:szCs w:val="26"/>
                <w:lang w:val="vi-VN"/>
              </w:rPr>
              <w:t xml:space="preserve">(1) Bổ sung quy định về khung số lượng cấp phó đối với các đơn vị sự nghiệp công lập đặc thù, gồm: bệnh viện hạng I, đơn vị sự nghiệp y tế làm nhiệm vụ kiểm soát và phòng chống bệnh tật tuyến tỉnh hạng I trở lên, trường phổ thông có nhiều cấp học; </w:t>
            </w:r>
          </w:p>
          <w:p w14:paraId="069C78B4" w14:textId="77777777" w:rsidR="004B3C43" w:rsidRPr="0056718C" w:rsidRDefault="004B3C43" w:rsidP="004B3C43">
            <w:pPr>
              <w:jc w:val="both"/>
              <w:rPr>
                <w:rFonts w:eastAsia="Calibri"/>
                <w:sz w:val="26"/>
                <w:szCs w:val="26"/>
                <w:lang w:val="vi-VN"/>
              </w:rPr>
            </w:pPr>
            <w:r w:rsidRPr="0056718C">
              <w:rPr>
                <w:rFonts w:eastAsia="Calibri"/>
                <w:sz w:val="26"/>
                <w:szCs w:val="26"/>
                <w:lang w:val="vi-VN"/>
              </w:rPr>
              <w:t>(2) Xác định Ủy ban nhân dân cấp tỉnh có thẩm quyền quyết định thành lập, tổ chức lại, giải thể đơn vị sự nghiệp công lập thuộc Ủy ban nhân dân cấp tỉnh, bảo đảm thống nhất với quy định tại Luật Tổ chức chính quyền địa phương năm 2025;</w:t>
            </w:r>
          </w:p>
          <w:p w14:paraId="3BCF51AE" w14:textId="77777777" w:rsidR="004B3C43" w:rsidRPr="0056718C" w:rsidRDefault="004B3C43" w:rsidP="004B3C43">
            <w:pPr>
              <w:jc w:val="both"/>
              <w:rPr>
                <w:rFonts w:eastAsia="Calibri"/>
                <w:sz w:val="26"/>
                <w:szCs w:val="26"/>
                <w:lang w:val="vi-VN"/>
              </w:rPr>
            </w:pPr>
            <w:r w:rsidRPr="0056718C">
              <w:rPr>
                <w:rFonts w:eastAsia="Calibri"/>
                <w:sz w:val="26"/>
                <w:szCs w:val="26"/>
                <w:lang w:val="vi-VN"/>
              </w:rPr>
              <w:lastRenderedPageBreak/>
              <w:t>(3) Xác định Ủy ban nhân dân cấp tỉnh có thẩm quyền quy định chức năng, nhiệm vụ, quyền hạn và cơ cấu tổ chức của đơn vị sự nghiệp công lập thuộc sở, bảo đảm thống nhất với quy định tại Nghị định số 150/2025/NĐ-CP.</w:t>
            </w:r>
          </w:p>
          <w:p w14:paraId="0C551E95" w14:textId="1B7D5435" w:rsidR="004B3C43" w:rsidRPr="00CE2A4C" w:rsidRDefault="004B3C43" w:rsidP="004B3C43">
            <w:pPr>
              <w:jc w:val="both"/>
              <w:rPr>
                <w:color w:val="000000" w:themeColor="text1"/>
                <w:sz w:val="25"/>
                <w:szCs w:val="25"/>
              </w:rPr>
            </w:pPr>
            <w:r w:rsidRPr="0056718C">
              <w:rPr>
                <w:rFonts w:eastAsia="Calibri"/>
                <w:sz w:val="26"/>
                <w:szCs w:val="26"/>
                <w:lang w:val="vi-VN"/>
              </w:rPr>
              <w:t>(4) Bổ sung quy định về đối tượng áp dụng của Nghị định, thẩm quyền, trình tự, thủ tục thành lập, tổ chức lại, giải thể đơn vị sự nghiệp công lập thuộc Ủy ban nhân dân cấp xã.</w:t>
            </w:r>
          </w:p>
        </w:tc>
      </w:tr>
      <w:tr w:rsidR="004B3C43" w:rsidRPr="00CE2A4C" w14:paraId="495FBCD9" w14:textId="77777777" w:rsidTr="007E6A5D">
        <w:tc>
          <w:tcPr>
            <w:tcW w:w="966" w:type="dxa"/>
            <w:vAlign w:val="center"/>
          </w:tcPr>
          <w:p w14:paraId="12EA9916" w14:textId="77777777" w:rsidR="004B3C43" w:rsidRPr="00CE2A4C" w:rsidRDefault="004B3C43" w:rsidP="004B3C43">
            <w:pPr>
              <w:numPr>
                <w:ilvl w:val="0"/>
                <w:numId w:val="1"/>
              </w:numPr>
              <w:pBdr>
                <w:top w:val="nil"/>
                <w:left w:val="nil"/>
                <w:bottom w:val="nil"/>
                <w:right w:val="nil"/>
                <w:between w:val="nil"/>
              </w:pBdr>
              <w:spacing w:before="120" w:after="120"/>
              <w:jc w:val="center"/>
              <w:rPr>
                <w:color w:val="000000" w:themeColor="text1"/>
                <w:sz w:val="25"/>
                <w:szCs w:val="25"/>
              </w:rPr>
            </w:pPr>
          </w:p>
        </w:tc>
        <w:tc>
          <w:tcPr>
            <w:tcW w:w="1964" w:type="dxa"/>
            <w:vAlign w:val="center"/>
          </w:tcPr>
          <w:p w14:paraId="4CFF9883" w14:textId="77777777" w:rsidR="004B3C43" w:rsidRPr="00CE2A4C" w:rsidRDefault="004B3C43" w:rsidP="004B3C43">
            <w:pPr>
              <w:spacing w:line="264" w:lineRule="auto"/>
              <w:jc w:val="both"/>
              <w:rPr>
                <w:color w:val="000000" w:themeColor="text1"/>
                <w:sz w:val="24"/>
                <w:szCs w:val="24"/>
              </w:rPr>
            </w:pPr>
            <w:r w:rsidRPr="00CE2A4C">
              <w:rPr>
                <w:color w:val="000000" w:themeColor="text1"/>
                <w:sz w:val="24"/>
                <w:szCs w:val="24"/>
              </w:rPr>
              <w:t>Tại điểm a khoản 2 Điều 24 Nghị định số 120/2020/NĐ-CP và khoản 2 Điều 19 Nghị định số 150/2025/NĐ-CP của Chính phủ</w:t>
            </w:r>
          </w:p>
        </w:tc>
        <w:tc>
          <w:tcPr>
            <w:tcW w:w="3827" w:type="dxa"/>
            <w:vAlign w:val="center"/>
          </w:tcPr>
          <w:p w14:paraId="048ACA49" w14:textId="77777777" w:rsidR="004B3C43" w:rsidRPr="00CE2A4C" w:rsidRDefault="004B3C43" w:rsidP="004B3C43">
            <w:pPr>
              <w:spacing w:line="264" w:lineRule="auto"/>
              <w:jc w:val="both"/>
              <w:rPr>
                <w:i/>
                <w:color w:val="000000" w:themeColor="text1"/>
                <w:sz w:val="24"/>
                <w:szCs w:val="24"/>
              </w:rPr>
            </w:pPr>
            <w:r w:rsidRPr="00CE2A4C">
              <w:rPr>
                <w:color w:val="000000" w:themeColor="text1"/>
                <w:sz w:val="24"/>
                <w:szCs w:val="24"/>
              </w:rPr>
              <w:t xml:space="preserve">Tại điểm a khoản 2 Điều 24 Nghị định số 120/2020/NĐ-CP ngày 07/10/2020 của Chính phủ quy định về thành lập, tổ chức lại, giải thể đơn vị sự nghiệp công lập quy định: “Thẩm quyền của </w:t>
            </w:r>
            <w:r w:rsidRPr="00CE2A4C">
              <w:rPr>
                <w:b/>
                <w:color w:val="000000" w:themeColor="text1"/>
                <w:sz w:val="24"/>
                <w:szCs w:val="24"/>
              </w:rPr>
              <w:t>Chủ tịch UBND cấp tỉnh:</w:t>
            </w:r>
            <w:r w:rsidRPr="00CE2A4C">
              <w:rPr>
                <w:color w:val="000000" w:themeColor="text1"/>
                <w:sz w:val="24"/>
                <w:szCs w:val="24"/>
              </w:rPr>
              <w:t xml:space="preserve"> Quy định chức năng, nhiệm vụ, quyền hạn và cơ cấu tổ chức của các đơn vị sự nghiệp công lập … Đơn vị sự nghiệp công lập thuộc cơ quan chuyên môn thuộc Ủy ban nhân dân cấp tỉnh (sau đây gọi chung là sở) theo quy định của pháp luật”. Tuy nhiên, tại khoản 2 Điều 19 Nghị định số 150/2025/NĐ-CP ngày 12/6/2025 của Chính phủ quy định tổ chức các cơ quan chuyên môn thuộc Ủy ban nhân dân tỉnh, thành phố trực thuộc trung ương và Ủy ban nhân dân xã, phường, đặc khu thuộc tỉnh, thành phố trực thuộc trung ương quy định: “</w:t>
            </w:r>
            <w:r w:rsidRPr="00CE2A4C">
              <w:rPr>
                <w:b/>
                <w:color w:val="000000" w:themeColor="text1"/>
                <w:sz w:val="24"/>
                <w:szCs w:val="24"/>
              </w:rPr>
              <w:t>Ủy ban nhân dân cấp tỉnh</w:t>
            </w:r>
            <w:r w:rsidRPr="00CE2A4C">
              <w:rPr>
                <w:color w:val="000000" w:themeColor="text1"/>
                <w:sz w:val="24"/>
                <w:szCs w:val="24"/>
              </w:rPr>
              <w:t xml:space="preserve">: Quy định chức năng, nhiệm vụ, quyền hạn và cơ cấu tổ chức của chi cục, đơn vị sự nghiệp công lập thuộc sở theo quy định tại Nghị định này, trừ trường hợp pháp luật chuyên ngành có quy định khác. </w:t>
            </w:r>
            <w:r w:rsidRPr="00CE2A4C">
              <w:rPr>
                <w:i/>
                <w:color w:val="000000" w:themeColor="text1"/>
                <w:sz w:val="24"/>
                <w:szCs w:val="24"/>
              </w:rPr>
              <w:t xml:space="preserve">Như vậy, thẩm quyền ban hành </w:t>
            </w:r>
            <w:r w:rsidRPr="00CE2A4C">
              <w:rPr>
                <w:i/>
                <w:color w:val="000000" w:themeColor="text1"/>
                <w:sz w:val="24"/>
                <w:szCs w:val="24"/>
              </w:rPr>
              <w:lastRenderedPageBreak/>
              <w:t>quyết định quy định chức năng, nhiệm vụ, quyền hạn và cơ cấu tổ chức của đơn vị sự nghiệp công lập thuộc sở không có sự thống nhất giữa 02 nghị định nói trên.</w:t>
            </w:r>
          </w:p>
        </w:tc>
        <w:tc>
          <w:tcPr>
            <w:tcW w:w="1559" w:type="dxa"/>
            <w:vAlign w:val="center"/>
          </w:tcPr>
          <w:p w14:paraId="5B7F0D30" w14:textId="77777777" w:rsidR="004B3C43" w:rsidRPr="00CE2A4C" w:rsidRDefault="004B3C43" w:rsidP="004B3C43">
            <w:pPr>
              <w:spacing w:line="264" w:lineRule="auto"/>
              <w:jc w:val="both"/>
              <w:rPr>
                <w:color w:val="000000" w:themeColor="text1"/>
                <w:sz w:val="24"/>
                <w:szCs w:val="24"/>
              </w:rPr>
            </w:pPr>
            <w:r w:rsidRPr="00CE2A4C">
              <w:rPr>
                <w:color w:val="000000" w:themeColor="text1"/>
                <w:sz w:val="24"/>
                <w:szCs w:val="24"/>
              </w:rPr>
              <w:lastRenderedPageBreak/>
              <w:t>B. Hướng dẫn áp dụng VBQPPL theo quy định tại Điều 61 Luật Ban hành VBQPPL năm 2025</w:t>
            </w:r>
          </w:p>
        </w:tc>
        <w:tc>
          <w:tcPr>
            <w:tcW w:w="1418" w:type="dxa"/>
            <w:vAlign w:val="center"/>
          </w:tcPr>
          <w:p w14:paraId="3429CCE5" w14:textId="77777777" w:rsidR="004B3C43" w:rsidRPr="00CE2A4C" w:rsidRDefault="004B3C43" w:rsidP="004B3C43">
            <w:pPr>
              <w:spacing w:line="264" w:lineRule="auto"/>
              <w:jc w:val="both"/>
              <w:rPr>
                <w:color w:val="000000" w:themeColor="text1"/>
                <w:sz w:val="24"/>
                <w:szCs w:val="24"/>
              </w:rPr>
            </w:pPr>
            <w:r w:rsidRPr="00CE2A4C">
              <w:rPr>
                <w:color w:val="000000" w:themeColor="text1"/>
                <w:sz w:val="24"/>
                <w:szCs w:val="24"/>
              </w:rPr>
              <w:t>Sở Tư pháp tỉnh Lâm Đồng</w:t>
            </w:r>
          </w:p>
        </w:tc>
        <w:tc>
          <w:tcPr>
            <w:tcW w:w="2835" w:type="dxa"/>
            <w:vAlign w:val="center"/>
          </w:tcPr>
          <w:p w14:paraId="42A63A98" w14:textId="77777777" w:rsidR="004B3C43" w:rsidRPr="00CE2A4C" w:rsidRDefault="004B3C43" w:rsidP="004B3C43">
            <w:pPr>
              <w:spacing w:line="264" w:lineRule="auto"/>
              <w:jc w:val="both"/>
              <w:rPr>
                <w:color w:val="000000" w:themeColor="text1"/>
                <w:sz w:val="24"/>
                <w:szCs w:val="24"/>
              </w:rPr>
            </w:pPr>
            <w:r w:rsidRPr="00CE2A4C">
              <w:rPr>
                <w:color w:val="000000" w:themeColor="text1"/>
                <w:sz w:val="24"/>
                <w:szCs w:val="24"/>
              </w:rPr>
              <w:t xml:space="preserve">- Ghi nhận ý kiến phản ánh nhưng đây không phải điểm nghẽn. </w:t>
            </w:r>
          </w:p>
          <w:p w14:paraId="7E22A50B" w14:textId="77777777" w:rsidR="004B3C43" w:rsidRPr="00CE2A4C" w:rsidRDefault="004B3C43" w:rsidP="004B3C43">
            <w:pPr>
              <w:spacing w:line="264" w:lineRule="auto"/>
              <w:jc w:val="both"/>
              <w:rPr>
                <w:color w:val="000000" w:themeColor="text1"/>
                <w:sz w:val="24"/>
                <w:szCs w:val="24"/>
              </w:rPr>
            </w:pPr>
            <w:r w:rsidRPr="00CE2A4C">
              <w:rPr>
                <w:color w:val="000000" w:themeColor="text1"/>
                <w:sz w:val="24"/>
                <w:szCs w:val="24"/>
              </w:rPr>
              <w:t xml:space="preserve">- Điểm a khoản 2 Điều 24 Nghị định số 120/2020/NĐ-CP quy định Chủ tịch UBND cấp tỉnh “a) Quy định chức năng, nhiệm vụ, quyền hạn và cơ cấu tổ chức của các đơn vị sự nghiệp công lập quy định tại điểm b, điểm c và điểm d khoản 4 và khoản 5 Điều 2 Nghị định này theo quy định của pháp luật”, bảo đảm không có chồng chéo, mâu thuẫn với thẩm quyền của Ủy ban nhân dân cấp tỉnh quy định tại Luật Tổ chức chính quyền địa phương năm 2025 và Nghị định số 150/2025/NĐ-CP, nên không cần phải sửa đổi, bổ sung quy định này tại Nghị định số 120/2020/NĐ-CP (các nội dung quy định về đơn vị sự </w:t>
            </w:r>
            <w:r w:rsidRPr="00CE2A4C">
              <w:rPr>
                <w:color w:val="000000" w:themeColor="text1"/>
                <w:sz w:val="24"/>
                <w:szCs w:val="24"/>
              </w:rPr>
              <w:lastRenderedPageBreak/>
              <w:t>nghiệp công lập tại Nghị định số 120/2020/NĐ-CP là quy định mang tính chất khung, trường hợp pháp luật chuyên ngành quy định khác thì thực hiện theo quy định của pháp luật chuyên ngành; trường hợp pháp luật chuyên ngành không quy định thì thực hiện theo quy định tại Nghị định này). Bộ Nội vụ sẽ tiếp tục nghiên cứu trong quá trình sửa đổi, bổ sung Nghị định số 120/2020/NĐ-CP.</w:t>
            </w:r>
          </w:p>
          <w:p w14:paraId="1222904F" w14:textId="77777777" w:rsidR="004B3C43" w:rsidRPr="00CE2A4C" w:rsidRDefault="004B3C43" w:rsidP="004B3C43">
            <w:pPr>
              <w:spacing w:line="264" w:lineRule="auto"/>
              <w:jc w:val="both"/>
              <w:rPr>
                <w:b/>
                <w:i/>
                <w:color w:val="000000" w:themeColor="text1"/>
                <w:sz w:val="24"/>
                <w:szCs w:val="24"/>
              </w:rPr>
            </w:pPr>
            <w:r w:rsidRPr="00CE2A4C">
              <w:rPr>
                <w:color w:val="000000" w:themeColor="text1"/>
                <w:sz w:val="24"/>
                <w:szCs w:val="24"/>
              </w:rPr>
              <w:t>(</w:t>
            </w:r>
            <w:r w:rsidRPr="00CE2A4C">
              <w:rPr>
                <w:bCs/>
                <w:color w:val="000000" w:themeColor="text1"/>
                <w:sz w:val="25"/>
                <w:szCs w:val="25"/>
              </w:rPr>
              <w:t>Chuyển từ Phụ lục V.13.1.C sang Phụ lục V.13.1.B</w:t>
            </w:r>
            <w:r w:rsidRPr="00CE2A4C">
              <w:rPr>
                <w:color w:val="000000" w:themeColor="text1"/>
                <w:sz w:val="24"/>
                <w:szCs w:val="24"/>
              </w:rPr>
              <w:t>)</w:t>
            </w:r>
          </w:p>
        </w:tc>
        <w:tc>
          <w:tcPr>
            <w:tcW w:w="2835" w:type="dxa"/>
          </w:tcPr>
          <w:p w14:paraId="4DFA969C" w14:textId="77777777" w:rsidR="004B3C43" w:rsidRPr="00441CDE" w:rsidRDefault="004B3C43" w:rsidP="004B3C43">
            <w:pPr>
              <w:jc w:val="both"/>
              <w:rPr>
                <w:rFonts w:eastAsia="Calibri"/>
                <w:b/>
                <w:sz w:val="26"/>
                <w:szCs w:val="26"/>
                <w:lang w:val="en-US"/>
              </w:rPr>
            </w:pPr>
            <w:r w:rsidRPr="00441CDE">
              <w:rPr>
                <w:rFonts w:eastAsia="Calibri"/>
                <w:b/>
                <w:sz w:val="26"/>
                <w:szCs w:val="26"/>
                <w:lang w:val="vi-VN"/>
              </w:rPr>
              <w:lastRenderedPageBreak/>
              <w:t>Đã xử lý</w:t>
            </w:r>
            <w:r>
              <w:rPr>
                <w:rFonts w:eastAsia="Calibri"/>
                <w:b/>
                <w:sz w:val="26"/>
                <w:szCs w:val="26"/>
              </w:rPr>
              <w:t>:</w:t>
            </w:r>
          </w:p>
          <w:p w14:paraId="2170B60A" w14:textId="77777777" w:rsidR="004B3C43" w:rsidRPr="0056718C" w:rsidRDefault="004B3C43" w:rsidP="004B3C43">
            <w:pPr>
              <w:jc w:val="both"/>
              <w:rPr>
                <w:rFonts w:eastAsia="Calibri"/>
                <w:sz w:val="26"/>
                <w:szCs w:val="26"/>
                <w:lang w:val="vi-VN"/>
              </w:rPr>
            </w:pPr>
            <w:r w:rsidRPr="0056718C">
              <w:rPr>
                <w:rFonts w:eastAsia="Calibri"/>
                <w:sz w:val="26"/>
                <w:szCs w:val="26"/>
                <w:lang w:val="vi-VN"/>
              </w:rPr>
              <w:t xml:space="preserve">Bộ Nội vụ đã trình Chính phủ ban hành Nghị định số 283/2025/NĐ-CP, trong đó: </w:t>
            </w:r>
          </w:p>
          <w:p w14:paraId="7C046F87" w14:textId="77777777" w:rsidR="004B3C43" w:rsidRPr="0056718C" w:rsidRDefault="004B3C43" w:rsidP="004B3C43">
            <w:pPr>
              <w:jc w:val="both"/>
              <w:rPr>
                <w:rFonts w:eastAsia="Calibri"/>
                <w:sz w:val="26"/>
                <w:szCs w:val="26"/>
                <w:lang w:val="vi-VN"/>
              </w:rPr>
            </w:pPr>
            <w:r w:rsidRPr="0056718C">
              <w:rPr>
                <w:rFonts w:eastAsia="Calibri"/>
                <w:sz w:val="26"/>
                <w:szCs w:val="26"/>
                <w:lang w:val="vi-VN"/>
              </w:rPr>
              <w:t xml:space="preserve">(1) Bổ sung quy định về khung số lượng cấp phó đối với các đơn vị sự nghiệp công lập đặc thù, gồm: bệnh viện hạng I, đơn vị sự nghiệp y tế làm nhiệm vụ kiểm soát và phòng chống bệnh tật tuyến tỉnh hạng I trở lên, trường phổ thông có nhiều cấp học; </w:t>
            </w:r>
          </w:p>
          <w:p w14:paraId="51377C56" w14:textId="77777777" w:rsidR="004B3C43" w:rsidRPr="0056718C" w:rsidRDefault="004B3C43" w:rsidP="004B3C43">
            <w:pPr>
              <w:jc w:val="both"/>
              <w:rPr>
                <w:rFonts w:eastAsia="Calibri"/>
                <w:sz w:val="26"/>
                <w:szCs w:val="26"/>
                <w:lang w:val="vi-VN"/>
              </w:rPr>
            </w:pPr>
            <w:r w:rsidRPr="0056718C">
              <w:rPr>
                <w:rFonts w:eastAsia="Calibri"/>
                <w:sz w:val="26"/>
                <w:szCs w:val="26"/>
                <w:lang w:val="vi-VN"/>
              </w:rPr>
              <w:t>(2) Xác định Ủy ban nhân dân cấp tỉnh có thẩm quyền quyết định thành lập, tổ chức lại, giải thể đơn vị sự nghiệp công lập thuộc Ủy ban nhân dân cấp tỉnh, bảo đảm thống nhất với quy định tại Luật Tổ chức chính quyền địa phương năm 2025;</w:t>
            </w:r>
          </w:p>
          <w:p w14:paraId="58A9D777" w14:textId="77777777" w:rsidR="004B3C43" w:rsidRPr="0056718C" w:rsidRDefault="004B3C43" w:rsidP="004B3C43">
            <w:pPr>
              <w:jc w:val="both"/>
              <w:rPr>
                <w:rFonts w:eastAsia="Calibri"/>
                <w:sz w:val="26"/>
                <w:szCs w:val="26"/>
                <w:lang w:val="vi-VN"/>
              </w:rPr>
            </w:pPr>
            <w:r w:rsidRPr="0056718C">
              <w:rPr>
                <w:rFonts w:eastAsia="Calibri"/>
                <w:sz w:val="26"/>
                <w:szCs w:val="26"/>
                <w:lang w:val="vi-VN"/>
              </w:rPr>
              <w:lastRenderedPageBreak/>
              <w:t>(3) Xác định Ủy ban nhân dân cấp tỉnh có thẩm quyền quy định chức năng, nhiệm vụ, quyền hạn và cơ cấu tổ chức của đơn vị sự nghiệp công lập thuộc sở, bảo đảm thống nhất với quy định tại Nghị định số 150/2025/NĐ-CP.</w:t>
            </w:r>
          </w:p>
          <w:p w14:paraId="5306DD2C" w14:textId="06BBE379" w:rsidR="004B3C43" w:rsidRPr="00CE2A4C" w:rsidRDefault="004B3C43" w:rsidP="004B3C43">
            <w:pPr>
              <w:jc w:val="both"/>
              <w:rPr>
                <w:color w:val="000000" w:themeColor="text1"/>
                <w:sz w:val="25"/>
                <w:szCs w:val="25"/>
              </w:rPr>
            </w:pPr>
            <w:r w:rsidRPr="0056718C">
              <w:rPr>
                <w:rFonts w:eastAsia="Calibri"/>
                <w:sz w:val="26"/>
                <w:szCs w:val="26"/>
                <w:lang w:val="vi-VN"/>
              </w:rPr>
              <w:t>(4) Bổ sung quy định về đối tượng áp dụng của Nghị định, thẩm quyền, trình tự, thủ tục thành lập, tổ chức lại, giải thể đơn vị sự nghiệp công lập thuộc Ủy ban nhân dân cấp xã.</w:t>
            </w:r>
          </w:p>
        </w:tc>
      </w:tr>
      <w:tr w:rsidR="00396614" w:rsidRPr="00CE2A4C" w14:paraId="37EF979F" w14:textId="77777777" w:rsidTr="008D234A">
        <w:tc>
          <w:tcPr>
            <w:tcW w:w="966" w:type="dxa"/>
            <w:vAlign w:val="center"/>
          </w:tcPr>
          <w:p w14:paraId="78DC9ED4" w14:textId="77777777" w:rsidR="00396614" w:rsidRPr="00CE2A4C" w:rsidRDefault="00396614" w:rsidP="00396614">
            <w:pPr>
              <w:numPr>
                <w:ilvl w:val="0"/>
                <w:numId w:val="1"/>
              </w:numPr>
              <w:pBdr>
                <w:top w:val="nil"/>
                <w:left w:val="nil"/>
                <w:bottom w:val="nil"/>
                <w:right w:val="nil"/>
                <w:between w:val="nil"/>
              </w:pBdr>
              <w:spacing w:before="120" w:after="120"/>
              <w:jc w:val="center"/>
              <w:rPr>
                <w:color w:val="000000" w:themeColor="text1"/>
                <w:sz w:val="25"/>
                <w:szCs w:val="25"/>
              </w:rPr>
            </w:pPr>
          </w:p>
        </w:tc>
        <w:tc>
          <w:tcPr>
            <w:tcW w:w="1964" w:type="dxa"/>
            <w:vAlign w:val="center"/>
          </w:tcPr>
          <w:p w14:paraId="42C62E97" w14:textId="77777777" w:rsidR="00396614" w:rsidRPr="00CE2A4C" w:rsidRDefault="00396614" w:rsidP="00396614">
            <w:pPr>
              <w:spacing w:line="264" w:lineRule="auto"/>
              <w:jc w:val="both"/>
              <w:rPr>
                <w:color w:val="000000" w:themeColor="text1"/>
                <w:sz w:val="24"/>
                <w:szCs w:val="24"/>
              </w:rPr>
            </w:pPr>
            <w:r w:rsidRPr="00CE2A4C">
              <w:rPr>
                <w:color w:val="000000" w:themeColor="text1"/>
                <w:sz w:val="24"/>
                <w:szCs w:val="24"/>
              </w:rPr>
              <w:t xml:space="preserve">Điểm c khoản 1 Điều 4, khoản 2 Điều 19 Nghị định số 150/2025/NĐ-CP ngày 12/6/2025 quy định tổ chức các cơ quan </w:t>
            </w:r>
            <w:r w:rsidRPr="00CE2A4C">
              <w:rPr>
                <w:color w:val="000000" w:themeColor="text1"/>
                <w:sz w:val="24"/>
                <w:szCs w:val="24"/>
              </w:rPr>
              <w:lastRenderedPageBreak/>
              <w:t>chuyên môn thuộc Ủy ban nhân dân tỉnh, thành phố trực thuộc trung ương và Ủy ban nhân dân xã, phường, đặc khu thuộc tỉnh, thành phố trực thuộc trung ương</w:t>
            </w:r>
          </w:p>
        </w:tc>
        <w:tc>
          <w:tcPr>
            <w:tcW w:w="3827" w:type="dxa"/>
            <w:vAlign w:val="center"/>
          </w:tcPr>
          <w:p w14:paraId="47F62F32" w14:textId="77777777" w:rsidR="00396614" w:rsidRPr="00CE2A4C" w:rsidRDefault="00396614" w:rsidP="00396614">
            <w:pPr>
              <w:spacing w:line="264" w:lineRule="auto"/>
              <w:jc w:val="both"/>
              <w:rPr>
                <w:color w:val="000000" w:themeColor="text1"/>
                <w:sz w:val="24"/>
                <w:szCs w:val="24"/>
              </w:rPr>
            </w:pPr>
            <w:r w:rsidRPr="00CE2A4C">
              <w:rPr>
                <w:color w:val="000000" w:themeColor="text1"/>
                <w:sz w:val="24"/>
                <w:szCs w:val="24"/>
              </w:rPr>
              <w:lastRenderedPageBreak/>
              <w:t xml:space="preserve">Điểm c khoản 1 Điều 4 Nghị định số 150/2025/NĐ-CP quy định nhiệm vụ của sở là “Trình Ủy ban nhân dân cấp tỉnh: dự thảo quyết định quy định chức năng, nhiệm vụ, quyền hạn và cơ cấu tổ chức của chi cục và đơn vị sự nghiệp công lập (trừ trường hợp pháp luật chuyên ngành có quy định khác) </w:t>
            </w:r>
            <w:r w:rsidRPr="00CE2A4C">
              <w:rPr>
                <w:color w:val="000000" w:themeColor="text1"/>
                <w:sz w:val="24"/>
                <w:szCs w:val="24"/>
              </w:rPr>
              <w:lastRenderedPageBreak/>
              <w:t xml:space="preserve">thuộc sở (nếu có)”; khoản 2 Điều 19 Nghị định số 150/2025/NĐ-CP quy định UBND cấp tỉnh “Quy định chức năng, nhiệm vụ, quyền hạn và cơ cấu tổ chức của chi cục, đơn vị sự nghiệp công lập thuộc sở theo quy định tại Nghị định này, trừ trường hợp pháp luật chuyên ngành có quy định khác”. Như vậy, theo Nghị định số 150/2025/NĐ-CP thì UBND có thẩm quyền quy định chức năng, nhiệm vụ, quyền hạn và cơ cấu tổ chức của đơn vị sự nghiệp công lập thuộc sở, trừ trường hợp pháp luật chuyên ngành có quy định khác. Tuy nhiên, tại điểm a khoản 2 Điều 24 Nghị định số 120/2020/NĐ-CP ngày 07/10/2020 quy định về thành lập, tổ chức lại, giải thể đơn vị sự nghiệp công lập lại quy định thẩm quyền của Chủ tịch UBND cấp tỉnh là “Quy định chức năng, nhiệm vụ, quyền hạn và cơ cấu tổ chức của các đơn vị sự nghiệp công lập quy định tại điểm b, điểm c và điểm d khoản 4 và khoản 5 Điều 2 Nghị định này theo quy định của pháp luật;”, mặt khác, điểm b khoản 4 Điều </w:t>
            </w:r>
            <w:r w:rsidRPr="00CE2A4C">
              <w:rPr>
                <w:color w:val="000000" w:themeColor="text1"/>
                <w:sz w:val="24"/>
                <w:szCs w:val="24"/>
              </w:rPr>
              <w:lastRenderedPageBreak/>
              <w:t xml:space="preserve">2 Nghị định số 120/2020/NĐ-CP quy định “Đơn vị sự nghiệp công lập thuộc cơ quan chuyên môn thuộc UBND cấp tỉnh (sau đây gọi chung là sở)”. Do đó, theo Nghị định số 120/2020/NĐ-CP thì Chủ tịch UBND tỉnh có thẩm quyền quy định chức năng, nhiệm vụ, quyền hạn và cơ cấu tổ chức của đơn vị sự nghiệp công lập thuộc sở. Hiện nay đang tồn tại 02 quan điểm trong việc áp dụng pháp luật để xác định thẩm quyền quy định chức năng, nhiệm vụ, quyền hạn và cơ cấu tổ chức của đơn vị sự nghiệp công lập thuộc sở: Quan điểm thứ nhất, Nghị định số 120/2020/NĐ-CP được xem là pháp luật chuyên ngành nên thuộc trường hợp loại trừ theo khoản 2 Điều 19 Nghị định số 150/2025/NĐ-CP nên thẩm quyền quy định chức năng, nhiệm vụ, quyền hạn và cơ cấu tổ chức của đơn vị sự nghiệp công lập thuộc sở áp dụng theo Nghị định số 120/2020/NĐ-CP (tức là thuộc thẩm quyền của Chủ tịch UBND tỉnh). Quan điểm thứ hai, Nghị định số 150/2025/NĐ-CP và </w:t>
            </w:r>
            <w:r w:rsidRPr="00CE2A4C">
              <w:rPr>
                <w:color w:val="000000" w:themeColor="text1"/>
                <w:sz w:val="24"/>
                <w:szCs w:val="24"/>
              </w:rPr>
              <w:lastRenderedPageBreak/>
              <w:t>Nghị định số 120/2020/NĐ-CP đang quy định khác nhau về thẩm quyền quy định chức năng, nhiệm vụ, quyền hạn và cơ cấu tổ chức của đơn vị sự nghiệp công lập thuộc sở, Nghị định số 150/2025/NĐ-CP được ban hành sau Nghị định số 120/2020/NĐ-CP nên theo nguyên tắc áp dụng pháp luật tại khoản 4 Điều 58 Luật Ban hành văn bản quy phạm pháp luật năm 2025 “Trường hợp các văn bản quy phạm pháp luật do cùng một cơ quan ban hành có quy định khác nhau về cùng một vấn đề thì áp dụng quy định của văn bản quy phạm pháp luật ban hành sau” thì áp dụng theo Nghị định số 150/2025/NĐ-CP (tức là thuộc thẩm quyền của UBND tỉnh).</w:t>
            </w:r>
          </w:p>
        </w:tc>
        <w:tc>
          <w:tcPr>
            <w:tcW w:w="1559" w:type="dxa"/>
            <w:vAlign w:val="center"/>
          </w:tcPr>
          <w:p w14:paraId="4A7D70EC" w14:textId="77777777" w:rsidR="00396614" w:rsidRPr="00CE2A4C" w:rsidRDefault="00396614" w:rsidP="00396614">
            <w:pPr>
              <w:spacing w:line="264" w:lineRule="auto"/>
              <w:jc w:val="both"/>
              <w:rPr>
                <w:color w:val="000000" w:themeColor="text1"/>
                <w:sz w:val="24"/>
                <w:szCs w:val="24"/>
              </w:rPr>
            </w:pPr>
            <w:r w:rsidRPr="00CE2A4C">
              <w:rPr>
                <w:color w:val="000000" w:themeColor="text1"/>
                <w:sz w:val="24"/>
                <w:szCs w:val="24"/>
              </w:rPr>
              <w:lastRenderedPageBreak/>
              <w:t xml:space="preserve">B. Hướng dẫn áp dụng VBQPPL theo quy định tại Điều 61 Luật Ban hành </w:t>
            </w:r>
            <w:r w:rsidRPr="00CE2A4C">
              <w:rPr>
                <w:color w:val="000000" w:themeColor="text1"/>
                <w:sz w:val="24"/>
                <w:szCs w:val="24"/>
              </w:rPr>
              <w:lastRenderedPageBreak/>
              <w:t>VBQPPL năm 2025</w:t>
            </w:r>
          </w:p>
        </w:tc>
        <w:tc>
          <w:tcPr>
            <w:tcW w:w="1418" w:type="dxa"/>
            <w:vAlign w:val="center"/>
          </w:tcPr>
          <w:p w14:paraId="4961ECD1" w14:textId="77777777" w:rsidR="00396614" w:rsidRPr="00CE2A4C" w:rsidRDefault="00396614" w:rsidP="00396614">
            <w:pPr>
              <w:spacing w:line="264" w:lineRule="auto"/>
              <w:jc w:val="both"/>
              <w:rPr>
                <w:color w:val="000000" w:themeColor="text1"/>
                <w:sz w:val="24"/>
                <w:szCs w:val="24"/>
              </w:rPr>
            </w:pPr>
            <w:r w:rsidRPr="00CE2A4C">
              <w:rPr>
                <w:color w:val="000000" w:themeColor="text1"/>
                <w:sz w:val="24"/>
                <w:szCs w:val="24"/>
              </w:rPr>
              <w:lastRenderedPageBreak/>
              <w:t>Sở Tư pháp tỉnh Đắk Lắk</w:t>
            </w:r>
          </w:p>
        </w:tc>
        <w:tc>
          <w:tcPr>
            <w:tcW w:w="2835" w:type="dxa"/>
            <w:vAlign w:val="center"/>
          </w:tcPr>
          <w:p w14:paraId="4CC6FB05" w14:textId="77777777" w:rsidR="00396614" w:rsidRPr="00CE2A4C" w:rsidRDefault="00396614" w:rsidP="00396614">
            <w:pPr>
              <w:spacing w:line="264" w:lineRule="auto"/>
              <w:jc w:val="both"/>
              <w:rPr>
                <w:color w:val="000000" w:themeColor="text1"/>
                <w:sz w:val="24"/>
                <w:szCs w:val="24"/>
              </w:rPr>
            </w:pPr>
            <w:r w:rsidRPr="00CE2A4C">
              <w:rPr>
                <w:color w:val="000000" w:themeColor="text1"/>
                <w:sz w:val="24"/>
                <w:szCs w:val="24"/>
              </w:rPr>
              <w:t xml:space="preserve">- Ghi nhận ý kiến phản ánh nhưng đây không phải điểm nghẽn. </w:t>
            </w:r>
          </w:p>
          <w:p w14:paraId="0898DAA4" w14:textId="77777777" w:rsidR="00396614" w:rsidRPr="00CE2A4C" w:rsidRDefault="00396614" w:rsidP="00396614">
            <w:pPr>
              <w:spacing w:line="264" w:lineRule="auto"/>
              <w:jc w:val="both"/>
              <w:rPr>
                <w:color w:val="000000" w:themeColor="text1"/>
                <w:sz w:val="24"/>
                <w:szCs w:val="24"/>
              </w:rPr>
            </w:pPr>
            <w:r w:rsidRPr="00CE2A4C">
              <w:rPr>
                <w:color w:val="000000" w:themeColor="text1"/>
                <w:sz w:val="24"/>
                <w:szCs w:val="24"/>
              </w:rPr>
              <w:t xml:space="preserve">- Điểm a khoản 2 Điều 24 Nghị định số 120/2020/NĐ- CP quy định Chủ tịch UBND cấp tỉnh “a) Quy định chức năng, </w:t>
            </w:r>
            <w:r w:rsidRPr="00CE2A4C">
              <w:rPr>
                <w:color w:val="000000" w:themeColor="text1"/>
                <w:sz w:val="24"/>
                <w:szCs w:val="24"/>
              </w:rPr>
              <w:lastRenderedPageBreak/>
              <w:t xml:space="preserve">nhiệm vụ, quyền hạn và cơ cấu tổ chức của các đơn vị sự nghiệp công lập quy định tại điểm b, điểm c và điểm d khoản 4 và khoản 5 Điều 2 Nghị định này theo quy định của pháp luật”, bảo đảm không có chồng chéo, mâu thuẫn với thẩm quyền của Ủy ban nhân dân cấp tỉnh quy định tại Luật Tổ chức chính quyền địa phương năm 2025 và Nghị định số 150/2025/NĐ-CP, nên không cần phải sửa đổi, bổ sung quy định này tại Nghị định số 120/2020/NĐ-CP (các nội dung quy định về đơn vị sự nghiệp công lập tại Nghị định số 120/2020/NĐ-CP là quy định mang tính chất khung, trường hợp pháp luật chuyên ngành quy định khác thì thực hiện theo quy định của pháp luật chuyên ngành; trường hợp pháp </w:t>
            </w:r>
            <w:r w:rsidRPr="00CE2A4C">
              <w:rPr>
                <w:color w:val="000000" w:themeColor="text1"/>
                <w:sz w:val="24"/>
                <w:szCs w:val="24"/>
              </w:rPr>
              <w:lastRenderedPageBreak/>
              <w:t>luật chuyên ngành không quy định thì thực hiện theo quy định tại Nghị định này). Bộ Nội vụ sẽ tiếp tục nghiên cứu trong quá trình sửa đổi, bổ sung Nghị định số 120/2020/NĐ-CP.</w:t>
            </w:r>
          </w:p>
          <w:p w14:paraId="6B0887AA" w14:textId="77777777" w:rsidR="00396614" w:rsidRPr="00CE2A4C" w:rsidRDefault="00396614" w:rsidP="00396614">
            <w:pPr>
              <w:spacing w:line="264" w:lineRule="auto"/>
              <w:jc w:val="both"/>
              <w:rPr>
                <w:color w:val="000000" w:themeColor="text1"/>
                <w:sz w:val="24"/>
                <w:szCs w:val="24"/>
              </w:rPr>
            </w:pPr>
          </w:p>
        </w:tc>
        <w:tc>
          <w:tcPr>
            <w:tcW w:w="2835" w:type="dxa"/>
          </w:tcPr>
          <w:p w14:paraId="30D0EE84" w14:textId="77777777" w:rsidR="00396614" w:rsidRPr="00441CDE" w:rsidRDefault="00396614" w:rsidP="00396614">
            <w:pPr>
              <w:jc w:val="both"/>
              <w:rPr>
                <w:rFonts w:eastAsia="Calibri"/>
                <w:b/>
                <w:sz w:val="26"/>
                <w:szCs w:val="26"/>
                <w:lang w:val="en-US"/>
              </w:rPr>
            </w:pPr>
            <w:r w:rsidRPr="00441CDE">
              <w:rPr>
                <w:rFonts w:eastAsia="Calibri"/>
                <w:b/>
                <w:sz w:val="26"/>
                <w:szCs w:val="26"/>
                <w:lang w:val="vi-VN"/>
              </w:rPr>
              <w:lastRenderedPageBreak/>
              <w:t>Đã xử lý</w:t>
            </w:r>
            <w:r w:rsidRPr="00441CDE">
              <w:rPr>
                <w:rFonts w:eastAsia="Calibri"/>
                <w:b/>
                <w:sz w:val="26"/>
                <w:szCs w:val="26"/>
              </w:rPr>
              <w:t>:</w:t>
            </w:r>
          </w:p>
          <w:p w14:paraId="5A5B0330" w14:textId="77777777" w:rsidR="00396614" w:rsidRPr="0056718C" w:rsidRDefault="00396614" w:rsidP="00396614">
            <w:pPr>
              <w:jc w:val="both"/>
              <w:rPr>
                <w:rFonts w:eastAsia="Calibri"/>
                <w:sz w:val="26"/>
                <w:szCs w:val="26"/>
                <w:lang w:val="vi-VN"/>
              </w:rPr>
            </w:pPr>
            <w:r w:rsidRPr="0056718C">
              <w:rPr>
                <w:rFonts w:eastAsia="Calibri"/>
                <w:sz w:val="26"/>
                <w:szCs w:val="26"/>
                <w:lang w:val="vi-VN"/>
              </w:rPr>
              <w:t xml:space="preserve">Bộ Nội vụ đã trình Chính phủ ban hành Nghị định số 283/2025/NĐ-CP, trong đó: </w:t>
            </w:r>
          </w:p>
          <w:p w14:paraId="70961BFB" w14:textId="77777777" w:rsidR="00396614" w:rsidRPr="0056718C" w:rsidRDefault="00396614" w:rsidP="00396614">
            <w:pPr>
              <w:jc w:val="both"/>
              <w:rPr>
                <w:rFonts w:eastAsia="Calibri"/>
                <w:sz w:val="26"/>
                <w:szCs w:val="26"/>
                <w:lang w:val="vi-VN"/>
              </w:rPr>
            </w:pPr>
            <w:r w:rsidRPr="0056718C">
              <w:rPr>
                <w:rFonts w:eastAsia="Calibri"/>
                <w:sz w:val="26"/>
                <w:szCs w:val="26"/>
                <w:lang w:val="vi-VN"/>
              </w:rPr>
              <w:t xml:space="preserve">(1) Bổ sung quy định về khung số lượng cấp phó đối với các đơn vị sự nghiệp công lập đặc thù, </w:t>
            </w:r>
            <w:r w:rsidRPr="0056718C">
              <w:rPr>
                <w:rFonts w:eastAsia="Calibri"/>
                <w:sz w:val="26"/>
                <w:szCs w:val="26"/>
                <w:lang w:val="vi-VN"/>
              </w:rPr>
              <w:lastRenderedPageBreak/>
              <w:t xml:space="preserve">gồm: bệnh viện hạng I, đơn vị sự nghiệp y tế làm nhiệm vụ kiểm soát và phòng chống bệnh tật tuyến tỉnh hạng I trở lên, trường phổ thông có nhiều cấp học; </w:t>
            </w:r>
          </w:p>
          <w:p w14:paraId="49BC5A54" w14:textId="77777777" w:rsidR="00396614" w:rsidRPr="0056718C" w:rsidRDefault="00396614" w:rsidP="00396614">
            <w:pPr>
              <w:jc w:val="both"/>
              <w:rPr>
                <w:rFonts w:eastAsia="Calibri"/>
                <w:sz w:val="26"/>
                <w:szCs w:val="26"/>
                <w:lang w:val="vi-VN"/>
              </w:rPr>
            </w:pPr>
            <w:r w:rsidRPr="0056718C">
              <w:rPr>
                <w:rFonts w:eastAsia="Calibri"/>
                <w:sz w:val="26"/>
                <w:szCs w:val="26"/>
                <w:lang w:val="vi-VN"/>
              </w:rPr>
              <w:t>(2) Xác định Ủy ban nhân dân cấp tỉnh có thẩm quyền quyết định thành lập, tổ chức lại, giải thể đơn vị sự nghiệp công lập thuộc Ủy ban nhân dân cấp tỉnh, bảo đảm thống nhất với quy định tại Luật Tổ chức chính quyền địa phương năm 2025;</w:t>
            </w:r>
          </w:p>
          <w:p w14:paraId="59E222F4" w14:textId="77777777" w:rsidR="00396614" w:rsidRPr="0056718C" w:rsidRDefault="00396614" w:rsidP="00396614">
            <w:pPr>
              <w:jc w:val="both"/>
              <w:rPr>
                <w:rFonts w:eastAsia="Calibri"/>
                <w:sz w:val="26"/>
                <w:szCs w:val="26"/>
                <w:lang w:val="vi-VN"/>
              </w:rPr>
            </w:pPr>
            <w:r w:rsidRPr="0056718C">
              <w:rPr>
                <w:rFonts w:eastAsia="Calibri"/>
                <w:sz w:val="26"/>
                <w:szCs w:val="26"/>
                <w:lang w:val="vi-VN"/>
              </w:rPr>
              <w:t xml:space="preserve">(3) Xác định Ủy ban nhân dân cấp tỉnh có thẩm quyền quy định chức năng, nhiệm vụ, quyền hạn và cơ cấu tổ chức của đơn vị sự nghiệp công lập thuộc sở, bảo đảm thống nhất với </w:t>
            </w:r>
            <w:r w:rsidRPr="0056718C">
              <w:rPr>
                <w:rFonts w:eastAsia="Calibri"/>
                <w:sz w:val="26"/>
                <w:szCs w:val="26"/>
                <w:lang w:val="vi-VN"/>
              </w:rPr>
              <w:lastRenderedPageBreak/>
              <w:t>quy định tại Nghị định số 150/2025/NĐ-CP.</w:t>
            </w:r>
          </w:p>
          <w:p w14:paraId="4149668A" w14:textId="5363CDB2" w:rsidR="00396614" w:rsidRPr="00CE2A4C" w:rsidRDefault="00396614" w:rsidP="00396614">
            <w:pPr>
              <w:jc w:val="both"/>
              <w:rPr>
                <w:color w:val="000000" w:themeColor="text1"/>
                <w:sz w:val="25"/>
                <w:szCs w:val="25"/>
              </w:rPr>
            </w:pPr>
            <w:r w:rsidRPr="0056718C">
              <w:rPr>
                <w:rFonts w:eastAsia="Calibri"/>
                <w:sz w:val="26"/>
                <w:szCs w:val="26"/>
                <w:lang w:val="vi-VN"/>
              </w:rPr>
              <w:t>(4) Bổ sung quy định về đối tượng áp dụng của Nghị định, thẩm quyền, trình tự, thủ tục thành lập, tổ chức lại, giải thể đơn vị sự nghiệp công lập thuộc Ủy ban nhân dân cấp xã.</w:t>
            </w:r>
          </w:p>
        </w:tc>
      </w:tr>
      <w:tr w:rsidR="00396614" w:rsidRPr="00CE2A4C" w14:paraId="2C91B9DF" w14:textId="77777777" w:rsidTr="00C41A92">
        <w:tc>
          <w:tcPr>
            <w:tcW w:w="966" w:type="dxa"/>
            <w:vAlign w:val="center"/>
          </w:tcPr>
          <w:p w14:paraId="7D988048" w14:textId="77777777" w:rsidR="00396614" w:rsidRPr="00CE2A4C" w:rsidRDefault="00396614" w:rsidP="00396614">
            <w:pPr>
              <w:numPr>
                <w:ilvl w:val="0"/>
                <w:numId w:val="1"/>
              </w:numPr>
              <w:pBdr>
                <w:top w:val="nil"/>
                <w:left w:val="nil"/>
                <w:bottom w:val="nil"/>
                <w:right w:val="nil"/>
                <w:between w:val="nil"/>
              </w:pBdr>
              <w:spacing w:before="120" w:after="120"/>
              <w:jc w:val="center"/>
              <w:rPr>
                <w:color w:val="000000" w:themeColor="text1"/>
                <w:sz w:val="25"/>
                <w:szCs w:val="25"/>
              </w:rPr>
            </w:pPr>
          </w:p>
        </w:tc>
        <w:tc>
          <w:tcPr>
            <w:tcW w:w="1964" w:type="dxa"/>
            <w:vAlign w:val="center"/>
          </w:tcPr>
          <w:p w14:paraId="5E7E3BF9" w14:textId="77777777" w:rsidR="00396614" w:rsidRPr="00CE2A4C" w:rsidRDefault="00396614" w:rsidP="00396614">
            <w:pPr>
              <w:spacing w:line="264" w:lineRule="auto"/>
              <w:jc w:val="both"/>
              <w:rPr>
                <w:color w:val="000000" w:themeColor="text1"/>
                <w:sz w:val="24"/>
                <w:szCs w:val="24"/>
              </w:rPr>
            </w:pPr>
            <w:r w:rsidRPr="00CE2A4C">
              <w:rPr>
                <w:color w:val="000000" w:themeColor="text1"/>
                <w:sz w:val="24"/>
                <w:szCs w:val="24"/>
              </w:rPr>
              <w:t xml:space="preserve">- Khoản 2 Điều 19 Nghị định số 150/2025/NĐ-CP - Khoản 3 Điều 20 Nghị định số 150/2025/NĐ-CP - Thông tư số 09/2025/TT-BTP; - Thông tư số </w:t>
            </w:r>
            <w:r w:rsidRPr="00CE2A4C">
              <w:rPr>
                <w:color w:val="000000" w:themeColor="text1"/>
                <w:sz w:val="24"/>
                <w:szCs w:val="24"/>
              </w:rPr>
              <w:lastRenderedPageBreak/>
              <w:t>37/2025/TT-BCT; -Thông tư số 10/2025/TT-BVHTTDL - Điểm a khoản 2 Điều 2 Thông tư số 57/2025/TT-BTC</w:t>
            </w:r>
          </w:p>
        </w:tc>
        <w:tc>
          <w:tcPr>
            <w:tcW w:w="3827" w:type="dxa"/>
            <w:vAlign w:val="center"/>
          </w:tcPr>
          <w:p w14:paraId="2BCF9600" w14:textId="77777777" w:rsidR="00396614" w:rsidRPr="00CE2A4C" w:rsidRDefault="00396614" w:rsidP="00396614">
            <w:pPr>
              <w:spacing w:line="264" w:lineRule="auto"/>
              <w:jc w:val="both"/>
              <w:rPr>
                <w:b/>
                <w:i/>
                <w:color w:val="000000" w:themeColor="text1"/>
                <w:sz w:val="24"/>
                <w:szCs w:val="24"/>
              </w:rPr>
            </w:pPr>
            <w:r w:rsidRPr="00CE2A4C">
              <w:rPr>
                <w:color w:val="000000" w:themeColor="text1"/>
                <w:sz w:val="24"/>
                <w:szCs w:val="24"/>
              </w:rPr>
              <w:lastRenderedPageBreak/>
              <w:t>Căn cứ khoản 2 Điều 19 Nghị định số 150/2025/NĐ-CP ngày 12/6/2025 của Chính phủ quy định tổ chức các cơ quan chuyên môn thuộc Ủy ban nhân dân Tỉnh, thành phố trực thuộc trung ương và Ủy ban nhân dân xã, phường, đặc khu thuộc tỉnh, thành phố trực thuộc trung ương, quy định: “</w:t>
            </w:r>
            <w:r w:rsidRPr="00CE2A4C">
              <w:rPr>
                <w:b/>
                <w:color w:val="000000" w:themeColor="text1"/>
                <w:sz w:val="24"/>
                <w:szCs w:val="24"/>
              </w:rPr>
              <w:t>Ủy ban nhân dân cấp tỉnh</w:t>
            </w:r>
            <w:r w:rsidRPr="00CE2A4C">
              <w:rPr>
                <w:color w:val="000000" w:themeColor="text1"/>
                <w:sz w:val="24"/>
                <w:szCs w:val="24"/>
              </w:rPr>
              <w:t xml:space="preserve"> quy định chức </w:t>
            </w:r>
            <w:r w:rsidRPr="00CE2A4C">
              <w:rPr>
                <w:color w:val="000000" w:themeColor="text1"/>
                <w:sz w:val="24"/>
                <w:szCs w:val="24"/>
              </w:rPr>
              <w:lastRenderedPageBreak/>
              <w:t xml:space="preserve">năng, nhiệm vụ, quyền hạn và cơ cấu tổ chức của chi cục, </w:t>
            </w:r>
            <w:r w:rsidRPr="00CE2A4C">
              <w:rPr>
                <w:b/>
                <w:color w:val="000000" w:themeColor="text1"/>
                <w:sz w:val="24"/>
                <w:szCs w:val="24"/>
              </w:rPr>
              <w:t>đơn vị sự nghiệp công lập thuộc sở</w:t>
            </w:r>
            <w:r w:rsidRPr="00CE2A4C">
              <w:rPr>
                <w:color w:val="000000" w:themeColor="text1"/>
                <w:sz w:val="24"/>
                <w:szCs w:val="24"/>
              </w:rPr>
              <w:t xml:space="preserve"> theo quy định tại Nghị định này,</w:t>
            </w:r>
            <w:r w:rsidRPr="00CE2A4C">
              <w:rPr>
                <w:i/>
                <w:color w:val="000000" w:themeColor="text1"/>
                <w:sz w:val="24"/>
                <w:szCs w:val="24"/>
                <w:u w:val="single"/>
              </w:rPr>
              <w:t xml:space="preserve"> trừ trường hợp pháp luật chuyên ngành có quy định khác</w:t>
            </w:r>
            <w:r w:rsidRPr="00CE2A4C">
              <w:rPr>
                <w:color w:val="000000" w:themeColor="text1"/>
                <w:sz w:val="24"/>
                <w:szCs w:val="24"/>
              </w:rPr>
              <w:t>.” Tại khoản 3 Điều 20 Nghị định số 150/2025/NĐ-CP, quy định: “</w:t>
            </w:r>
            <w:r w:rsidRPr="00CE2A4C">
              <w:rPr>
                <w:b/>
                <w:color w:val="000000" w:themeColor="text1"/>
                <w:sz w:val="24"/>
                <w:szCs w:val="24"/>
              </w:rPr>
              <w:t>Chủ tịch Ủy ban nhân dân</w:t>
            </w:r>
            <w:r w:rsidRPr="00CE2A4C">
              <w:rPr>
                <w:color w:val="000000" w:themeColor="text1"/>
                <w:sz w:val="24"/>
                <w:szCs w:val="24"/>
              </w:rPr>
              <w:t xml:space="preserve"> quy định chức năng, nhiệm vụ, quyền hạn và cơ cấu tổ chức của </w:t>
            </w:r>
            <w:r w:rsidRPr="00CE2A4C">
              <w:rPr>
                <w:b/>
                <w:color w:val="000000" w:themeColor="text1"/>
                <w:sz w:val="24"/>
                <w:szCs w:val="24"/>
              </w:rPr>
              <w:t>đơn vị sự nghiệp công lập thuộc sở</w:t>
            </w:r>
            <w:r w:rsidRPr="00CE2A4C">
              <w:rPr>
                <w:i/>
                <w:color w:val="000000" w:themeColor="text1"/>
                <w:sz w:val="24"/>
                <w:szCs w:val="24"/>
                <w:u w:val="single"/>
              </w:rPr>
              <w:t xml:space="preserve"> theo quy định của pháp luật chuyên ngành</w:t>
            </w:r>
            <w:r w:rsidRPr="00CE2A4C">
              <w:rPr>
                <w:color w:val="000000" w:themeColor="text1"/>
                <w:sz w:val="24"/>
                <w:szCs w:val="24"/>
              </w:rPr>
              <w:t xml:space="preserve"> và đơn vị sự nghiệp công lập thuộc chi cục thuộc sở”. Nhằm triển khai thực hiện Nghị định số 150/2025/NĐ-CP, Bộ trưởng một số lĩnh vực như: Tư pháp; Công Thương; Văn hóa, thể thao và Du lịch,... đã ban hành Thông tư hướng dẫn chức năng, nhiệm vụ, quyền hạn của các cơ quan chuyên môn thuộc Ủy ban nhân dân Tỉnh, thành phố trực thuộc trung ương tại Thông tư số 09/2025/TT-BTP; Thông tư số 37/2025/TT-BCT; Thông tư số 10/2025/TT-BVHTTDL quy định trách nhiệm của các cơ quan chuyên môn trình Ủy ban nhân dân Tỉnh “dự </w:t>
            </w:r>
            <w:r w:rsidRPr="00CE2A4C">
              <w:rPr>
                <w:color w:val="000000" w:themeColor="text1"/>
                <w:sz w:val="24"/>
                <w:szCs w:val="24"/>
              </w:rPr>
              <w:lastRenderedPageBreak/>
              <w:t xml:space="preserve">thảo quyết định quy định chức năng, nhiệm vụ, quyền hạn và cơ cấu tổ chức đơn vị sự nghiệp công lập, trừ trường hợp pháp luật chuyên ngành có quy định khác”; trình Ủy ban nhân dân Tỉnh “Dự thảo quyết định quy định chức năng, nhiệm vụ, quyền hạn và cơ cấu tổ chức của đơn vị sự nghiệp công lập theo quy định của pháp luật chuyên ngành”. Tuy nhiên, tại điểm a khoản 2 Điều 2 Thông tư số 57/2025/TT-BTC ngày 25/6/2025 của Bộ trưởng Bộ Tài chính hướng dẫn chức năng, nhiệm vụ, quyền hạn của Sở Tài chính, quy định trách nhiệm Sở Tài chính trình Chủ tịch Ủy ban nhân dân Tỉnh “Dự thảo quyết định quy định chức năng, nhiệm vụ, quyền hạn và cơ cấu tổ chức của đơn vị sự nghiệp công lập thuộc Sở Tài chính thuộc thẩm quyền ban hành của Chủ tịch Ủy ban nhân dân cấp tỉnh theo quy định pháp luật”. </w:t>
            </w:r>
            <w:r w:rsidRPr="00CE2A4C">
              <w:rPr>
                <w:i/>
                <w:color w:val="000000" w:themeColor="text1"/>
                <w:sz w:val="24"/>
                <w:szCs w:val="24"/>
              </w:rPr>
              <w:t xml:space="preserve">Từ các căn cứ trên, nhận thấy các Thông tư quy định trách nhiệm của các cơ quan chuyên môn chưa thống nhất với nhau trong việc tham mưu trình </w:t>
            </w:r>
            <w:r w:rsidRPr="00CE2A4C">
              <w:rPr>
                <w:b/>
                <w:i/>
                <w:color w:val="000000" w:themeColor="text1"/>
                <w:sz w:val="24"/>
                <w:szCs w:val="24"/>
              </w:rPr>
              <w:t xml:space="preserve">Ủy ban hay Chủ </w:t>
            </w:r>
            <w:r w:rsidRPr="00CE2A4C">
              <w:rPr>
                <w:b/>
                <w:i/>
                <w:color w:val="000000" w:themeColor="text1"/>
                <w:sz w:val="24"/>
                <w:szCs w:val="24"/>
              </w:rPr>
              <w:lastRenderedPageBreak/>
              <w:t>tịch Ủy ban nhân dân Tỉnh đối với “Dự thảo quyết định quy định chức năng, nhiệm vụ, quyền hạn và cơ cấu tổ chức của đơn vị sự nghiệp công lập”.</w:t>
            </w:r>
          </w:p>
        </w:tc>
        <w:tc>
          <w:tcPr>
            <w:tcW w:w="1559" w:type="dxa"/>
            <w:vAlign w:val="center"/>
          </w:tcPr>
          <w:p w14:paraId="55BA4FF8" w14:textId="77777777" w:rsidR="00396614" w:rsidRPr="00CE2A4C" w:rsidRDefault="00396614" w:rsidP="00396614">
            <w:pPr>
              <w:spacing w:line="264" w:lineRule="auto"/>
              <w:jc w:val="both"/>
              <w:rPr>
                <w:color w:val="000000" w:themeColor="text1"/>
                <w:sz w:val="24"/>
                <w:szCs w:val="24"/>
              </w:rPr>
            </w:pPr>
            <w:r w:rsidRPr="00CE2A4C">
              <w:rPr>
                <w:color w:val="000000" w:themeColor="text1"/>
                <w:sz w:val="24"/>
                <w:szCs w:val="24"/>
              </w:rPr>
              <w:lastRenderedPageBreak/>
              <w:t xml:space="preserve">C. Sửa đổi, bổ sung, thay thế, ban hành mới VBQPPL (theo trình tự, thủ tục rút gọn ban hành VBQPPL của </w:t>
            </w:r>
            <w:r w:rsidRPr="00CE2A4C">
              <w:rPr>
                <w:color w:val="000000" w:themeColor="text1"/>
                <w:sz w:val="24"/>
                <w:szCs w:val="24"/>
              </w:rPr>
              <w:lastRenderedPageBreak/>
              <w:t>Luật Ban hành VBQPPL)</w:t>
            </w:r>
          </w:p>
        </w:tc>
        <w:tc>
          <w:tcPr>
            <w:tcW w:w="1418" w:type="dxa"/>
            <w:vAlign w:val="center"/>
          </w:tcPr>
          <w:p w14:paraId="679AD25B" w14:textId="77777777" w:rsidR="00396614" w:rsidRPr="00CE2A4C" w:rsidRDefault="00396614" w:rsidP="00396614">
            <w:pPr>
              <w:spacing w:line="264" w:lineRule="auto"/>
              <w:jc w:val="both"/>
              <w:rPr>
                <w:color w:val="000000" w:themeColor="text1"/>
                <w:sz w:val="24"/>
                <w:szCs w:val="24"/>
              </w:rPr>
            </w:pPr>
            <w:r w:rsidRPr="00CE2A4C">
              <w:rPr>
                <w:color w:val="000000" w:themeColor="text1"/>
                <w:sz w:val="24"/>
                <w:szCs w:val="24"/>
              </w:rPr>
              <w:lastRenderedPageBreak/>
              <w:t>Sở Tư pháp tỉnh Đồng Tháp</w:t>
            </w:r>
          </w:p>
        </w:tc>
        <w:tc>
          <w:tcPr>
            <w:tcW w:w="2835" w:type="dxa"/>
            <w:vAlign w:val="center"/>
          </w:tcPr>
          <w:p w14:paraId="3984D12A" w14:textId="77777777" w:rsidR="00396614" w:rsidRPr="00CE2A4C" w:rsidRDefault="00396614" w:rsidP="00396614">
            <w:pPr>
              <w:spacing w:line="264" w:lineRule="auto"/>
              <w:jc w:val="both"/>
              <w:rPr>
                <w:color w:val="000000" w:themeColor="text1"/>
                <w:sz w:val="24"/>
                <w:szCs w:val="24"/>
              </w:rPr>
            </w:pPr>
            <w:r w:rsidRPr="00CE2A4C">
              <w:rPr>
                <w:color w:val="000000" w:themeColor="text1"/>
                <w:sz w:val="24"/>
                <w:szCs w:val="24"/>
              </w:rPr>
              <w:t xml:space="preserve">- Ghi nhận ý kiến phản ánh nhưng đây không phải điểm nghẽn. </w:t>
            </w:r>
          </w:p>
          <w:p w14:paraId="37590582" w14:textId="77777777" w:rsidR="00396614" w:rsidRPr="00CE2A4C" w:rsidRDefault="00396614" w:rsidP="00396614">
            <w:pPr>
              <w:spacing w:line="264" w:lineRule="auto"/>
              <w:jc w:val="both"/>
              <w:rPr>
                <w:color w:val="000000" w:themeColor="text1"/>
                <w:sz w:val="24"/>
                <w:szCs w:val="24"/>
              </w:rPr>
            </w:pPr>
            <w:r w:rsidRPr="00CE2A4C">
              <w:rPr>
                <w:color w:val="000000" w:themeColor="text1"/>
                <w:sz w:val="24"/>
                <w:szCs w:val="24"/>
              </w:rPr>
              <w:t xml:space="preserve">- Khoản 2 Điều 19 Nghị định số 150/2025/NĐ-CP quy định UBND cấp tỉnh “Quy định chức năng, nhiệm vụ, quyền hạn và cơ cấu tổ chức của chi cục, </w:t>
            </w:r>
            <w:r w:rsidRPr="00CE2A4C">
              <w:rPr>
                <w:color w:val="000000" w:themeColor="text1"/>
                <w:sz w:val="24"/>
                <w:szCs w:val="24"/>
              </w:rPr>
              <w:lastRenderedPageBreak/>
              <w:t xml:space="preserve">đơn vị sự nghiệp công lập thuộc sở theo quy định tại Nghị định này, trừ trường hợp pháp luật chuyên ngành có quy định khác”. Khoản 3 Điều 20 Nghị định số 150/2025/NĐ-CP quy định Chủ tịch UBND cấp tỉnh: “Quy định chức năng, nhiệm vụ, quyền hạn và cơ cấu tổ chức của đơn vị sự nghiệp công lập thuộc sở theo quy định của pháp luật chuyên ngành”. Theo đó, nếu pháp luật chuyên ngành (bao gồm cả Thông tư hướng dẫn của các Bộ quản lý ngành, lĩnh vực) quy định Chủ tịch UBND tỉnh quy định chức năng, nhiệm vụ, quyền hạn của đơn vị sự nghiệp công lập thuộc sở thì áp dụng theo pháp luật chuyên ngành; nếu không có quy định thì thẩm quyền thuộc UBND tỉnh. </w:t>
            </w:r>
          </w:p>
        </w:tc>
        <w:tc>
          <w:tcPr>
            <w:tcW w:w="2835" w:type="dxa"/>
            <w:vAlign w:val="center"/>
          </w:tcPr>
          <w:p w14:paraId="4FEFB5D2" w14:textId="77777777" w:rsidR="00396614" w:rsidRPr="00441CDE" w:rsidRDefault="00396614" w:rsidP="00396614">
            <w:pPr>
              <w:jc w:val="both"/>
              <w:rPr>
                <w:rFonts w:eastAsia="Calibri"/>
                <w:b/>
                <w:sz w:val="26"/>
                <w:szCs w:val="26"/>
                <w:lang w:val="en-US"/>
              </w:rPr>
            </w:pPr>
            <w:r w:rsidRPr="00441CDE">
              <w:rPr>
                <w:rFonts w:eastAsia="Calibri"/>
                <w:b/>
                <w:sz w:val="26"/>
                <w:szCs w:val="26"/>
                <w:lang w:val="vi-VN"/>
              </w:rPr>
              <w:lastRenderedPageBreak/>
              <w:t>Đã xử lý</w:t>
            </w:r>
            <w:r w:rsidRPr="00441CDE">
              <w:rPr>
                <w:rFonts w:eastAsia="Calibri"/>
                <w:b/>
                <w:sz w:val="26"/>
                <w:szCs w:val="26"/>
              </w:rPr>
              <w:t>:</w:t>
            </w:r>
          </w:p>
          <w:p w14:paraId="3A1F24D0" w14:textId="77777777" w:rsidR="00396614" w:rsidRPr="0056718C" w:rsidRDefault="00396614" w:rsidP="00396614">
            <w:pPr>
              <w:jc w:val="both"/>
              <w:rPr>
                <w:rFonts w:eastAsia="Calibri"/>
                <w:sz w:val="26"/>
                <w:szCs w:val="26"/>
                <w:lang w:val="vi-VN"/>
              </w:rPr>
            </w:pPr>
            <w:r w:rsidRPr="0056718C">
              <w:rPr>
                <w:rFonts w:eastAsia="Calibri"/>
                <w:sz w:val="26"/>
                <w:szCs w:val="26"/>
                <w:lang w:val="vi-VN"/>
              </w:rPr>
              <w:t xml:space="preserve">Bộ Nội vụ đã trình Chính phủ ban hành Nghị định số 283/2025/NĐ-CP, trong đó: </w:t>
            </w:r>
          </w:p>
          <w:p w14:paraId="57D40C23" w14:textId="77777777" w:rsidR="00396614" w:rsidRPr="0056718C" w:rsidRDefault="00396614" w:rsidP="00396614">
            <w:pPr>
              <w:jc w:val="both"/>
              <w:rPr>
                <w:rFonts w:eastAsia="Calibri"/>
                <w:sz w:val="26"/>
                <w:szCs w:val="26"/>
                <w:lang w:val="vi-VN"/>
              </w:rPr>
            </w:pPr>
            <w:r w:rsidRPr="0056718C">
              <w:rPr>
                <w:rFonts w:eastAsia="Calibri"/>
                <w:sz w:val="26"/>
                <w:szCs w:val="26"/>
                <w:lang w:val="vi-VN"/>
              </w:rPr>
              <w:t xml:space="preserve">(1) Bổ sung quy định về khung số lượng cấp phó đối với các đơn vị sự nghiệp công lập đặc thù, </w:t>
            </w:r>
            <w:r w:rsidRPr="0056718C">
              <w:rPr>
                <w:rFonts w:eastAsia="Calibri"/>
                <w:sz w:val="26"/>
                <w:szCs w:val="26"/>
                <w:lang w:val="vi-VN"/>
              </w:rPr>
              <w:lastRenderedPageBreak/>
              <w:t xml:space="preserve">gồm: bệnh viện hạng I, đơn vị sự nghiệp y tế làm nhiệm vụ kiểm soát và phòng chống bệnh tật tuyến tỉnh hạng I trở lên, trường phổ thông có nhiều cấp học; </w:t>
            </w:r>
          </w:p>
          <w:p w14:paraId="7CE28CFA" w14:textId="77777777" w:rsidR="00396614" w:rsidRPr="0056718C" w:rsidRDefault="00396614" w:rsidP="00396614">
            <w:pPr>
              <w:jc w:val="both"/>
              <w:rPr>
                <w:rFonts w:eastAsia="Calibri"/>
                <w:sz w:val="26"/>
                <w:szCs w:val="26"/>
                <w:lang w:val="vi-VN"/>
              </w:rPr>
            </w:pPr>
            <w:r w:rsidRPr="0056718C">
              <w:rPr>
                <w:rFonts w:eastAsia="Calibri"/>
                <w:sz w:val="26"/>
                <w:szCs w:val="26"/>
                <w:lang w:val="vi-VN"/>
              </w:rPr>
              <w:t>(2) Xác định Ủy ban nhân dân cấp tỉnh có thẩm quyền quyết định thành lập, tổ chức lại, giải thể đơn vị sự nghiệp công lập thuộc Ủy ban nhân dân cấp tỉnh, bảo đảm thống nhất với quy định tại Luật Tổ chức chính quyền địa phương năm 2025;</w:t>
            </w:r>
          </w:p>
          <w:p w14:paraId="1A47531A" w14:textId="77777777" w:rsidR="00396614" w:rsidRPr="0056718C" w:rsidRDefault="00396614" w:rsidP="00396614">
            <w:pPr>
              <w:jc w:val="both"/>
              <w:rPr>
                <w:rFonts w:eastAsia="Calibri"/>
                <w:sz w:val="26"/>
                <w:szCs w:val="26"/>
                <w:lang w:val="vi-VN"/>
              </w:rPr>
            </w:pPr>
            <w:r w:rsidRPr="0056718C">
              <w:rPr>
                <w:rFonts w:eastAsia="Calibri"/>
                <w:sz w:val="26"/>
                <w:szCs w:val="26"/>
                <w:lang w:val="vi-VN"/>
              </w:rPr>
              <w:t xml:space="preserve">(3) Xác định Ủy ban nhân dân cấp tỉnh có thẩm quyền quy định chức năng, nhiệm vụ, quyền hạn và cơ cấu tổ chức của đơn vị sự nghiệp công lập thuộc sở, bảo đảm thống nhất với </w:t>
            </w:r>
            <w:r w:rsidRPr="0056718C">
              <w:rPr>
                <w:rFonts w:eastAsia="Calibri"/>
                <w:sz w:val="26"/>
                <w:szCs w:val="26"/>
                <w:lang w:val="vi-VN"/>
              </w:rPr>
              <w:lastRenderedPageBreak/>
              <w:t>quy định tại Nghị định số 150/2025/NĐ-CP.</w:t>
            </w:r>
          </w:p>
          <w:p w14:paraId="6D35307A" w14:textId="3D4BBEB9" w:rsidR="00396614" w:rsidRPr="00CE2A4C" w:rsidRDefault="00396614" w:rsidP="00396614">
            <w:pPr>
              <w:jc w:val="both"/>
              <w:rPr>
                <w:color w:val="000000" w:themeColor="text1"/>
                <w:sz w:val="25"/>
                <w:szCs w:val="25"/>
              </w:rPr>
            </w:pPr>
            <w:r w:rsidRPr="0056718C">
              <w:rPr>
                <w:rFonts w:eastAsia="Calibri"/>
                <w:sz w:val="26"/>
                <w:szCs w:val="26"/>
                <w:lang w:val="vi-VN"/>
              </w:rPr>
              <w:t>(4) Bổ sung quy định về đối tượng áp dụng của Nghị định, thẩm quyền, trình tự, thủ tục thành lập, tổ chức lại, giải thể đơn vị sự nghiệp công lập thuộc Ủy ban nhân dân cấp xã.</w:t>
            </w:r>
          </w:p>
        </w:tc>
      </w:tr>
      <w:tr w:rsidR="00396614" w:rsidRPr="00CE2A4C" w14:paraId="35457305" w14:textId="77777777" w:rsidTr="00C41A92">
        <w:tc>
          <w:tcPr>
            <w:tcW w:w="966" w:type="dxa"/>
            <w:vAlign w:val="center"/>
          </w:tcPr>
          <w:p w14:paraId="6D947C19" w14:textId="77777777" w:rsidR="00396614" w:rsidRPr="00CE2A4C" w:rsidRDefault="00396614" w:rsidP="00396614">
            <w:pPr>
              <w:numPr>
                <w:ilvl w:val="0"/>
                <w:numId w:val="1"/>
              </w:numPr>
              <w:pBdr>
                <w:top w:val="nil"/>
                <w:left w:val="nil"/>
                <w:bottom w:val="nil"/>
                <w:right w:val="nil"/>
                <w:between w:val="nil"/>
              </w:pBdr>
              <w:spacing w:before="120" w:after="120"/>
              <w:jc w:val="center"/>
              <w:rPr>
                <w:color w:val="000000" w:themeColor="text1"/>
                <w:sz w:val="25"/>
                <w:szCs w:val="25"/>
              </w:rPr>
            </w:pPr>
          </w:p>
        </w:tc>
        <w:tc>
          <w:tcPr>
            <w:tcW w:w="1964" w:type="dxa"/>
            <w:vAlign w:val="center"/>
          </w:tcPr>
          <w:p w14:paraId="7469ADFC" w14:textId="77777777" w:rsidR="00396614" w:rsidRPr="00CE2A4C" w:rsidRDefault="00396614" w:rsidP="00396614">
            <w:pPr>
              <w:spacing w:line="264" w:lineRule="auto"/>
              <w:jc w:val="both"/>
              <w:rPr>
                <w:color w:val="000000" w:themeColor="text1"/>
                <w:sz w:val="24"/>
                <w:szCs w:val="24"/>
              </w:rPr>
            </w:pPr>
            <w:r w:rsidRPr="00CE2A4C">
              <w:rPr>
                <w:color w:val="000000" w:themeColor="text1"/>
                <w:sz w:val="24"/>
                <w:szCs w:val="24"/>
              </w:rPr>
              <w:t xml:space="preserve">Tại nội dung 1.1.1 mục 1 phần V của “Đề án sắp xếp, tổ chức lại đơn vị hành chính các cấp và xây dựng mô hình tổ chức chính quyền địa phương 02 cấp” ban hành kèm theo Quyết định số 759/QĐ-TTg ngày 14 tháng 4 năm 2025 của Thủ tướng Chính phủ về việc phê duyệt “Đề án sắp xếp, tổ chức lại đơn vị hành chính các cấp và xây dựng mô hình tổ chức chính quyền địa </w:t>
            </w:r>
            <w:r w:rsidRPr="00CE2A4C">
              <w:rPr>
                <w:color w:val="000000" w:themeColor="text1"/>
                <w:sz w:val="24"/>
                <w:szCs w:val="24"/>
              </w:rPr>
              <w:lastRenderedPageBreak/>
              <w:t>phương 02 cấp” và khoản 11 Điều 1 Nghị định số 67/2025/NĐ-CP ngày 15 tháng 3 năm 2025 sửa đổi, bổ sung một số điều của Nghị định số 178/2024/NĐ-CP ngày 31 tháng 12 năm 2024 về chính sách, chế độ đối với cán bộ, công chức, viên chức, người lao động và lực lượng vũ trang trong thực hiện sắp xếp tổ chức bộ máy của hệ thống chính trị</w:t>
            </w:r>
          </w:p>
        </w:tc>
        <w:tc>
          <w:tcPr>
            <w:tcW w:w="3827" w:type="dxa"/>
            <w:vAlign w:val="center"/>
          </w:tcPr>
          <w:p w14:paraId="154493C3" w14:textId="77777777" w:rsidR="00396614" w:rsidRPr="00CE2A4C" w:rsidRDefault="00396614" w:rsidP="00396614">
            <w:pPr>
              <w:spacing w:line="264" w:lineRule="auto"/>
              <w:jc w:val="both"/>
              <w:rPr>
                <w:color w:val="000000" w:themeColor="text1"/>
                <w:sz w:val="24"/>
                <w:szCs w:val="24"/>
              </w:rPr>
            </w:pPr>
            <w:r w:rsidRPr="00CE2A4C">
              <w:rPr>
                <w:color w:val="000000" w:themeColor="text1"/>
                <w:sz w:val="24"/>
                <w:szCs w:val="24"/>
              </w:rPr>
              <w:lastRenderedPageBreak/>
              <w:t xml:space="preserve">Tại nội dung 1.1.1 mục 1 phần V của Đề án kèm theo Quyết định số 759/QĐ-TTg ngày 14 tháng 4 năm 2025 của Thủ tướng Chính phủ quy định: “Bảo lưu chế độ, chính sách tiền lương và phụ cấp chức vụ hiện hưởng (nếu có) của cán bộ, công chức, viên chức được bố trí làm việc tại ĐVHC cấp tỉnh mới sau sắp xếp trong thời gian 06 tháng. Sau thời gian này sẽ thực hiện chế độ, chính sách tiền lương và phụ cấp chức vụ phù hợp với quy định mới của pháp luật". quy định này mâu thuẫn với khoản 11 Điều 1 Nghị định số 67/2025/NĐ-CP ngày 15 tháng 3 năm 2025 sửa đổi, bổ sung một số điều của Nghị định số 178/2024/NĐ-CP ngày 31 tháng 12 năm 2024 về chính sách, chế độ đối với cán bộ, công chức, viên chức, người lao động và lực lượng vũ trang trong thực hiện sắp xếp tổ chức bộ </w:t>
            </w:r>
            <w:r w:rsidRPr="00CE2A4C">
              <w:rPr>
                <w:color w:val="000000" w:themeColor="text1"/>
                <w:sz w:val="24"/>
                <w:szCs w:val="24"/>
              </w:rPr>
              <w:lastRenderedPageBreak/>
              <w:t>máy của hệ thống chính trị như sau: Cán bộ, công chức, viên chức lãnh đạo quản lý thôi giữ chức vụ lãnh đạo, quản lý hoặc được bầu cử, bổ nhiệm giữ chức vụ lãnh đạo, quản lý có mức lương chức vụ hoặc phụ cấp chức vụ lãnh đạo thấp hơn do sắp xếp tổ chức bộ máy, thì được bảo lưu mức lương chức vụ cũ hoặc phụ cấp chức vụ lãnh đạo cũ đến hết nhiệm kỳ bầu cử hoặc hết thời hạn bổ nhiệm. Trường hợp đã giữ chức vụ lãnh đạo, quản lý theo nhiệm kỳ bầu cử hoặc thời hạn bổ nhiệm còn dưới 6 tháng thì được bảo lưu 06 tháng”</w:t>
            </w:r>
          </w:p>
        </w:tc>
        <w:tc>
          <w:tcPr>
            <w:tcW w:w="1559" w:type="dxa"/>
            <w:vAlign w:val="center"/>
          </w:tcPr>
          <w:p w14:paraId="02E55305" w14:textId="77777777" w:rsidR="00396614" w:rsidRPr="00CE2A4C" w:rsidRDefault="00396614" w:rsidP="00396614">
            <w:pPr>
              <w:spacing w:line="264" w:lineRule="auto"/>
              <w:jc w:val="both"/>
              <w:rPr>
                <w:color w:val="000000" w:themeColor="text1"/>
                <w:sz w:val="24"/>
                <w:szCs w:val="24"/>
              </w:rPr>
            </w:pPr>
            <w:r w:rsidRPr="00CE2A4C">
              <w:rPr>
                <w:color w:val="000000" w:themeColor="text1"/>
                <w:sz w:val="24"/>
                <w:szCs w:val="24"/>
              </w:rPr>
              <w:lastRenderedPageBreak/>
              <w:t>C. Sửa đổi, bổ sung, thay thế, ban hành mới VBQPPL (theo trình tự, thủ tục rút gọn ban hành VBQPPL của Luật Ban hành VBQPPL)</w:t>
            </w:r>
          </w:p>
        </w:tc>
        <w:tc>
          <w:tcPr>
            <w:tcW w:w="1418" w:type="dxa"/>
            <w:vAlign w:val="center"/>
          </w:tcPr>
          <w:p w14:paraId="32AE9C9E" w14:textId="77777777" w:rsidR="00396614" w:rsidRPr="00CE2A4C" w:rsidRDefault="00396614" w:rsidP="00396614">
            <w:pPr>
              <w:spacing w:line="264" w:lineRule="auto"/>
              <w:jc w:val="both"/>
              <w:rPr>
                <w:color w:val="000000" w:themeColor="text1"/>
                <w:sz w:val="24"/>
                <w:szCs w:val="24"/>
              </w:rPr>
            </w:pPr>
            <w:r w:rsidRPr="00CE2A4C">
              <w:rPr>
                <w:color w:val="000000" w:themeColor="text1"/>
                <w:sz w:val="24"/>
                <w:szCs w:val="24"/>
              </w:rPr>
              <w:t>Sở Tư pháp tỉnh Cà Mau</w:t>
            </w:r>
          </w:p>
        </w:tc>
        <w:tc>
          <w:tcPr>
            <w:tcW w:w="2835" w:type="dxa"/>
            <w:vAlign w:val="center"/>
          </w:tcPr>
          <w:p w14:paraId="6FBB1CE9" w14:textId="77777777" w:rsidR="00396614" w:rsidRPr="00CE2A4C" w:rsidRDefault="00396614" w:rsidP="00396614">
            <w:pPr>
              <w:spacing w:line="264" w:lineRule="auto"/>
              <w:jc w:val="both"/>
              <w:rPr>
                <w:b/>
                <w:color w:val="000000" w:themeColor="text1"/>
                <w:sz w:val="24"/>
                <w:szCs w:val="24"/>
              </w:rPr>
            </w:pPr>
            <w:r w:rsidRPr="00CE2A4C">
              <w:rPr>
                <w:color w:val="000000" w:themeColor="text1"/>
                <w:sz w:val="24"/>
                <w:szCs w:val="24"/>
              </w:rPr>
              <w:t xml:space="preserve"> </w:t>
            </w:r>
          </w:p>
          <w:p w14:paraId="7850FA5F" w14:textId="77777777" w:rsidR="00396614" w:rsidRPr="00CE2A4C" w:rsidRDefault="00396614" w:rsidP="00396614">
            <w:pPr>
              <w:spacing w:line="264" w:lineRule="auto"/>
              <w:ind w:left="60" w:right="60"/>
              <w:jc w:val="both"/>
              <w:rPr>
                <w:color w:val="000000" w:themeColor="text1"/>
                <w:sz w:val="24"/>
                <w:szCs w:val="24"/>
              </w:rPr>
            </w:pPr>
            <w:r w:rsidRPr="00CE2A4C">
              <w:rPr>
                <w:color w:val="000000" w:themeColor="text1"/>
                <w:sz w:val="24"/>
                <w:szCs w:val="24"/>
              </w:rPr>
              <w:t xml:space="preserve">- Ghi nhận ý kiến phản ánh nhưng đây không phải điểm nghẽn. </w:t>
            </w:r>
          </w:p>
          <w:p w14:paraId="55A205B9" w14:textId="77777777" w:rsidR="00396614" w:rsidRPr="00CE2A4C" w:rsidRDefault="00396614" w:rsidP="00396614">
            <w:pPr>
              <w:spacing w:line="264" w:lineRule="auto"/>
              <w:ind w:left="60" w:right="60"/>
              <w:jc w:val="both"/>
              <w:rPr>
                <w:color w:val="000000" w:themeColor="text1"/>
                <w:sz w:val="24"/>
                <w:szCs w:val="24"/>
              </w:rPr>
            </w:pPr>
            <w:r w:rsidRPr="00CE2A4C">
              <w:rPr>
                <w:color w:val="000000" w:themeColor="text1"/>
                <w:sz w:val="24"/>
                <w:szCs w:val="24"/>
              </w:rPr>
              <w:t>- Nội dung vướng mắc nằm ở văn bản hành chính, không thuộc phạm vi rà soát và xử lý theo Nghị quyết 206/2025/QH15 xử lý đối với văn bản quy phạm pháp luật.</w:t>
            </w:r>
          </w:p>
          <w:p w14:paraId="43C263BF" w14:textId="77777777" w:rsidR="00396614" w:rsidRPr="00CE2A4C" w:rsidRDefault="00396614" w:rsidP="00396614">
            <w:pPr>
              <w:spacing w:line="264" w:lineRule="auto"/>
              <w:jc w:val="both"/>
              <w:rPr>
                <w:color w:val="000000" w:themeColor="text1"/>
                <w:sz w:val="24"/>
                <w:szCs w:val="24"/>
                <w:lang w:val="vi-VN"/>
              </w:rPr>
            </w:pPr>
            <w:r w:rsidRPr="00CE2A4C">
              <w:rPr>
                <w:color w:val="000000" w:themeColor="text1"/>
                <w:sz w:val="24"/>
                <w:szCs w:val="24"/>
              </w:rPr>
              <w:t xml:space="preserve">- Đề nghị thực hiện theo quy định tại Nghị định số 178/2024/NĐ-CP (sửa đổi, bổ sung tại Nghị định số 67/2025/NĐ-CP), bảo đảm thống nhất với các chế độ, chính sách đã báo cáo Bộ Chính trị liên quan đến việc tổng kết thực hiện Nghị quyết số 18-NQ/TW của </w:t>
            </w:r>
            <w:r w:rsidRPr="00CE2A4C">
              <w:rPr>
                <w:color w:val="000000" w:themeColor="text1"/>
                <w:sz w:val="24"/>
                <w:szCs w:val="24"/>
              </w:rPr>
              <w:lastRenderedPageBreak/>
              <w:t>Hội nghị Trung ương 6 khóa XII một số vấn đề về tiếp tục đổi mới, sắp xếp tổ chức bộ máy của hệ thống chính trị tinh gọn, hoạt động hiệu lực, hiệu quả.</w:t>
            </w:r>
          </w:p>
          <w:p w14:paraId="1379728D" w14:textId="77777777" w:rsidR="00396614" w:rsidRPr="00CE2A4C" w:rsidRDefault="00396614" w:rsidP="00396614">
            <w:pPr>
              <w:spacing w:line="264" w:lineRule="auto"/>
              <w:jc w:val="both"/>
              <w:rPr>
                <w:b/>
                <w:color w:val="000000" w:themeColor="text1"/>
                <w:sz w:val="24"/>
                <w:szCs w:val="24"/>
                <w:lang w:val="vi-VN"/>
              </w:rPr>
            </w:pPr>
          </w:p>
        </w:tc>
        <w:tc>
          <w:tcPr>
            <w:tcW w:w="2835" w:type="dxa"/>
            <w:vAlign w:val="center"/>
          </w:tcPr>
          <w:p w14:paraId="47C9C012" w14:textId="1BA7A3CE" w:rsidR="00396614" w:rsidRPr="00601E02" w:rsidRDefault="00601E02" w:rsidP="00396614">
            <w:pPr>
              <w:jc w:val="both"/>
              <w:rPr>
                <w:b/>
                <w:color w:val="000000" w:themeColor="text1"/>
                <w:sz w:val="25"/>
                <w:szCs w:val="25"/>
              </w:rPr>
            </w:pPr>
            <w:r w:rsidRPr="00601E02">
              <w:rPr>
                <w:b/>
                <w:color w:val="000000" w:themeColor="text1"/>
                <w:sz w:val="25"/>
                <w:szCs w:val="25"/>
              </w:rPr>
              <w:lastRenderedPageBreak/>
              <w:t>Đã xử lý:</w:t>
            </w:r>
          </w:p>
          <w:p w14:paraId="7FD54F05" w14:textId="2A91AEA8" w:rsidR="00396614" w:rsidRPr="00CE2A4C" w:rsidRDefault="00396614" w:rsidP="00396614">
            <w:pPr>
              <w:jc w:val="both"/>
              <w:rPr>
                <w:color w:val="000000" w:themeColor="text1"/>
                <w:sz w:val="25"/>
                <w:szCs w:val="25"/>
              </w:rPr>
            </w:pPr>
            <w:r w:rsidRPr="00CE2A4C">
              <w:rPr>
                <w:color w:val="000000" w:themeColor="text1"/>
                <w:sz w:val="24"/>
                <w:szCs w:val="25"/>
              </w:rPr>
              <w:t xml:space="preserve">Bộ Nội vụ có Công văn số 8243/BNV-TCBC ngày 19/9/2025 gửi Bộ Tài chính về việc chi trả chính sách, chế độ theo Nghị định số 178/2025/NĐ-CP căn cứ </w:t>
            </w:r>
            <w:r w:rsidRPr="00CE2A4C">
              <w:rPr>
                <w:color w:val="000000" w:themeColor="text1"/>
                <w:sz w:val="24"/>
                <w:szCs w:val="24"/>
              </w:rPr>
              <w:t>Kết luận 183-KL/TW</w:t>
            </w:r>
            <w:r w:rsidRPr="00CE2A4C">
              <w:rPr>
                <w:color w:val="000000" w:themeColor="text1"/>
                <w:sz w:val="24"/>
                <w:szCs w:val="25"/>
              </w:rPr>
              <w:t>.</w:t>
            </w:r>
          </w:p>
        </w:tc>
      </w:tr>
    </w:tbl>
    <w:p w14:paraId="445A5890" w14:textId="77777777" w:rsidR="004628C7" w:rsidRPr="00896827" w:rsidRDefault="004628C7">
      <w:pPr>
        <w:rPr>
          <w:b/>
          <w:color w:val="000000" w:themeColor="text1"/>
          <w:sz w:val="2"/>
          <w:szCs w:val="2"/>
        </w:rPr>
      </w:pPr>
    </w:p>
    <w:sectPr w:rsidR="004628C7" w:rsidRPr="00896827">
      <w:headerReference w:type="default" r:id="rId7"/>
      <w:footerReference w:type="default" r:id="rId8"/>
      <w:pgSz w:w="16840" w:h="11907" w:orient="landscape"/>
      <w:pgMar w:top="1134" w:right="1134" w:bottom="113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B28F1" w14:textId="77777777" w:rsidR="004F504B" w:rsidRDefault="004F504B">
      <w:pPr>
        <w:spacing w:after="0" w:line="240" w:lineRule="auto"/>
      </w:pPr>
      <w:r>
        <w:separator/>
      </w:r>
    </w:p>
  </w:endnote>
  <w:endnote w:type="continuationSeparator" w:id="0">
    <w:p w14:paraId="4078C87B" w14:textId="77777777" w:rsidR="004F504B" w:rsidRDefault="004F5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717FC" w14:textId="77777777" w:rsidR="00CA4C53" w:rsidRDefault="00CA4C53">
    <w:pPr>
      <w:pBdr>
        <w:top w:val="nil"/>
        <w:left w:val="nil"/>
        <w:bottom w:val="nil"/>
        <w:right w:val="nil"/>
        <w:between w:val="nil"/>
      </w:pBdr>
      <w:tabs>
        <w:tab w:val="center" w:pos="4680"/>
        <w:tab w:val="right" w:pos="9360"/>
      </w:tabs>
      <w:spacing w:after="0" w:line="240" w:lineRule="auto"/>
      <w:jc w:val="center"/>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36C57" w14:textId="77777777" w:rsidR="004F504B" w:rsidRDefault="004F504B">
      <w:pPr>
        <w:spacing w:after="0" w:line="240" w:lineRule="auto"/>
      </w:pPr>
      <w:r>
        <w:separator/>
      </w:r>
    </w:p>
  </w:footnote>
  <w:footnote w:type="continuationSeparator" w:id="0">
    <w:p w14:paraId="6CB70F04" w14:textId="77777777" w:rsidR="004F504B" w:rsidRDefault="004F50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133786"/>
      <w:docPartObj>
        <w:docPartGallery w:val="Page Numbers (Top of Page)"/>
        <w:docPartUnique/>
      </w:docPartObj>
    </w:sdtPr>
    <w:sdtEndPr>
      <w:rPr>
        <w:noProof/>
      </w:rPr>
    </w:sdtEndPr>
    <w:sdtContent>
      <w:p w14:paraId="5C6AF2E1" w14:textId="51C8F435" w:rsidR="00CA4C53" w:rsidRDefault="00CA4C53">
        <w:pPr>
          <w:pStyle w:val="Header"/>
          <w:jc w:val="center"/>
        </w:pPr>
        <w:r>
          <w:fldChar w:fldCharType="begin"/>
        </w:r>
        <w:r>
          <w:instrText xml:space="preserve"> PAGE   \* MERGEFORMAT </w:instrText>
        </w:r>
        <w:r>
          <w:fldChar w:fldCharType="separate"/>
        </w:r>
        <w:r w:rsidR="00836A03">
          <w:rPr>
            <w:noProof/>
          </w:rPr>
          <w:t>21</w:t>
        </w:r>
        <w:r>
          <w:rPr>
            <w:noProof/>
          </w:rPr>
          <w:fldChar w:fldCharType="end"/>
        </w:r>
      </w:p>
    </w:sdtContent>
  </w:sdt>
  <w:p w14:paraId="0DF4986E" w14:textId="77777777" w:rsidR="00CA4C53" w:rsidRDefault="00CA4C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3F9F"/>
    <w:multiLevelType w:val="multilevel"/>
    <w:tmpl w:val="D7E2B896"/>
    <w:lvl w:ilvl="0">
      <w:start w:val="1"/>
      <w:numFmt w:val="decimal"/>
      <w:lvlText w:val="%1."/>
      <w:lvlJc w:val="left"/>
      <w:pPr>
        <w:ind w:left="502"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CAC7404"/>
    <w:multiLevelType w:val="multilevel"/>
    <w:tmpl w:val="14E28EC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CBE0B2A"/>
    <w:multiLevelType w:val="multilevel"/>
    <w:tmpl w:val="F0E07D7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15396981">
    <w:abstractNumId w:val="0"/>
  </w:num>
  <w:num w:numId="2" w16cid:durableId="1585259130">
    <w:abstractNumId w:val="2"/>
  </w:num>
  <w:num w:numId="3" w16cid:durableId="1826169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8C7"/>
    <w:rsid w:val="00036280"/>
    <w:rsid w:val="00055C0E"/>
    <w:rsid w:val="000576F5"/>
    <w:rsid w:val="00072D17"/>
    <w:rsid w:val="00096340"/>
    <w:rsid w:val="000E2EDD"/>
    <w:rsid w:val="001068E0"/>
    <w:rsid w:val="001472B9"/>
    <w:rsid w:val="001577AE"/>
    <w:rsid w:val="00165702"/>
    <w:rsid w:val="001B0D1D"/>
    <w:rsid w:val="001F5146"/>
    <w:rsid w:val="0025797B"/>
    <w:rsid w:val="00280A43"/>
    <w:rsid w:val="002846F1"/>
    <w:rsid w:val="00286999"/>
    <w:rsid w:val="002C4F4F"/>
    <w:rsid w:val="002F54AF"/>
    <w:rsid w:val="00325EB8"/>
    <w:rsid w:val="003373F6"/>
    <w:rsid w:val="00361517"/>
    <w:rsid w:val="00392999"/>
    <w:rsid w:val="0039416C"/>
    <w:rsid w:val="00396614"/>
    <w:rsid w:val="003A3A97"/>
    <w:rsid w:val="003C20CC"/>
    <w:rsid w:val="003C2AA9"/>
    <w:rsid w:val="003F0131"/>
    <w:rsid w:val="003F609A"/>
    <w:rsid w:val="0041717E"/>
    <w:rsid w:val="00431D07"/>
    <w:rsid w:val="004359D2"/>
    <w:rsid w:val="00435DD9"/>
    <w:rsid w:val="00461EB7"/>
    <w:rsid w:val="004628C7"/>
    <w:rsid w:val="004673AD"/>
    <w:rsid w:val="004803B2"/>
    <w:rsid w:val="00487D67"/>
    <w:rsid w:val="004B3C43"/>
    <w:rsid w:val="004C38D8"/>
    <w:rsid w:val="004C43AA"/>
    <w:rsid w:val="004E1B16"/>
    <w:rsid w:val="004F504B"/>
    <w:rsid w:val="00546C5E"/>
    <w:rsid w:val="00556AB1"/>
    <w:rsid w:val="005D338F"/>
    <w:rsid w:val="005F2F7D"/>
    <w:rsid w:val="00601E02"/>
    <w:rsid w:val="006050D3"/>
    <w:rsid w:val="006314C6"/>
    <w:rsid w:val="00632DB9"/>
    <w:rsid w:val="0064128C"/>
    <w:rsid w:val="006634E8"/>
    <w:rsid w:val="00665DDE"/>
    <w:rsid w:val="00671F75"/>
    <w:rsid w:val="0067501C"/>
    <w:rsid w:val="006B5446"/>
    <w:rsid w:val="006C203E"/>
    <w:rsid w:val="006F045C"/>
    <w:rsid w:val="00700A53"/>
    <w:rsid w:val="007075EA"/>
    <w:rsid w:val="00707FAA"/>
    <w:rsid w:val="0076709A"/>
    <w:rsid w:val="00782AEB"/>
    <w:rsid w:val="007A3B09"/>
    <w:rsid w:val="007A72DE"/>
    <w:rsid w:val="007B23D5"/>
    <w:rsid w:val="007C4FF5"/>
    <w:rsid w:val="007C62E3"/>
    <w:rsid w:val="007D127A"/>
    <w:rsid w:val="007E0AB1"/>
    <w:rsid w:val="008231F0"/>
    <w:rsid w:val="00836A03"/>
    <w:rsid w:val="00841B96"/>
    <w:rsid w:val="00844361"/>
    <w:rsid w:val="00861F1C"/>
    <w:rsid w:val="00871CB1"/>
    <w:rsid w:val="008847EB"/>
    <w:rsid w:val="00896827"/>
    <w:rsid w:val="00896D0E"/>
    <w:rsid w:val="008A60D3"/>
    <w:rsid w:val="008A68AD"/>
    <w:rsid w:val="008E3B02"/>
    <w:rsid w:val="0093608C"/>
    <w:rsid w:val="00965321"/>
    <w:rsid w:val="009E08C7"/>
    <w:rsid w:val="009E681E"/>
    <w:rsid w:val="00A237CD"/>
    <w:rsid w:val="00A50258"/>
    <w:rsid w:val="00A857F7"/>
    <w:rsid w:val="00AA29AF"/>
    <w:rsid w:val="00AA7CD5"/>
    <w:rsid w:val="00AD1FA7"/>
    <w:rsid w:val="00B06A70"/>
    <w:rsid w:val="00B10279"/>
    <w:rsid w:val="00B41055"/>
    <w:rsid w:val="00B95C69"/>
    <w:rsid w:val="00BB16C6"/>
    <w:rsid w:val="00BD3BBE"/>
    <w:rsid w:val="00BE3DAE"/>
    <w:rsid w:val="00C348B5"/>
    <w:rsid w:val="00C41A92"/>
    <w:rsid w:val="00C44126"/>
    <w:rsid w:val="00C44CE7"/>
    <w:rsid w:val="00C67AF4"/>
    <w:rsid w:val="00CA4C53"/>
    <w:rsid w:val="00CE2A4C"/>
    <w:rsid w:val="00D25C61"/>
    <w:rsid w:val="00D42833"/>
    <w:rsid w:val="00D52622"/>
    <w:rsid w:val="00D565B5"/>
    <w:rsid w:val="00D60511"/>
    <w:rsid w:val="00D811C8"/>
    <w:rsid w:val="00DC05DC"/>
    <w:rsid w:val="00DE76FE"/>
    <w:rsid w:val="00E30003"/>
    <w:rsid w:val="00E67EB1"/>
    <w:rsid w:val="00E826A5"/>
    <w:rsid w:val="00E96842"/>
    <w:rsid w:val="00EA1B7A"/>
    <w:rsid w:val="00ED3797"/>
    <w:rsid w:val="00F1076C"/>
    <w:rsid w:val="00F37A31"/>
    <w:rsid w:val="00F4373F"/>
    <w:rsid w:val="00F50601"/>
    <w:rsid w:val="00F54824"/>
    <w:rsid w:val="00F57D42"/>
    <w:rsid w:val="00F63C83"/>
    <w:rsid w:val="00F776CC"/>
    <w:rsid w:val="00F8000A"/>
    <w:rsid w:val="00F938D7"/>
    <w:rsid w:val="00FD151F"/>
    <w:rsid w:val="00FD4ADA"/>
    <w:rsid w:val="00FF7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831F"/>
  <w15:docId w15:val="{AA37379C-6E73-4D0B-9C68-1A11F9F3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0"/>
      <w:outlineLvl w:val="0"/>
    </w:pPr>
    <w:rPr>
      <w:rFonts w:ascii="Calibri" w:eastAsia="Calibri" w:hAnsi="Calibri" w:cs="Calibri"/>
      <w:color w:val="2E75B5"/>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character" w:styleId="Strong">
    <w:name w:val="Strong"/>
    <w:uiPriority w:val="22"/>
    <w:qFormat/>
    <w:rsid w:val="00F63C83"/>
    <w:rPr>
      <w:b/>
      <w:bCs/>
    </w:rPr>
  </w:style>
  <w:style w:type="paragraph" w:styleId="Footer">
    <w:name w:val="footer"/>
    <w:basedOn w:val="Normal"/>
    <w:link w:val="FooterChar"/>
    <w:rsid w:val="00F63C83"/>
    <w:pPr>
      <w:tabs>
        <w:tab w:val="center" w:pos="4320"/>
        <w:tab w:val="right" w:pos="8640"/>
      </w:tabs>
      <w:spacing w:after="0" w:line="240" w:lineRule="auto"/>
    </w:pPr>
    <w:rPr>
      <w:sz w:val="24"/>
      <w:szCs w:val="24"/>
      <w:lang w:val="en-US"/>
    </w:rPr>
  </w:style>
  <w:style w:type="character" w:customStyle="1" w:styleId="FooterChar">
    <w:name w:val="Footer Char"/>
    <w:basedOn w:val="DefaultParagraphFont"/>
    <w:link w:val="Footer"/>
    <w:rsid w:val="00F63C83"/>
    <w:rPr>
      <w:sz w:val="24"/>
      <w:szCs w:val="24"/>
      <w:lang w:val="en-US"/>
    </w:rPr>
  </w:style>
  <w:style w:type="paragraph" w:styleId="NormalWeb">
    <w:name w:val="Normal (Web)"/>
    <w:basedOn w:val="Normal"/>
    <w:uiPriority w:val="99"/>
    <w:rsid w:val="00F63C83"/>
    <w:pPr>
      <w:spacing w:before="100" w:beforeAutospacing="1" w:after="100" w:afterAutospacing="1" w:line="240" w:lineRule="auto"/>
    </w:pPr>
    <w:rPr>
      <w:rFonts w:ascii="Verdana" w:hAnsi="Verdana" w:cs="Verdana"/>
      <w:sz w:val="24"/>
      <w:szCs w:val="24"/>
      <w:lang w:val="en-US"/>
    </w:rPr>
  </w:style>
  <w:style w:type="character" w:styleId="Emphasis">
    <w:name w:val="Emphasis"/>
    <w:uiPriority w:val="20"/>
    <w:qFormat/>
    <w:rsid w:val="00F63C83"/>
    <w:rPr>
      <w:i/>
      <w:iCs/>
    </w:rPr>
  </w:style>
  <w:style w:type="paragraph" w:styleId="Header">
    <w:name w:val="header"/>
    <w:basedOn w:val="Normal"/>
    <w:link w:val="HeaderChar"/>
    <w:uiPriority w:val="99"/>
    <w:unhideWhenUsed/>
    <w:rsid w:val="00675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01C"/>
  </w:style>
  <w:style w:type="paragraph" w:styleId="BalloonText">
    <w:name w:val="Balloon Text"/>
    <w:basedOn w:val="Normal"/>
    <w:link w:val="BalloonTextChar"/>
    <w:uiPriority w:val="99"/>
    <w:semiHidden/>
    <w:unhideWhenUsed/>
    <w:rsid w:val="00055C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C0E"/>
    <w:rPr>
      <w:rFonts w:ascii="Segoe UI" w:hAnsi="Segoe UI" w:cs="Segoe UI"/>
      <w:sz w:val="18"/>
      <w:szCs w:val="18"/>
    </w:rPr>
  </w:style>
  <w:style w:type="paragraph" w:styleId="FootnoteText">
    <w:name w:val="footnote text"/>
    <w:basedOn w:val="Normal"/>
    <w:link w:val="FootnoteTextChar"/>
    <w:uiPriority w:val="99"/>
    <w:semiHidden/>
    <w:unhideWhenUsed/>
    <w:rsid w:val="00DE76FE"/>
    <w:pPr>
      <w:spacing w:after="0" w:line="240" w:lineRule="auto"/>
    </w:pPr>
    <w:rPr>
      <w:rFonts w:ascii="Calibri" w:eastAsia="Calibri" w:hAnsi="Calibri" w:cs="Calibri"/>
      <w:sz w:val="20"/>
      <w:szCs w:val="20"/>
      <w:lang w:val="en-US"/>
    </w:rPr>
  </w:style>
  <w:style w:type="character" w:customStyle="1" w:styleId="FootnoteTextChar">
    <w:name w:val="Footnote Text Char"/>
    <w:basedOn w:val="DefaultParagraphFont"/>
    <w:link w:val="FootnoteText"/>
    <w:uiPriority w:val="99"/>
    <w:semiHidden/>
    <w:rsid w:val="00DE76FE"/>
    <w:rPr>
      <w:rFonts w:ascii="Calibri" w:eastAsia="Calibri" w:hAnsi="Calibri" w:cs="Calibri"/>
      <w:sz w:val="20"/>
      <w:szCs w:val="20"/>
      <w:lang w:val="en-US"/>
    </w:rPr>
  </w:style>
  <w:style w:type="character" w:styleId="FootnoteReference">
    <w:name w:val="footnote reference"/>
    <w:aliases w:val="Footnote,Footnote text,Footnote dich,ftref,BVI fnr,footnote ref,SUPERS,Footnote Reference Number,Знак сноски 1,(NECG) Footnote Reference,16 Point,Superscript 6 Point,Footnote + Arial,10 pt,Black,Ref,de nota al pie,R,fr,f,Re"/>
    <w:uiPriority w:val="99"/>
    <w:semiHidden/>
    <w:unhideWhenUsed/>
    <w:qFormat/>
    <w:rsid w:val="00DE76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756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21</Pages>
  <Words>5363</Words>
  <Characters>30572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60</cp:revision>
  <dcterms:created xsi:type="dcterms:W3CDTF">2025-07-30T10:16:00Z</dcterms:created>
  <dcterms:modified xsi:type="dcterms:W3CDTF">2025-12-14T05:00:00Z</dcterms:modified>
</cp:coreProperties>
</file>