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CA49" w14:textId="11B50504" w:rsidR="00DD4B8B" w:rsidRPr="00057CA1" w:rsidRDefault="00DD4B8B" w:rsidP="00D5717D">
      <w:pPr>
        <w:pStyle w:val="NormalWeb"/>
        <w:spacing w:before="0" w:beforeAutospacing="0" w:after="0" w:afterAutospacing="0"/>
        <w:jc w:val="center"/>
        <w:divId w:val="1330596125"/>
        <w:rPr>
          <w:b/>
          <w:bCs/>
          <w:color w:val="000000"/>
          <w:sz w:val="26"/>
          <w:szCs w:val="26"/>
        </w:rPr>
      </w:pPr>
      <w:r w:rsidRPr="00057CA1">
        <w:rPr>
          <w:rStyle w:val="Strong"/>
          <w:color w:val="000000"/>
          <w:sz w:val="26"/>
          <w:szCs w:val="26"/>
        </w:rPr>
        <w:t xml:space="preserve">Phụ lục </w:t>
      </w:r>
      <w:r w:rsidR="00523DAF">
        <w:rPr>
          <w:rStyle w:val="Strong"/>
          <w:color w:val="000000"/>
          <w:sz w:val="26"/>
          <w:szCs w:val="26"/>
        </w:rPr>
        <w:t>I</w:t>
      </w:r>
      <w:r w:rsidR="001F4504" w:rsidRPr="00057CA1">
        <w:rPr>
          <w:rStyle w:val="Strong"/>
          <w:color w:val="000000"/>
          <w:sz w:val="26"/>
          <w:szCs w:val="26"/>
        </w:rPr>
        <w:t>.</w:t>
      </w:r>
      <w:r w:rsidR="00342356" w:rsidRPr="00057CA1">
        <w:rPr>
          <w:rStyle w:val="Strong"/>
          <w:color w:val="000000"/>
          <w:sz w:val="26"/>
          <w:szCs w:val="26"/>
        </w:rPr>
        <w:t>12</w:t>
      </w:r>
      <w:r w:rsidR="001F4504" w:rsidRPr="00057CA1">
        <w:rPr>
          <w:rStyle w:val="Strong"/>
          <w:color w:val="000000"/>
          <w:sz w:val="26"/>
          <w:szCs w:val="26"/>
        </w:rPr>
        <w:t>.2.B</w:t>
      </w:r>
    </w:p>
    <w:p w14:paraId="11A1271E" w14:textId="7BE070EA" w:rsidR="00DD4B8B" w:rsidRPr="00057CA1" w:rsidRDefault="00176659" w:rsidP="005B37EC">
      <w:pPr>
        <w:pStyle w:val="NormalWeb"/>
        <w:spacing w:before="0" w:beforeAutospacing="0" w:after="0" w:afterAutospacing="0"/>
        <w:jc w:val="center"/>
        <w:divId w:val="1330596125"/>
        <w:rPr>
          <w:rStyle w:val="Strong"/>
          <w:color w:val="000000"/>
          <w:sz w:val="26"/>
          <w:szCs w:val="26"/>
        </w:rPr>
      </w:pPr>
      <w:r>
        <w:rPr>
          <w:rStyle w:val="Strong"/>
          <w:color w:val="000000"/>
          <w:sz w:val="26"/>
          <w:szCs w:val="26"/>
          <w14:ligatures w14:val="none"/>
        </w:rPr>
        <w:t xml:space="preserve">TÌNH HÌNH XỬ LÝ ĐỐI VỚI </w:t>
      </w:r>
      <w:r w:rsidR="00DD4B8B" w:rsidRPr="00057CA1">
        <w:rPr>
          <w:rStyle w:val="Strong"/>
          <w:color w:val="000000"/>
          <w:sz w:val="26"/>
          <w:szCs w:val="26"/>
        </w:rPr>
        <w:t>KHÓ KHĂN, VƯỚNG MẮC DO QUY ĐỊNH PHÁP LUẬT</w:t>
      </w:r>
    </w:p>
    <w:p w14:paraId="6E666025" w14:textId="77777777" w:rsidR="00DD4B8B" w:rsidRPr="00057CA1" w:rsidRDefault="00DD4B8B" w:rsidP="005B37EC">
      <w:pPr>
        <w:pStyle w:val="NormalWeb"/>
        <w:spacing w:before="0" w:beforeAutospacing="0" w:after="0" w:afterAutospacing="0"/>
        <w:jc w:val="center"/>
        <w:divId w:val="1330596125"/>
        <w:rPr>
          <w:color w:val="000000"/>
          <w:sz w:val="26"/>
          <w:szCs w:val="26"/>
        </w:rPr>
      </w:pPr>
      <w:r w:rsidRPr="00057CA1">
        <w:rPr>
          <w:rStyle w:val="Strong"/>
          <w:color w:val="000000"/>
          <w:sz w:val="26"/>
          <w:szCs w:val="26"/>
        </w:rPr>
        <w:t>THUỘC PHẠM VI PHỤ TRÁCH CỦA BỘ NGOẠI GIAO</w:t>
      </w:r>
    </w:p>
    <w:p w14:paraId="2893B31A" w14:textId="77777777" w:rsidR="00057CA1" w:rsidRDefault="00DD4B8B" w:rsidP="005B37EC">
      <w:pPr>
        <w:pStyle w:val="NormalWeb"/>
        <w:spacing w:before="0" w:beforeAutospacing="0" w:after="0" w:afterAutospacing="0"/>
        <w:jc w:val="center"/>
        <w:divId w:val="1330596125"/>
        <w:rPr>
          <w:rStyle w:val="Strong"/>
          <w:color w:val="000000"/>
          <w:sz w:val="26"/>
          <w:szCs w:val="26"/>
        </w:rPr>
      </w:pPr>
      <w:r w:rsidRPr="00057CA1">
        <w:rPr>
          <w:rStyle w:val="Strong"/>
          <w:color w:val="000000"/>
          <w:sz w:val="26"/>
          <w:szCs w:val="26"/>
        </w:rPr>
        <w:t xml:space="preserve">Tiêu chí: Nội dung quy định được phản ánh không rõ ràng, có nhiều cách hiểu khác nhau, không hợp lý, không khả thi, </w:t>
      </w:r>
    </w:p>
    <w:p w14:paraId="11F10B48" w14:textId="19AD4DF0" w:rsidR="00DD4B8B" w:rsidRPr="00057CA1" w:rsidRDefault="00DD4B8B" w:rsidP="005B37EC">
      <w:pPr>
        <w:pStyle w:val="NormalWeb"/>
        <w:spacing w:before="0" w:beforeAutospacing="0" w:after="0" w:afterAutospacing="0"/>
        <w:jc w:val="center"/>
        <w:divId w:val="1330596125"/>
        <w:rPr>
          <w:rStyle w:val="Strong"/>
          <w:color w:val="000000"/>
          <w:sz w:val="26"/>
          <w:szCs w:val="26"/>
        </w:rPr>
      </w:pPr>
      <w:r w:rsidRPr="00057CA1">
        <w:rPr>
          <w:rStyle w:val="Strong"/>
          <w:color w:val="000000"/>
          <w:sz w:val="26"/>
          <w:szCs w:val="26"/>
        </w:rPr>
        <w:t>gây khó khăn trong áp dụng, thực hiện pháp luật</w:t>
      </w:r>
    </w:p>
    <w:p w14:paraId="4C8DDDC4" w14:textId="77777777" w:rsidR="00057CA1" w:rsidRDefault="00342356" w:rsidP="005B37EC">
      <w:pPr>
        <w:pStyle w:val="NormalWeb"/>
        <w:spacing w:before="0" w:beforeAutospacing="0" w:after="0" w:afterAutospacing="0"/>
        <w:jc w:val="center"/>
        <w:divId w:val="1330596125"/>
        <w:rPr>
          <w:rStyle w:val="Strong"/>
          <w:color w:val="000000"/>
          <w:sz w:val="26"/>
          <w:szCs w:val="26"/>
        </w:rPr>
      </w:pPr>
      <w:r w:rsidRPr="00057CA1">
        <w:rPr>
          <w:rStyle w:val="Strong"/>
          <w:color w:val="000000"/>
          <w:sz w:val="26"/>
          <w:szCs w:val="26"/>
        </w:rPr>
        <w:t xml:space="preserve">Nhóm B: Nhóm các nội dung cho ý kiến nhất trí nhưng không áp dụng phương án, quy trình xử lý </w:t>
      </w:r>
    </w:p>
    <w:p w14:paraId="24BB3EA2" w14:textId="511FD07B" w:rsidR="00342356" w:rsidRDefault="00342356" w:rsidP="005B37EC">
      <w:pPr>
        <w:pStyle w:val="NormalWeb"/>
        <w:spacing w:before="0" w:beforeAutospacing="0" w:after="0" w:afterAutospacing="0"/>
        <w:jc w:val="center"/>
        <w:divId w:val="1330596125"/>
        <w:rPr>
          <w:rStyle w:val="Strong"/>
          <w:color w:val="000000"/>
          <w:sz w:val="26"/>
          <w:szCs w:val="26"/>
        </w:rPr>
      </w:pPr>
      <w:r w:rsidRPr="00057CA1">
        <w:rPr>
          <w:rStyle w:val="Strong"/>
          <w:color w:val="000000"/>
          <w:sz w:val="26"/>
          <w:szCs w:val="26"/>
        </w:rPr>
        <w:t>nêu tại khoản 1 Điều 4 Nghị quyết số 206/2025/QH15 (xử lý theo quy trình thông thường)</w:t>
      </w:r>
    </w:p>
    <w:p w14:paraId="1D9CD41C" w14:textId="4775B95D" w:rsidR="005E2190" w:rsidRPr="005B0200" w:rsidRDefault="005E2190" w:rsidP="005B0200">
      <w:pPr>
        <w:spacing w:before="120" w:after="120"/>
        <w:jc w:val="center"/>
        <w:divId w:val="1330596125"/>
        <w:rPr>
          <w:rFonts w:ascii="Times New Roman" w:eastAsia="Times New Roman" w:hAnsi="Times New Roman" w:cs="Times New Roman"/>
          <w:sz w:val="26"/>
          <w:szCs w:val="26"/>
        </w:rPr>
      </w:pPr>
    </w:p>
    <w:tbl>
      <w:tblPr>
        <w:tblW w:w="15030" w:type="dxa"/>
        <w:tblCellSpacing w:w="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2700"/>
        <w:gridCol w:w="3240"/>
        <w:gridCol w:w="1800"/>
        <w:gridCol w:w="1260"/>
        <w:gridCol w:w="2880"/>
        <w:gridCol w:w="2430"/>
      </w:tblGrid>
      <w:tr w:rsidR="00DD4B8B" w:rsidRPr="001F4504" w14:paraId="238AF94B" w14:textId="77777777" w:rsidTr="00A74C8F">
        <w:trPr>
          <w:divId w:val="1330596125"/>
          <w:trHeight w:val="1317"/>
          <w:tblHeader/>
          <w:tblCellSpacing w:w="0" w:type="dxa"/>
        </w:trPr>
        <w:tc>
          <w:tcPr>
            <w:tcW w:w="720" w:type="dxa"/>
            <w:shd w:val="clear" w:color="auto" w:fill="FBE4D5" w:themeFill="accent2" w:themeFillTint="33"/>
            <w:vAlign w:val="center"/>
            <w:hideMark/>
          </w:tcPr>
          <w:p w14:paraId="0AEC88B4" w14:textId="77777777" w:rsidR="00DD4B8B" w:rsidRPr="001F4504" w:rsidRDefault="00DD4B8B" w:rsidP="005A039F">
            <w:pPr>
              <w:spacing w:after="0" w:line="240" w:lineRule="auto"/>
              <w:jc w:val="center"/>
              <w:rPr>
                <w:rFonts w:ascii="Times New Roman" w:eastAsia="Times New Roman" w:hAnsi="Times New Roman" w:cs="Times New Roman"/>
                <w:b/>
                <w:bCs/>
              </w:rPr>
            </w:pPr>
            <w:r w:rsidRPr="001F4504">
              <w:rPr>
                <w:rFonts w:ascii="Times New Roman" w:eastAsia="Times New Roman" w:hAnsi="Times New Roman" w:cs="Times New Roman"/>
                <w:b/>
                <w:bCs/>
              </w:rPr>
              <w:t>STT</w:t>
            </w:r>
          </w:p>
        </w:tc>
        <w:tc>
          <w:tcPr>
            <w:tcW w:w="2700" w:type="dxa"/>
            <w:shd w:val="clear" w:color="auto" w:fill="FBE4D5" w:themeFill="accent2" w:themeFillTint="33"/>
            <w:vAlign w:val="center"/>
            <w:hideMark/>
          </w:tcPr>
          <w:p w14:paraId="2F450C40" w14:textId="77777777" w:rsidR="00DD4B8B" w:rsidRPr="001F4504" w:rsidRDefault="00DD4B8B" w:rsidP="005A039F">
            <w:pPr>
              <w:spacing w:after="0" w:line="240" w:lineRule="auto"/>
              <w:jc w:val="center"/>
              <w:rPr>
                <w:rFonts w:ascii="Times New Roman" w:eastAsia="Times New Roman" w:hAnsi="Times New Roman" w:cs="Times New Roman"/>
                <w:b/>
                <w:bCs/>
              </w:rPr>
            </w:pPr>
            <w:r w:rsidRPr="001F4504">
              <w:rPr>
                <w:rFonts w:ascii="Times New Roman" w:eastAsia="Times New Roman" w:hAnsi="Times New Roman" w:cs="Times New Roman"/>
                <w:b/>
                <w:bCs/>
              </w:rPr>
              <w:t>Điều, khoản, điểm, tên văn bản đề xuất xử lý</w:t>
            </w:r>
          </w:p>
        </w:tc>
        <w:tc>
          <w:tcPr>
            <w:tcW w:w="3240" w:type="dxa"/>
            <w:shd w:val="clear" w:color="auto" w:fill="FBE4D5" w:themeFill="accent2" w:themeFillTint="33"/>
            <w:vAlign w:val="center"/>
            <w:hideMark/>
          </w:tcPr>
          <w:p w14:paraId="06F3C932" w14:textId="101FD841" w:rsidR="00DD4B8B" w:rsidRPr="001F4504" w:rsidRDefault="00DD4B8B" w:rsidP="005A039F">
            <w:pPr>
              <w:spacing w:after="0" w:line="240" w:lineRule="auto"/>
              <w:jc w:val="center"/>
              <w:rPr>
                <w:rFonts w:ascii="Times New Roman" w:eastAsia="Times New Roman" w:hAnsi="Times New Roman" w:cs="Times New Roman"/>
                <w:b/>
                <w:bCs/>
              </w:rPr>
            </w:pPr>
            <w:r w:rsidRPr="001F4504">
              <w:rPr>
                <w:rFonts w:ascii="Times New Roman" w:eastAsia="Times New Roman" w:hAnsi="Times New Roman" w:cs="Times New Roman"/>
                <w:b/>
                <w:bCs/>
              </w:rPr>
              <w:t>Nội dung quy định được phản ánh mâu thuẫn, chồng chéo</w:t>
            </w:r>
          </w:p>
        </w:tc>
        <w:tc>
          <w:tcPr>
            <w:tcW w:w="1800" w:type="dxa"/>
            <w:shd w:val="clear" w:color="auto" w:fill="FBE4D5" w:themeFill="accent2" w:themeFillTint="33"/>
            <w:vAlign w:val="center"/>
            <w:hideMark/>
          </w:tcPr>
          <w:p w14:paraId="517A43C0" w14:textId="2DD66496" w:rsidR="00DD4B8B" w:rsidRPr="001F4504" w:rsidRDefault="00DD4B8B" w:rsidP="005A039F">
            <w:pPr>
              <w:spacing w:after="0" w:line="240" w:lineRule="auto"/>
              <w:jc w:val="center"/>
              <w:rPr>
                <w:rFonts w:ascii="Times New Roman" w:eastAsia="Times New Roman" w:hAnsi="Times New Roman" w:cs="Times New Roman"/>
                <w:b/>
                <w:bCs/>
              </w:rPr>
            </w:pPr>
            <w:r w:rsidRPr="001F4504">
              <w:rPr>
                <w:rFonts w:ascii="Times New Roman" w:eastAsia="Times New Roman" w:hAnsi="Times New Roman" w:cs="Times New Roman"/>
                <w:b/>
                <w:bCs/>
              </w:rPr>
              <w:t>Phương án xử lý được đề xuất</w:t>
            </w:r>
          </w:p>
        </w:tc>
        <w:tc>
          <w:tcPr>
            <w:tcW w:w="1260" w:type="dxa"/>
            <w:shd w:val="clear" w:color="auto" w:fill="FBE4D5" w:themeFill="accent2" w:themeFillTint="33"/>
            <w:vAlign w:val="center"/>
            <w:hideMark/>
          </w:tcPr>
          <w:p w14:paraId="2FAB34B0" w14:textId="77777777" w:rsidR="005A039F" w:rsidRDefault="00DD4B8B" w:rsidP="005A039F">
            <w:pPr>
              <w:spacing w:after="0" w:line="240" w:lineRule="auto"/>
              <w:jc w:val="center"/>
              <w:rPr>
                <w:rFonts w:ascii="Times New Roman" w:eastAsia="Times New Roman" w:hAnsi="Times New Roman" w:cs="Times New Roman"/>
                <w:b/>
                <w:bCs/>
              </w:rPr>
            </w:pPr>
            <w:r w:rsidRPr="001F4504">
              <w:rPr>
                <w:rFonts w:ascii="Times New Roman" w:eastAsia="Times New Roman" w:hAnsi="Times New Roman" w:cs="Times New Roman"/>
                <w:b/>
                <w:bCs/>
              </w:rPr>
              <w:t xml:space="preserve">Cơ quan, </w:t>
            </w:r>
          </w:p>
          <w:p w14:paraId="5A860C9E" w14:textId="61CDCFD6" w:rsidR="00DD4B8B" w:rsidRPr="001F4504" w:rsidRDefault="00DD4B8B" w:rsidP="005A039F">
            <w:pPr>
              <w:spacing w:after="0" w:line="240" w:lineRule="auto"/>
              <w:jc w:val="center"/>
              <w:rPr>
                <w:rFonts w:ascii="Times New Roman" w:eastAsia="Times New Roman" w:hAnsi="Times New Roman" w:cs="Times New Roman"/>
                <w:b/>
                <w:bCs/>
              </w:rPr>
            </w:pPr>
            <w:r w:rsidRPr="001F4504">
              <w:rPr>
                <w:rFonts w:ascii="Times New Roman" w:eastAsia="Times New Roman" w:hAnsi="Times New Roman" w:cs="Times New Roman"/>
                <w:b/>
                <w:bCs/>
              </w:rPr>
              <w:t>tổ chức</w:t>
            </w:r>
          </w:p>
          <w:p w14:paraId="639EEA81" w14:textId="77777777" w:rsidR="00DD4B8B" w:rsidRPr="001F4504" w:rsidRDefault="00DD4B8B" w:rsidP="005A039F">
            <w:pPr>
              <w:spacing w:after="0" w:line="240" w:lineRule="auto"/>
              <w:jc w:val="center"/>
              <w:rPr>
                <w:rFonts w:ascii="Times New Roman" w:eastAsia="Times New Roman" w:hAnsi="Times New Roman" w:cs="Times New Roman"/>
                <w:b/>
                <w:bCs/>
              </w:rPr>
            </w:pPr>
            <w:r w:rsidRPr="001F4504">
              <w:rPr>
                <w:rFonts w:ascii="Times New Roman" w:eastAsia="Times New Roman" w:hAnsi="Times New Roman" w:cs="Times New Roman"/>
                <w:b/>
                <w:bCs/>
              </w:rPr>
              <w:t>rà soát, phản ánh</w:t>
            </w:r>
          </w:p>
        </w:tc>
        <w:tc>
          <w:tcPr>
            <w:tcW w:w="2880" w:type="dxa"/>
            <w:shd w:val="clear" w:color="auto" w:fill="FBE4D5" w:themeFill="accent2" w:themeFillTint="33"/>
            <w:vAlign w:val="center"/>
            <w:hideMark/>
          </w:tcPr>
          <w:p w14:paraId="3651DDC9" w14:textId="77777777" w:rsidR="005A039F" w:rsidRDefault="00DD4B8B" w:rsidP="005A039F">
            <w:pPr>
              <w:spacing w:after="0" w:line="240" w:lineRule="auto"/>
              <w:jc w:val="center"/>
              <w:rPr>
                <w:rFonts w:ascii="Times New Roman" w:eastAsia="Times New Roman" w:hAnsi="Times New Roman" w:cs="Times New Roman"/>
                <w:b/>
                <w:bCs/>
              </w:rPr>
            </w:pPr>
            <w:r w:rsidRPr="001F4504">
              <w:rPr>
                <w:rFonts w:ascii="Times New Roman" w:eastAsia="Times New Roman" w:hAnsi="Times New Roman" w:cs="Times New Roman"/>
                <w:b/>
                <w:bCs/>
              </w:rPr>
              <w:t>Ý kiến của Bộ</w:t>
            </w:r>
            <w:r w:rsidR="005B37EC">
              <w:rPr>
                <w:rFonts w:ascii="Times New Roman" w:eastAsia="Times New Roman" w:hAnsi="Times New Roman" w:cs="Times New Roman"/>
                <w:b/>
                <w:bCs/>
              </w:rPr>
              <w:t xml:space="preserve"> Ngoại giao </w:t>
            </w:r>
            <w:r w:rsidRPr="001F4504">
              <w:rPr>
                <w:rFonts w:ascii="Times New Roman" w:eastAsia="Times New Roman" w:hAnsi="Times New Roman" w:cs="Times New Roman"/>
                <w:b/>
                <w:bCs/>
              </w:rPr>
              <w:t xml:space="preserve">về nội dung rà soát, </w:t>
            </w:r>
          </w:p>
          <w:p w14:paraId="5F8A2029" w14:textId="49CC1BC3" w:rsidR="00DD4B8B" w:rsidRPr="001F4504" w:rsidRDefault="00DD4B8B" w:rsidP="005A039F">
            <w:pPr>
              <w:spacing w:after="0" w:line="240" w:lineRule="auto"/>
              <w:jc w:val="center"/>
              <w:rPr>
                <w:rFonts w:ascii="Times New Roman" w:eastAsia="Times New Roman" w:hAnsi="Times New Roman" w:cs="Times New Roman"/>
                <w:b/>
                <w:bCs/>
              </w:rPr>
            </w:pPr>
            <w:r w:rsidRPr="001F4504">
              <w:rPr>
                <w:rFonts w:ascii="Times New Roman" w:eastAsia="Times New Roman" w:hAnsi="Times New Roman" w:cs="Times New Roman"/>
                <w:b/>
                <w:bCs/>
              </w:rPr>
              <w:t>phản ánh</w:t>
            </w:r>
          </w:p>
        </w:tc>
        <w:tc>
          <w:tcPr>
            <w:tcW w:w="2430" w:type="dxa"/>
            <w:shd w:val="clear" w:color="auto" w:fill="FBE4D5" w:themeFill="accent2" w:themeFillTint="33"/>
            <w:vAlign w:val="center"/>
            <w:hideMark/>
          </w:tcPr>
          <w:p w14:paraId="558A6590" w14:textId="50251BAD" w:rsidR="006F0545" w:rsidRDefault="006F0545" w:rsidP="005A039F">
            <w:pPr>
              <w:jc w:val="center"/>
            </w:pPr>
            <w:r w:rsidRPr="00AB15E0">
              <w:rPr>
                <w:rFonts w:ascii="Times New Roman" w:eastAsia="Times New Roman" w:hAnsi="Times New Roman" w:cs="Times New Roman"/>
                <w:b/>
                <w:bCs/>
              </w:rPr>
              <w:t xml:space="preserve">Tình hình xử lý </w:t>
            </w:r>
          </w:p>
          <w:p w14:paraId="5100B776" w14:textId="6BC3F0D0" w:rsidR="00DD4B8B" w:rsidRPr="001F4504" w:rsidRDefault="00DD4B8B" w:rsidP="005A039F">
            <w:pPr>
              <w:spacing w:after="0" w:line="240" w:lineRule="auto"/>
              <w:jc w:val="center"/>
              <w:rPr>
                <w:rFonts w:ascii="Times New Roman" w:eastAsia="Times New Roman" w:hAnsi="Times New Roman" w:cs="Times New Roman"/>
                <w:b/>
                <w:bCs/>
              </w:rPr>
            </w:pPr>
          </w:p>
        </w:tc>
      </w:tr>
      <w:tr w:rsidR="00DD4B8B" w:rsidRPr="001F4504" w14:paraId="0E150B70" w14:textId="77777777" w:rsidTr="00A74C8F">
        <w:trPr>
          <w:divId w:val="1330596125"/>
          <w:tblCellSpacing w:w="0" w:type="dxa"/>
        </w:trPr>
        <w:tc>
          <w:tcPr>
            <w:tcW w:w="720" w:type="dxa"/>
            <w:vAlign w:val="center"/>
          </w:tcPr>
          <w:p w14:paraId="258A7A67" w14:textId="189ED6B9"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t>1</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4C86982F" w14:textId="6A45FE46"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Khoản 1 Điều 2 Luật Thỏa thuận quốc tế năm 2020</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28929F3" w14:textId="1A38C3C9"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Khoản 1 Điều 2 quy định “Thỏa thuận quốc tế là thoả thuận bằng văn bản về hợp tác quốc tế giữa bên ký kết Việt Nam trong phạm vi chức năng, nhiệm vụ, quyền hạn của mình với bên ký kết nước ngoài, không làm phát sinh, thay đổi hoặc chấm dứt quyền, nghĩa vụ của nước Cộng hòa xã hội chủ nghĩa Việt Nam theo pháp luật quốc tế”. Nhiều cơ quan, tổ chức cho rằng quy định này còn chung chung, dẫn tới lúng túng khi xác định loại văn bản nào ký với phía nước ngoài phải thực hiện theo Luật.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31B382D" w14:textId="0EBBAF45"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C. Sửa đổi, bổ sung, thay thế, ban hành mới VBQPPL (theo trình tự, thủ tục rút gọn ban hành 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646FB94" w14:textId="513F94DA"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Bộ Ngoại giao</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C2E1F73" w14:textId="0F3E3E2C"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Nhất trí với nội dung vướng mắc. Về phương án xử lý, Bộ Ngoại giao sẽ tiến hành sửa đổi Luật Thỏa thuận quốc tế theo thủ tục thông thường trong năm 2026.</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571086F0" w14:textId="77777777" w:rsidR="00340A6E" w:rsidRDefault="00340A6E" w:rsidP="00340A6E">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t>Chưa xử lý:</w:t>
            </w:r>
          </w:p>
          <w:p w14:paraId="407971F1" w14:textId="2F57D198" w:rsidR="00DD4B8B" w:rsidRPr="006B2369" w:rsidRDefault="006B2369" w:rsidP="003258CC">
            <w:pPr>
              <w:spacing w:after="0" w:line="240" w:lineRule="auto"/>
              <w:ind w:left="57" w:right="57"/>
              <w:jc w:val="both"/>
              <w:rPr>
                <w:rFonts w:ascii="Times New Roman" w:eastAsia="Times New Roman" w:hAnsi="Times New Roman" w:cs="Times New Roman"/>
              </w:rPr>
            </w:pPr>
            <w:r w:rsidRPr="006B2369">
              <w:rPr>
                <w:rFonts w:ascii="Times New Roman" w:eastAsia="Times New Roman" w:hAnsi="Times New Roman" w:cs="Times New Roman"/>
              </w:rPr>
              <w:t xml:space="preserve">Bộ Ngoại giao đã đề xuất và được Chính phủ tổng hợp, đưa nhiệm vụ xây dựng dự thảo Luật sửa đổi, bổ sung một số điều của Luật Thỏa thuận quốc tế trình Ủy ban Thường vụ Quốc hội đưa vào Chương trình lập pháp năm 2026. Hiện Bộ Ngoại giao đang tiến hành tổng kết việc thi hành Luật Thỏa thuận quốc tế năm 2020 để xây dựng các chính sách đối với việc sửa đổi Luật này, trong đó bao gồm cả các khó khăn, vướng </w:t>
            </w:r>
            <w:r w:rsidRPr="006B2369">
              <w:rPr>
                <w:rFonts w:ascii="Times New Roman" w:eastAsia="Times New Roman" w:hAnsi="Times New Roman" w:cs="Times New Roman"/>
              </w:rPr>
              <w:lastRenderedPageBreak/>
              <w:t>mắc được nêu tại Báo cáo số 76-BC/ĐU ngày 02/8/2025 của Đảng ủy Bộ Tư pháp.</w:t>
            </w:r>
          </w:p>
        </w:tc>
      </w:tr>
      <w:tr w:rsidR="00DD4B8B" w:rsidRPr="001F4504" w14:paraId="19D74850" w14:textId="77777777" w:rsidTr="00A74C8F">
        <w:trPr>
          <w:divId w:val="1330596125"/>
          <w:tblCellSpacing w:w="0" w:type="dxa"/>
        </w:trPr>
        <w:tc>
          <w:tcPr>
            <w:tcW w:w="720" w:type="dxa"/>
            <w:tcBorders>
              <w:bottom w:val="single" w:sz="4" w:space="0" w:color="auto"/>
            </w:tcBorders>
            <w:vAlign w:val="center"/>
          </w:tcPr>
          <w:p w14:paraId="586475D8" w14:textId="47F27C93"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lastRenderedPageBreak/>
              <w:t>2</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2109B51D" w14:textId="7E7C8FCA"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Khái niệm “hội nghị, hội thảo quốc tế” trong Quyết định số 06/2020/QĐ-TTg ngày 21/02/2020 của Thủ tướng Chính phủ về Tổ chức và quản lý hội nghị, hội thảo quốc tế tại Việt Nam</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0C75E49E" w14:textId="0BA54361"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 Nhiều hoạt động, sự kiện có sự tham gia của yếu tố nước ngoài như: chương trình trao đổi học thuật, trại hè nghiên cứu, sự kiện ra mắt, giới thiệu, lễ kỷ niệm, gặp mặt cựu sinh,… không rõ ràng trong việc phân định đối tượng điều chỉnh của Quyết định số 06/2020/QĐ-TTg.</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1D03507" w14:textId="5E16919D"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C. Sửa đổi, bổ sung, thay thế, ban hành mới VBQPPL (theo trình tự, thủ tục rút gọn ban hành 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B8F06CA" w14:textId="22DD28C7"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Bộ Giáo dục và Đào tạo</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044488" w14:textId="19720D9F"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Nhất trí cần sửa đổi về nội dung. Bộ Ngoại giao sẽ đẩy nhanh tiến độ sửa đổi tổng thể Quyết định số 06/2020/QĐ- TTg trong năm 2025 theo trình tự, thủ tục thông thường (không rút gọn) và sẽ nghiên cứu, đề xuất phương án giải thích rõ hơn khái niệm "hội nghị, hội thảo quốc tế".</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75C850EB"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t>Chưa xử lý:</w:t>
            </w:r>
          </w:p>
          <w:p w14:paraId="6C8C8716" w14:textId="77777777" w:rsidR="00B16286" w:rsidRPr="00286376" w:rsidRDefault="00B16286" w:rsidP="00B16286">
            <w:pPr>
              <w:adjustRightInd w:val="0"/>
              <w:snapToGrid w:val="0"/>
              <w:spacing w:before="60" w:after="60"/>
              <w:ind w:left="90"/>
              <w:jc w:val="both"/>
              <w:rPr>
                <w:rFonts w:ascii="Times New Roman" w:hAnsi="Times New Roman" w:cs="Times New Roman"/>
                <w:lang w:val="vi-VN"/>
              </w:rPr>
            </w:pPr>
            <w:r w:rsidRPr="00286376">
              <w:rPr>
                <w:rFonts w:ascii="Times New Roman" w:hAnsi="Times New Roman" w:cs="Times New Roman"/>
                <w:lang w:val="vi-VN"/>
              </w:rPr>
              <w:t>Ngày 03/11/2025, Bộ Ngoại giao đã có Công 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43C5E461" w14:textId="5603AD69" w:rsidR="00DD4B8B" w:rsidRPr="006B2369" w:rsidRDefault="00DD4B8B" w:rsidP="003258CC">
            <w:pPr>
              <w:spacing w:after="0" w:line="240" w:lineRule="auto"/>
              <w:ind w:left="57" w:right="57"/>
              <w:jc w:val="both"/>
              <w:rPr>
                <w:rFonts w:ascii="Times New Roman" w:eastAsia="Times New Roman" w:hAnsi="Times New Roman" w:cs="Times New Roman"/>
              </w:rPr>
            </w:pPr>
          </w:p>
        </w:tc>
      </w:tr>
      <w:tr w:rsidR="00DD4B8B" w:rsidRPr="001F4504" w14:paraId="751DD547" w14:textId="77777777" w:rsidTr="00A74C8F">
        <w:trPr>
          <w:divId w:val="1330596125"/>
          <w:tblCellSpacing w:w="0" w:type="dxa"/>
        </w:trPr>
        <w:tc>
          <w:tcPr>
            <w:tcW w:w="720" w:type="dxa"/>
            <w:tcBorders>
              <w:bottom w:val="single" w:sz="4" w:space="0" w:color="auto"/>
            </w:tcBorders>
            <w:vAlign w:val="center"/>
          </w:tcPr>
          <w:p w14:paraId="210D6C05" w14:textId="51691782"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t>3</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1AF5CDB7" w14:textId="46F9F9C5"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 xml:space="preserve">Điều 3 Quyết định số 06/2020/QĐ- TTg của Thủ tướng Chính phủ về </w:t>
            </w:r>
            <w:r w:rsidRPr="001F4504">
              <w:rPr>
                <w:rFonts w:ascii="Times New Roman" w:hAnsi="Times New Roman" w:cs="Times New Roman"/>
              </w:rPr>
              <w:lastRenderedPageBreak/>
              <w:t>thẩm quyền cho phép tổ chức hội nghị, hội thảo quốc tế.</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2E1AD69" w14:textId="7EEFC80A"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lastRenderedPageBreak/>
              <w:t xml:space="preserve">Thực tiễn cho thấy, việc quy định người “duy nhất” có thẩm quyền cấp phép tổ chức </w:t>
            </w:r>
            <w:r w:rsidRPr="001F4504">
              <w:rPr>
                <w:rFonts w:ascii="Times New Roman" w:hAnsi="Times New Roman" w:cs="Times New Roman"/>
              </w:rPr>
              <w:lastRenderedPageBreak/>
              <w:t>HNHTQT tại địa phương là Chủ tịch UBND tỉnh khiến quy trình, thời gian giải quyết TTHC bị kéo dài hơn do thời gian luân chuyển công văn giữa Bộ phận một cửa, các sở ban ngành và Văn phòng UBND. Do đó, cần thiết thực hiện việc phân cấp thẩm quyền giải quyết TTHC về HNHTQT cho cơ quan chuyên môn phụ trách công tác đối ngoại thuộc Ủy ban nhân dân cấp tỉnh, qua đó nhằm rút ngắn thời gian giải quyết TTHC, tạo thuận lợi cho các đơn vị tổ chức HNHTQT.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6C67D60" w14:textId="4FDA20CB"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lastRenderedPageBreak/>
              <w:t xml:space="preserve">C. Sửa đổi, bổ sung, thay thế, ban hành mới </w:t>
            </w:r>
            <w:r w:rsidRPr="001F4504">
              <w:rPr>
                <w:rFonts w:ascii="Times New Roman" w:hAnsi="Times New Roman" w:cs="Times New Roman"/>
              </w:rPr>
              <w:lastRenderedPageBreak/>
              <w:t>VBQPPL (theo trình tự, thủ tục rút gọn ban hành 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7C47264" w14:textId="7E28DAA4"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lastRenderedPageBreak/>
              <w:t>Sở Tư pháp tỉnh Phú Thọ</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6527BE" w14:textId="0058D00D"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 xml:space="preserve">Nhất trí. Bộ Ngoại giao sẽ đẩy nhanh tiến độ sửa đổi tổng thể Quyết định số </w:t>
            </w:r>
            <w:r w:rsidRPr="001F4504">
              <w:rPr>
                <w:rFonts w:ascii="Times New Roman" w:hAnsi="Times New Roman" w:cs="Times New Roman"/>
              </w:rPr>
              <w:lastRenderedPageBreak/>
              <w:t>06/2020/QĐ- TTg trong năm 2025 theo trình tự, thủ tục thông thường (không rút gọn) và sẽ thực hiện phân cấp hoặc phân định thẩm quyền giải quyết TTHC đối với một số HNHTQT cho cơ quan chuyên môn thuộc UBND cấp tỉnh</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6184EE04"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lastRenderedPageBreak/>
              <w:t>Chưa xử lý:</w:t>
            </w:r>
          </w:p>
          <w:p w14:paraId="630A4486" w14:textId="77777777" w:rsidR="00B16286" w:rsidRPr="00286376" w:rsidRDefault="00B16286" w:rsidP="00B16286">
            <w:pPr>
              <w:adjustRightInd w:val="0"/>
              <w:snapToGrid w:val="0"/>
              <w:spacing w:before="60" w:after="60"/>
              <w:ind w:left="90"/>
              <w:jc w:val="both"/>
              <w:rPr>
                <w:rFonts w:ascii="Times New Roman" w:hAnsi="Times New Roman" w:cs="Times New Roman"/>
                <w:lang w:val="vi-VN"/>
              </w:rPr>
            </w:pPr>
            <w:r w:rsidRPr="00286376">
              <w:rPr>
                <w:rFonts w:ascii="Times New Roman" w:hAnsi="Times New Roman" w:cs="Times New Roman"/>
                <w:lang w:val="vi-VN"/>
              </w:rPr>
              <w:t xml:space="preserve">Ngày 03/11/2025, Bộ Ngoại giao đã có Công </w:t>
            </w:r>
            <w:r w:rsidRPr="00286376">
              <w:rPr>
                <w:rFonts w:ascii="Times New Roman" w:hAnsi="Times New Roman" w:cs="Times New Roman"/>
                <w:lang w:val="vi-VN"/>
              </w:rPr>
              <w:lastRenderedPageBreak/>
              <w:t>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41B26D74" w14:textId="59887556" w:rsidR="00DD4B8B" w:rsidRPr="006B2369" w:rsidRDefault="00DD4B8B" w:rsidP="003258CC">
            <w:pPr>
              <w:spacing w:after="0" w:line="240" w:lineRule="auto"/>
              <w:ind w:left="57" w:right="57"/>
              <w:jc w:val="both"/>
              <w:rPr>
                <w:rFonts w:ascii="Times New Roman" w:eastAsia="Times New Roman" w:hAnsi="Times New Roman" w:cs="Times New Roman"/>
              </w:rPr>
            </w:pPr>
          </w:p>
        </w:tc>
      </w:tr>
      <w:tr w:rsidR="00DD4B8B" w:rsidRPr="001F4504" w14:paraId="074ABB65" w14:textId="77777777" w:rsidTr="00A74C8F">
        <w:trPr>
          <w:divId w:val="1330596125"/>
          <w:tblCellSpacing w:w="0" w:type="dxa"/>
        </w:trPr>
        <w:tc>
          <w:tcPr>
            <w:tcW w:w="720" w:type="dxa"/>
            <w:tcBorders>
              <w:bottom w:val="single" w:sz="4" w:space="0" w:color="auto"/>
            </w:tcBorders>
            <w:vAlign w:val="center"/>
          </w:tcPr>
          <w:p w14:paraId="47B01213" w14:textId="55E794BB"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lastRenderedPageBreak/>
              <w:t>4</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48B246A2" w14:textId="217329EE"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Khoản 1a Điều 2 Quyết định số 06/2020/QĐ-TTg của Thủ tướng Chính phủ quy định về tổ chức và quản lý hội nghị, hội thảo quốc tế tại Việt Nam, có hiệu lực từ ngày 15/04/2020.</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7A4C859F" w14:textId="5A1C52AC"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 xml:space="preserve">Quyết định số 06/2020/QĐ-TTg Tại khoản 1a, Điều 2 quy định không rõ về việc Hội nghị, hội thảo của các cơ quan, tổ chức Việt Nam tổ chức có sự tham gia của nước ngoài cũng được coi là hội nghị, hội thảo quốc tế. Điều này dễ dẫn đến hiểu lầm Hội nghị, hội thảo của các Doanh nghiệp FDI tại VN có sự tham gia của người nước ngoài cũng </w:t>
            </w:r>
            <w:r w:rsidRPr="001F4504">
              <w:rPr>
                <w:rFonts w:ascii="Times New Roman" w:hAnsi="Times New Roman" w:cs="Times New Roman"/>
              </w:rPr>
              <w:lastRenderedPageBreak/>
              <w:t xml:space="preserve">thuộc đối tượng của Quyết định này, tức là phải xin cấp phép trước khi tổ chức hội nghị, hội thảo. Điều này thì không hợp lý vì Các DN FDI ở Việt Nam có rất nhiều các cuộc hội nghị, hội thảo có người nước ngoài tham gia như: hội nghị với các NCC trong và ngoài nước để phổ biến, các chính sách về chất lượng, môi trường, sản phẩm; hội nghị để phổ biến chính sách kinh doan hằng năm, các hội thảo giữa các DN, hiệp hội liên quan đến hoạt động sản xuất kinh doanh, kiến nghị chính sách, Tổ chức tập huấn cho hội viên người VN bởi các chuyên gia nước ngoài, Hội thảo có sự tham gia của cả người VN và người NN --&gt; DN không thể thực hiện việc xin cấp phép tổ chức hội nghị, hội thảo, điều này sẽ làm đình trệ hoạt động của DN, dẫn đến ngừng sản xuất, giảm đơn hàng. Đề xuất: Bổ sung thêm Điểm sửa đổi 1a. Sửa đổi, bổ sung khoản 1 Điều 2 vào sau điểm sửa đổi 1 trong dự thảo </w:t>
            </w:r>
            <w:r w:rsidRPr="001F4504">
              <w:rPr>
                <w:rFonts w:ascii="Times New Roman" w:hAnsi="Times New Roman" w:cs="Times New Roman"/>
              </w:rPr>
              <w:lastRenderedPageBreak/>
              <w:t>như sau:…"ngoại trừ các hội nghị, hội thảo của tổ chức kinh tế liên quan đến hoạt động sản xuất kinh doanh tại VN.</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4AF1D9F" w14:textId="0B9C67B4"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lastRenderedPageBreak/>
              <w:t>C. Sửa đổi, bổ sung, thay thế, ban hành mới VBQPPL (theo trình tự, thủ tục rút gọn ban hành 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2D103627" w14:textId="0A43285B"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Công ty TNHH Canon Việt Nam</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1FA4464" w14:textId="4D6FD4DE"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 xml:space="preserve">Nhất trí tiếp tục nghiên cứu trong quá trình sửa đổi Quyết định số 06/2020/QĐ-TTg trong năm 2025 theo trình tự, thủ tục thông thường (không rút gọn) để xử lý thoả đáng trường hợp này, vừa đáp ứng yêu cầu quản lý nhà nước vừa tạo điều kiện cho các doanh nghiệp thực hiện các hoạt </w:t>
            </w:r>
            <w:r w:rsidRPr="001F4504">
              <w:rPr>
                <w:rFonts w:ascii="Times New Roman" w:hAnsi="Times New Roman" w:cs="Times New Roman"/>
              </w:rPr>
              <w:lastRenderedPageBreak/>
              <w:t>động phù hợp theo quy định của pháp luật</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152BB80D"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lastRenderedPageBreak/>
              <w:t>Chưa xử lý:</w:t>
            </w:r>
          </w:p>
          <w:p w14:paraId="5CB2895C" w14:textId="77777777" w:rsidR="00B16286" w:rsidRPr="00286376" w:rsidRDefault="00B16286" w:rsidP="00B16286">
            <w:pPr>
              <w:adjustRightInd w:val="0"/>
              <w:snapToGrid w:val="0"/>
              <w:spacing w:before="60" w:after="60"/>
              <w:ind w:left="90"/>
              <w:jc w:val="both"/>
              <w:rPr>
                <w:rFonts w:ascii="Times New Roman" w:hAnsi="Times New Roman" w:cs="Times New Roman"/>
                <w:lang w:val="vi-VN"/>
              </w:rPr>
            </w:pPr>
            <w:r w:rsidRPr="00286376">
              <w:rPr>
                <w:rFonts w:ascii="Times New Roman" w:hAnsi="Times New Roman" w:cs="Times New Roman"/>
                <w:lang w:val="vi-VN"/>
              </w:rPr>
              <w:t xml:space="preserve">Ngày 03/11/2025, Bộ Ngoại giao đã có Công văn số 8721/BNG-NVVH gửi Bộ Tư pháp đề nghị thẩm định dự thảo Quyết định thay thế Quyết định này. Ngày 15/12/2025, Bộ </w:t>
            </w:r>
            <w:r w:rsidRPr="00286376">
              <w:rPr>
                <w:rFonts w:ascii="Times New Roman" w:hAnsi="Times New Roman" w:cs="Times New Roman"/>
                <w:lang w:val="vi-VN"/>
              </w:rPr>
              <w:lastRenderedPageBreak/>
              <w:t>Tư pháp sẽ tổ chức thẩm định văn bản. Trên cơ sở ý kiến tại Báo cáo thẩm định, Bộ Ngoại giao sẽ hoàn thiện hồ sơ trình Thủ tướng Chính phủ trong tháng 12 năm 2025.</w:t>
            </w:r>
          </w:p>
          <w:p w14:paraId="591EA271" w14:textId="6D151424" w:rsidR="00DD4B8B" w:rsidRPr="006B2369" w:rsidRDefault="006B2369" w:rsidP="003258CC">
            <w:pPr>
              <w:spacing w:after="0" w:line="240" w:lineRule="auto"/>
              <w:ind w:left="57" w:right="57"/>
              <w:jc w:val="both"/>
              <w:rPr>
                <w:rFonts w:ascii="Times New Roman" w:eastAsia="Times New Roman" w:hAnsi="Times New Roman" w:cs="Times New Roman"/>
              </w:rPr>
            </w:pPr>
            <w:r w:rsidRPr="006B2369">
              <w:rPr>
                <w:rFonts w:ascii="Times New Roman" w:eastAsia="Times New Roman" w:hAnsi="Times New Roman" w:cs="Times New Roman"/>
              </w:rPr>
              <w:t>.</w:t>
            </w:r>
          </w:p>
        </w:tc>
      </w:tr>
      <w:tr w:rsidR="00DD4B8B" w:rsidRPr="001F4504" w14:paraId="5129B329" w14:textId="77777777" w:rsidTr="00A74C8F">
        <w:trPr>
          <w:divId w:val="1330596125"/>
          <w:tblCellSpacing w:w="0" w:type="dxa"/>
        </w:trPr>
        <w:tc>
          <w:tcPr>
            <w:tcW w:w="720" w:type="dxa"/>
            <w:tcBorders>
              <w:bottom w:val="single" w:sz="4" w:space="0" w:color="auto"/>
            </w:tcBorders>
            <w:vAlign w:val="center"/>
          </w:tcPr>
          <w:p w14:paraId="5903CC36" w14:textId="0F72AC6A" w:rsidR="00DD4B8B" w:rsidRPr="001F4504" w:rsidRDefault="00DD4B8B" w:rsidP="00843D9E">
            <w:pPr>
              <w:spacing w:after="0" w:line="360" w:lineRule="auto"/>
              <w:jc w:val="center"/>
              <w:rPr>
                <w:rFonts w:ascii="Times New Roman" w:eastAsia="Times New Roman" w:hAnsi="Times New Roman" w:cs="Times New Roman"/>
              </w:rPr>
            </w:pPr>
            <w:r w:rsidRPr="001F4504">
              <w:rPr>
                <w:rFonts w:ascii="Times New Roman" w:eastAsia="Times New Roman" w:hAnsi="Times New Roman" w:cs="Times New Roman"/>
              </w:rPr>
              <w:lastRenderedPageBreak/>
              <w:t>5</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01BE0824" w14:textId="5DB10F8B"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Khoản 3, Điều 7, Quyết định số 06/2020/QĐ-TTg</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724AFC5B" w14:textId="6CAE321E"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 xml:space="preserve">Nếu phát hiện việc tổ chức hội nghị, hội thảo quốc tế có dấu hiệu vi phạm các quy định của Quyết định này, Bộ Ngoại giao, Bộ Công an hoặc cơ quan quản lý các lĩnh vực liên quan đến nội dung hội nghị, hội thảo quốc tế, địa phương nơi tổ chức hội nghị, hội thảo quốc tế có trách nhiệm đề nghị cơ quan của người có thẩm quyền xem xét đình chỉ việc tổ chức hội nghị, hội thảo quốc tế hoặc xử lý theo quy định pháp luật về xử lý vi phạm hành chính. Quy định như vậy chưa thực sự phù hợp với thực tiễn do cơ quan cấp phép và địa phương nơi tổ chức HNHTQT là hai cơ quan khác nhau. Địa phương nơi tổ chức HNHTQT phát hiện HNHTQT có dấu hiệu vi phạm, trao đổi với cơ quan cấp phép đề nghị đình chỉ việc tổ chức HNHTQT, khi có quyết định </w:t>
            </w:r>
            <w:r w:rsidRPr="001F4504">
              <w:rPr>
                <w:rFonts w:ascii="Times New Roman" w:hAnsi="Times New Roman" w:cs="Times New Roman"/>
              </w:rPr>
              <w:lastRenderedPageBreak/>
              <w:t>đình chỉ việc tổ chức HNHTQT thì HNHTQT đã kết thúc</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1C02081" w14:textId="71C594F1"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lastRenderedPageBreak/>
              <w:t>C. Sửa đổi, bổ sung, thay thế, ban hành mới VBQPPL (theo trình tự, thủ tục rút gọn ban hành 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2ABBF92" w14:textId="43EFDF0E"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Sở Tư pháp tỉnh Quảng Ninh</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E0FB30" w14:textId="644CFF84"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Nhất trí tiếp tục nghiên cứu trong quá trình sửa đổi Quyết định số 06/2020/QĐ-TTg trong năm 2025 theo trình tự, thủ tục thông thường (không rút gọn)</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0D0D309B"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t>Chưa xử lý:</w:t>
            </w:r>
          </w:p>
          <w:p w14:paraId="2D169163" w14:textId="77777777" w:rsidR="00B16286" w:rsidRPr="00286376" w:rsidRDefault="00B16286" w:rsidP="00B16286">
            <w:pPr>
              <w:adjustRightInd w:val="0"/>
              <w:snapToGrid w:val="0"/>
              <w:spacing w:before="60" w:after="60"/>
              <w:ind w:left="90"/>
              <w:jc w:val="both"/>
              <w:rPr>
                <w:rFonts w:ascii="Times New Roman" w:hAnsi="Times New Roman" w:cs="Times New Roman"/>
                <w:lang w:val="vi-VN"/>
              </w:rPr>
            </w:pPr>
            <w:r w:rsidRPr="00286376">
              <w:rPr>
                <w:rFonts w:ascii="Times New Roman" w:hAnsi="Times New Roman" w:cs="Times New Roman"/>
                <w:lang w:val="vi-VN"/>
              </w:rPr>
              <w:t>Ngày 03/11/2025, Bộ Ngoại giao đã có Công 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7F112E49" w14:textId="46790DE3" w:rsidR="00DD4B8B" w:rsidRPr="006B2369" w:rsidRDefault="00DD4B8B" w:rsidP="003258CC">
            <w:pPr>
              <w:spacing w:after="0" w:line="240" w:lineRule="auto"/>
              <w:ind w:left="57" w:right="57"/>
              <w:jc w:val="both"/>
              <w:rPr>
                <w:rFonts w:ascii="Times New Roman" w:eastAsia="Times New Roman" w:hAnsi="Times New Roman" w:cs="Times New Roman"/>
              </w:rPr>
            </w:pPr>
          </w:p>
        </w:tc>
      </w:tr>
      <w:tr w:rsidR="00DD4B8B" w:rsidRPr="001F4504" w14:paraId="143E325A" w14:textId="77777777" w:rsidTr="00A74C8F">
        <w:trPr>
          <w:divId w:val="1330596125"/>
          <w:tblCellSpacing w:w="0" w:type="dxa"/>
        </w:trPr>
        <w:tc>
          <w:tcPr>
            <w:tcW w:w="720" w:type="dxa"/>
            <w:tcBorders>
              <w:bottom w:val="single" w:sz="4" w:space="0" w:color="auto"/>
            </w:tcBorders>
            <w:vAlign w:val="center"/>
          </w:tcPr>
          <w:p w14:paraId="47CB037C" w14:textId="760B3B39"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t>6</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525192D9" w14:textId="27D98EF6"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Khoản 1 Điều 2 QĐ 06/2020/QĐ-TTG</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E7B70C4" w14:textId="604E4B42"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 xml:space="preserve">Khái niệm về HNHTQT tại khoản 1 Điều 2 Quyết định số 06/2020/QĐ-TTg còn chung chung, nên các cơ quan, tổ chức, đơn vị tổ chức còn có cách hiểu khác nhau: (i) có quan điểm cho rằng Quyết định này chỉ điều chỉnh những hoạt động có yếu tố nước ngoài, được tổ chức tại Việt Nam (theo hình thức gặp gỡ trực tiếp trên lãnh thổ Việt Nam, hoặc theo hình thức trực tuyến với ít nhất một đầu cầu thuộc lãnh thổ Việt Nam) và có tên gọi là hội nghị, hội thảo, (ii) có quan điểm cho rằng ngoài trường hợp nêu trên, Quyết định này cũng sẽ điều chỉnh cả những hoạt động hội họp có yếu tố nước ngoài được tổ chức tại Việt Nam nhưng tên gọi không phải là hội nghị, hội thảo như: tập huấn, toạ đàm, cuộc họp, cuộc thi/giới thiệu chương trình học cho sinh viên, buổi làm việc/họp kỹ thuật/trao đổi chuyên môn có </w:t>
            </w:r>
            <w:r w:rsidRPr="001F4504">
              <w:rPr>
                <w:rFonts w:ascii="Times New Roman" w:hAnsi="Times New Roman" w:cs="Times New Roman"/>
              </w:rPr>
              <w:lastRenderedPageBreak/>
              <w:t>yếu tố nước ngoài. Điều này dẫn đến việc thực hiện quy trình xin ý kiến, xin phép còn chưa thống nhất; thậm chí có trường hợp còn gây tranh luận giữa các cơ quan, đơn vị.</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0A1D231" w14:textId="36A9FF4A"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lastRenderedPageBreak/>
              <w:t>C. Sửa đổi, bổ sung, thay thế, ban hành mới VBQPPL (theo trình tự, thủ tục rút gọn ban hành 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B09641C" w14:textId="32B38B55"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Bộ Tư pháp</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527CDD" w14:textId="2CF5005D"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Nhất trí cần sửa đổi về nội dung. Bộ Ngoại giao sẽ đẩy nhanh tiến độ sửa đổi tổng thể Quyết định số 06/2020/QĐ- TTg trong năm 2025 theo trình tự, thủ tục thông thường (không rút gọn) và sẽ nghiên cứu, đề xuất phương án giải thích rõ hơn khái niệm "hội nghị, hội thảo quốc tế".</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73FC595A"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t>Chưa xử lý:</w:t>
            </w:r>
          </w:p>
          <w:p w14:paraId="3615E2A9" w14:textId="77777777" w:rsidR="00B16286" w:rsidRPr="00286376" w:rsidRDefault="00B16286" w:rsidP="00B16286">
            <w:pPr>
              <w:adjustRightInd w:val="0"/>
              <w:snapToGrid w:val="0"/>
              <w:spacing w:before="60" w:after="60"/>
              <w:ind w:left="90"/>
              <w:jc w:val="both"/>
              <w:rPr>
                <w:rFonts w:ascii="Times New Roman" w:hAnsi="Times New Roman" w:cs="Times New Roman"/>
                <w:lang w:val="vi-VN"/>
              </w:rPr>
            </w:pPr>
            <w:r w:rsidRPr="00286376">
              <w:rPr>
                <w:rFonts w:ascii="Times New Roman" w:hAnsi="Times New Roman" w:cs="Times New Roman"/>
                <w:lang w:val="vi-VN"/>
              </w:rPr>
              <w:t>Ngày 03/11/2025, Bộ Ngoại giao đã có Công 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018CDE70" w14:textId="7FD8AA9A" w:rsidR="00DD4B8B" w:rsidRPr="006B2369" w:rsidRDefault="00DD4B8B" w:rsidP="003258CC">
            <w:pPr>
              <w:spacing w:after="0" w:line="240" w:lineRule="auto"/>
              <w:ind w:left="57" w:right="57"/>
              <w:jc w:val="both"/>
              <w:rPr>
                <w:rFonts w:ascii="Times New Roman" w:eastAsia="Times New Roman" w:hAnsi="Times New Roman" w:cs="Times New Roman"/>
              </w:rPr>
            </w:pPr>
          </w:p>
        </w:tc>
      </w:tr>
      <w:tr w:rsidR="00DD4B8B" w:rsidRPr="001F4504" w14:paraId="6B32186E" w14:textId="77777777" w:rsidTr="00A74C8F">
        <w:trPr>
          <w:divId w:val="1330596125"/>
          <w:tblCellSpacing w:w="0" w:type="dxa"/>
        </w:trPr>
        <w:tc>
          <w:tcPr>
            <w:tcW w:w="720" w:type="dxa"/>
            <w:tcBorders>
              <w:bottom w:val="single" w:sz="4" w:space="0" w:color="auto"/>
            </w:tcBorders>
            <w:vAlign w:val="center"/>
          </w:tcPr>
          <w:p w14:paraId="311E5AFF" w14:textId="6AE0980C"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t>7</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7495C5BB" w14:textId="1B2F8F82"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Điểm a khoản 1 Điều 2 QĐ 06/2020/QĐ-TTG</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30CF9E5E" w14:textId="0AA11E69"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Điểm a khoản 1 Điều 2 quy định về “sự tham gia của nước ngoài”, tuy nhiên chưa cụ thể về nội hàm “nước ngoài” nên gây khó khăn cho các cơ quan, tổ chức khi xác định HNHT cần thực hiện quy trình, thủ tục theo Quyết định này. Trên thực tế, có một số cơ quan, tổ chức cho rằng “nước ngoài” chỉ bao gồm các cá nhân, cơ quan, tổ chức từ nước ngoài vào Việt Nam để tham gia hoạt động cụ thể, không bao gồm các tổ chức nước ngoài đã được cho phép và đang hoạt động tại Việt Nam, cá nhân (nước ngoài và Việt Nam) đang làm việc cho các tổ chức đó; hoặc tranh luận có gồm người Việt Nam ở nước ngoài không.</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7FB4EF2" w14:textId="62184DC0"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C. Sửa đổi, bổ sung, thay thế, ban hành mới VBQPPL (theo trình tự, thủ tục rút gọn ban hành 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F1068BC" w14:textId="596BB403"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Bộ Tư pháp</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38EF7CB" w14:textId="55C250A6"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Nhất trí cần sửa đổi về nội dung. Bộ Ngoại giao sẽ đẩy nhanh tiến độ sửa đổi tổng thể Quyết định số 06/2020/QĐ- TTg trong năm 2025 theo trình tự, thủ tục thông thường (không rút gọn) và sẽ nghiên cứu, đề xuất phương án giải thích rõ hơn về nội hàm "nước ngoài".</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4ED91265"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t>Chưa xử lý:</w:t>
            </w:r>
          </w:p>
          <w:p w14:paraId="4C9D2E6F" w14:textId="77777777" w:rsidR="00B16286" w:rsidRPr="00B16286" w:rsidRDefault="00B16286" w:rsidP="00B16286">
            <w:pPr>
              <w:spacing w:after="0" w:line="240" w:lineRule="auto"/>
              <w:ind w:left="57" w:right="57"/>
              <w:jc w:val="both"/>
              <w:rPr>
                <w:rFonts w:ascii="Times New Roman" w:eastAsia="Times New Roman" w:hAnsi="Times New Roman" w:cs="Times New Roman"/>
                <w:lang w:val="vi-VN"/>
              </w:rPr>
            </w:pPr>
            <w:r w:rsidRPr="00B16286">
              <w:rPr>
                <w:rFonts w:ascii="Times New Roman" w:eastAsia="Times New Roman" w:hAnsi="Times New Roman" w:cs="Times New Roman"/>
                <w:lang w:val="vi-VN"/>
              </w:rPr>
              <w:t>Ngày 03/11/2025, Bộ Ngoại giao đã có Công 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7EC51E8E" w14:textId="0CDC98AD" w:rsidR="00DD4B8B" w:rsidRPr="006B2369" w:rsidRDefault="00DD4B8B" w:rsidP="003258CC">
            <w:pPr>
              <w:spacing w:after="0" w:line="240" w:lineRule="auto"/>
              <w:ind w:left="57" w:right="57"/>
              <w:jc w:val="both"/>
              <w:rPr>
                <w:rFonts w:ascii="Times New Roman" w:eastAsia="Times New Roman" w:hAnsi="Times New Roman" w:cs="Times New Roman"/>
              </w:rPr>
            </w:pPr>
          </w:p>
        </w:tc>
      </w:tr>
      <w:tr w:rsidR="00DD4B8B" w:rsidRPr="001F4504" w14:paraId="7290F9CA" w14:textId="77777777" w:rsidTr="00A74C8F">
        <w:trPr>
          <w:divId w:val="1330596125"/>
          <w:tblCellSpacing w:w="0" w:type="dxa"/>
        </w:trPr>
        <w:tc>
          <w:tcPr>
            <w:tcW w:w="720" w:type="dxa"/>
            <w:tcBorders>
              <w:bottom w:val="single" w:sz="4" w:space="0" w:color="auto"/>
            </w:tcBorders>
            <w:vAlign w:val="center"/>
          </w:tcPr>
          <w:p w14:paraId="3E25DB93" w14:textId="01EF943B"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lastRenderedPageBreak/>
              <w:t>8</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4D657D94" w14:textId="340CD8C3"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Điểm a khoản 1 Điều 3 QĐ 06/2020/QĐ-TTg</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C48D16E" w14:textId="77777777" w:rsidR="00685A73" w:rsidRDefault="00DD4B8B" w:rsidP="003258CC">
            <w:pPr>
              <w:spacing w:after="0" w:line="240" w:lineRule="auto"/>
              <w:ind w:left="57" w:right="57"/>
              <w:jc w:val="both"/>
              <w:rPr>
                <w:rFonts w:ascii="Times New Roman" w:hAnsi="Times New Roman" w:cs="Times New Roman"/>
              </w:rPr>
            </w:pPr>
            <w:r w:rsidRPr="001F4504">
              <w:rPr>
                <w:rFonts w:ascii="Times New Roman" w:hAnsi="Times New Roman" w:cs="Times New Roman"/>
              </w:rPr>
              <w:t xml:space="preserve">Về cấp tham dự cần xin phép Thủ tướng Chính phủ: quy định tại điểm a khoản 1 Điều 3 thực tế đang được hiểu theo 2 cách: thứ nhất chỉ những HNHTQT có sự tham gia của người đứng đầu hoặc quan chức cấp Bộ trưởng/tương đương trở lên của nước ngoài mới thuộc đối tượng điều chỉnh của điều khoản này; thứ hai HNHTQT có sự tham gia của người đứng đầu hoặc quan chức cấp Bộ trưởng của Việt Nam cũng được xếp vào trường hợp này và cần xếp vào trường hợp thuộc thẩm quyền cho phép của Thủ tướng Chính phủ, vì Việt Nam cũng là 1 nước. </w:t>
            </w:r>
          </w:p>
          <w:p w14:paraId="30BA7FE5" w14:textId="77777777" w:rsidR="00685A73" w:rsidRDefault="00685A73" w:rsidP="003258CC">
            <w:pPr>
              <w:spacing w:after="0" w:line="240" w:lineRule="auto"/>
              <w:ind w:left="57" w:right="57"/>
              <w:jc w:val="both"/>
              <w:rPr>
                <w:rFonts w:ascii="Times New Roman" w:hAnsi="Times New Roman" w:cs="Times New Roman"/>
              </w:rPr>
            </w:pPr>
          </w:p>
          <w:p w14:paraId="498F752D" w14:textId="3097202F"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Bên cạnh đó, cũng cần cân nhắc phân cấp mạnh hơn trong việc cho phép tổ chức HNHTQT, nhất là đối với trường hợp dựa vào cấp tham dự để xác định thẩm quyền cho phép.</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F8F1418" w14:textId="39E2844C"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C. Sửa đổi, bổ sung, thay thế, ban hành mới VBQPPL (theo trình tự, thủ tục rút gọn ban hành 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F02A0E7" w14:textId="41FA2B74"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Bộ Tư pháp</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2E3A2FF" w14:textId="3561E4CC"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Nhất trí tiếp tục nghiên cứu trong quá trình sửa đổi tổng thể Quyết định 06/2020/QĐ-TTg trong năm 2025 theo trình tự, thủ tục thông thường (không rút gọn) để hoàn thiện quy định.</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44BEF299"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t>Chưa xử lý:</w:t>
            </w:r>
          </w:p>
          <w:p w14:paraId="0AD9D4D9" w14:textId="77777777" w:rsidR="00B16286" w:rsidRPr="00B16286" w:rsidRDefault="00B16286" w:rsidP="00B16286">
            <w:pPr>
              <w:spacing w:after="0" w:line="240" w:lineRule="auto"/>
              <w:ind w:left="57" w:right="57"/>
              <w:jc w:val="both"/>
              <w:rPr>
                <w:rFonts w:ascii="Times New Roman" w:eastAsia="Times New Roman" w:hAnsi="Times New Roman" w:cs="Times New Roman"/>
                <w:lang w:val="vi-VN"/>
              </w:rPr>
            </w:pPr>
            <w:r w:rsidRPr="00B16286">
              <w:rPr>
                <w:rFonts w:ascii="Times New Roman" w:eastAsia="Times New Roman" w:hAnsi="Times New Roman" w:cs="Times New Roman"/>
                <w:lang w:val="vi-VN"/>
              </w:rPr>
              <w:t>Ngày 03/11/2025, Bộ Ngoại giao đã có Công 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61F0EBBF" w14:textId="01A750F7" w:rsidR="00DD4B8B" w:rsidRPr="006B2369" w:rsidRDefault="00DD4B8B" w:rsidP="003258CC">
            <w:pPr>
              <w:spacing w:after="0" w:line="240" w:lineRule="auto"/>
              <w:ind w:left="57" w:right="57"/>
              <w:jc w:val="both"/>
              <w:rPr>
                <w:rFonts w:ascii="Times New Roman" w:eastAsia="Times New Roman" w:hAnsi="Times New Roman" w:cs="Times New Roman"/>
              </w:rPr>
            </w:pPr>
          </w:p>
        </w:tc>
      </w:tr>
      <w:tr w:rsidR="00DD4B8B" w:rsidRPr="001F4504" w14:paraId="07A3633B" w14:textId="77777777" w:rsidTr="00A74C8F">
        <w:trPr>
          <w:divId w:val="1330596125"/>
          <w:tblCellSpacing w:w="0" w:type="dxa"/>
        </w:trPr>
        <w:tc>
          <w:tcPr>
            <w:tcW w:w="720" w:type="dxa"/>
            <w:tcBorders>
              <w:bottom w:val="single" w:sz="4" w:space="0" w:color="auto"/>
            </w:tcBorders>
            <w:vAlign w:val="center"/>
          </w:tcPr>
          <w:p w14:paraId="30115667" w14:textId="17192B49"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t>9</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242C6ADC" w14:textId="34A1FAA0"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Điểm b khoản 1 Điều 3 QĐ 06</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570C51A9" w14:textId="4518A511"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 xml:space="preserve">Về chủ đề, nội dung cần xin phép Thủ tướng Chính phủ: </w:t>
            </w:r>
            <w:r w:rsidRPr="001F4504">
              <w:rPr>
                <w:rFonts w:ascii="Times New Roman" w:hAnsi="Times New Roman" w:cs="Times New Roman"/>
              </w:rPr>
              <w:lastRenderedPageBreak/>
              <w:t xml:space="preserve">điểm b khoản 1 Điều 3 xác định thẩm quyền cho phép tổ chức HNHTQT của Thủ tướng Chính phủ trong trường hợp HNHTQT có chủ đề, nội dung liên quan đến các vấn đề về … quyền con người. Tuy nhiên, quyền con người là một khái niệm phổ quát, các vấn đề liên quan đến quyền con người rất rộng được quy định từ Hiến pháp đến các văn bản quy phạm pháp luật ở các cấp độ khác nhau như bộ luật, luật, nghị định, … thuộc các lĩnh vực pháp luật khác nhau có liên quan đến việc bảo đảm quyền con người. Hiểu theo nghĩa rộng, vấn đề nào cũng liên quan đến quyền con người. Do đó, các HNHTQT có chủ đề, nội dung liên quan đến vấn đề “quyền con người” là rất rộng và phổ biến. Nếu hiểu theo nghĩa rộng như vậy thì HNHTQT liên quan đến pháp luật cũng có liên quan đến quyền con người. Như vậy, số lượng HNHTQT về pháp luật sẽ phải trình Thủ tướng Chính phủ cho phép tổ chức là </w:t>
            </w:r>
            <w:r w:rsidRPr="001F4504">
              <w:rPr>
                <w:rFonts w:ascii="Times New Roman" w:hAnsi="Times New Roman" w:cs="Times New Roman"/>
              </w:rPr>
              <w:lastRenderedPageBreak/>
              <w:t>rất nhiều, trong khi đó nhiều nội dung không có vấn đề phức tạp, nhạy cảm.</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EA5B523" w14:textId="5D8147F4"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lastRenderedPageBreak/>
              <w:t xml:space="preserve">C. Sửa đổi, bổ sung, thay thế, </w:t>
            </w:r>
            <w:r w:rsidRPr="001F4504">
              <w:rPr>
                <w:rFonts w:ascii="Times New Roman" w:hAnsi="Times New Roman" w:cs="Times New Roman"/>
              </w:rPr>
              <w:lastRenderedPageBreak/>
              <w:t>ban hành mới VBQPPL (theo trình tự, thủ tục rút gọn ban hành 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622B30B" w14:textId="43B2401F"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lastRenderedPageBreak/>
              <w:t>Bộ Tư pháp</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C3B70BA" w14:textId="2852AEFE"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 xml:space="preserve">Nhất trí tiếp tục nghiên cứu trong quá trình sửa đổi tổng </w:t>
            </w:r>
            <w:r w:rsidRPr="001F4504">
              <w:rPr>
                <w:rFonts w:ascii="Times New Roman" w:hAnsi="Times New Roman" w:cs="Times New Roman"/>
              </w:rPr>
              <w:lastRenderedPageBreak/>
              <w:t>thể Quyết định 06/2020/QĐ-TTg trong năm 2025 theo trình tự, thủ tục thông thường (không rút gọn) để hoàn thiện quy định.</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62B11DE6"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lastRenderedPageBreak/>
              <w:t>Chưa xử lý:</w:t>
            </w:r>
          </w:p>
          <w:p w14:paraId="64AE03B8" w14:textId="77777777" w:rsidR="00B16286" w:rsidRPr="00B16286" w:rsidRDefault="00B16286" w:rsidP="00B16286">
            <w:pPr>
              <w:spacing w:after="0" w:line="240" w:lineRule="auto"/>
              <w:ind w:left="57" w:right="57"/>
              <w:jc w:val="both"/>
              <w:rPr>
                <w:rFonts w:ascii="Times New Roman" w:eastAsia="Times New Roman" w:hAnsi="Times New Roman" w:cs="Times New Roman"/>
                <w:lang w:val="vi-VN"/>
              </w:rPr>
            </w:pPr>
            <w:r w:rsidRPr="00B16286">
              <w:rPr>
                <w:rFonts w:ascii="Times New Roman" w:eastAsia="Times New Roman" w:hAnsi="Times New Roman" w:cs="Times New Roman"/>
                <w:lang w:val="vi-VN"/>
              </w:rPr>
              <w:lastRenderedPageBreak/>
              <w:t>Ngày 03/11/2025, Bộ Ngoại giao đã có Công 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0F609792" w14:textId="4A52C720" w:rsidR="00DD4B8B" w:rsidRPr="006B2369" w:rsidRDefault="00DD4B8B" w:rsidP="003258CC">
            <w:pPr>
              <w:spacing w:after="0" w:line="240" w:lineRule="auto"/>
              <w:ind w:left="57" w:right="57"/>
              <w:jc w:val="both"/>
              <w:rPr>
                <w:rFonts w:ascii="Times New Roman" w:eastAsia="Times New Roman" w:hAnsi="Times New Roman" w:cs="Times New Roman"/>
              </w:rPr>
            </w:pPr>
          </w:p>
        </w:tc>
      </w:tr>
      <w:tr w:rsidR="00DD4B8B" w:rsidRPr="001F4504" w14:paraId="6666FC26" w14:textId="77777777" w:rsidTr="00A74C8F">
        <w:trPr>
          <w:divId w:val="1330596125"/>
          <w:tblCellSpacing w:w="0" w:type="dxa"/>
        </w:trPr>
        <w:tc>
          <w:tcPr>
            <w:tcW w:w="720" w:type="dxa"/>
            <w:tcBorders>
              <w:bottom w:val="single" w:sz="4" w:space="0" w:color="auto"/>
            </w:tcBorders>
            <w:vAlign w:val="center"/>
          </w:tcPr>
          <w:p w14:paraId="4B208818" w14:textId="3A2B3DDA"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lastRenderedPageBreak/>
              <w:t>10</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3A11D490" w14:textId="0F25DBCC"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Điều 5 QĐ 06/2020/QĐ-TTG</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59147BF7" w14:textId="614F7619"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 xml:space="preserve">Theo quy định của khoản 3 Điều 6 Nghị định số 26/2024/NĐ-CP, “khi thực hiện lấy ý kiến tổ chức HNHTQT về pháp luật và cải cách tư pháp theo quy định của Quyết định số 06/2020/QĐ-TTg, cơ quan chủ trì thực hiện lấy ý kiến đồng thời gửi hồ sơ đến Bộ Tư pháp, Bộ Công an (trường hợp có sự tham gia của báo cáo viên là người nước ngoài), Bộ Quốc phòng (trường hợp tổ chức ở khu vực biên giới, cửa khẩu và các khu vực trọng điểm khác về quốc phòng) để lấy ý kiến về các nội dung hợp tác quốc tế về pháp luật và cải cách tư pháp theo quy định tại điểm b khoản 2 Điều 10, điểm a khoản 2 Điều 11 của Nghị định này”. Quy định này cần được tích hợp một cách phù hợp vào quy trình thẩm định, cho phép tổ chức HNHTQT của Quyết định số 06/2020/QĐ-TTg. Việc xin ý </w:t>
            </w:r>
            <w:r w:rsidRPr="001F4504">
              <w:rPr>
                <w:rFonts w:ascii="Times New Roman" w:hAnsi="Times New Roman" w:cs="Times New Roman"/>
              </w:rPr>
              <w:lastRenderedPageBreak/>
              <w:t>kiến các địa phương có liên quan trong một số trường hợp không nhận được văn bản trả lời, hoặc trả lời chậm, từ đó ảnh hưởng đến tiến độ trả lời của người có thẩm quyền.</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1E4A2E7" w14:textId="25F0E898"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lastRenderedPageBreak/>
              <w:t>C. Sửa đổi, bổ sung, thay thế, ban hành mới VBQPPL (theo trình tự, thủ tục rút gọn ban hành 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B4A282C" w14:textId="2617C731"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Bộ Tư pháp</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F3F8EE" w14:textId="79417093"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Nhất trí tiếp tục nghiên cứu trong quá trình sửa đổi tổng thể Quyết định 06/2020/QĐ-TTg trong năm 2025 theo trình tự, thủ tục thông thường (không rút gọn) để hoàn thiện quy định.</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1B0F5A11"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t>Chưa xử lý:</w:t>
            </w:r>
          </w:p>
          <w:p w14:paraId="138EC61E" w14:textId="77777777" w:rsidR="00B16286" w:rsidRPr="00B16286" w:rsidRDefault="00B16286" w:rsidP="00B16286">
            <w:pPr>
              <w:spacing w:after="0" w:line="240" w:lineRule="auto"/>
              <w:ind w:left="57" w:right="57"/>
              <w:jc w:val="both"/>
              <w:rPr>
                <w:rFonts w:ascii="Times New Roman" w:eastAsia="Times New Roman" w:hAnsi="Times New Roman" w:cs="Times New Roman"/>
                <w:lang w:val="vi-VN"/>
              </w:rPr>
            </w:pPr>
            <w:r w:rsidRPr="00B16286">
              <w:rPr>
                <w:rFonts w:ascii="Times New Roman" w:eastAsia="Times New Roman" w:hAnsi="Times New Roman" w:cs="Times New Roman"/>
                <w:lang w:val="vi-VN"/>
              </w:rPr>
              <w:t>Ngày 03/11/2025, Bộ Ngoại giao đã có Công 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78A17DE0" w14:textId="19314E1F" w:rsidR="00DD4B8B" w:rsidRPr="006B2369" w:rsidRDefault="00DD4B8B" w:rsidP="003258CC">
            <w:pPr>
              <w:spacing w:after="0" w:line="240" w:lineRule="auto"/>
              <w:ind w:left="57" w:right="57"/>
              <w:jc w:val="both"/>
              <w:rPr>
                <w:rFonts w:ascii="Times New Roman" w:eastAsia="Times New Roman" w:hAnsi="Times New Roman" w:cs="Times New Roman"/>
              </w:rPr>
            </w:pPr>
          </w:p>
        </w:tc>
      </w:tr>
      <w:tr w:rsidR="00DD4B8B" w:rsidRPr="001F4504" w14:paraId="6FF23181" w14:textId="77777777" w:rsidTr="00A74C8F">
        <w:trPr>
          <w:divId w:val="1330596125"/>
          <w:tblCellSpacing w:w="0" w:type="dxa"/>
        </w:trPr>
        <w:tc>
          <w:tcPr>
            <w:tcW w:w="720" w:type="dxa"/>
            <w:tcBorders>
              <w:bottom w:val="single" w:sz="4" w:space="0" w:color="auto"/>
            </w:tcBorders>
            <w:vAlign w:val="center"/>
          </w:tcPr>
          <w:p w14:paraId="70FF5FFC" w14:textId="0457010E"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t>11</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1012458E" w14:textId="3B57E551"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Quyết định số 06/2020/QĐ-TTg ngày 21/02/2020 của Thủ tướng Chính phủ về tổ chức và quản lý hội nghị, hội thảo quốc tế tại Việt Nam</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2C8FF3ED" w14:textId="77777777" w:rsidR="00685A73" w:rsidRDefault="00DD4B8B" w:rsidP="003258CC">
            <w:pPr>
              <w:spacing w:after="0" w:line="240" w:lineRule="auto"/>
              <w:ind w:left="57" w:right="57"/>
              <w:jc w:val="both"/>
              <w:rPr>
                <w:rFonts w:ascii="Times New Roman" w:hAnsi="Times New Roman" w:cs="Times New Roman"/>
              </w:rPr>
            </w:pPr>
            <w:r w:rsidRPr="001F4504">
              <w:rPr>
                <w:rFonts w:ascii="Times New Roman" w:hAnsi="Times New Roman" w:cs="Times New Roman"/>
              </w:rPr>
              <w:t xml:space="preserve">Thực trạng: 1. Khó khăn về Thủ tục và Thời gian. Đây là nhóm khó khăn lớn nhất và thường được đề cập nhất. Thứ nhất, về thời gian xin phép kéo dài và cứng nhắc: Quyết định quy định thời gian để người có thẩm quyền cho ý kiến và quyết định có thể kéo dài hàng chục ngày làm việc. Quy trình này không đủ linh hoạt để đáp ứng nhịp độ nhanh của hợp tác khoa học quốc tế, nơi các cơ hội tổ chức sự kiện có thể xuất hiện đột xuất hoặc yêu cầu phải xác nhận nhanh chóng để mời được các diễn giả hàng đầu. </w:t>
            </w:r>
          </w:p>
          <w:p w14:paraId="3A4259C2" w14:textId="77777777" w:rsidR="00685A73" w:rsidRDefault="00685A73" w:rsidP="003258CC">
            <w:pPr>
              <w:spacing w:after="0" w:line="240" w:lineRule="auto"/>
              <w:ind w:left="57" w:right="57"/>
              <w:jc w:val="both"/>
              <w:rPr>
                <w:rFonts w:ascii="Times New Roman" w:hAnsi="Times New Roman" w:cs="Times New Roman"/>
              </w:rPr>
            </w:pPr>
          </w:p>
          <w:p w14:paraId="28030791" w14:textId="298DA6BD"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 xml:space="preserve">Thứ hai, đối với các hội thảo có "yếu tố nhạy cảm" (liên quan đến chính trị, an ninh, chủ quyền, tôn giáo, quyền con </w:t>
            </w:r>
            <w:r w:rsidRPr="001F4504">
              <w:rPr>
                <w:rFonts w:ascii="Times New Roman" w:hAnsi="Times New Roman" w:cs="Times New Roman"/>
              </w:rPr>
              <w:lastRenderedPageBreak/>
              <w:t xml:space="preserve">người), đơn vị tổ chức bắt buộc phải lấy ý kiến của Bộ Ngoại giao, Bộ Công an và các cơ quan liên quan. Việc này kéo dài thêm thời gian và tạo ra "điểm nghẽn" nếu bất kỳ cơ quan nào chậm phản hồi. Đối với một đơn vị như Viện Nhà nước và Pháp luật, có các nghiên cứu liên quan đến quyền con người, đây là một thách thức thường trực. Thứ ba, yêu cầu về hồ sơ thường bao gồm danh sách chi tiết và thông tin lý lịch của các đại biểu, diễn giả nước ngoài, cùng với báo cáo tham luận (nếu có). Việc thu thập đầy đủ các tài liệu này từ nhiều học giả quốc tế trước thời hạn nộp hồ sơ là một thách thức lớn, đôi khi là bất khả thi. 2. Khó khăn kiểm duyệt nội dung: Việc phải gửi trước nội dung tham luận của diễn giả nước ngoài để xét duyệt có thể bị coi là can thiệp vào tự do học thuật, gây e ngại cho nhiều học giả quốc tế uy tín khi nhận lời tham gia. 3. Khó khăn về tài chính và hậu cần Thứ nhất, chậm trễ trong </w:t>
            </w:r>
            <w:r w:rsidRPr="001F4504">
              <w:rPr>
                <w:rFonts w:ascii="Times New Roman" w:hAnsi="Times New Roman" w:cs="Times New Roman"/>
              </w:rPr>
              <w:lastRenderedPageBreak/>
              <w:t xml:space="preserve">phê duyệt ảnh hưởng đến giải ngân: Đối với các hội thảo được tổ chức bằng kinh phí từ đề tài nghiên cứu khoa học, việc thủ tục phê duyệt kéo dài có thể làm chậm tiến độ giải ngân của đề tài, ảnh hưởng đến toàn bộ kế hoạch nghiên cứu và các cam kết với nhà tài trợ. Thứ hai, Quy định về tài chính cứng nhắc và không phù hợp với thực tiễn chi tiêu trong hoạt động đối ngoại: trong Quyết định 06/2020/QĐ-TTg quy định tại Điều 4 quy định Tiến hành hội nghị, hội thảo quốc tế theo nội dung và Đề án đã được phê duyệt; thực hiện đúng các quy định về tài chính hiện hành; tuy nhiên các quy định về chi tiêu cho hội thảo (ví dụ: mức chi cho chuyên gia, tiệc chiêu đãi...) đôi khi chưa phù hợp với thực tiễn. 4. Khó khăn trong việc thích ứng với các hình thức tổ chức mới. Bất cập với hội thảo trực tuyến (Online) và hỗn hợp (Hybrid): Quyết định 06 được ban hành trước khi đại dịch COVID-19 bùng phát </w:t>
            </w:r>
            <w:r w:rsidRPr="001F4504">
              <w:rPr>
                <w:rFonts w:ascii="Times New Roman" w:hAnsi="Times New Roman" w:cs="Times New Roman"/>
              </w:rPr>
              <w:lastRenderedPageBreak/>
              <w:t>mạnh và được thiết kế chủ yếu cho các sự kiện tổ chức trực tiếp. Hiện nay, các quy định áp dụng cho hội thảo trực tuyến hoặc hỗn hợp có yếu tố nước ngoài là không rõ ràng. Điều này tạo ra một "khoảng trống pháp lý": - Liệu một hội thảo 100% trực tuyến có cần xin phép theo Quyết định 06 không? - Làm thế nào để "quản lý" thành phần tham dự khi họ có thể kết nối từ khắp nơi trên thế giới? - Thủ tục áp dụng cho hình thức hỗn hợp sẽ như thế nào? - Sự thiếu rõ ràng này gây ra rủi ro pháp lý cho đơn vị tổ chức, khiến họ không biết phải tuân thủ quy định nào cho đúng.</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7461B3F" w14:textId="01900413"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lastRenderedPageBreak/>
              <w:t>C. Sửa đổi, bổ sung, thay thế, ban hành mới VBQPPL (theo trình tự, thủ tục rút gọn ban hành 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79003FE" w14:textId="0CF9051A"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Viện Hàn lâm Khoa học Xã hội Việt Nam</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F62BBF" w14:textId="484572C3"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Nhất trí tiếp tục nghiên cứu trong quá trình sửa đổi tổng thể Quyết định 06/2020/QĐ-TTg trong năm 2025 theo trình tự, thủ tục thông thường (không rút gọn) để hoàn thiện quy định.</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21193876"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t>Chưa xử lý:</w:t>
            </w:r>
          </w:p>
          <w:p w14:paraId="7D4F89F1" w14:textId="77777777" w:rsidR="00B16286" w:rsidRPr="00B16286" w:rsidRDefault="00B16286" w:rsidP="00B16286">
            <w:pPr>
              <w:spacing w:after="0" w:line="240" w:lineRule="auto"/>
              <w:ind w:left="57" w:right="57"/>
              <w:jc w:val="both"/>
              <w:rPr>
                <w:rFonts w:ascii="Times New Roman" w:eastAsia="Times New Roman" w:hAnsi="Times New Roman" w:cs="Times New Roman"/>
                <w:lang w:val="vi-VN"/>
              </w:rPr>
            </w:pPr>
            <w:r w:rsidRPr="00B16286">
              <w:rPr>
                <w:rFonts w:ascii="Times New Roman" w:eastAsia="Times New Roman" w:hAnsi="Times New Roman" w:cs="Times New Roman"/>
                <w:lang w:val="vi-VN"/>
              </w:rPr>
              <w:t>Ngày 03/11/2025, Bộ Ngoại giao đã có Công 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00F91DA0" w14:textId="10F760F6" w:rsidR="00DD4B8B" w:rsidRPr="006B2369" w:rsidRDefault="00DD4B8B" w:rsidP="003258CC">
            <w:pPr>
              <w:spacing w:after="0" w:line="240" w:lineRule="auto"/>
              <w:ind w:left="57" w:right="57"/>
              <w:jc w:val="both"/>
              <w:rPr>
                <w:rFonts w:ascii="Times New Roman" w:eastAsia="Times New Roman" w:hAnsi="Times New Roman" w:cs="Times New Roman"/>
              </w:rPr>
            </w:pPr>
          </w:p>
        </w:tc>
      </w:tr>
      <w:tr w:rsidR="00DD4B8B" w:rsidRPr="001F4504" w14:paraId="287425DD" w14:textId="77777777" w:rsidTr="00A74C8F">
        <w:trPr>
          <w:divId w:val="1330596125"/>
          <w:tblCellSpacing w:w="0" w:type="dxa"/>
        </w:trPr>
        <w:tc>
          <w:tcPr>
            <w:tcW w:w="720" w:type="dxa"/>
            <w:tcBorders>
              <w:bottom w:val="single" w:sz="4" w:space="0" w:color="auto"/>
            </w:tcBorders>
            <w:vAlign w:val="center"/>
          </w:tcPr>
          <w:p w14:paraId="01D72C77" w14:textId="5927FA3C"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lastRenderedPageBreak/>
              <w:t>12</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36D18D66" w14:textId="4CC9FE61"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Quyết định 06/2020/QĐ-TTg về tổ chức Hội nghị, Hội thảo quốc tế tại Việt Nam</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202A566E" w14:textId="7C30B36A"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 xml:space="preserve">"* Khoản 1 Điều 2 quy định: 1. “Hội nghị, hội thảo quốc tế” là hội nghị, hội thảo có yếu tố nước ngoài, được tổ chức theo hình thức gặp gỡ trực tiếp trên lãnh thổ Việt Nam, hoặc theo hình thức trực tuyến với ít nhất một đầu cầu thuộc lãnh thổ Việt Nam, bao gồm: a) Hội nghị, hội </w:t>
            </w:r>
            <w:r w:rsidRPr="001F4504">
              <w:rPr>
                <w:rFonts w:ascii="Times New Roman" w:hAnsi="Times New Roman" w:cs="Times New Roman"/>
              </w:rPr>
              <w:lastRenderedPageBreak/>
              <w:t xml:space="preserve">thảo do các cơ quan, tổ chức Việt Nam tổ chức có sự tham gia hoặc có nhận tài trợ của nước ngoài; b) Hội nghị, hội thảo do các tổ chức nước ngoài tổ chức. - Khái niệm ""hội nghị, hội thảo quốc tế"" quá rộng, bao gồm cả các hoạt động nội bộ của tổ chức có yếu tố nước ngoài (ví dụ họp Ban chấp hành, tập huấn nội bộ, khen thưởng...). Việc yêu cầu phải xin phép cho các hoạt động này làm phát sinh thủ tục rườm rà, gây trì trệ hoạt động thường xuyên của tổ chức. - Quy định “có sự tham gia của người nước ngoài” là quá rộng, gây lúng túng cho tổ chức khi không chủ động được thành phần khách đến tham dự, đặc biệt trong các hội thảo mở, hội chợ... =&gt; Đề xuất: - Làm rõ lại khái niệm ""hội nghị, hội thảo quốc tế"", loại trừ các hoạt động nội bộ (dù có người nước ngoài tham dự), không bắt buộc xin phép. - Chỉ yêu cầu xin phép nếu có mời chính thức báo cáoviên/diễn giả/khách mời là người nước </w:t>
            </w:r>
            <w:r w:rsidRPr="001F4504">
              <w:rPr>
                <w:rFonts w:ascii="Times New Roman" w:hAnsi="Times New Roman" w:cs="Times New Roman"/>
              </w:rPr>
              <w:lastRenderedPageBreak/>
              <w:t xml:space="preserve">ngoài hoặc có tài trợ nước ngoài. * Điểm a Khoản 1 Điều 4 quy định: ""Đơn vị tổ chức gửi đầy đủ hồ sơ xin phép tổ chức hội nghị, hội thảo quốc tế cho cơ quan của người có thẩm quyền ít nhất 40 ngày đối với hội nghị, hội thảo quốc tế thuộc thẩm quyền quyết định của Thủ tướng Chính phủ và ít nhất 30 ngày đối với hội nghị, hội thảo quốc tế thuộc thẩm quyền quyết định của người có thẩm quyền."" Thời hạn xin phép tổ chức quá dài (30-40 ngày), không phù hợp với nhiều sự kiện phát sinh đột xuất như xúc tiến thương mại, hướng dẫn kỹ thuật... =&gt; Đề xuất: Cho phép rút ngắn thời hạn xin phép xuống 10–15 ngày đối với hội thảo, hội nghị chuyên môn, kỹ thuật, xúc tiến thương mại... * Điều 5. Quy trình thẩm định, cho phép tổ chức hội nghị, hội thảo quốc tế: Chưa quy định rõ thời gian xử lý từng bước của thủ tục hành chính (thẩm định, lấy ý kiến, phản hồi...). Quy trình kéo dài, </w:t>
            </w:r>
            <w:r w:rsidRPr="001F4504">
              <w:rPr>
                <w:rFonts w:ascii="Times New Roman" w:hAnsi="Times New Roman" w:cs="Times New Roman"/>
              </w:rPr>
              <w:lastRenderedPageBreak/>
              <w:t>không minh bạch, gây trì trệ. Các hội nghị, hội thảo thuộc chương trình/dự án/phí dự án đã được phê duyệt vẫn phải xin phép lại, gây thủ tục không cần thiết. =&gt; Đề xuất: - Bổ sung quy định thời gian cụ thể cho từng bước: Xem xét hồ sơ: 2 ngày; Phát hành văn bản lấy ý kiến: 2 ngày; Phản hồi kết quả: 10–15 ngày; Lấy ý kiến cơ quan liên quan: 5 ngày. - Miễn thủ tục xin phép tổ chức nếu hội nghị, hội thảo là hợp phần đã có sẵn trong văn kiện chương trình, dự án được phê duyệt. - Bổ sung quy định cho phép thực hiện toàn bộ thủ tục hành chính theo Quyết định 06/2020 (xin phép, báo cáo...) trên môi trường điện tử theo Nghị định 45/2020/NĐ-CP."</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342724F" w14:textId="735FE416"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lastRenderedPageBreak/>
              <w:t>C. Sửa đổi, bổ sung, thay thế, ban hành mới VBQPPL (theo trình tự, thủ tục rút gọn ban hành 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7280AF3" w14:textId="40BE267D"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Liên đoàn Thương mại và Công nghiệp Việt Nam (VCCI)</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390CB4" w14:textId="59D7650C"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Nhất trí tiếp tục nghiên cứu trong quá trình sửa đổi tổng thể Quyết định 06/2020/QĐ-TTg trong năm 2025 theo trình tự, thủ tục thông thường (không rút gọn) để hoàn thiện quy định.</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09EBC880"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t>Chưa xử lý:</w:t>
            </w:r>
          </w:p>
          <w:p w14:paraId="3C5A4EDF" w14:textId="77777777" w:rsidR="00B16286" w:rsidRPr="00B16286" w:rsidRDefault="00B16286" w:rsidP="00B16286">
            <w:pPr>
              <w:spacing w:after="0" w:line="240" w:lineRule="auto"/>
              <w:ind w:left="57" w:right="57"/>
              <w:jc w:val="both"/>
              <w:rPr>
                <w:rFonts w:ascii="Times New Roman" w:eastAsia="Times New Roman" w:hAnsi="Times New Roman" w:cs="Times New Roman"/>
                <w:lang w:val="vi-VN"/>
              </w:rPr>
            </w:pPr>
            <w:r w:rsidRPr="00B16286">
              <w:rPr>
                <w:rFonts w:ascii="Times New Roman" w:eastAsia="Times New Roman" w:hAnsi="Times New Roman" w:cs="Times New Roman"/>
                <w:lang w:val="vi-VN"/>
              </w:rPr>
              <w:t xml:space="preserve">Ngày 03/11/2025, Bộ Ngoại giao đã có Công văn số 8721/BNG-NVVH gửi Bộ Tư pháp đề nghị thẩm định dự thảo Quyết định thay thế Quyết định này. Ngày 15/12/2025, Bộ </w:t>
            </w:r>
            <w:r w:rsidRPr="00B16286">
              <w:rPr>
                <w:rFonts w:ascii="Times New Roman" w:eastAsia="Times New Roman" w:hAnsi="Times New Roman" w:cs="Times New Roman"/>
                <w:lang w:val="vi-VN"/>
              </w:rPr>
              <w:lastRenderedPageBreak/>
              <w:t>Tư pháp sẽ tổ chức thẩm định văn bản. Trên cơ sở ý kiến tại Báo cáo thẩm định, Bộ Ngoại giao sẽ hoàn thiện hồ sơ trình Thủ tướng Chính phủ trong tháng 12 năm 2025.</w:t>
            </w:r>
          </w:p>
          <w:p w14:paraId="65A93C1E" w14:textId="108E40D8" w:rsidR="00DD4B8B" w:rsidRPr="006B2369" w:rsidRDefault="00DD4B8B" w:rsidP="003258CC">
            <w:pPr>
              <w:spacing w:after="0" w:line="240" w:lineRule="auto"/>
              <w:ind w:left="57" w:right="57"/>
              <w:jc w:val="both"/>
              <w:rPr>
                <w:rFonts w:ascii="Times New Roman" w:eastAsia="Times New Roman" w:hAnsi="Times New Roman" w:cs="Times New Roman"/>
              </w:rPr>
            </w:pPr>
          </w:p>
        </w:tc>
      </w:tr>
      <w:tr w:rsidR="00DD4B8B" w:rsidRPr="001F4504" w14:paraId="77FC5114" w14:textId="77777777" w:rsidTr="00A74C8F">
        <w:trPr>
          <w:divId w:val="1330596125"/>
          <w:tblCellSpacing w:w="0" w:type="dxa"/>
        </w:trPr>
        <w:tc>
          <w:tcPr>
            <w:tcW w:w="720" w:type="dxa"/>
            <w:tcBorders>
              <w:bottom w:val="single" w:sz="4" w:space="0" w:color="auto"/>
            </w:tcBorders>
            <w:vAlign w:val="center"/>
          </w:tcPr>
          <w:p w14:paraId="07CFE558" w14:textId="6809CA97"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lastRenderedPageBreak/>
              <w:t>13</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4D9E28AD" w14:textId="0791A781"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color w:val="212121"/>
              </w:rPr>
              <w:t>Điều 6 Quyết định 06/2020/QĐ-TTg</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78B482B" w14:textId="79D3B0B7"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color w:val="212121"/>
              </w:rPr>
              <w:t xml:space="preserve">Điều 6 Quyết định số 06/2020/QĐ-TTg quy định đối với các trường hợp cần xin đăng cai tổ chức HNHTQT thì thực hiện quy trình xin chủ trương trước (khoản 1 Điều 6 “Nếu đơn </w:t>
            </w:r>
            <w:r w:rsidRPr="001F4504">
              <w:rPr>
                <w:rFonts w:ascii="Times New Roman" w:hAnsi="Times New Roman" w:cs="Times New Roman"/>
                <w:color w:val="212121"/>
              </w:rPr>
              <w:lastRenderedPageBreak/>
              <w:t xml:space="preserve">vị tổ chức cần xin chủ trương để đăng cai tổ chức HNHTQT, đơn vị tổ chức và cơ quan của người có thẩm quyền thực hiện việc xin chủ trương đăng cai theo quy trình và thẩm quyền quy định tại Điều 3 và Điều 5 Quyết định này”), sau khi được đồng ý về chủ trương thì tiếp tục thực hiện quy trình xây dựng Đề án và xin ý kiến tổ chức thông thường. Tuy nhiên, quy định không rõ trường hợp nào cần xin chủ trương, trường hợp nào không và chưa có quy định phân tách trường hợp của các tổ chức thuộc Mặt trận Tổ quốc, các đoàn thể và tổ chức nhân dân ở Trung ương. Theo quy định của Hướng dẫn số 07-HD/BĐNTW ngày 08/10/2020 của Ban Đối ngoại Trung ương về thực hiện các quy định về quản lý thống nhất các hoạt động đối ngoại của Mặt trận Tổ quốc, các đoàn thể và tổ chức nhân dân ở Trung ương, các tổ chức này cần thực hiện quy trình xin chủ trương của Đảng trước khi thực hiện </w:t>
            </w:r>
            <w:r w:rsidRPr="001F4504">
              <w:rPr>
                <w:rFonts w:ascii="Times New Roman" w:hAnsi="Times New Roman" w:cs="Times New Roman"/>
                <w:color w:val="212121"/>
              </w:rPr>
              <w:lastRenderedPageBreak/>
              <w:t>các quy định của Quyết định số 06/2020/QĐ-TTg. Do đó, nếu thực hiện theo tất cả các quy trình, có trường hợp phải thực hiện 2 lần xin chủ trương (1 lần theo quy trình của Đảng, 1 lần theo quy định của Quyết định số 06/2020/QĐ-TTg) và 1 lần xây dựng Đề án xin phép tổ chức theo quy định của Quyết định số 06/2020/QĐ-TTg.</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55C72DC" w14:textId="492F46CE"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color w:val="212121"/>
              </w:rPr>
              <w:lastRenderedPageBreak/>
              <w:t xml:space="preserve">C. Sửa đổi, bổ sung, thay thế, ban hành mới VBQPPL (theo trình tự, thủ tục rút gọn ban hành </w:t>
            </w:r>
            <w:r w:rsidRPr="001F4504">
              <w:rPr>
                <w:rFonts w:ascii="Times New Roman" w:hAnsi="Times New Roman" w:cs="Times New Roman"/>
                <w:color w:val="212121"/>
              </w:rPr>
              <w:lastRenderedPageBreak/>
              <w:t>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6AF4894" w14:textId="35BC1D16"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color w:val="212121"/>
              </w:rPr>
              <w:lastRenderedPageBreak/>
              <w:t>Bộ Tư pháp</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D800366" w14:textId="0CB49D14"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 xml:space="preserve">Nhất trí tiếp tục nghiên cứu trong quá trình sửa đổi tổng thể Quyết định 06/2020/QĐ-TTg trong năm 2025 theo trình tự, thủ tục </w:t>
            </w:r>
            <w:r w:rsidRPr="001F4504">
              <w:rPr>
                <w:rFonts w:ascii="Times New Roman" w:hAnsi="Times New Roman" w:cs="Times New Roman"/>
              </w:rPr>
              <w:lastRenderedPageBreak/>
              <w:t>thông thường (không rút gọn) để hoàn thiện quy định.</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13752EEF"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lastRenderedPageBreak/>
              <w:t>Chưa xử lý:</w:t>
            </w:r>
          </w:p>
          <w:p w14:paraId="68031C8D" w14:textId="77777777" w:rsidR="00B16286" w:rsidRPr="00B16286" w:rsidRDefault="00B16286" w:rsidP="00B16286">
            <w:pPr>
              <w:spacing w:after="0" w:line="240" w:lineRule="auto"/>
              <w:ind w:left="57" w:right="57"/>
              <w:jc w:val="both"/>
              <w:rPr>
                <w:rFonts w:ascii="Times New Roman" w:eastAsia="Times New Roman" w:hAnsi="Times New Roman" w:cs="Times New Roman"/>
                <w:lang w:val="vi-VN"/>
              </w:rPr>
            </w:pPr>
            <w:r w:rsidRPr="00B16286">
              <w:rPr>
                <w:rFonts w:ascii="Times New Roman" w:eastAsia="Times New Roman" w:hAnsi="Times New Roman" w:cs="Times New Roman"/>
                <w:lang w:val="vi-VN"/>
              </w:rPr>
              <w:t xml:space="preserve">Ngày 03/11/2025, Bộ Ngoại giao đã có Công văn số 8721/BNG-NVVH gửi Bộ Tư pháp đề nghị thẩm định dự </w:t>
            </w:r>
            <w:r w:rsidRPr="00B16286">
              <w:rPr>
                <w:rFonts w:ascii="Times New Roman" w:eastAsia="Times New Roman" w:hAnsi="Times New Roman" w:cs="Times New Roman"/>
                <w:lang w:val="vi-VN"/>
              </w:rPr>
              <w:lastRenderedPageBreak/>
              <w:t>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030F2B49" w14:textId="4F401219" w:rsidR="00DD4B8B" w:rsidRPr="006B2369" w:rsidRDefault="00DD4B8B" w:rsidP="003258CC">
            <w:pPr>
              <w:spacing w:after="0" w:line="240" w:lineRule="auto"/>
              <w:ind w:left="57" w:right="57"/>
              <w:jc w:val="both"/>
              <w:rPr>
                <w:rFonts w:ascii="Times New Roman" w:eastAsia="Times New Roman" w:hAnsi="Times New Roman" w:cs="Times New Roman"/>
              </w:rPr>
            </w:pPr>
          </w:p>
        </w:tc>
      </w:tr>
      <w:tr w:rsidR="00DD4B8B" w:rsidRPr="001F4504" w14:paraId="3F3C19F8" w14:textId="77777777" w:rsidTr="00A74C8F">
        <w:trPr>
          <w:divId w:val="1330596125"/>
          <w:tblCellSpacing w:w="0" w:type="dxa"/>
        </w:trPr>
        <w:tc>
          <w:tcPr>
            <w:tcW w:w="720" w:type="dxa"/>
            <w:tcBorders>
              <w:bottom w:val="single" w:sz="4" w:space="0" w:color="auto"/>
            </w:tcBorders>
            <w:vAlign w:val="center"/>
          </w:tcPr>
          <w:p w14:paraId="1E462602" w14:textId="304F7935"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lastRenderedPageBreak/>
              <w:t>14</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042CE4D6" w14:textId="37800B07"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Vướng mắc trong Quyết định 06/2020/ QĐ-TTg về tổ chức Hội nghị, Hội thảo quốc tế tại Việt Nam - Khoản 1 Điều 2</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9538B81" w14:textId="4633CDB4"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Khái niệm "hội nghị, hội thảo quốc tế" quá rộng, bao gồm cả các hoạt động nội bộ của tổ chức có yếu tố nước ngoài (ví dụ họp Ban chấp hành, tập huấn nội bộ, khen thưởng...). Việc yêu cầu phải xin phép cho các hoạt động này làm phát sinh thủ tục rườm rà, gây trì trệ hoạt động thường xuyên của tổ chức. Đề xuất: Cần làm rõ lại khái niệm "hội nghị, hội thảo quốc tế", loại trừ các hoạt động nội bộ (dù có người nước ngoài tham dự), không bắt buộc xin phép</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51BC2AF" w14:textId="4C675B24"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B. Hướng dẫn áp dụng VBQPPL theo quy định tại Điều 61 Luật Ban hành VBQPPL năm 2025</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5087FDA" w14:textId="34204B5F"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Hiệp hội chế biến và xuất khẩu thủy sản Việt Nam (VASEP)</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1DA497" w14:textId="55F84670"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Nhất trí cần sửa đổi về nội dung. Bộ Ngoại giao sẽ đẩy nhanh tiến độ sửa đổi tổng thể Quyết định số 06/2020/QĐ- TTg trong năm 2025 theo trình tự, thủ tục thông thường (không rút gọn) và sẽ nghiên cứu, đề xuất phương án giải thích rõ hơn khái niệm "hội nghị, hội thảo quốc tế".</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3BD6F0E5"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t>Chưa xử lý:</w:t>
            </w:r>
          </w:p>
          <w:p w14:paraId="0D6E236D" w14:textId="77777777" w:rsidR="00B16286" w:rsidRPr="00B16286" w:rsidRDefault="00B16286" w:rsidP="00B16286">
            <w:pPr>
              <w:spacing w:after="0" w:line="240" w:lineRule="auto"/>
              <w:ind w:left="57" w:right="57"/>
              <w:jc w:val="both"/>
              <w:rPr>
                <w:rFonts w:ascii="Times New Roman" w:eastAsia="Times New Roman" w:hAnsi="Times New Roman" w:cs="Times New Roman"/>
                <w:lang w:val="vi-VN"/>
              </w:rPr>
            </w:pPr>
            <w:r w:rsidRPr="00B16286">
              <w:rPr>
                <w:rFonts w:ascii="Times New Roman" w:eastAsia="Times New Roman" w:hAnsi="Times New Roman" w:cs="Times New Roman"/>
                <w:lang w:val="vi-VN"/>
              </w:rPr>
              <w:t>Ngày 03/11/2025, Bộ Ngoại giao đã có Công 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663FF8E3" w14:textId="5376BE44" w:rsidR="00DD4B8B" w:rsidRPr="006B2369" w:rsidRDefault="00DD4B8B" w:rsidP="003258CC">
            <w:pPr>
              <w:spacing w:after="0" w:line="240" w:lineRule="auto"/>
              <w:ind w:left="57" w:right="57"/>
              <w:jc w:val="both"/>
              <w:rPr>
                <w:rFonts w:ascii="Times New Roman" w:eastAsia="Times New Roman" w:hAnsi="Times New Roman" w:cs="Times New Roman"/>
              </w:rPr>
            </w:pPr>
          </w:p>
        </w:tc>
      </w:tr>
      <w:tr w:rsidR="00DD4B8B" w:rsidRPr="00DD4B8B" w14:paraId="31395482" w14:textId="77777777" w:rsidTr="00A74C8F">
        <w:trPr>
          <w:divId w:val="1330596125"/>
          <w:tblCellSpacing w:w="0" w:type="dxa"/>
        </w:trPr>
        <w:tc>
          <w:tcPr>
            <w:tcW w:w="720" w:type="dxa"/>
            <w:tcBorders>
              <w:bottom w:val="single" w:sz="4" w:space="0" w:color="auto"/>
            </w:tcBorders>
            <w:vAlign w:val="center"/>
          </w:tcPr>
          <w:p w14:paraId="0233A7B4" w14:textId="3F878E52" w:rsidR="00DD4B8B" w:rsidRPr="001F4504" w:rsidRDefault="00DD4B8B" w:rsidP="00843D9E">
            <w:pPr>
              <w:spacing w:after="0" w:line="240" w:lineRule="auto"/>
              <w:jc w:val="center"/>
              <w:rPr>
                <w:rFonts w:ascii="Times New Roman" w:eastAsia="Times New Roman" w:hAnsi="Times New Roman" w:cs="Times New Roman"/>
              </w:rPr>
            </w:pPr>
            <w:r w:rsidRPr="001F4504">
              <w:rPr>
                <w:rFonts w:ascii="Times New Roman" w:eastAsia="Times New Roman" w:hAnsi="Times New Roman" w:cs="Times New Roman"/>
              </w:rPr>
              <w:lastRenderedPageBreak/>
              <w:t>15</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12B56043" w14:textId="643CB24B"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Quyết định 06/2020/QĐ-TTg</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533AA2D6" w14:textId="0790DE03"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 xml:space="preserve">Trong quá trình cho phép tổ chức hội nghị, hội thảo quốc tế, trong một số trường hợp Bộ Tư pháp cần xin ý kiến tham vấn Bộ Công an, thông thường Bộ Công an đề nghị có thông tin cụ thể liên quan đến hộ chiếu của chuyên gia quốc tế (kể cả đối với trường hợp tham gia trực tuyến); trong khi đó Quyết định 06/2020/QĐ-TTg chỉ quy định chung chung tại Phụ lục – Biểu mẫu số 01 là cần cung cấp thông tin về lý lịch trích ngang của báo cáo viên/diễn giả nước ngoài, dẫn đến tình trạng một số đơn vị, tổ chức thiếu thông tin về hộ chiếu của các chủ thể này trong hồ sơ xin phép và Bộ Tư pháp thường xuyên phải đề nghị bổ sung hồ sơ. Bên cạnh đó, có một thực tế là các cuộc HNHTQT tổ chức trực tuyến, các báo cáo viên/diễn giải người nước ngoài không nhập cảnh vào Việt Nam, do đó việc đề nghị cung cấp thông tin về hộ chiếu đã gây khó </w:t>
            </w:r>
            <w:r w:rsidRPr="001F4504">
              <w:rPr>
                <w:rFonts w:ascii="Times New Roman" w:hAnsi="Times New Roman" w:cs="Times New Roman"/>
              </w:rPr>
              <w:lastRenderedPageBreak/>
              <w:t>khăn cho các cơ quan, đơn vị chủ trì tổ chức, thậm chí gây phản ứng từ một số đối tác quốc tế (như CHLB Đức).</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B85DAF0" w14:textId="5BA1C8BE"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lastRenderedPageBreak/>
              <w:t>C. Sửa đổi, bổ sung, thay thế, ban hành mới VBQPPL (theo trình tự, thủ tục rút gọn ban hành VBQPPL của Luật Ban hành VBQPPL)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292CF1F2" w14:textId="689F0EF1" w:rsidR="00DD4B8B" w:rsidRPr="001F4504" w:rsidRDefault="00DD4B8B" w:rsidP="003258CC">
            <w:pPr>
              <w:spacing w:after="0" w:line="240" w:lineRule="auto"/>
              <w:ind w:left="57" w:right="57"/>
              <w:jc w:val="both"/>
              <w:rPr>
                <w:rFonts w:ascii="Times New Roman" w:eastAsia="Times New Roman" w:hAnsi="Times New Roman" w:cs="Times New Roman"/>
              </w:rPr>
            </w:pPr>
            <w:r w:rsidRPr="001F4504">
              <w:rPr>
                <w:rFonts w:ascii="Times New Roman" w:hAnsi="Times New Roman" w:cs="Times New Roman"/>
              </w:rPr>
              <w:t>Bộ Tư pháp</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C4A92B4" w14:textId="390D1F4C" w:rsidR="00DD4B8B" w:rsidRPr="001F4504" w:rsidRDefault="00DD4B8B" w:rsidP="003258CC">
            <w:pPr>
              <w:spacing w:after="0" w:line="240" w:lineRule="auto"/>
              <w:ind w:left="57" w:right="57"/>
              <w:jc w:val="both"/>
              <w:rPr>
                <w:rFonts w:ascii="Times New Roman" w:hAnsi="Times New Roman" w:cs="Times New Roman"/>
                <w:color w:val="000000"/>
              </w:rPr>
            </w:pPr>
            <w:r w:rsidRPr="001F4504">
              <w:rPr>
                <w:rFonts w:ascii="Times New Roman" w:hAnsi="Times New Roman" w:cs="Times New Roman"/>
              </w:rPr>
              <w:t>Nhất trí tiếp tục nghiên cứu trong quá trình sửa đổi tổng thể Quyết định 06/2020/QĐ-TTg trong năm 2025 theo trình tự, thủ tục thông thường (không rút gọn) để hoàn thiện quy định.</w:t>
            </w:r>
          </w:p>
        </w:tc>
        <w:tc>
          <w:tcPr>
            <w:tcW w:w="2430" w:type="dxa"/>
            <w:tcBorders>
              <w:top w:val="single" w:sz="4" w:space="0" w:color="auto"/>
              <w:left w:val="single" w:sz="4" w:space="0" w:color="auto"/>
              <w:bottom w:val="single" w:sz="4" w:space="0" w:color="auto"/>
              <w:right w:val="single" w:sz="6" w:space="0" w:color="000000"/>
            </w:tcBorders>
            <w:shd w:val="clear" w:color="auto" w:fill="FFFFFF"/>
            <w:vAlign w:val="center"/>
          </w:tcPr>
          <w:p w14:paraId="469CE652" w14:textId="77777777" w:rsidR="00DE4A6F" w:rsidRDefault="00DE4A6F" w:rsidP="00DE4A6F">
            <w:pPr>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
              </w:rPr>
              <w:t>Chưa xử lý:</w:t>
            </w:r>
          </w:p>
          <w:p w14:paraId="2190EDF0" w14:textId="77777777" w:rsidR="00B16286" w:rsidRPr="00B16286" w:rsidRDefault="00B16286" w:rsidP="00B16286">
            <w:pPr>
              <w:spacing w:after="0" w:line="240" w:lineRule="auto"/>
              <w:ind w:left="57" w:right="57"/>
              <w:jc w:val="both"/>
              <w:rPr>
                <w:rFonts w:ascii="Times New Roman" w:eastAsia="Times New Roman" w:hAnsi="Times New Roman" w:cs="Times New Roman"/>
                <w:lang w:val="vi-VN"/>
              </w:rPr>
            </w:pPr>
            <w:r w:rsidRPr="00B16286">
              <w:rPr>
                <w:rFonts w:ascii="Times New Roman" w:eastAsia="Times New Roman" w:hAnsi="Times New Roman" w:cs="Times New Roman"/>
                <w:lang w:val="vi-VN"/>
              </w:rPr>
              <w:t>Ngày 03/11/2025, Bộ Ngoại giao đã có Công 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13EAC94D" w14:textId="5B3F2C3C" w:rsidR="00DD4B8B" w:rsidRPr="006B2369" w:rsidRDefault="00DD4B8B" w:rsidP="003258CC">
            <w:pPr>
              <w:spacing w:after="0" w:line="240" w:lineRule="auto"/>
              <w:ind w:left="57" w:right="57"/>
              <w:jc w:val="both"/>
              <w:rPr>
                <w:rFonts w:ascii="Times New Roman" w:eastAsia="Times New Roman" w:hAnsi="Times New Roman" w:cs="Times New Roman"/>
              </w:rPr>
            </w:pPr>
          </w:p>
        </w:tc>
      </w:tr>
    </w:tbl>
    <w:p w14:paraId="57CEE234" w14:textId="62614A8D" w:rsidR="00DD4B8B" w:rsidRDefault="00DD4B8B" w:rsidP="00DD4B8B">
      <w:pPr>
        <w:spacing w:after="0"/>
        <w:jc w:val="both"/>
        <w:divId w:val="1330596125"/>
        <w:rPr>
          <w:rFonts w:ascii="Times New Roman" w:eastAsia="Times New Roman" w:hAnsi="Times New Roman" w:cs="Times New Roman"/>
        </w:rPr>
      </w:pPr>
    </w:p>
    <w:p w14:paraId="786D0E66" w14:textId="77777777" w:rsidR="00DD4B8B" w:rsidRPr="00DD4B8B" w:rsidRDefault="00DD4B8B" w:rsidP="00DD4B8B">
      <w:pPr>
        <w:spacing w:after="0"/>
        <w:jc w:val="both"/>
        <w:divId w:val="1330596125"/>
        <w:rPr>
          <w:rFonts w:ascii="Times New Roman" w:eastAsia="Times New Roman" w:hAnsi="Times New Roman" w:cs="Times New Roman"/>
        </w:rPr>
      </w:pPr>
    </w:p>
    <w:sectPr w:rsidR="00DD4B8B" w:rsidRPr="00DD4B8B" w:rsidSect="000B3E26">
      <w:headerReference w:type="default" r:id="rId7"/>
      <w:pgSz w:w="16840" w:h="11907" w:orient="landscape" w:code="9"/>
      <w:pgMar w:top="1135"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DC5D" w14:textId="77777777" w:rsidR="00EF50DF" w:rsidRDefault="00EF50DF" w:rsidP="00E62493">
      <w:pPr>
        <w:spacing w:after="0" w:line="240" w:lineRule="auto"/>
      </w:pPr>
      <w:r>
        <w:separator/>
      </w:r>
    </w:p>
  </w:endnote>
  <w:endnote w:type="continuationSeparator" w:id="0">
    <w:p w14:paraId="472320DC" w14:textId="77777777" w:rsidR="00EF50DF" w:rsidRDefault="00EF50DF" w:rsidP="00E6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5644D" w14:textId="77777777" w:rsidR="00EF50DF" w:rsidRDefault="00EF50DF" w:rsidP="00E62493">
      <w:pPr>
        <w:spacing w:after="0" w:line="240" w:lineRule="auto"/>
      </w:pPr>
      <w:r>
        <w:separator/>
      </w:r>
    </w:p>
  </w:footnote>
  <w:footnote w:type="continuationSeparator" w:id="0">
    <w:p w14:paraId="363D4676" w14:textId="77777777" w:rsidR="00EF50DF" w:rsidRDefault="00EF50DF" w:rsidP="00E6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30910"/>
      <w:docPartObj>
        <w:docPartGallery w:val="Page Numbers (Top of Page)"/>
        <w:docPartUnique/>
      </w:docPartObj>
    </w:sdtPr>
    <w:sdtEndPr>
      <w:rPr>
        <w:rFonts w:ascii="Times New Roman" w:hAnsi="Times New Roman" w:cs="Times New Roman"/>
        <w:noProof/>
      </w:rPr>
    </w:sdtEndPr>
    <w:sdtContent>
      <w:p w14:paraId="4E9680F4" w14:textId="25386E4F" w:rsidR="00E62493" w:rsidRPr="00E62493" w:rsidRDefault="00E62493">
        <w:pPr>
          <w:pStyle w:val="Header"/>
          <w:jc w:val="center"/>
          <w:rPr>
            <w:rFonts w:ascii="Times New Roman" w:hAnsi="Times New Roman" w:cs="Times New Roman"/>
          </w:rPr>
        </w:pPr>
        <w:r w:rsidRPr="00E62493">
          <w:rPr>
            <w:rFonts w:ascii="Times New Roman" w:hAnsi="Times New Roman" w:cs="Times New Roman"/>
          </w:rPr>
          <w:fldChar w:fldCharType="begin"/>
        </w:r>
        <w:r w:rsidRPr="00E62493">
          <w:rPr>
            <w:rFonts w:ascii="Times New Roman" w:hAnsi="Times New Roman" w:cs="Times New Roman"/>
          </w:rPr>
          <w:instrText xml:space="preserve"> PAGE   \* MERGEFORMAT </w:instrText>
        </w:r>
        <w:r w:rsidRPr="00E62493">
          <w:rPr>
            <w:rFonts w:ascii="Times New Roman" w:hAnsi="Times New Roman" w:cs="Times New Roman"/>
          </w:rPr>
          <w:fldChar w:fldCharType="separate"/>
        </w:r>
        <w:r w:rsidR="00BF03AE">
          <w:rPr>
            <w:rFonts w:ascii="Times New Roman" w:hAnsi="Times New Roman" w:cs="Times New Roman"/>
            <w:noProof/>
          </w:rPr>
          <w:t>2</w:t>
        </w:r>
        <w:r w:rsidRPr="00E62493">
          <w:rPr>
            <w:rFonts w:ascii="Times New Roman" w:hAnsi="Times New Roman" w:cs="Times New Roman"/>
            <w:noProof/>
          </w:rPr>
          <w:fldChar w:fldCharType="end"/>
        </w:r>
      </w:p>
    </w:sdtContent>
  </w:sdt>
  <w:p w14:paraId="7FD1CC0C" w14:textId="77777777" w:rsidR="00E62493" w:rsidRDefault="00E62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8B"/>
    <w:rsid w:val="00021FD6"/>
    <w:rsid w:val="00057CA1"/>
    <w:rsid w:val="00085B95"/>
    <w:rsid w:val="00096A51"/>
    <w:rsid w:val="000B3E26"/>
    <w:rsid w:val="000C782C"/>
    <w:rsid w:val="000D0D00"/>
    <w:rsid w:val="001460D4"/>
    <w:rsid w:val="00176659"/>
    <w:rsid w:val="00176BCE"/>
    <w:rsid w:val="001B5732"/>
    <w:rsid w:val="001C616C"/>
    <w:rsid w:val="001F4504"/>
    <w:rsid w:val="002226C6"/>
    <w:rsid w:val="00222A39"/>
    <w:rsid w:val="002451C5"/>
    <w:rsid w:val="003258CC"/>
    <w:rsid w:val="00340A6E"/>
    <w:rsid w:val="00342356"/>
    <w:rsid w:val="00345232"/>
    <w:rsid w:val="00347425"/>
    <w:rsid w:val="00402285"/>
    <w:rsid w:val="0041620E"/>
    <w:rsid w:val="004334E6"/>
    <w:rsid w:val="00466F75"/>
    <w:rsid w:val="004B09E3"/>
    <w:rsid w:val="004D0783"/>
    <w:rsid w:val="004D0FCC"/>
    <w:rsid w:val="004D1B06"/>
    <w:rsid w:val="004D4465"/>
    <w:rsid w:val="004E0272"/>
    <w:rsid w:val="005024F9"/>
    <w:rsid w:val="00523DAF"/>
    <w:rsid w:val="00564FB7"/>
    <w:rsid w:val="005762C7"/>
    <w:rsid w:val="00577595"/>
    <w:rsid w:val="00581637"/>
    <w:rsid w:val="005A039F"/>
    <w:rsid w:val="005A42CF"/>
    <w:rsid w:val="005B0200"/>
    <w:rsid w:val="005B37EC"/>
    <w:rsid w:val="005E2190"/>
    <w:rsid w:val="00651F64"/>
    <w:rsid w:val="00685A73"/>
    <w:rsid w:val="006B2369"/>
    <w:rsid w:val="006D2CB3"/>
    <w:rsid w:val="006F0545"/>
    <w:rsid w:val="006F1C29"/>
    <w:rsid w:val="00701E56"/>
    <w:rsid w:val="0076629E"/>
    <w:rsid w:val="00790C7E"/>
    <w:rsid w:val="007A5AA4"/>
    <w:rsid w:val="007D1A0C"/>
    <w:rsid w:val="00807519"/>
    <w:rsid w:val="008101A2"/>
    <w:rsid w:val="00820EFF"/>
    <w:rsid w:val="00840971"/>
    <w:rsid w:val="00843D9E"/>
    <w:rsid w:val="00875E36"/>
    <w:rsid w:val="008B66A9"/>
    <w:rsid w:val="008D2B37"/>
    <w:rsid w:val="0092372E"/>
    <w:rsid w:val="00997189"/>
    <w:rsid w:val="009A2F24"/>
    <w:rsid w:val="009D02E7"/>
    <w:rsid w:val="009E3820"/>
    <w:rsid w:val="00A74C8F"/>
    <w:rsid w:val="00A967D7"/>
    <w:rsid w:val="00AA078A"/>
    <w:rsid w:val="00AA2EE9"/>
    <w:rsid w:val="00AB15E0"/>
    <w:rsid w:val="00AB53B2"/>
    <w:rsid w:val="00AC106A"/>
    <w:rsid w:val="00AE48A5"/>
    <w:rsid w:val="00AE5630"/>
    <w:rsid w:val="00AF35F1"/>
    <w:rsid w:val="00B16286"/>
    <w:rsid w:val="00B8128B"/>
    <w:rsid w:val="00BA2F48"/>
    <w:rsid w:val="00BF03AE"/>
    <w:rsid w:val="00BF52B9"/>
    <w:rsid w:val="00C06103"/>
    <w:rsid w:val="00C06EBB"/>
    <w:rsid w:val="00C725D4"/>
    <w:rsid w:val="00C92B16"/>
    <w:rsid w:val="00CE5257"/>
    <w:rsid w:val="00D5717D"/>
    <w:rsid w:val="00D73105"/>
    <w:rsid w:val="00D944F5"/>
    <w:rsid w:val="00DA3AC7"/>
    <w:rsid w:val="00DC62C3"/>
    <w:rsid w:val="00DD4B8B"/>
    <w:rsid w:val="00DE1809"/>
    <w:rsid w:val="00DE4A6F"/>
    <w:rsid w:val="00E00A70"/>
    <w:rsid w:val="00E05E4B"/>
    <w:rsid w:val="00E62493"/>
    <w:rsid w:val="00ED69DF"/>
    <w:rsid w:val="00EF4B36"/>
    <w:rsid w:val="00EF50DF"/>
    <w:rsid w:val="00F34456"/>
    <w:rsid w:val="00F65E81"/>
    <w:rsid w:val="00F74641"/>
    <w:rsid w:val="00FA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1F63"/>
  <w15:docId w15:val="{8B38F02D-9FDA-46FC-8649-5FEE2A21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B3E26"/>
    <w:rPr>
      <w:i/>
      <w:iCs/>
    </w:rPr>
  </w:style>
  <w:style w:type="paragraph" w:styleId="FootnoteText">
    <w:name w:val="footnote text"/>
    <w:basedOn w:val="Normal"/>
    <w:link w:val="FootnoteTextChar"/>
    <w:uiPriority w:val="99"/>
    <w:rsid w:val="00DC62C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DC62C3"/>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DC6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191">
      <w:bodyDiv w:val="1"/>
      <w:marLeft w:val="0"/>
      <w:marRight w:val="0"/>
      <w:marTop w:val="0"/>
      <w:marBottom w:val="0"/>
      <w:divBdr>
        <w:top w:val="none" w:sz="0" w:space="0" w:color="auto"/>
        <w:left w:val="none" w:sz="0" w:space="0" w:color="auto"/>
        <w:bottom w:val="none" w:sz="0" w:space="0" w:color="auto"/>
        <w:right w:val="none" w:sz="0" w:space="0" w:color="auto"/>
      </w:divBdr>
    </w:div>
    <w:div w:id="88043833">
      <w:bodyDiv w:val="1"/>
      <w:marLeft w:val="0"/>
      <w:marRight w:val="0"/>
      <w:marTop w:val="0"/>
      <w:marBottom w:val="0"/>
      <w:divBdr>
        <w:top w:val="none" w:sz="0" w:space="0" w:color="auto"/>
        <w:left w:val="none" w:sz="0" w:space="0" w:color="auto"/>
        <w:bottom w:val="none" w:sz="0" w:space="0" w:color="auto"/>
        <w:right w:val="none" w:sz="0" w:space="0" w:color="auto"/>
      </w:divBdr>
    </w:div>
    <w:div w:id="146555483">
      <w:bodyDiv w:val="1"/>
      <w:marLeft w:val="0"/>
      <w:marRight w:val="0"/>
      <w:marTop w:val="0"/>
      <w:marBottom w:val="0"/>
      <w:divBdr>
        <w:top w:val="none" w:sz="0" w:space="0" w:color="auto"/>
        <w:left w:val="none" w:sz="0" w:space="0" w:color="auto"/>
        <w:bottom w:val="none" w:sz="0" w:space="0" w:color="auto"/>
        <w:right w:val="none" w:sz="0" w:space="0" w:color="auto"/>
      </w:divBdr>
    </w:div>
    <w:div w:id="303433623">
      <w:bodyDiv w:val="1"/>
      <w:marLeft w:val="0"/>
      <w:marRight w:val="0"/>
      <w:marTop w:val="0"/>
      <w:marBottom w:val="0"/>
      <w:divBdr>
        <w:top w:val="none" w:sz="0" w:space="0" w:color="auto"/>
        <w:left w:val="none" w:sz="0" w:space="0" w:color="auto"/>
        <w:bottom w:val="none" w:sz="0" w:space="0" w:color="auto"/>
        <w:right w:val="none" w:sz="0" w:space="0" w:color="auto"/>
      </w:divBdr>
    </w:div>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449396491">
      <w:bodyDiv w:val="1"/>
      <w:marLeft w:val="0"/>
      <w:marRight w:val="0"/>
      <w:marTop w:val="0"/>
      <w:marBottom w:val="0"/>
      <w:divBdr>
        <w:top w:val="none" w:sz="0" w:space="0" w:color="auto"/>
        <w:left w:val="none" w:sz="0" w:space="0" w:color="auto"/>
        <w:bottom w:val="none" w:sz="0" w:space="0" w:color="auto"/>
        <w:right w:val="none" w:sz="0" w:space="0" w:color="auto"/>
      </w:divBdr>
    </w:div>
    <w:div w:id="487864136">
      <w:bodyDiv w:val="1"/>
      <w:marLeft w:val="0"/>
      <w:marRight w:val="0"/>
      <w:marTop w:val="0"/>
      <w:marBottom w:val="0"/>
      <w:divBdr>
        <w:top w:val="none" w:sz="0" w:space="0" w:color="auto"/>
        <w:left w:val="none" w:sz="0" w:space="0" w:color="auto"/>
        <w:bottom w:val="none" w:sz="0" w:space="0" w:color="auto"/>
        <w:right w:val="none" w:sz="0" w:space="0" w:color="auto"/>
      </w:divBdr>
    </w:div>
    <w:div w:id="545916251">
      <w:bodyDiv w:val="1"/>
      <w:marLeft w:val="0"/>
      <w:marRight w:val="0"/>
      <w:marTop w:val="0"/>
      <w:marBottom w:val="0"/>
      <w:divBdr>
        <w:top w:val="none" w:sz="0" w:space="0" w:color="auto"/>
        <w:left w:val="none" w:sz="0" w:space="0" w:color="auto"/>
        <w:bottom w:val="none" w:sz="0" w:space="0" w:color="auto"/>
        <w:right w:val="none" w:sz="0" w:space="0" w:color="auto"/>
      </w:divBdr>
    </w:div>
    <w:div w:id="552541664">
      <w:bodyDiv w:val="1"/>
      <w:marLeft w:val="0"/>
      <w:marRight w:val="0"/>
      <w:marTop w:val="0"/>
      <w:marBottom w:val="0"/>
      <w:divBdr>
        <w:top w:val="none" w:sz="0" w:space="0" w:color="auto"/>
        <w:left w:val="none" w:sz="0" w:space="0" w:color="auto"/>
        <w:bottom w:val="none" w:sz="0" w:space="0" w:color="auto"/>
        <w:right w:val="none" w:sz="0" w:space="0" w:color="auto"/>
      </w:divBdr>
    </w:div>
    <w:div w:id="705326025">
      <w:bodyDiv w:val="1"/>
      <w:marLeft w:val="0"/>
      <w:marRight w:val="0"/>
      <w:marTop w:val="0"/>
      <w:marBottom w:val="0"/>
      <w:divBdr>
        <w:top w:val="none" w:sz="0" w:space="0" w:color="auto"/>
        <w:left w:val="none" w:sz="0" w:space="0" w:color="auto"/>
        <w:bottom w:val="none" w:sz="0" w:space="0" w:color="auto"/>
        <w:right w:val="none" w:sz="0" w:space="0" w:color="auto"/>
      </w:divBdr>
    </w:div>
    <w:div w:id="939920813">
      <w:bodyDiv w:val="1"/>
      <w:marLeft w:val="0"/>
      <w:marRight w:val="0"/>
      <w:marTop w:val="0"/>
      <w:marBottom w:val="0"/>
      <w:divBdr>
        <w:top w:val="none" w:sz="0" w:space="0" w:color="auto"/>
        <w:left w:val="none" w:sz="0" w:space="0" w:color="auto"/>
        <w:bottom w:val="none" w:sz="0" w:space="0" w:color="auto"/>
        <w:right w:val="none" w:sz="0" w:space="0" w:color="auto"/>
      </w:divBdr>
    </w:div>
    <w:div w:id="975185334">
      <w:bodyDiv w:val="1"/>
      <w:marLeft w:val="0"/>
      <w:marRight w:val="0"/>
      <w:marTop w:val="0"/>
      <w:marBottom w:val="0"/>
      <w:divBdr>
        <w:top w:val="none" w:sz="0" w:space="0" w:color="auto"/>
        <w:left w:val="none" w:sz="0" w:space="0" w:color="auto"/>
        <w:bottom w:val="none" w:sz="0" w:space="0" w:color="auto"/>
        <w:right w:val="none" w:sz="0" w:space="0" w:color="auto"/>
      </w:divBdr>
    </w:div>
    <w:div w:id="1188102512">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451584477">
      <w:bodyDiv w:val="1"/>
      <w:marLeft w:val="0"/>
      <w:marRight w:val="0"/>
      <w:marTop w:val="0"/>
      <w:marBottom w:val="0"/>
      <w:divBdr>
        <w:top w:val="none" w:sz="0" w:space="0" w:color="auto"/>
        <w:left w:val="none" w:sz="0" w:space="0" w:color="auto"/>
        <w:bottom w:val="none" w:sz="0" w:space="0" w:color="auto"/>
        <w:right w:val="none" w:sz="0" w:space="0" w:color="auto"/>
      </w:divBdr>
    </w:div>
    <w:div w:id="1513373171">
      <w:bodyDiv w:val="1"/>
      <w:marLeft w:val="0"/>
      <w:marRight w:val="0"/>
      <w:marTop w:val="0"/>
      <w:marBottom w:val="0"/>
      <w:divBdr>
        <w:top w:val="none" w:sz="0" w:space="0" w:color="auto"/>
        <w:left w:val="none" w:sz="0" w:space="0" w:color="auto"/>
        <w:bottom w:val="none" w:sz="0" w:space="0" w:color="auto"/>
        <w:right w:val="none" w:sz="0" w:space="0" w:color="auto"/>
      </w:divBdr>
    </w:div>
    <w:div w:id="1684043873">
      <w:bodyDiv w:val="1"/>
      <w:marLeft w:val="0"/>
      <w:marRight w:val="0"/>
      <w:marTop w:val="0"/>
      <w:marBottom w:val="0"/>
      <w:divBdr>
        <w:top w:val="none" w:sz="0" w:space="0" w:color="auto"/>
        <w:left w:val="none" w:sz="0" w:space="0" w:color="auto"/>
        <w:bottom w:val="none" w:sz="0" w:space="0" w:color="auto"/>
        <w:right w:val="none" w:sz="0" w:space="0" w:color="auto"/>
      </w:divBdr>
    </w:div>
    <w:div w:id="1822455201">
      <w:bodyDiv w:val="1"/>
      <w:marLeft w:val="0"/>
      <w:marRight w:val="0"/>
      <w:marTop w:val="0"/>
      <w:marBottom w:val="0"/>
      <w:divBdr>
        <w:top w:val="none" w:sz="0" w:space="0" w:color="auto"/>
        <w:left w:val="none" w:sz="0" w:space="0" w:color="auto"/>
        <w:bottom w:val="none" w:sz="0" w:space="0" w:color="auto"/>
        <w:right w:val="none" w:sz="0" w:space="0" w:color="auto"/>
      </w:divBdr>
    </w:div>
    <w:div w:id="1829325570">
      <w:bodyDiv w:val="1"/>
      <w:marLeft w:val="0"/>
      <w:marRight w:val="0"/>
      <w:marTop w:val="0"/>
      <w:marBottom w:val="0"/>
      <w:divBdr>
        <w:top w:val="none" w:sz="0" w:space="0" w:color="auto"/>
        <w:left w:val="none" w:sz="0" w:space="0" w:color="auto"/>
        <w:bottom w:val="none" w:sz="0" w:space="0" w:color="auto"/>
        <w:right w:val="none" w:sz="0" w:space="0" w:color="auto"/>
      </w:divBdr>
    </w:div>
    <w:div w:id="1917665638">
      <w:bodyDiv w:val="1"/>
      <w:marLeft w:val="0"/>
      <w:marRight w:val="0"/>
      <w:marTop w:val="0"/>
      <w:marBottom w:val="0"/>
      <w:divBdr>
        <w:top w:val="none" w:sz="0" w:space="0" w:color="auto"/>
        <w:left w:val="none" w:sz="0" w:space="0" w:color="auto"/>
        <w:bottom w:val="none" w:sz="0" w:space="0" w:color="auto"/>
        <w:right w:val="none" w:sz="0" w:space="0" w:color="auto"/>
      </w:divBdr>
    </w:div>
    <w:div w:id="1991981259">
      <w:marLeft w:val="0"/>
      <w:marRight w:val="0"/>
      <w:marTop w:val="0"/>
      <w:marBottom w:val="0"/>
      <w:divBdr>
        <w:top w:val="none" w:sz="0" w:space="0" w:color="auto"/>
        <w:left w:val="none" w:sz="0" w:space="0" w:color="auto"/>
        <w:bottom w:val="none" w:sz="0" w:space="0" w:color="auto"/>
        <w:right w:val="none" w:sz="0" w:space="0" w:color="auto"/>
      </w:divBdr>
      <w:divsChild>
        <w:div w:id="1719476623">
          <w:marLeft w:val="0"/>
          <w:marRight w:val="0"/>
          <w:marTop w:val="0"/>
          <w:marBottom w:val="0"/>
          <w:divBdr>
            <w:top w:val="none" w:sz="0" w:space="0" w:color="auto"/>
            <w:left w:val="none" w:sz="0" w:space="0" w:color="auto"/>
            <w:bottom w:val="none" w:sz="0" w:space="0" w:color="auto"/>
            <w:right w:val="none" w:sz="0" w:space="0" w:color="auto"/>
          </w:divBdr>
          <w:divsChild>
            <w:div w:id="730689737">
              <w:marLeft w:val="0"/>
              <w:marRight w:val="0"/>
              <w:marTop w:val="0"/>
              <w:marBottom w:val="0"/>
              <w:divBdr>
                <w:top w:val="none" w:sz="0" w:space="0" w:color="auto"/>
                <w:left w:val="none" w:sz="0" w:space="0" w:color="auto"/>
                <w:bottom w:val="none" w:sz="0" w:space="0" w:color="auto"/>
                <w:right w:val="none" w:sz="0" w:space="0" w:color="auto"/>
              </w:divBdr>
              <w:divsChild>
                <w:div w:id="1843281388">
                  <w:marLeft w:val="0"/>
                  <w:marRight w:val="0"/>
                  <w:marTop w:val="0"/>
                  <w:marBottom w:val="0"/>
                  <w:divBdr>
                    <w:top w:val="none" w:sz="0" w:space="0" w:color="auto"/>
                    <w:left w:val="none" w:sz="0" w:space="0" w:color="auto"/>
                    <w:bottom w:val="none" w:sz="0" w:space="0" w:color="auto"/>
                    <w:right w:val="none" w:sz="0" w:space="0" w:color="auto"/>
                  </w:divBdr>
                  <w:divsChild>
                    <w:div w:id="13305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293">
      <w:marLeft w:val="0"/>
      <w:marRight w:val="0"/>
      <w:marTop w:val="0"/>
      <w:marBottom w:val="0"/>
      <w:divBdr>
        <w:top w:val="none" w:sz="0" w:space="0" w:color="auto"/>
        <w:left w:val="none" w:sz="0" w:space="0" w:color="auto"/>
        <w:bottom w:val="none" w:sz="0" w:space="0" w:color="auto"/>
        <w:right w:val="none" w:sz="0" w:space="0" w:color="auto"/>
      </w:divBdr>
      <w:divsChild>
        <w:div w:id="1202652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6E7A5-917F-48B1-AAAA-9718AB3D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4251</Words>
  <Characters>24237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28</cp:revision>
  <cp:lastPrinted>2025-07-19T09:49:00Z</cp:lastPrinted>
  <dcterms:created xsi:type="dcterms:W3CDTF">2025-07-30T14:57:00Z</dcterms:created>
  <dcterms:modified xsi:type="dcterms:W3CDTF">2025-12-14T04:49:00Z</dcterms:modified>
</cp:coreProperties>
</file>