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9D0B" w14:textId="2BD0CF52" w:rsidR="00085B95" w:rsidRPr="0037703D" w:rsidRDefault="00085B95" w:rsidP="00AA078A">
      <w:pPr>
        <w:pStyle w:val="NormalWeb"/>
        <w:spacing w:before="0" w:beforeAutospacing="0" w:after="0" w:afterAutospacing="0" w:line="288" w:lineRule="auto"/>
        <w:divId w:val="120265279"/>
        <w:rPr>
          <w:rStyle w:val="Strong"/>
          <w:color w:val="000000"/>
          <w:sz w:val="26"/>
          <w:szCs w:val="26"/>
        </w:rPr>
      </w:pPr>
    </w:p>
    <w:p w14:paraId="41F08ED4" w14:textId="5FDF0C94" w:rsidR="00085B95" w:rsidRPr="0037703D" w:rsidRDefault="00AA2EE9" w:rsidP="00085B95">
      <w:pPr>
        <w:pStyle w:val="NormalWeb"/>
        <w:spacing w:before="0" w:beforeAutospacing="0" w:after="0" w:afterAutospacing="0"/>
        <w:jc w:val="center"/>
        <w:divId w:val="120265279"/>
        <w:rPr>
          <w:b/>
          <w:bCs/>
          <w:color w:val="000000"/>
          <w:sz w:val="26"/>
          <w:szCs w:val="26"/>
        </w:rPr>
      </w:pPr>
      <w:r w:rsidRPr="0037703D">
        <w:rPr>
          <w:rStyle w:val="Strong"/>
          <w:color w:val="000000"/>
          <w:sz w:val="26"/>
          <w:szCs w:val="26"/>
        </w:rPr>
        <w:t>Phụ lục</w:t>
      </w:r>
      <w:r w:rsidR="00036F13" w:rsidRPr="0037703D">
        <w:rPr>
          <w:rStyle w:val="Strong"/>
          <w:color w:val="000000"/>
          <w:sz w:val="26"/>
          <w:szCs w:val="26"/>
        </w:rPr>
        <w:t xml:space="preserve"> </w:t>
      </w:r>
      <w:r w:rsidR="00D0555A">
        <w:rPr>
          <w:rStyle w:val="Strong"/>
          <w:color w:val="000000"/>
          <w:sz w:val="26"/>
          <w:szCs w:val="26"/>
        </w:rPr>
        <w:t>I</w:t>
      </w:r>
      <w:r w:rsidR="00036F13" w:rsidRPr="0037703D">
        <w:rPr>
          <w:rStyle w:val="Strong"/>
          <w:color w:val="000000"/>
          <w:sz w:val="26"/>
          <w:szCs w:val="26"/>
        </w:rPr>
        <w:t>.1</w:t>
      </w:r>
      <w:r w:rsidR="00936A7D" w:rsidRPr="0037703D">
        <w:rPr>
          <w:rStyle w:val="Strong"/>
          <w:color w:val="000000"/>
          <w:sz w:val="26"/>
          <w:szCs w:val="26"/>
        </w:rPr>
        <w:t>0</w:t>
      </w:r>
      <w:r w:rsidR="00036F13" w:rsidRPr="0037703D">
        <w:rPr>
          <w:rStyle w:val="Strong"/>
          <w:color w:val="000000"/>
          <w:sz w:val="26"/>
          <w:szCs w:val="26"/>
        </w:rPr>
        <w:t>.2.B</w:t>
      </w:r>
    </w:p>
    <w:p w14:paraId="44A44111" w14:textId="64650BE3" w:rsidR="00F34456" w:rsidRPr="0037703D" w:rsidRDefault="001D700B" w:rsidP="00840971">
      <w:pPr>
        <w:pStyle w:val="NormalWeb"/>
        <w:spacing w:before="0" w:beforeAutospacing="0" w:after="0" w:afterAutospacing="0"/>
        <w:jc w:val="center"/>
        <w:divId w:val="120265279"/>
        <w:rPr>
          <w:rStyle w:val="Strong"/>
          <w:color w:val="000000"/>
          <w:sz w:val="26"/>
          <w:szCs w:val="26"/>
        </w:rPr>
      </w:pPr>
      <w:r>
        <w:rPr>
          <w:rStyle w:val="Strong"/>
          <w:color w:val="000000"/>
          <w:sz w:val="26"/>
          <w:szCs w:val="26"/>
        </w:rPr>
        <w:t xml:space="preserve"> TÌNH HÌNH XỬ LÝ ĐỐI VỚI </w:t>
      </w:r>
      <w:r w:rsidR="00AA2EE9" w:rsidRPr="0037703D">
        <w:rPr>
          <w:rStyle w:val="Strong"/>
          <w:color w:val="000000"/>
          <w:sz w:val="26"/>
          <w:szCs w:val="26"/>
        </w:rPr>
        <w:t>KHÓ KHĂN, VƯỚNG MẮC DO QUY ĐỊNH PHÁP LUẬT</w:t>
      </w:r>
    </w:p>
    <w:p w14:paraId="6C611226" w14:textId="77777777" w:rsidR="0092372E" w:rsidRPr="0037703D" w:rsidRDefault="0092372E" w:rsidP="00840971">
      <w:pPr>
        <w:pStyle w:val="NormalWeb"/>
        <w:spacing w:before="0" w:beforeAutospacing="0" w:after="0" w:afterAutospacing="0"/>
        <w:jc w:val="center"/>
        <w:divId w:val="120265279"/>
        <w:rPr>
          <w:color w:val="000000"/>
          <w:sz w:val="26"/>
          <w:szCs w:val="26"/>
        </w:rPr>
      </w:pPr>
      <w:r w:rsidRPr="0037703D">
        <w:rPr>
          <w:rStyle w:val="Strong"/>
          <w:color w:val="000000"/>
          <w:sz w:val="26"/>
          <w:szCs w:val="26"/>
        </w:rPr>
        <w:t xml:space="preserve">THUỘC </w:t>
      </w:r>
      <w:r w:rsidR="001460D4" w:rsidRPr="0037703D">
        <w:rPr>
          <w:rStyle w:val="Strong"/>
          <w:color w:val="000000"/>
          <w:sz w:val="26"/>
          <w:szCs w:val="26"/>
        </w:rPr>
        <w:t>PHẠM VI PHỤ TRÁCH</w:t>
      </w:r>
      <w:r w:rsidRPr="0037703D">
        <w:rPr>
          <w:rStyle w:val="Strong"/>
          <w:color w:val="000000"/>
          <w:sz w:val="26"/>
          <w:szCs w:val="26"/>
        </w:rPr>
        <w:t xml:space="preserve"> CỦA </w:t>
      </w:r>
      <w:r w:rsidR="000A436D" w:rsidRPr="0037703D">
        <w:rPr>
          <w:rStyle w:val="Strong"/>
          <w:color w:val="000000"/>
          <w:sz w:val="26"/>
          <w:szCs w:val="26"/>
        </w:rPr>
        <w:t>BỘ QUỐC PHÒNG</w:t>
      </w:r>
    </w:p>
    <w:p w14:paraId="63022800" w14:textId="77777777" w:rsidR="00AA078A" w:rsidRPr="0037703D" w:rsidRDefault="00AA078A" w:rsidP="00AA078A">
      <w:pPr>
        <w:pStyle w:val="NormalWeb"/>
        <w:spacing w:before="0" w:beforeAutospacing="0" w:after="0" w:afterAutospacing="0"/>
        <w:jc w:val="center"/>
        <w:divId w:val="120265279"/>
        <w:rPr>
          <w:rStyle w:val="Strong"/>
          <w:color w:val="000000"/>
          <w:sz w:val="26"/>
          <w:szCs w:val="26"/>
        </w:rPr>
      </w:pPr>
      <w:r w:rsidRPr="0037703D">
        <w:rPr>
          <w:rStyle w:val="Strong"/>
          <w:color w:val="000000"/>
          <w:sz w:val="26"/>
          <w:szCs w:val="26"/>
        </w:rPr>
        <w:t xml:space="preserve">Tiêu chí: Quy định của VBQPPL không rõ ràng, có nhiều cách hiểu khác nhau, không hợp lý, không khả thi, </w:t>
      </w:r>
    </w:p>
    <w:p w14:paraId="64C56CED" w14:textId="77777777" w:rsidR="00AA078A" w:rsidRPr="0037703D" w:rsidRDefault="00AA078A" w:rsidP="00AA078A">
      <w:pPr>
        <w:pStyle w:val="NormalWeb"/>
        <w:spacing w:before="0" w:beforeAutospacing="0" w:after="0" w:afterAutospacing="0"/>
        <w:jc w:val="center"/>
        <w:divId w:val="120265279"/>
        <w:rPr>
          <w:rStyle w:val="Strong"/>
          <w:color w:val="000000"/>
          <w:sz w:val="26"/>
          <w:szCs w:val="26"/>
        </w:rPr>
      </w:pPr>
      <w:r w:rsidRPr="0037703D">
        <w:rPr>
          <w:rStyle w:val="Strong"/>
          <w:color w:val="000000"/>
          <w:sz w:val="26"/>
          <w:szCs w:val="26"/>
        </w:rPr>
        <w:t>gây khó khăn trong áp dụng, thực hiện pháp luật</w:t>
      </w:r>
    </w:p>
    <w:p w14:paraId="1A622FAB" w14:textId="77777777" w:rsidR="00D82B94" w:rsidRDefault="004D1B06" w:rsidP="004D1B06">
      <w:pPr>
        <w:pStyle w:val="NormalWeb"/>
        <w:spacing w:before="0" w:beforeAutospacing="0" w:after="0" w:afterAutospacing="0"/>
        <w:jc w:val="center"/>
        <w:divId w:val="120265279"/>
        <w:rPr>
          <w:b/>
          <w:sz w:val="26"/>
          <w:szCs w:val="26"/>
        </w:rPr>
      </w:pPr>
      <w:r w:rsidRPr="0037703D">
        <w:rPr>
          <w:rStyle w:val="Strong"/>
          <w:color w:val="000000"/>
          <w:sz w:val="26"/>
          <w:szCs w:val="26"/>
        </w:rPr>
        <w:t xml:space="preserve">Nhóm </w:t>
      </w:r>
      <w:r w:rsidR="00AF6A29" w:rsidRPr="0037703D">
        <w:rPr>
          <w:rStyle w:val="Strong"/>
          <w:color w:val="000000"/>
          <w:sz w:val="26"/>
          <w:szCs w:val="26"/>
        </w:rPr>
        <w:t>B</w:t>
      </w:r>
      <w:r w:rsidRPr="0037703D">
        <w:rPr>
          <w:rStyle w:val="Strong"/>
          <w:color w:val="000000"/>
          <w:sz w:val="26"/>
          <w:szCs w:val="26"/>
        </w:rPr>
        <w:t xml:space="preserve">. </w:t>
      </w:r>
      <w:r w:rsidR="009C24A0" w:rsidRPr="0037703D">
        <w:rPr>
          <w:b/>
          <w:sz w:val="26"/>
          <w:szCs w:val="26"/>
        </w:rPr>
        <w:t xml:space="preserve">Nhóm các nội dung cho ý kiến nhất trí nhưng không áp dụng phương án, quy trình xử lý </w:t>
      </w:r>
    </w:p>
    <w:p w14:paraId="04F0B3A4" w14:textId="486D0B95" w:rsidR="00D944F5" w:rsidRDefault="009C24A0" w:rsidP="004D1B06">
      <w:pPr>
        <w:pStyle w:val="NormalWeb"/>
        <w:spacing w:before="0" w:beforeAutospacing="0" w:after="0" w:afterAutospacing="0"/>
        <w:jc w:val="center"/>
        <w:divId w:val="120265279"/>
        <w:rPr>
          <w:b/>
          <w:sz w:val="26"/>
          <w:szCs w:val="26"/>
        </w:rPr>
      </w:pPr>
      <w:r w:rsidRPr="0037703D">
        <w:rPr>
          <w:b/>
          <w:sz w:val="26"/>
          <w:szCs w:val="26"/>
        </w:rPr>
        <w:t>nêu tại khoản 1 Điều 4 Nghị quyết số 206/2025/QH15 (xử lý theo quy trình thông thường)</w:t>
      </w:r>
    </w:p>
    <w:p w14:paraId="2494D3E0" w14:textId="6ECA9646" w:rsidR="00FB0FF7" w:rsidRPr="00BE5F3D" w:rsidRDefault="00000000" w:rsidP="0017032F">
      <w:pPr>
        <w:pStyle w:val="NormalWeb"/>
        <w:divId w:val="120265279"/>
        <w:rPr>
          <w:rStyle w:val="Strong"/>
          <w:b w:val="0"/>
          <w:bCs w:val="0"/>
          <w:i/>
          <w:color w:val="000000"/>
          <w:sz w:val="26"/>
          <w:szCs w:val="26"/>
          <w:lang w:val="vi-VN"/>
        </w:rPr>
      </w:pPr>
      <w:r>
        <w:rPr>
          <w:i/>
          <w:iCs/>
          <w:noProof/>
          <w:color w:val="000000"/>
          <w:sz w:val="26"/>
          <w:szCs w:val="26"/>
        </w:rPr>
        <w:pict w14:anchorId="533C31EF">
          <v:line id="Straight Connector 1" o:spid="_x0000_s1027" style="position:absolute;flip:y;z-index:251659264;visibility:visible" from="277.35pt,32.4pt" to="459.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" strokecolor="black [3200]" strokeweight=".5pt">
            <v:stroke joinstyle="miter"/>
          </v:line>
        </w:pict>
      </w:r>
    </w:p>
    <w:p w14:paraId="22CB7AD0" w14:textId="05B00757" w:rsidR="00F34456" w:rsidRPr="0037703D" w:rsidRDefault="00F34456" w:rsidP="00840971">
      <w:pPr>
        <w:pStyle w:val="NormalWeb"/>
        <w:spacing w:before="0" w:beforeAutospacing="0" w:after="0" w:afterAutospacing="0" w:line="288" w:lineRule="auto"/>
        <w:divId w:val="120265279"/>
        <w:rPr>
          <w:i/>
          <w:iCs/>
          <w:color w:val="000000"/>
          <w:sz w:val="26"/>
          <w:szCs w:val="26"/>
        </w:rPr>
      </w:pPr>
    </w:p>
    <w:tbl>
      <w:tblPr>
        <w:tblW w:w="14894"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7"/>
        <w:gridCol w:w="1750"/>
        <w:gridCol w:w="3626"/>
        <w:gridCol w:w="1752"/>
        <w:gridCol w:w="1985"/>
        <w:gridCol w:w="3118"/>
        <w:gridCol w:w="2106"/>
      </w:tblGrid>
      <w:tr w:rsidR="00701E56" w:rsidRPr="00021FD6" w14:paraId="62E3BBD0" w14:textId="77777777" w:rsidTr="001D700B">
        <w:trPr>
          <w:divId w:val="1330596125"/>
          <w:trHeight w:val="1317"/>
          <w:tblHeader/>
          <w:tblCellSpacing w:w="0" w:type="dxa"/>
        </w:trPr>
        <w:tc>
          <w:tcPr>
            <w:tcW w:w="557" w:type="dxa"/>
            <w:shd w:val="clear" w:color="auto" w:fill="FBE4D5" w:themeFill="accent2" w:themeFillTint="33"/>
            <w:hideMark/>
          </w:tcPr>
          <w:p w14:paraId="733332D5" w14:textId="77777777" w:rsidR="00701E56"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STT</w:t>
            </w:r>
          </w:p>
        </w:tc>
        <w:tc>
          <w:tcPr>
            <w:tcW w:w="1750" w:type="dxa"/>
            <w:shd w:val="clear" w:color="auto" w:fill="FBE4D5" w:themeFill="accent2" w:themeFillTint="33"/>
            <w:hideMark/>
          </w:tcPr>
          <w:p w14:paraId="09889250" w14:textId="77777777" w:rsidR="00444217"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 xml:space="preserve">Điều, khoản, điểm, tên văn bản đề xuất </w:t>
            </w:r>
          </w:p>
          <w:p w14:paraId="0E321B34" w14:textId="1C8731A7" w:rsidR="00701E56"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xử lý</w:t>
            </w:r>
          </w:p>
        </w:tc>
        <w:tc>
          <w:tcPr>
            <w:tcW w:w="3626" w:type="dxa"/>
            <w:shd w:val="clear" w:color="auto" w:fill="FBE4D5" w:themeFill="accent2" w:themeFillTint="33"/>
            <w:hideMark/>
          </w:tcPr>
          <w:p w14:paraId="334A5D41" w14:textId="53AC6719" w:rsidR="00701E56" w:rsidRPr="00191406" w:rsidRDefault="00191406" w:rsidP="00467DB7">
            <w:pPr>
              <w:pStyle w:val="NormalWeb"/>
              <w:spacing w:before="0" w:beforeAutospacing="0" w:after="0" w:afterAutospacing="0"/>
              <w:jc w:val="center"/>
              <w:rPr>
                <w:rFonts w:eastAsia="Times New Roman"/>
              </w:rPr>
            </w:pPr>
            <w:r w:rsidRPr="00191406">
              <w:rPr>
                <w:rStyle w:val="Strong"/>
                <w:color w:val="000000"/>
              </w:rPr>
              <w:t>Quy định của VBQPPL không rõ ràng, có nhiều cách hiểu khác nhau, không hợp lý, không khả thi, gây khó khăn trong áp dụng, thực hiện pháp luật</w:t>
            </w:r>
          </w:p>
        </w:tc>
        <w:tc>
          <w:tcPr>
            <w:tcW w:w="1752" w:type="dxa"/>
            <w:shd w:val="clear" w:color="auto" w:fill="FBE4D5" w:themeFill="accent2" w:themeFillTint="33"/>
            <w:hideMark/>
          </w:tcPr>
          <w:p w14:paraId="46E84567" w14:textId="77777777" w:rsidR="00701E56"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Phương án xử lý được đề xuất</w:t>
            </w:r>
          </w:p>
        </w:tc>
        <w:tc>
          <w:tcPr>
            <w:tcW w:w="1985" w:type="dxa"/>
            <w:shd w:val="clear" w:color="auto" w:fill="FBE4D5" w:themeFill="accent2" w:themeFillTint="33"/>
            <w:hideMark/>
          </w:tcPr>
          <w:p w14:paraId="57BB627F" w14:textId="77777777" w:rsidR="00840971"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Cơ quan, tổ chức</w:t>
            </w:r>
          </w:p>
          <w:p w14:paraId="4ABE996C" w14:textId="77777777" w:rsidR="00701E56"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rà soát, phản ánh</w:t>
            </w:r>
          </w:p>
        </w:tc>
        <w:tc>
          <w:tcPr>
            <w:tcW w:w="3118" w:type="dxa"/>
            <w:shd w:val="clear" w:color="auto" w:fill="FBE4D5" w:themeFill="accent2" w:themeFillTint="33"/>
            <w:hideMark/>
          </w:tcPr>
          <w:p w14:paraId="0D10A4AC" w14:textId="77777777" w:rsidR="00FA0269"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Ý kiến của Bộ</w:t>
            </w:r>
            <w:r w:rsidR="001D7D06" w:rsidRPr="00191406">
              <w:rPr>
                <w:rFonts w:ascii="Times New Roman" w:eastAsia="Times New Roman" w:hAnsi="Times New Roman" w:cs="Times New Roman"/>
                <w:b/>
                <w:bCs/>
              </w:rPr>
              <w:t xml:space="preserve"> Quốc phòng</w:t>
            </w:r>
          </w:p>
          <w:p w14:paraId="528A0531" w14:textId="77777777" w:rsidR="00701E56" w:rsidRPr="00191406" w:rsidRDefault="00701E56" w:rsidP="00021FD6">
            <w:pPr>
              <w:spacing w:after="0" w:line="240" w:lineRule="auto"/>
              <w:jc w:val="center"/>
              <w:rPr>
                <w:rFonts w:ascii="Times New Roman" w:eastAsia="Times New Roman" w:hAnsi="Times New Roman" w:cs="Times New Roman"/>
                <w:b/>
                <w:bCs/>
              </w:rPr>
            </w:pPr>
            <w:r w:rsidRPr="00191406">
              <w:rPr>
                <w:rFonts w:ascii="Times New Roman" w:eastAsia="Times New Roman" w:hAnsi="Times New Roman" w:cs="Times New Roman"/>
                <w:b/>
                <w:bCs/>
              </w:rPr>
              <w:t>về nội dung rà soát, phản ánh</w:t>
            </w:r>
          </w:p>
        </w:tc>
        <w:tc>
          <w:tcPr>
            <w:tcW w:w="2106" w:type="dxa"/>
            <w:shd w:val="clear" w:color="auto" w:fill="FBE4D5" w:themeFill="accent2" w:themeFillTint="33"/>
          </w:tcPr>
          <w:p w14:paraId="13F6172C" w14:textId="58A725E1" w:rsidR="00701E56" w:rsidRPr="00191406" w:rsidRDefault="001D700B" w:rsidP="00DE1399">
            <w:pPr>
              <w:spacing w:after="0" w:line="240" w:lineRule="auto"/>
              <w:jc w:val="center"/>
              <w:rPr>
                <w:rFonts w:ascii="Times New Roman" w:eastAsia="Times New Roman" w:hAnsi="Times New Roman" w:cs="Times New Roman"/>
                <w:b/>
                <w:bCs/>
              </w:rPr>
            </w:pPr>
            <w:r>
              <w:rPr>
                <w:rFonts w:ascii="Times New Roman" w:hAnsi="Times New Roman"/>
                <w:b/>
                <w:bCs/>
                <w:kern w:val="0"/>
                <w:sz w:val="25"/>
                <w:szCs w:val="25"/>
              </w:rPr>
              <w:t xml:space="preserve">Tình hình xử lý </w:t>
            </w:r>
          </w:p>
        </w:tc>
      </w:tr>
      <w:tr w:rsidR="00E54E13" w:rsidRPr="00021FD6" w14:paraId="65FDE390" w14:textId="77777777" w:rsidTr="00583C70">
        <w:trPr>
          <w:divId w:val="1330596125"/>
          <w:trHeight w:val="648"/>
          <w:tblCellSpacing w:w="0" w:type="dxa"/>
        </w:trPr>
        <w:tc>
          <w:tcPr>
            <w:tcW w:w="557" w:type="dxa"/>
            <w:hideMark/>
          </w:tcPr>
          <w:p w14:paraId="55A909AE" w14:textId="77777777" w:rsidR="00E54E13" w:rsidRPr="00021FD6" w:rsidRDefault="00E54E13" w:rsidP="00E54E1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w:t>
            </w:r>
          </w:p>
        </w:tc>
        <w:tc>
          <w:tcPr>
            <w:tcW w:w="1750" w:type="dxa"/>
          </w:tcPr>
          <w:p w14:paraId="50E5405C" w14:textId="77777777" w:rsidR="00E54E13" w:rsidRPr="00021FD6" w:rsidRDefault="00E54E13" w:rsidP="00356DE1">
            <w:pPr>
              <w:spacing w:after="0" w:line="240" w:lineRule="auto"/>
              <w:ind w:left="156" w:right="210"/>
              <w:jc w:val="both"/>
              <w:rPr>
                <w:rFonts w:ascii="Times New Roman" w:eastAsia="Times New Roman" w:hAnsi="Times New Roman" w:cs="Times New Roman"/>
                <w:sz w:val="25"/>
                <w:szCs w:val="25"/>
              </w:rPr>
            </w:pPr>
            <w:r w:rsidRPr="004C1DB2">
              <w:rPr>
                <w:rFonts w:ascii="Times New Roman" w:eastAsia="Times New Roman" w:hAnsi="Times New Roman" w:cs="Times New Roman"/>
                <w:sz w:val="25"/>
                <w:szCs w:val="25"/>
              </w:rPr>
              <w:t xml:space="preserve">Nghị định 32/2023/NĐ-CP ngày 09/6/2023 sửa đổi, bổ sung Nghị định số 53/2018/NĐ-CP ngày 16 tháng 4 năm 2018 của Chính phủ sửa đổi, bổ sung Nghị định số </w:t>
            </w:r>
            <w:r w:rsidRPr="004C1DB2">
              <w:rPr>
                <w:rFonts w:ascii="Times New Roman" w:eastAsia="Times New Roman" w:hAnsi="Times New Roman" w:cs="Times New Roman"/>
                <w:sz w:val="25"/>
                <w:szCs w:val="25"/>
              </w:rPr>
              <w:lastRenderedPageBreak/>
              <w:t>58/2016/NĐ-CP ngày 01 tháng 7 năm 2016 của Chính phủ quy định chi tiết về kinh doanh sản phẩm, dịch vụ mật mã dân sự và xuất khẩu, nhập khẩu sản phẩm mật mã dân sự</w:t>
            </w:r>
          </w:p>
        </w:tc>
        <w:tc>
          <w:tcPr>
            <w:tcW w:w="3626" w:type="dxa"/>
          </w:tcPr>
          <w:p w14:paraId="05E2F5B2" w14:textId="77777777" w:rsidR="00E54E13" w:rsidRPr="00710B78"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lastRenderedPageBreak/>
              <w:t>Nghị định quy định về kinh doanh sản phẩm, dịch vụ mật mã dân sự và xuất khẩu, nhập khẩu sản phẩm mật mã dân sự và danh mục sản phẩm mật mã dân sự xuất khẩu, nhập khẩu theo giấy phép</w:t>
            </w:r>
          </w:p>
          <w:p w14:paraId="6EF87332" w14:textId="77777777" w:rsidR="00E54E13" w:rsidRPr="00710B78"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t>Khó khăn:</w:t>
            </w:r>
          </w:p>
          <w:p w14:paraId="4C683495" w14:textId="77777777" w:rsidR="00E54E13" w:rsidRPr="00710B78"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t>- Danh mục với mã số HS, tên gọi và mô tả chức năng mật mã tuy nhiên rất khó khăn cho doanh nghiệp xác định sản phẩm của mình có thuộc phạm vi của nghị định không.</w:t>
            </w:r>
          </w:p>
          <w:p w14:paraId="54B615DD" w14:textId="77777777" w:rsidR="00E54E13" w:rsidRPr="00710B78"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t xml:space="preserve">- Trong thực tế, có những loại </w:t>
            </w:r>
            <w:r w:rsidRPr="00710B78">
              <w:rPr>
                <w:rFonts w:ascii="Times New Roman" w:eastAsia="Times New Roman" w:hAnsi="Times New Roman" w:cs="Times New Roman"/>
                <w:sz w:val="25"/>
                <w:szCs w:val="25"/>
              </w:rPr>
              <w:lastRenderedPageBreak/>
              <w:t>sản phẩm có cùng mã HS, tên gọi và mô tả chức năng theo phụ lục của nghị định nhưng không có chức năng mật mã dân sự nhưng doanh nghiệp vẫn phải làm thủ tục xin giấy phép.</w:t>
            </w:r>
          </w:p>
          <w:p w14:paraId="6871A20A" w14:textId="77777777" w:rsidR="00E54E13" w:rsidRPr="00710B78"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t>- Hoặc có những sản phẩm không có chức năng mật mã dân sự mặc dù trong catalogue có thể hiện một số chức năng nằm trong danh mục của nghị định gây khó khăn khi doanh nghiệp thực hiện nhập khẩu, xuất khẩu</w:t>
            </w:r>
          </w:p>
          <w:p w14:paraId="6A6242E8" w14:textId="77777777" w:rsidR="00E54E13" w:rsidRPr="00021FD6" w:rsidRDefault="00E54E13" w:rsidP="00356DE1">
            <w:pPr>
              <w:spacing w:after="0" w:line="240" w:lineRule="auto"/>
              <w:ind w:left="156" w:right="210"/>
              <w:jc w:val="both"/>
              <w:rPr>
                <w:rFonts w:ascii="Times New Roman" w:eastAsia="Times New Roman" w:hAnsi="Times New Roman" w:cs="Times New Roman"/>
                <w:sz w:val="25"/>
                <w:szCs w:val="25"/>
              </w:rPr>
            </w:pPr>
            <w:r w:rsidRPr="00710B78">
              <w:rPr>
                <w:rFonts w:ascii="Times New Roman" w:eastAsia="Times New Roman" w:hAnsi="Times New Roman" w:cs="Times New Roman"/>
                <w:sz w:val="25"/>
                <w:szCs w:val="25"/>
              </w:rPr>
              <w:t>Đề nghị cần bổ sung danh sách các loai sản phẩm có chức năng mật mã dân sự đã được cấp giấy phép hoặc phương tiện tra cứu online các sản phẩm cần phải xin giấy phép</w:t>
            </w:r>
          </w:p>
        </w:tc>
        <w:tc>
          <w:tcPr>
            <w:tcW w:w="1752" w:type="dxa"/>
            <w:vAlign w:val="center"/>
          </w:tcPr>
          <w:p w14:paraId="56AD9FFD" w14:textId="77777777" w:rsidR="00E54E13" w:rsidRPr="00021FD6" w:rsidRDefault="00E54E13" w:rsidP="00356DE1">
            <w:pPr>
              <w:spacing w:after="0" w:line="240" w:lineRule="auto"/>
              <w:ind w:left="93" w:right="185"/>
              <w:jc w:val="both"/>
              <w:rPr>
                <w:rFonts w:ascii="Times New Roman" w:eastAsia="Times New Roman" w:hAnsi="Times New Roman" w:cs="Times New Roman"/>
                <w:sz w:val="25"/>
                <w:szCs w:val="25"/>
              </w:rPr>
            </w:pPr>
            <w:r w:rsidRPr="00C05872">
              <w:rPr>
                <w:rFonts w:ascii="Times New Roman" w:hAnsi="Times New Roman" w:cs="Times New Roman"/>
                <w:sz w:val="25"/>
                <w:szCs w:val="25"/>
              </w:rPr>
              <w:lastRenderedPageBreak/>
              <w:t>C. Sửa đổi, bổ sung, thay thế, ban hành mới VBQPPL (theo trình tự, thủ tục rút gọn ban hành VBQPPL của Luật Ban hành VBQPPL)</w:t>
            </w:r>
          </w:p>
        </w:tc>
        <w:tc>
          <w:tcPr>
            <w:tcW w:w="1985" w:type="dxa"/>
            <w:vAlign w:val="center"/>
          </w:tcPr>
          <w:p w14:paraId="5DDF815A" w14:textId="77777777" w:rsidR="00E54E13" w:rsidRPr="00021FD6" w:rsidRDefault="00E54E13" w:rsidP="00356DE1">
            <w:pPr>
              <w:spacing w:after="0" w:line="240" w:lineRule="auto"/>
              <w:ind w:left="93" w:right="185"/>
              <w:jc w:val="both"/>
              <w:rPr>
                <w:rFonts w:ascii="Times New Roman" w:eastAsia="Times New Roman" w:hAnsi="Times New Roman" w:cs="Times New Roman"/>
                <w:sz w:val="25"/>
                <w:szCs w:val="25"/>
              </w:rPr>
            </w:pPr>
            <w:r w:rsidRPr="00C05872">
              <w:rPr>
                <w:rFonts w:ascii="Times New Roman" w:hAnsi="Times New Roman" w:cs="Times New Roman"/>
                <w:sz w:val="25"/>
                <w:szCs w:val="25"/>
              </w:rPr>
              <w:t xml:space="preserve">Tập đoàn Công nghiệp - Viễn thông quân đội </w:t>
            </w:r>
          </w:p>
        </w:tc>
        <w:tc>
          <w:tcPr>
            <w:tcW w:w="3118" w:type="dxa"/>
            <w:vAlign w:val="center"/>
          </w:tcPr>
          <w:p w14:paraId="62724EBB" w14:textId="77777777" w:rsidR="00E54E13" w:rsidRPr="00C05872" w:rsidRDefault="00E54E13" w:rsidP="00356DE1">
            <w:pPr>
              <w:spacing w:after="0" w:line="240" w:lineRule="auto"/>
              <w:ind w:left="93" w:right="185"/>
              <w:rPr>
                <w:rFonts w:ascii="Times New Roman" w:hAnsi="Times New Roman" w:cs="Times New Roman"/>
                <w:sz w:val="25"/>
                <w:szCs w:val="25"/>
              </w:rPr>
            </w:pPr>
            <w:r w:rsidRPr="00C05872">
              <w:rPr>
                <w:rFonts w:ascii="Times New Roman" w:hAnsi="Times New Roman" w:cs="Times New Roman"/>
                <w:sz w:val="25"/>
                <w:szCs w:val="25"/>
              </w:rPr>
              <w:t xml:space="preserve">Không nhất trí phương án xử lý. </w:t>
            </w:r>
          </w:p>
          <w:p w14:paraId="5643517F" w14:textId="77777777" w:rsidR="00E54E13" w:rsidRPr="00C05872" w:rsidRDefault="00E54E13" w:rsidP="00356DE1">
            <w:pPr>
              <w:spacing w:after="0" w:line="240" w:lineRule="auto"/>
              <w:ind w:left="93" w:right="185"/>
              <w:rPr>
                <w:rFonts w:ascii="Times New Roman" w:hAnsi="Times New Roman" w:cs="Times New Roman"/>
                <w:sz w:val="25"/>
                <w:szCs w:val="25"/>
              </w:rPr>
            </w:pPr>
            <w:r w:rsidRPr="00C05872">
              <w:rPr>
                <w:rFonts w:ascii="Times New Roman" w:hAnsi="Times New Roman" w:cs="Times New Roman"/>
                <w:sz w:val="25"/>
                <w:szCs w:val="25"/>
              </w:rPr>
              <w:t xml:space="preserve">Lý do: </w:t>
            </w:r>
          </w:p>
          <w:p w14:paraId="6F9A4EC0" w14:textId="77777777" w:rsidR="00E54E13" w:rsidRPr="00021FD6" w:rsidRDefault="00E54E13" w:rsidP="00356DE1">
            <w:pPr>
              <w:spacing w:after="0" w:line="240" w:lineRule="auto"/>
              <w:ind w:left="93" w:right="185"/>
              <w:jc w:val="both"/>
              <w:rPr>
                <w:rFonts w:ascii="Times New Roman" w:hAnsi="Times New Roman" w:cs="Times New Roman"/>
                <w:color w:val="000000"/>
                <w:sz w:val="25"/>
                <w:szCs w:val="25"/>
              </w:rPr>
            </w:pPr>
            <w:r w:rsidRPr="00C05872">
              <w:rPr>
                <w:rFonts w:ascii="Times New Roman" w:hAnsi="Times New Roman" w:cs="Times New Roman"/>
                <w:sz w:val="25"/>
                <w:szCs w:val="25"/>
              </w:rPr>
              <w:t xml:space="preserve">Bộ Quốc phòng đang trình Chính phủ dự thảo Nghị định thay thế Nghị định số 32/2023/NĐ-CP,trong đó đã xử lý các nội dung về cấu trúc, nội dung Danh mục sản phẩm mật mã dân sự xuất khẩu, nhập khẩu theo giấy phép, tạo điều kiện thuận lợi trong việc xác định sản phẩm có hoặc không có chức năng mật </w:t>
            </w:r>
            <w:r w:rsidRPr="00C05872">
              <w:rPr>
                <w:rFonts w:ascii="Times New Roman" w:hAnsi="Times New Roman" w:cs="Times New Roman"/>
                <w:sz w:val="25"/>
                <w:szCs w:val="25"/>
              </w:rPr>
              <w:lastRenderedPageBreak/>
              <w:t>mã nhằm phân biệt rõ sản phẩm MMDS với sản phẩm CNTT</w:t>
            </w:r>
          </w:p>
        </w:tc>
        <w:tc>
          <w:tcPr>
            <w:tcW w:w="2106" w:type="dxa"/>
          </w:tcPr>
          <w:p w14:paraId="1A6B423F" w14:textId="3FE2A8D3" w:rsidR="00505C81" w:rsidRPr="00505C81" w:rsidRDefault="00505C81" w:rsidP="00583C70">
            <w:pPr>
              <w:spacing w:after="0" w:line="240" w:lineRule="auto"/>
              <w:ind w:left="93" w:right="185"/>
              <w:jc w:val="both"/>
              <w:rPr>
                <w:rFonts w:ascii="Times New Roman" w:hAnsi="Times New Roman" w:cs="Times New Roman"/>
                <w:b/>
                <w:sz w:val="25"/>
                <w:szCs w:val="25"/>
              </w:rPr>
            </w:pPr>
            <w:r w:rsidRPr="00505C81">
              <w:rPr>
                <w:rFonts w:ascii="Times New Roman" w:hAnsi="Times New Roman" w:cs="Times New Roman"/>
                <w:b/>
                <w:sz w:val="25"/>
                <w:szCs w:val="25"/>
              </w:rPr>
              <w:lastRenderedPageBreak/>
              <w:t>Đã xử lý</w:t>
            </w:r>
          </w:p>
          <w:p w14:paraId="796A025F" w14:textId="6DE8E377" w:rsidR="00583C70" w:rsidRDefault="00583C70" w:rsidP="00583C70">
            <w:pPr>
              <w:spacing w:after="0" w:line="240" w:lineRule="auto"/>
              <w:ind w:left="93" w:right="185"/>
              <w:jc w:val="both"/>
              <w:rPr>
                <w:rFonts w:ascii="Times New Roman" w:hAnsi="Times New Roman" w:cs="Times New Roman"/>
                <w:sz w:val="25"/>
                <w:szCs w:val="25"/>
              </w:rPr>
            </w:pPr>
            <w:r w:rsidRPr="00DE7E6B">
              <w:rPr>
                <w:rFonts w:ascii="Times New Roman" w:hAnsi="Times New Roman" w:cs="Times New Roman"/>
                <w:sz w:val="25"/>
                <w:szCs w:val="25"/>
              </w:rPr>
              <w:t xml:space="preserve">Ngày 25/7/2025, Chính phủ ban hành Nghị định số 211/2025/NĐ-CP quy định về hoạt động mật mã dân sự và sửa đổi bổ sung một số điều của Nghị định số 15/2020/NĐ-CP ngày 03/02/2020 của Chính phủ quy định xử phạt </w:t>
            </w:r>
            <w:r w:rsidRPr="00DE7E6B">
              <w:rPr>
                <w:rFonts w:ascii="Times New Roman" w:hAnsi="Times New Roman" w:cs="Times New Roman"/>
                <w:sz w:val="25"/>
                <w:szCs w:val="25"/>
              </w:rPr>
              <w:lastRenderedPageBreak/>
              <w:t>vi phạm hành chính trong các lĩnh vực bưu chính, viễn thông, tần số vô tuyến điện, công nghệ thông tin và giao dịch điện tử được sửa đổi, bổ sung một số điều tại Nghị định số 14/202</w:t>
            </w:r>
            <w:r>
              <w:rPr>
                <w:rFonts w:ascii="Times New Roman" w:hAnsi="Times New Roman" w:cs="Times New Roman"/>
                <w:sz w:val="25"/>
                <w:szCs w:val="25"/>
              </w:rPr>
              <w:t>2</w:t>
            </w:r>
            <w:r w:rsidRPr="00DE7E6B">
              <w:rPr>
                <w:rFonts w:ascii="Times New Roman" w:hAnsi="Times New Roman" w:cs="Times New Roman"/>
                <w:sz w:val="25"/>
                <w:szCs w:val="25"/>
              </w:rPr>
              <w:t>/NĐ-CP ngày 2</w:t>
            </w:r>
            <w:r>
              <w:rPr>
                <w:rFonts w:ascii="Times New Roman" w:hAnsi="Times New Roman" w:cs="Times New Roman"/>
                <w:sz w:val="25"/>
                <w:szCs w:val="25"/>
              </w:rPr>
              <w:t>7</w:t>
            </w:r>
            <w:r w:rsidRPr="00DE7E6B">
              <w:rPr>
                <w:rFonts w:ascii="Times New Roman" w:hAnsi="Times New Roman" w:cs="Times New Roman"/>
                <w:sz w:val="25"/>
                <w:szCs w:val="25"/>
              </w:rPr>
              <w:t xml:space="preserve">/01/2022 của Chính phủ, có hiệu lực thi hành từ ngày 09/9/2025. </w:t>
            </w:r>
          </w:p>
          <w:p w14:paraId="0DCBFEE2" w14:textId="72E9F7D6" w:rsidR="00E54E13" w:rsidRPr="004D1B06" w:rsidRDefault="00583C70" w:rsidP="00583C70">
            <w:pPr>
              <w:spacing w:after="0" w:line="240" w:lineRule="auto"/>
              <w:ind w:left="93" w:right="185"/>
              <w:jc w:val="both"/>
              <w:rPr>
                <w:rFonts w:ascii="Times New Roman" w:eastAsia="Times New Roman" w:hAnsi="Times New Roman" w:cs="Times New Roman"/>
                <w:sz w:val="25"/>
                <w:szCs w:val="25"/>
              </w:rPr>
            </w:pPr>
            <w:r w:rsidRPr="00DE7E6B">
              <w:rPr>
                <w:rFonts w:ascii="Times New Roman" w:hAnsi="Times New Roman" w:cs="Times New Roman"/>
                <w:sz w:val="25"/>
                <w:szCs w:val="25"/>
              </w:rPr>
              <w:t xml:space="preserve">Các Nghị định 32/2023/NĐ-CP, Nghị định số 53/2018/NĐ-CP, Nghị định số 58/2016/NĐ-CP hết hiệu lực kể từ ngày Nghị định số 211/2025/NĐ-CP có hiệu lực </w:t>
            </w:r>
            <w:r w:rsidRPr="00DE7E6B">
              <w:rPr>
                <w:rFonts w:ascii="Times New Roman" w:hAnsi="Times New Roman" w:cs="Times New Roman"/>
                <w:sz w:val="25"/>
                <w:szCs w:val="25"/>
              </w:rPr>
              <w:lastRenderedPageBreak/>
              <w:t>thi hành.</w:t>
            </w:r>
          </w:p>
        </w:tc>
      </w:tr>
    </w:tbl>
    <w:p w14:paraId="581005BF" w14:textId="77777777" w:rsidR="004E0272" w:rsidRPr="00840971" w:rsidRDefault="004E0272" w:rsidP="00840971">
      <w:pPr>
        <w:spacing w:after="0"/>
        <w:divId w:val="1330596125"/>
        <w:rPr>
          <w:rFonts w:ascii="Times New Roman" w:eastAsia="Times New Roman" w:hAnsi="Times New Roman" w:cs="Times New Roman"/>
          <w:sz w:val="25"/>
          <w:szCs w:val="25"/>
        </w:rPr>
      </w:pPr>
    </w:p>
    <w:sectPr w:rsidR="004E0272" w:rsidRPr="00840971" w:rsidSect="00450EE3">
      <w:headerReference w:type="default" r:id="rId7"/>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1831" w14:textId="77777777" w:rsidR="00614D0B" w:rsidRDefault="00614D0B" w:rsidP="00E62493">
      <w:pPr>
        <w:spacing w:after="0" w:line="240" w:lineRule="auto"/>
      </w:pPr>
      <w:r>
        <w:separator/>
      </w:r>
    </w:p>
  </w:endnote>
  <w:endnote w:type="continuationSeparator" w:id="0">
    <w:p w14:paraId="1626A063" w14:textId="77777777" w:rsidR="00614D0B" w:rsidRDefault="00614D0B"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4FAE" w14:textId="77777777" w:rsidR="00614D0B" w:rsidRDefault="00614D0B" w:rsidP="00E62493">
      <w:pPr>
        <w:spacing w:after="0" w:line="240" w:lineRule="auto"/>
      </w:pPr>
      <w:r>
        <w:separator/>
      </w:r>
    </w:p>
  </w:footnote>
  <w:footnote w:type="continuationSeparator" w:id="0">
    <w:p w14:paraId="552798D0" w14:textId="77777777" w:rsidR="00614D0B" w:rsidRDefault="00614D0B"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0540A50B" w14:textId="5807FBF0" w:rsidR="00E62493" w:rsidRPr="00E62493" w:rsidRDefault="00B26442">
        <w:pPr>
          <w:pStyle w:val="Header"/>
          <w:jc w:val="center"/>
          <w:rPr>
            <w:rFonts w:ascii="Times New Roman" w:hAnsi="Times New Roman" w:cs="Times New Roman"/>
          </w:rPr>
        </w:pPr>
        <w:r w:rsidRPr="00E62493">
          <w:rPr>
            <w:rFonts w:ascii="Times New Roman" w:hAnsi="Times New Roman" w:cs="Times New Roman"/>
          </w:rPr>
          <w:fldChar w:fldCharType="begin"/>
        </w:r>
        <w:r w:rsidR="00E62493"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505C81">
          <w:rPr>
            <w:rFonts w:ascii="Times New Roman" w:hAnsi="Times New Roman" w:cs="Times New Roman"/>
            <w:noProof/>
          </w:rPr>
          <w:t>2</w:t>
        </w:r>
        <w:r w:rsidRPr="00E62493">
          <w:rPr>
            <w:rFonts w:ascii="Times New Roman" w:hAnsi="Times New Roman" w:cs="Times New Roman"/>
            <w:noProof/>
          </w:rPr>
          <w:fldChar w:fldCharType="end"/>
        </w:r>
      </w:p>
    </w:sdtContent>
  </w:sdt>
  <w:p w14:paraId="1C0840BC" w14:textId="77777777" w:rsidR="00E62493" w:rsidRDefault="00E62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128B"/>
    <w:rsid w:val="00021FD6"/>
    <w:rsid w:val="000276DE"/>
    <w:rsid w:val="00036F13"/>
    <w:rsid w:val="00085B95"/>
    <w:rsid w:val="00096A51"/>
    <w:rsid w:val="000A436D"/>
    <w:rsid w:val="000B3E26"/>
    <w:rsid w:val="000D0D00"/>
    <w:rsid w:val="001460D4"/>
    <w:rsid w:val="0017032F"/>
    <w:rsid w:val="00176BCE"/>
    <w:rsid w:val="00191406"/>
    <w:rsid w:val="001C616C"/>
    <w:rsid w:val="001D66E6"/>
    <w:rsid w:val="001D700B"/>
    <w:rsid w:val="001D7D06"/>
    <w:rsid w:val="002451C5"/>
    <w:rsid w:val="00246783"/>
    <w:rsid w:val="00271914"/>
    <w:rsid w:val="00274826"/>
    <w:rsid w:val="002A0343"/>
    <w:rsid w:val="00345232"/>
    <w:rsid w:val="00347425"/>
    <w:rsid w:val="00356DE1"/>
    <w:rsid w:val="0037703D"/>
    <w:rsid w:val="003F3CE4"/>
    <w:rsid w:val="00402285"/>
    <w:rsid w:val="004334E6"/>
    <w:rsid w:val="00442F39"/>
    <w:rsid w:val="00444217"/>
    <w:rsid w:val="00450EE3"/>
    <w:rsid w:val="00467DB7"/>
    <w:rsid w:val="004D0FCC"/>
    <w:rsid w:val="004D1B06"/>
    <w:rsid w:val="004D4465"/>
    <w:rsid w:val="004E0272"/>
    <w:rsid w:val="004E6E7F"/>
    <w:rsid w:val="004F05D8"/>
    <w:rsid w:val="00505C81"/>
    <w:rsid w:val="005659CA"/>
    <w:rsid w:val="00577595"/>
    <w:rsid w:val="00583C70"/>
    <w:rsid w:val="005C103B"/>
    <w:rsid w:val="00614D0B"/>
    <w:rsid w:val="006F12AC"/>
    <w:rsid w:val="006F6393"/>
    <w:rsid w:val="00701E56"/>
    <w:rsid w:val="0076629E"/>
    <w:rsid w:val="007C4417"/>
    <w:rsid w:val="00807519"/>
    <w:rsid w:val="00820EFF"/>
    <w:rsid w:val="00825265"/>
    <w:rsid w:val="00840971"/>
    <w:rsid w:val="00865CA7"/>
    <w:rsid w:val="008B66A9"/>
    <w:rsid w:val="0092372E"/>
    <w:rsid w:val="00936A7D"/>
    <w:rsid w:val="009877AD"/>
    <w:rsid w:val="00994738"/>
    <w:rsid w:val="00995456"/>
    <w:rsid w:val="00997189"/>
    <w:rsid w:val="009C24A0"/>
    <w:rsid w:val="009D02E7"/>
    <w:rsid w:val="00A967D7"/>
    <w:rsid w:val="00AA078A"/>
    <w:rsid w:val="00AA2EE9"/>
    <w:rsid w:val="00AB53B2"/>
    <w:rsid w:val="00AC6030"/>
    <w:rsid w:val="00AF6A29"/>
    <w:rsid w:val="00B242C7"/>
    <w:rsid w:val="00B26442"/>
    <w:rsid w:val="00B8128B"/>
    <w:rsid w:val="00B97A75"/>
    <w:rsid w:val="00BA2F48"/>
    <w:rsid w:val="00BE5F3D"/>
    <w:rsid w:val="00BF52B9"/>
    <w:rsid w:val="00C725D4"/>
    <w:rsid w:val="00CD4D5C"/>
    <w:rsid w:val="00D0555A"/>
    <w:rsid w:val="00D35BEA"/>
    <w:rsid w:val="00D40A00"/>
    <w:rsid w:val="00D71BA3"/>
    <w:rsid w:val="00D82B94"/>
    <w:rsid w:val="00D944F5"/>
    <w:rsid w:val="00DA3AC7"/>
    <w:rsid w:val="00DC792B"/>
    <w:rsid w:val="00DE1399"/>
    <w:rsid w:val="00DE1809"/>
    <w:rsid w:val="00DE1B4C"/>
    <w:rsid w:val="00E130D7"/>
    <w:rsid w:val="00E3592A"/>
    <w:rsid w:val="00E54E13"/>
    <w:rsid w:val="00E62493"/>
    <w:rsid w:val="00ED69DF"/>
    <w:rsid w:val="00F34456"/>
    <w:rsid w:val="00F37ED5"/>
    <w:rsid w:val="00F92C0E"/>
    <w:rsid w:val="00FA0269"/>
    <w:rsid w:val="00FB0FF7"/>
    <w:rsid w:val="00FD1E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026C83"/>
  <w15:docId w15:val="{7E031308-714A-49B3-ACB0-916643AD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42"/>
  </w:style>
  <w:style w:type="paragraph" w:styleId="Heading3">
    <w:name w:val="heading 3"/>
    <w:basedOn w:val="Normal"/>
    <w:link w:val="Heading3Char"/>
    <w:uiPriority w:val="9"/>
    <w:qFormat/>
    <w:rsid w:val="00B26442"/>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6442"/>
    <w:rPr>
      <w:rFonts w:ascii="Times New Roman" w:hAnsi="Times New Roman" w:cs="Times New Roman"/>
      <w:b/>
      <w:bCs/>
      <w:kern w:val="0"/>
      <w:sz w:val="27"/>
      <w:szCs w:val="27"/>
    </w:rPr>
  </w:style>
  <w:style w:type="paragraph" w:styleId="NormalWeb">
    <w:name w:val="Normal (Web)"/>
    <w:basedOn w:val="Normal"/>
    <w:uiPriority w:val="99"/>
    <w:unhideWhenUsed/>
    <w:rsid w:val="00B26442"/>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B26442"/>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FootnoteText">
    <w:name w:val="footnote text"/>
    <w:basedOn w:val="Normal"/>
    <w:link w:val="FootnoteTextChar"/>
    <w:uiPriority w:val="99"/>
    <w:semiHidden/>
    <w:unhideWhenUsed/>
    <w:rsid w:val="00B24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2C7"/>
    <w:rPr>
      <w:sz w:val="20"/>
      <w:szCs w:val="20"/>
    </w:rPr>
  </w:style>
  <w:style w:type="character" w:styleId="FootnoteReference">
    <w:name w:val="footnote reference"/>
    <w:basedOn w:val="DefaultParagraphFont"/>
    <w:uiPriority w:val="99"/>
    <w:semiHidden/>
    <w:unhideWhenUsed/>
    <w:rsid w:val="00B242C7"/>
    <w:rPr>
      <w:vertAlign w:val="superscript"/>
    </w:rPr>
  </w:style>
  <w:style w:type="paragraph" w:styleId="Revision">
    <w:name w:val="Revision"/>
    <w:hidden/>
    <w:uiPriority w:val="99"/>
    <w:semiHidden/>
    <w:rsid w:val="00467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366">
      <w:bodyDiv w:val="1"/>
      <w:marLeft w:val="0"/>
      <w:marRight w:val="0"/>
      <w:marTop w:val="0"/>
      <w:marBottom w:val="0"/>
      <w:divBdr>
        <w:top w:val="none" w:sz="0" w:space="0" w:color="auto"/>
        <w:left w:val="none" w:sz="0" w:space="0" w:color="auto"/>
        <w:bottom w:val="none" w:sz="0" w:space="0" w:color="auto"/>
        <w:right w:val="none" w:sz="0" w:space="0" w:color="auto"/>
      </w:divBdr>
    </w:div>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0F723-3528-4759-BE48-C33EB495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34</cp:revision>
  <cp:lastPrinted>2025-07-19T09:49:00Z</cp:lastPrinted>
  <dcterms:created xsi:type="dcterms:W3CDTF">2025-07-27T02:43:00Z</dcterms:created>
  <dcterms:modified xsi:type="dcterms:W3CDTF">2025-12-14T06:12:00Z</dcterms:modified>
</cp:coreProperties>
</file>