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80" w:lineRule="auto"/>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02">
      <w:pPr>
        <w:spacing w:after="80" w:before="80" w:lineRule="auto"/>
        <w:jc w:val="center"/>
        <w:rPr>
          <w:rFonts w:ascii="Times New Roman" w:cs="Times New Roman" w:eastAsia="Times New Roman" w:hAnsi="Times New Roman"/>
          <w:b w:val="1"/>
          <w:bCs w:val="1"/>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Ý KIẾN THAM GIA ĐỐI VỚI DỰ THẢO NGHỊ ĐỊNH QUY ĐỊNH CHI TIẾT LUẬT QUẢN LÝ THUẾ</w:t>
      </w:r>
    </w:p>
    <w:p w:rsidR="00000000" w:rsidDel="00000000" w:rsidP="00000000" w:rsidRDefault="00000000" w:rsidRPr="00000000" w14:paraId="00000003">
      <w:pPr>
        <w:spacing w:after="80" w:before="80" w:lineRule="auto"/>
        <w:jc w:val="center"/>
        <w:rPr>
          <w:rFonts w:ascii="Times New Roman" w:cs="Times New Roman" w:eastAsia="Times New Roman" w:hAnsi="Times New Roman"/>
          <w:b w:val="1"/>
          <w:bCs w:val="1"/>
          <w:sz w:val="22"/>
          <w:szCs w:val="22"/>
        </w:rPr>
      </w:pPr>
      <w:r w:rsidDel="00000000" w:rsidR="00000000" w:rsidRPr="00000000">
        <w:rPr>
          <w:rFonts w:ascii="Arial" w:cs="Arial" w:eastAsia="Arial" w:hAnsi="Arial"/>
          <w:b w:val="1"/>
          <w:bCs w:val="1"/>
          <w:sz w:val="20"/>
          <w:szCs w:val="20"/>
          <w:highlight w:val="white"/>
          <w:rtl w:val="0"/>
        </w:rPr>
        <w:t xml:space="preserve">Deloitte Vietnam</w:t>
      </w:r>
      <w:r w:rsidDel="00000000" w:rsidR="00000000" w:rsidRPr="00000000">
        <w:rPr>
          <w:rtl w:val="0"/>
        </w:rPr>
      </w:r>
    </w:p>
    <w:p w:rsidR="00000000" w:rsidDel="00000000" w:rsidP="00000000" w:rsidRDefault="00000000" w:rsidRPr="00000000" w14:paraId="00000004">
      <w:pPr>
        <w:spacing w:after="80" w:before="80" w:lineRule="auto"/>
        <w:jc w:val="center"/>
        <w:rPr>
          <w:rFonts w:ascii="Times New Roman" w:cs="Times New Roman" w:eastAsia="Times New Roman" w:hAnsi="Times New Roman"/>
          <w:b w:val="0"/>
          <w:bCs w:val="0"/>
          <w:smallCaps w:val="0"/>
          <w:sz w:val="22"/>
          <w:szCs w:val="22"/>
          <w:vertAlign w:val="baseline"/>
        </w:rPr>
      </w:pPr>
      <w:r w:rsidDel="00000000" w:rsidR="00000000" w:rsidRPr="00000000">
        <w:rPr>
          <w:rtl w:val="0"/>
        </w:rPr>
      </w:r>
    </w:p>
    <w:tbl>
      <w:tblPr>
        <w:tblStyle w:val="Table1"/>
        <w:tblW w:w="150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8"/>
        <w:gridCol w:w="1722"/>
        <w:gridCol w:w="2113"/>
        <w:gridCol w:w="4102"/>
        <w:gridCol w:w="6522"/>
        <w:tblGridChange w:id="0">
          <w:tblGrid>
            <w:gridCol w:w="568"/>
            <w:gridCol w:w="1722"/>
            <w:gridCol w:w="2113"/>
            <w:gridCol w:w="4102"/>
            <w:gridCol w:w="6522"/>
          </w:tblGrid>
        </w:tblGridChange>
      </w:tblGrid>
      <w:tr>
        <w:trPr>
          <w:cantSplit w:val="0"/>
          <w:trHeight w:val="652" w:hRule="atLeast"/>
          <w:tblHeader w:val="1"/>
        </w:trPr>
        <w:tc>
          <w:tcPr>
            <w:shd w:fill="f2f2f2" w:val="clear"/>
            <w:vAlign w:val="top"/>
          </w:tcPr>
          <w:p w:rsidR="00000000" w:rsidDel="00000000" w:rsidP="00000000" w:rsidRDefault="00000000" w:rsidRPr="00000000" w14:paraId="00000005">
            <w:pPr>
              <w:ind w:left="-102" w:right="-36" w:firstLine="0"/>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STT</w:t>
            </w:r>
            <w:r w:rsidDel="00000000" w:rsidR="00000000" w:rsidRPr="00000000">
              <w:rPr>
                <w:rtl w:val="0"/>
              </w:rPr>
            </w:r>
          </w:p>
        </w:tc>
        <w:tc>
          <w:tcPr>
            <w:shd w:fill="f2f2f2" w:val="clear"/>
            <w:vAlign w:val="top"/>
          </w:tcPr>
          <w:p w:rsidR="00000000" w:rsidDel="00000000" w:rsidP="00000000" w:rsidRDefault="00000000" w:rsidRPr="00000000" w14:paraId="00000006">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Vấn đề</w:t>
            </w:r>
            <w:r w:rsidDel="00000000" w:rsidR="00000000" w:rsidRPr="00000000">
              <w:rPr>
                <w:rtl w:val="0"/>
              </w:rPr>
            </w:r>
          </w:p>
        </w:tc>
        <w:tc>
          <w:tcPr>
            <w:shd w:fill="f2f2f2" w:val="clear"/>
            <w:vAlign w:val="top"/>
          </w:tcPr>
          <w:p w:rsidR="00000000" w:rsidDel="00000000" w:rsidP="00000000" w:rsidRDefault="00000000" w:rsidRPr="00000000" w14:paraId="00000007">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Điều/khoản tại Quy định </w:t>
            </w:r>
            <w:r w:rsidDel="00000000" w:rsidR="00000000" w:rsidRPr="00000000">
              <w:rPr>
                <w:rtl w:val="0"/>
              </w:rPr>
            </w:r>
          </w:p>
        </w:tc>
        <w:tc>
          <w:tcPr>
            <w:shd w:fill="f2f2f2" w:val="clear"/>
            <w:vAlign w:val="top"/>
          </w:tcPr>
          <w:p w:rsidR="00000000" w:rsidDel="00000000" w:rsidP="00000000" w:rsidRDefault="00000000" w:rsidRPr="00000000" w14:paraId="00000008">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Nội dung đang được quy định</w:t>
            </w:r>
            <w:r w:rsidDel="00000000" w:rsidR="00000000" w:rsidRPr="00000000">
              <w:rPr>
                <w:rtl w:val="0"/>
              </w:rPr>
            </w:r>
          </w:p>
        </w:tc>
        <w:tc>
          <w:tcPr>
            <w:shd w:fill="f2f2f2" w:val="clear"/>
            <w:vAlign w:val="top"/>
          </w:tcPr>
          <w:p w:rsidR="00000000" w:rsidDel="00000000" w:rsidP="00000000" w:rsidRDefault="00000000" w:rsidRPr="00000000" w14:paraId="00000009">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Nội dung góp ý chi tiết</w:t>
            </w:r>
            <w:r w:rsidDel="00000000" w:rsidR="00000000" w:rsidRPr="00000000">
              <w:rPr>
                <w:rtl w:val="0"/>
              </w:rPr>
            </w:r>
          </w:p>
        </w:tc>
      </w:tr>
      <w:tr>
        <w:trPr>
          <w:cantSplit w:val="0"/>
          <w:trHeight w:val="685" w:hRule="atLeast"/>
          <w:tblHeader w:val="0"/>
        </w:trPr>
        <w:tc>
          <w:tcPr>
            <w:vAlign w:val="top"/>
          </w:tcPr>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B">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white"/>
                <w:vertAlign w:val="baseline"/>
                <w:rtl w:val="0"/>
              </w:rPr>
              <w:t xml:space="preserve">Công khai thông tin người nộp thuế</w:t>
            </w:r>
            <w:r w:rsidDel="00000000" w:rsidR="00000000" w:rsidRPr="00000000">
              <w:rPr>
                <w:rtl w:val="0"/>
              </w:rPr>
            </w:r>
          </w:p>
        </w:tc>
        <w:tc>
          <w:tcPr>
            <w:vAlign w:val="top"/>
          </w:tcPr>
          <w:p w:rsidR="00000000" w:rsidDel="00000000" w:rsidP="00000000" w:rsidRDefault="00000000" w:rsidRPr="00000000" w14:paraId="0000000C">
            <w:pPr>
              <w:pStyle w:val="Heading1"/>
              <w:spacing w:after="0" w:before="0" w:lineRule="auto"/>
              <w:rPr>
                <w:rFonts w:ascii="Times New Roman" w:cs="Times New Roman" w:eastAsia="Times New Roman" w:hAnsi="Times New Roman"/>
                <w:b w:val="0"/>
                <w:bCs w:val="0"/>
                <w:sz w:val="22"/>
                <w:szCs w:val="22"/>
                <w:highlight w:val="white"/>
                <w:vertAlign w:val="baseline"/>
              </w:rPr>
            </w:pPr>
            <w:r w:rsidDel="00000000" w:rsidR="00000000" w:rsidRPr="00000000">
              <w:rPr>
                <w:rFonts w:ascii="Times New Roman" w:cs="Times New Roman" w:eastAsia="Times New Roman" w:hAnsi="Times New Roman"/>
                <w:b w:val="0"/>
                <w:bCs w:val="0"/>
                <w:sz w:val="22"/>
                <w:szCs w:val="22"/>
                <w:highlight w:val="white"/>
                <w:vertAlign w:val="baseline"/>
                <w:rtl w:val="0"/>
              </w:rPr>
              <w:t xml:space="preserve">Khoản 1, Khoản 2, Điều 4, Dự thảo Nghị định</w:t>
            </w:r>
          </w:p>
        </w:tc>
        <w:tc>
          <w:tcPr>
            <w:vAlign w:val="top"/>
          </w:tcPr>
          <w:p w:rsidR="00000000" w:rsidDel="00000000" w:rsidP="00000000" w:rsidRDefault="00000000" w:rsidRPr="00000000" w14:paraId="0000000D">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Cơ quan thuế có quyền công khai thông tin gồm: mã số thuế, tên người nộp thuế, địa chỉ, lý do công khai… </w:t>
            </w:r>
            <w:r w:rsidDel="00000000" w:rsidR="00000000" w:rsidRPr="00000000">
              <w:rPr>
                <w:rFonts w:ascii="Times New Roman" w:cs="Times New Roman" w:eastAsia="Times New Roman" w:hAnsi="Times New Roman"/>
                <w:b w:val="1"/>
                <w:bCs w:val="1"/>
                <w:sz w:val="22"/>
                <w:szCs w:val="22"/>
                <w:vertAlign w:val="baseline"/>
                <w:rtl w:val="0"/>
              </w:rPr>
              <w:t xml:space="preserve">chủ sở hữu hưởng lợi của doanh nghiệp, chủ sở hữu, người đại diện theo pháp luật</w:t>
            </w:r>
            <w:r w:rsidDel="00000000" w:rsidR="00000000" w:rsidRPr="00000000">
              <w:rPr>
                <w:rFonts w:ascii="Times New Roman" w:cs="Times New Roman" w:eastAsia="Times New Roman" w:hAnsi="Times New Roman"/>
                <w:sz w:val="22"/>
                <w:szCs w:val="22"/>
                <w:vertAlign w:val="baseline"/>
                <w:rtl w:val="0"/>
              </w:rPr>
              <w:t xml:space="preserve">… qua các hình thức như cổng thông tin điện tử của cơ quan quản lý thuế, trang thông tin điện tử của cơ quan quản lý thuế các cấp; công khai trên phương tiện thông tin đại chúng; niêm yết tại trụ sở cơ quan quản lý thuế; thông qua việc tiếp công dân, họp báo, thông cáo báo chí</w:t>
            </w:r>
          </w:p>
          <w:p w:rsidR="00000000" w:rsidDel="00000000" w:rsidP="00000000" w:rsidRDefault="00000000" w:rsidRPr="00000000" w14:paraId="0000000E">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F">
            <w:pPr>
              <w:widowControl w:val="0"/>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Việc công khai thông tin áp dụng với các trường hợp theo quy định tại Khoản 3, Điều 7, Luật Quản lý thuế, bao gồm cả trường hợp </w:t>
            </w:r>
            <w:r w:rsidDel="00000000" w:rsidR="00000000" w:rsidRPr="00000000">
              <w:rPr>
                <w:rFonts w:ascii="Times New Roman" w:cs="Times New Roman" w:eastAsia="Times New Roman" w:hAnsi="Times New Roman"/>
                <w:sz w:val="22"/>
                <w:szCs w:val="22"/>
                <w:u w:val="single"/>
                <w:vertAlign w:val="baseline"/>
                <w:rtl w:val="0"/>
              </w:rPr>
              <w:t xml:space="preserve">chưa hoàn thành thủ tục chấm dứt hiệu lực mã số thuế, không hoạt động tại địa chỉ đã đăng ký…</w:t>
            </w:r>
            <w:r w:rsidDel="00000000" w:rsidR="00000000" w:rsidRPr="00000000">
              <w:rPr>
                <w:rtl w:val="0"/>
              </w:rPr>
            </w:r>
          </w:p>
        </w:tc>
        <w:tc>
          <w:tcPr>
            <w:vAlign w:val="top"/>
          </w:tcPr>
          <w:p w:rsidR="00000000" w:rsidDel="00000000" w:rsidP="00000000" w:rsidRDefault="00000000" w:rsidRPr="00000000" w14:paraId="00000010">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Đề xuất:</w:t>
            </w: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11">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Cơ quan thuế phải thông báo cho người nộp thuế về công khai thông tin và được người nộp thuế xác nhận, ngoại trừ trường hợp bất khả kháng.</w:t>
            </w:r>
          </w:p>
          <w:p w:rsidR="00000000" w:rsidDel="00000000" w:rsidP="00000000" w:rsidRDefault="00000000" w:rsidRPr="00000000" w14:paraId="00000013">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“a) Trước khi công khai thông tin, cơ quan quản lý thuế phải gửi thông báo dự kiến công khai cho người nộp thuế bằng phương thức điện tử hoặc thông báo trực tiếp trong đó nêu rõ lý do và nội dung dự kiến công khai cho người nộp thuế xác nhận, trừ các trường hợp bất khả kháng;</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b) Người nộp thuế có quyền giải trình hoặc khắc phục vi phạm trong thời hạn tối thiểu</w:t>
            </w:r>
            <w:r w:rsidDel="00000000" w:rsidR="00000000" w:rsidRPr="00000000">
              <w:rPr>
                <w:rFonts w:ascii="Times New Roman" w:cs="Times New Roman" w:eastAsia="Times New Roman" w:hAnsi="Times New Roman"/>
                <w:i w:val="1"/>
                <w:iCs w:val="1"/>
                <w:strike w:val="1"/>
                <w:sz w:val="22"/>
                <w:szCs w:val="22"/>
                <w:vertAlign w:val="baseline"/>
                <w:rtl w:val="0"/>
              </w:rPr>
              <w:t xml:space="preserve"> 05</w:t>
            </w:r>
            <w:r w:rsidDel="00000000" w:rsidR="00000000" w:rsidRPr="00000000">
              <w:rPr>
                <w:rFonts w:ascii="Times New Roman" w:cs="Times New Roman" w:eastAsia="Times New Roman" w:hAnsi="Times New Roman"/>
                <w:i w:val="1"/>
                <w:iCs w:val="1"/>
                <w:sz w:val="22"/>
                <w:szCs w:val="22"/>
                <w:vertAlign w:val="baseline"/>
                <w:rtl w:val="0"/>
              </w:rPr>
              <w:t xml:space="preserve"> 30 ngày làm việc kể từ ngày nhận được thông báo;”</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Lý do: </w:t>
            </w: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Trên thực tế thực hiện các thủ tục đóng cửa công ty, chấm dứt hiệu lực MST được thực hiện trong thời gian dài do nhiều lý do khách quan, nhiều trường hợp không phải lỗi của người nộp thuế, hoặc phát sinh trường hợp doanh nghiệp không hoạt động tại địa chỉ đăng ký nhưng sau đó xác minh và mở lại, theo đó việc công khai thông tin liên quan đến chủ sở hữu hưởng lợi, chủ sở hữu, người đại diện theo pháp luật có thể ảnh hưởng đến uy tín, quyền lợi của doanh nghiệp và cá nhân liên quan. Theo đó kiến nghị việc công khai thông tin cần có quy trình, thời gian phù hợp.</w:t>
            </w:r>
          </w:p>
          <w:p w:rsidR="00000000" w:rsidDel="00000000" w:rsidP="00000000" w:rsidRDefault="00000000" w:rsidRPr="00000000" w14:paraId="0000001A">
            <w:pPr>
              <w:jc w:val="both"/>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685" w:hRule="atLeast"/>
          <w:tblHeader w:val="0"/>
        </w:trPr>
        <w:tc>
          <w:tcPr>
            <w:vAlign w:val="top"/>
          </w:tcPr>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C">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Thời hạn đăng ký thuế</w:t>
            </w:r>
          </w:p>
        </w:tc>
        <w:tc>
          <w:tcPr>
            <w:vAlign w:val="top"/>
          </w:tcPr>
          <w:p w:rsidR="00000000" w:rsidDel="00000000" w:rsidP="00000000" w:rsidRDefault="00000000" w:rsidRPr="00000000" w14:paraId="0000001D">
            <w:pPr>
              <w:pStyle w:val="Heading1"/>
              <w:spacing w:after="0" w:before="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0"/>
                <w:bCs w:val="0"/>
                <w:sz w:val="22"/>
                <w:szCs w:val="22"/>
                <w:vertAlign w:val="baseline"/>
                <w:rtl w:val="0"/>
              </w:rPr>
              <w:t xml:space="preserve">Khoản 2, Điều 6,</w:t>
            </w:r>
            <w:r w:rsidDel="00000000" w:rsidR="00000000" w:rsidRPr="00000000">
              <w:rPr>
                <w:rFonts w:ascii="Times New Roman" w:cs="Times New Roman" w:eastAsia="Times New Roman" w:hAnsi="Times New Roman"/>
                <w:b w:val="0"/>
                <w:bCs w:val="0"/>
                <w:sz w:val="22"/>
                <w:szCs w:val="22"/>
                <w:highlight w:val="white"/>
                <w:vertAlign w:val="baseline"/>
                <w:rtl w:val="0"/>
              </w:rPr>
              <w:t xml:space="preserve"> </w:t>
            </w:r>
            <w:r w:rsidDel="00000000" w:rsidR="00000000" w:rsidRPr="00000000">
              <w:rPr>
                <w:rFonts w:ascii="Times New Roman" w:cs="Times New Roman" w:eastAsia="Times New Roman" w:hAnsi="Times New Roman"/>
                <w:b w:val="0"/>
                <w:bCs w:val="0"/>
                <w:sz w:val="22"/>
                <w:szCs w:val="22"/>
                <w:vertAlign w:val="baseline"/>
                <w:rtl w:val="0"/>
              </w:rPr>
              <w:t xml:space="preserve">Dự thảo Nghị định</w:t>
            </w:r>
          </w:p>
        </w:tc>
        <w:tc>
          <w:tcPr>
            <w:vAlign w:val="top"/>
          </w:tcPr>
          <w:p w:rsidR="00000000" w:rsidDel="00000000" w:rsidP="00000000" w:rsidRDefault="00000000" w:rsidRPr="00000000" w14:paraId="0000001E">
            <w:pPr>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“c) Tổ chức, cá nhân chi trả thu nhập có trách nhiệm đăng ký thuế lần đầu thay cho cá nhân có thu nhập chậm nhất là 10 ngày làm việc kể từ ngày phát sinh nghĩa vụ thuế trong trường hợp cá nhân đăng ký thuế; đăng ký thuế thay cho người phụ thuộc của người nộp thuế chậm nhất là 10 ngày làm việc kể từ ngày người nộp thuế đăng ký giảm trừ gia cảnh theo quy định của pháp luật trong trường hợp người phụ thuộc chưa đăng ký thuế.</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d) Thời hạn thay đổi thông tin đăng ký thuế:</w:t>
            </w:r>
            <w:r w:rsidDel="00000000" w:rsidR="00000000" w:rsidRPr="00000000">
              <w:rPr>
                <w:rtl w:val="0"/>
              </w:rPr>
            </w:r>
          </w:p>
          <w:p w:rsidR="00000000" w:rsidDel="00000000" w:rsidP="00000000" w:rsidRDefault="00000000" w:rsidRPr="00000000" w14:paraId="00000020">
            <w:pPr>
              <w:ind w:left="9" w:firstLine="0"/>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d.1) Người nộp thuế đăng ký thuế trực tiếp với cơ quan thuế khi có thay đổi thông tin đăng ký thuế thì phải thông báo cho cơ quan thuế quản lý trực tiếp trong thời hạn 10 ngày làm việc kể từ ngày phát sinh thông tin thay đổi;”</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i w:val="0"/>
                <w:i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22">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Đề xuất: </w:t>
            </w: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Điều chỉnh quy định tại Khoản 2, Điều 6, Dự thảo Nghị định theo hướng kéo dài hoặc bổ sung cơ chế linh hoạt đối với thời hạn thực hiện đăng ký thuế và thay đổi thông tin đăng ký thuế, cụ thể:</w:t>
            </w:r>
          </w:p>
          <w:p w:rsidR="00000000" w:rsidDel="00000000" w:rsidP="00000000" w:rsidRDefault="00000000" w:rsidRPr="00000000" w14:paraId="00000025">
            <w:pPr>
              <w:numPr>
                <w:ilvl w:val="0"/>
                <w:numId w:val="2"/>
              </w:numPr>
              <w:ind w:left="72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Xem xét tăng thời hạn đăng ký thuế đối với:</w:t>
            </w:r>
          </w:p>
          <w:p w:rsidR="00000000" w:rsidDel="00000000" w:rsidP="00000000" w:rsidRDefault="00000000" w:rsidRPr="00000000" w14:paraId="00000026">
            <w:pPr>
              <w:numPr>
                <w:ilvl w:val="1"/>
                <w:numId w:val="2"/>
              </w:numPr>
              <w:ind w:left="1440" w:right="745"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đăng ký mã số thuế lần đầu cho cá nhân;</w:t>
            </w:r>
          </w:p>
          <w:p w:rsidR="00000000" w:rsidDel="00000000" w:rsidP="00000000" w:rsidRDefault="00000000" w:rsidRPr="00000000" w14:paraId="00000027">
            <w:pPr>
              <w:numPr>
                <w:ilvl w:val="1"/>
                <w:numId w:val="2"/>
              </w:numPr>
              <w:ind w:left="144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đăng ký mã số thuế cho người phụ thuộc;</w:t>
            </w:r>
          </w:p>
          <w:p w:rsidR="00000000" w:rsidDel="00000000" w:rsidP="00000000" w:rsidRDefault="00000000" w:rsidRPr="00000000" w14:paraId="00000028">
            <w:pPr>
              <w:numPr>
                <w:ilvl w:val="1"/>
                <w:numId w:val="2"/>
              </w:numPr>
              <w:ind w:left="144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cập nhật thay đổi thông tin đăng ký thuế;</w:t>
            </w:r>
          </w:p>
          <w:p w:rsidR="00000000" w:rsidDel="00000000" w:rsidP="00000000" w:rsidRDefault="00000000" w:rsidRPr="00000000" w14:paraId="00000029">
            <w:pPr>
              <w:numPr>
                <w:ilvl w:val="0"/>
                <w:numId w:val="2"/>
              </w:numPr>
              <w:ind w:left="72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Hoặc cho phép áp dụng cơ chế linh hoạt đối với một số trường hợp đặc thù (ví dụ: người lao động nước ngoài).</w:t>
            </w:r>
          </w:p>
          <w:p w:rsidR="00000000" w:rsidDel="00000000" w:rsidP="00000000" w:rsidRDefault="00000000" w:rsidRPr="00000000" w14:paraId="0000002A">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Lý do:</w:t>
            </w: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Trong thực tiễn triển khai, thời hạn 10 ngày làm việc theo quy định hiện hành là tương đối ngắn.</w:t>
            </w:r>
          </w:p>
          <w:p w:rsidR="00000000" w:rsidDel="00000000" w:rsidP="00000000" w:rsidRDefault="00000000" w:rsidRPr="00000000" w14:paraId="0000002F">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Việc thực hiện đăng ký thuế hoặc cập nhật thông tin đăng ký thuế cho cá nhân, đặc biệt là người lao động nước ngoài, thường tốn nhiều thời gian để cung cấp (ví dụ: hộ chiếu, các hồ sơ cá nhân của lao động nước ngoài.) </w:t>
            </w:r>
          </w:p>
          <w:p w:rsidR="00000000" w:rsidDel="00000000" w:rsidP="00000000" w:rsidRDefault="00000000" w:rsidRPr="00000000" w14:paraId="00000031">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Ngoài ra, trong trường hợp cá nhân ủy quyền cho doanh nghiệp thực hiện thủ tục, quy trình thực tế bao gồm nhiều bước trung gian, dẫn đến tổng thời gian tuân thủ bị rút ngắn đáng kể so với yêu cầu pháp lý.</w:t>
            </w:r>
          </w:p>
          <w:p w:rsidR="00000000" w:rsidDel="00000000" w:rsidP="00000000" w:rsidRDefault="00000000" w:rsidRPr="00000000" w14:paraId="00000033">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Do đó, việc duy trì thời hạn 10 ngày làm việc như quy định tại Dự thảo có thể gây khó khăn trong việc tuân thủ, làm gia tăng rủi ro vi phạm hành chính không mong muốn. Trên cơ sở đó, chúng tôi đề xuất cơ quan soạn thảo xem xét điều chỉnh theo hướng linh hoạt hơn nhằm đảm bảo tính khả thi trong thực tiễn và hỗ trợ người nộp thuế tuân thủ đầy đủ quy định.</w:t>
            </w:r>
          </w:p>
          <w:p w:rsidR="00000000" w:rsidDel="00000000" w:rsidP="00000000" w:rsidRDefault="00000000" w:rsidRPr="00000000" w14:paraId="00000035">
            <w:pPr>
              <w:jc w:val="both"/>
              <w:rPr>
                <w:rFonts w:ascii="Times New Roman" w:cs="Times New Roman" w:eastAsia="Times New Roman" w:hAnsi="Times New Roman"/>
                <w:b w:val="0"/>
                <w:bCs w:val="0"/>
                <w:sz w:val="22"/>
                <w:szCs w:val="22"/>
                <w:vertAlign w:val="baseline"/>
              </w:rPr>
            </w:pPr>
            <w:r w:rsidDel="00000000" w:rsidR="00000000" w:rsidRPr="00000000">
              <w:rPr>
                <w:rtl w:val="0"/>
              </w:rPr>
            </w:r>
          </w:p>
        </w:tc>
      </w:tr>
      <w:tr>
        <w:trPr>
          <w:cantSplit w:val="0"/>
          <w:trHeight w:val="685" w:hRule="atLeast"/>
          <w:tblHeader w:val="0"/>
        </w:trPr>
        <w:tc>
          <w:tcPr>
            <w:vAlign w:val="top"/>
          </w:tcPr>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7">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white"/>
                <w:vertAlign w:val="baseline"/>
                <w:rtl w:val="0"/>
              </w:rPr>
              <w:t xml:space="preserve">Trách nhiệm của Cơ quan thuế trong việc xử lý chấm dứt hiệu lực mã số thuế</w:t>
            </w:r>
            <w:r w:rsidDel="00000000" w:rsidR="00000000" w:rsidRPr="00000000">
              <w:rPr>
                <w:rtl w:val="0"/>
              </w:rPr>
            </w:r>
          </w:p>
        </w:tc>
        <w:tc>
          <w:tcPr>
            <w:vAlign w:val="top"/>
          </w:tcPr>
          <w:p w:rsidR="00000000" w:rsidDel="00000000" w:rsidP="00000000" w:rsidRDefault="00000000" w:rsidRPr="00000000" w14:paraId="00000038">
            <w:pPr>
              <w:pStyle w:val="Heading1"/>
              <w:spacing w:after="0" w:before="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0"/>
                <w:bCs w:val="0"/>
                <w:sz w:val="22"/>
                <w:szCs w:val="22"/>
                <w:highlight w:val="white"/>
                <w:vertAlign w:val="baseline"/>
                <w:rtl w:val="0"/>
              </w:rPr>
              <w:t xml:space="preserve">Khoản 2, Điều 7, Dự thảo Nghị định</w:t>
            </w:r>
            <w:r w:rsidDel="00000000" w:rsidR="00000000" w:rsidRPr="00000000">
              <w:rPr>
                <w:rtl w:val="0"/>
              </w:rPr>
            </w:r>
          </w:p>
        </w:tc>
        <w:tc>
          <w:tcPr>
            <w:vAlign w:val="top"/>
          </w:tcPr>
          <w:p w:rsidR="00000000" w:rsidDel="00000000" w:rsidP="00000000" w:rsidRDefault="00000000" w:rsidRPr="00000000" w14:paraId="00000039">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Chưa được quy định cụ thể</w:t>
            </w:r>
          </w:p>
        </w:tc>
        <w:tc>
          <w:tcPr>
            <w:vAlign w:val="top"/>
          </w:tcPr>
          <w:p w:rsidR="00000000" w:rsidDel="00000000" w:rsidP="00000000" w:rsidRDefault="00000000" w:rsidRPr="00000000" w14:paraId="0000003A">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Đề xuất: </w:t>
            </w: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Bổ sung tiết c vào Khoản 2, Điều 7, Dự thảo Nghị định như sau:</w:t>
            </w:r>
          </w:p>
          <w:p w:rsidR="00000000" w:rsidDel="00000000" w:rsidP="00000000" w:rsidRDefault="00000000" w:rsidRPr="00000000" w14:paraId="0000003D">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“Cơ quan thuế có trách nhiệm thực hiện kiểm tra thuế và ban hành kết luận trong vòng 30 ngày từ khi người nộp thuế hoàn thành đầy đủ thủ tục nộp hồ sơ chấm dứt hiệu lực mã số thuế.” </w:t>
            </w: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Lý do: </w:t>
            </w: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Việc kéo dài thời hạn kiểm tra thuế có thể ảnh hưởng đến quyền và lợi ích hợp pháp của người nộp thuế. Khi người nộp thuế chấm dứt hoạt động kinh doanh, việc hoàn tất thủ tục đóng mã số thuế là điều kiện cần thiết để thực hiện các thủ tục pháp lý tiếp theo như giải thể doanh nghiệp, chấm dứt hoạt động kinh doanh hoặc hoàn tất nghĩa vụ với các cơ quan quản lý khác. Nếu thời gian xử lý kéo dài sẽ gây khó khăn cho người nộp thuế và làm chậm tiến độ thực hiện các thủ tục hành chính liên quan.</w:t>
            </w:r>
            <w:r w:rsidDel="00000000" w:rsidR="00000000" w:rsidRPr="00000000">
              <w:rPr>
                <w:rtl w:val="0"/>
              </w:rPr>
            </w:r>
          </w:p>
        </w:tc>
      </w:tr>
      <w:tr>
        <w:trPr>
          <w:cantSplit w:val="0"/>
          <w:trHeight w:val="685" w:hRule="atLeast"/>
          <w:tblHeader w:val="0"/>
        </w:trPr>
        <w:tc>
          <w:tcPr>
            <w:vAlign w:val="top"/>
          </w:tcPr>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4">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white"/>
                <w:vertAlign w:val="baseline"/>
                <w:rtl w:val="0"/>
              </w:rPr>
              <w:t xml:space="preserve">Bù trừ, chuyển lỗ của chi nhánh hạch toán độc lập khi đóng cửa, giải thể hoặc chuyển đổi hình thức hạch toán sang phụ thuộc</w:t>
            </w:r>
            <w:r w:rsidDel="00000000" w:rsidR="00000000" w:rsidRPr="00000000">
              <w:rPr>
                <w:rtl w:val="0"/>
              </w:rPr>
            </w:r>
          </w:p>
        </w:tc>
        <w:tc>
          <w:tcPr>
            <w:vAlign w:val="top"/>
          </w:tcPr>
          <w:p w:rsidR="00000000" w:rsidDel="00000000" w:rsidP="00000000" w:rsidRDefault="00000000" w:rsidRPr="00000000" w14:paraId="00000045">
            <w:pPr>
              <w:pStyle w:val="Heading1"/>
              <w:spacing w:after="0" w:before="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0"/>
                <w:bCs w:val="0"/>
                <w:sz w:val="22"/>
                <w:szCs w:val="22"/>
                <w:highlight w:val="white"/>
                <w:vertAlign w:val="baseline"/>
                <w:rtl w:val="0"/>
              </w:rPr>
              <w:t xml:space="preserve">Khoản c1, Điều 7, Dự thảo Nghị định</w:t>
            </w:r>
            <w:r w:rsidDel="00000000" w:rsidR="00000000" w:rsidRPr="00000000">
              <w:rPr>
                <w:rtl w:val="0"/>
              </w:rPr>
            </w:r>
          </w:p>
        </w:tc>
        <w:tc>
          <w:tcPr>
            <w:vAlign w:val="top"/>
          </w:tcPr>
          <w:p w:rsidR="00000000" w:rsidDel="00000000" w:rsidP="00000000" w:rsidRDefault="00000000" w:rsidRPr="00000000" w14:paraId="00000046">
            <w:pPr>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“Trường hợp người nộp thuế thực hiện nộp thuế theo phương pháp khấu trừ chấm dứt hoạt động, giải thể, phá sản, việc xử lý số thuế giá trị gia tăng nộp thừa hoặc số thuế giá trị gia tăng đầu vào chưa được khấu trừ hết thực hiện theo quy định về hoàn thuế và điều kiện hoàn thuế của pháp luật thuế giá trị gia tăng; trường hợp có đơn vị kế thừa nghĩa vụ thuế thì đơn vị kế thừa tiếp tục khấu trừ, hoàn thuế theo quy định của pháp luật thuế giá trị gia tăng.”</w:t>
            </w:r>
            <w:r w:rsidDel="00000000" w:rsidR="00000000" w:rsidRPr="00000000">
              <w:rPr>
                <w:rtl w:val="0"/>
              </w:rPr>
            </w:r>
          </w:p>
        </w:tc>
        <w:tc>
          <w:tcPr>
            <w:vAlign w:val="top"/>
          </w:tcPr>
          <w:p w:rsidR="00000000" w:rsidDel="00000000" w:rsidP="00000000" w:rsidRDefault="00000000" w:rsidRPr="00000000" w14:paraId="00000047">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Đề xuất: </w: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Cho phép trụ sở chính được kế thừa số thuế nộp thừa, lỗ còn được chuyển khi đóng cửa, giải thể chi nhánh độc lập hoặc thay đổi hình thức hạch toán sang phụ thuộc:</w:t>
            </w:r>
          </w:p>
          <w:p w:rsidR="00000000" w:rsidDel="00000000" w:rsidP="00000000" w:rsidRDefault="00000000" w:rsidRPr="00000000" w14:paraId="0000004A">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“Trường hợp người nộp thuế thực hiện nộp thuế theo phương pháp khấu trừ chấm dứt hoạt động, giải thể, phá sản, việc xử lý số thuế giá trị gia tăng nộp thừa hoặc số thuế giá trị gia tăng đầu vào chưa được khấu trừ hết thực hiện theo quy định về hoàn thuế và điều kiện hoàn thuế của pháp luật thuế giá trị gia tăng; trường hợp có đơn vị kế thừa nghĩa vụ thuế, bao gồm cả trường hợp giải thể, chấm dứt hoạt động, chuyển đổi hình thức hạch toán của chi nhánh độc lập, thì đơn vị kế thừa tiếp tục khấu trừ, hoàn thuế, chuyển lỗ theo quy định của pháp luật thuế giá trị gia tăng.”</w:t>
            </w: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0"/>
                <w:bCs w:val="0"/>
                <w:sz w:val="22"/>
                <w:szCs w:val="22"/>
                <w:vertAlign w:val="baseline"/>
              </w:rPr>
            </w:pPr>
            <w:r w:rsidDel="00000000" w:rsidR="00000000" w:rsidRPr="00000000">
              <w:rPr>
                <w:rtl w:val="0"/>
              </w:rPr>
            </w:r>
          </w:p>
        </w:tc>
      </w:tr>
      <w:tr>
        <w:trPr>
          <w:cantSplit w:val="0"/>
          <w:trHeight w:val="685" w:hRule="atLeast"/>
          <w:tblHeader w:val="0"/>
        </w:trPr>
        <w:tc>
          <w:tcPr>
            <w:vAlign w:val="top"/>
          </w:tcPr>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E">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white"/>
                <w:vertAlign w:val="baseline"/>
                <w:rtl w:val="0"/>
              </w:rPr>
              <w:t xml:space="preserve">Sử dụng Mã số thuế</w:t>
            </w:r>
            <w:r w:rsidDel="00000000" w:rsidR="00000000" w:rsidRPr="00000000">
              <w:rPr>
                <w:rtl w:val="0"/>
              </w:rPr>
            </w:r>
          </w:p>
        </w:tc>
        <w:tc>
          <w:tcPr>
            <w:vAlign w:val="top"/>
          </w:tcPr>
          <w:p w:rsidR="00000000" w:rsidDel="00000000" w:rsidP="00000000" w:rsidRDefault="00000000" w:rsidRPr="00000000" w14:paraId="0000004F">
            <w:pPr>
              <w:pStyle w:val="Heading1"/>
              <w:spacing w:after="0" w:before="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0"/>
                <w:bCs w:val="0"/>
                <w:sz w:val="22"/>
                <w:szCs w:val="22"/>
                <w:highlight w:val="white"/>
                <w:vertAlign w:val="baseline"/>
                <w:rtl w:val="0"/>
              </w:rPr>
              <w:t xml:space="preserve">Khoản 1, Điều 8, Dự thảo Nghị định</w:t>
            </w:r>
            <w:r w:rsidDel="00000000" w:rsidR="00000000" w:rsidRPr="00000000">
              <w:rPr>
                <w:rtl w:val="0"/>
              </w:rPr>
            </w:r>
          </w:p>
        </w:tc>
        <w:tc>
          <w:tcPr>
            <w:vAlign w:val="top"/>
          </w:tcPr>
          <w:p w:rsidR="00000000" w:rsidDel="00000000" w:rsidP="00000000" w:rsidRDefault="00000000" w:rsidRPr="00000000" w14:paraId="00000050">
            <w:pPr>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“1. Người nộp thuế phải ghi mã số thuế được cấp vào hóa đơn, chứng từ, tài liệu khi thực hiện các giao dịch kinh doanh; mở tài khoản tiền gửi tại các tổ chức tín dụng, chi nhánh ngân hàng nước ngoài, tổ chức cung ứng dịch vụ thanh toán, tổ chức cung ứng dịch vụ trung gian thanh toán; khai thuế, nộp thuế, miễn thuế, giảm thuế, hoàn thuế, không thu thuế, đăng ký tờ khai hải quan và thực hiện các giao dịch về thuế khác đối với tất cả các nghĩa vụ phải nộp ngân sách nhà nước…”</w:t>
            </w:r>
            <w:r w:rsidDel="00000000" w:rsidR="00000000" w:rsidRPr="00000000">
              <w:rPr>
                <w:rtl w:val="0"/>
              </w:rPr>
            </w:r>
          </w:p>
        </w:tc>
        <w:tc>
          <w:tcPr>
            <w:vAlign w:val="top"/>
          </w:tcPr>
          <w:p w:rsidR="00000000" w:rsidDel="00000000" w:rsidP="00000000" w:rsidRDefault="00000000" w:rsidRPr="00000000" w14:paraId="00000051">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Đề xuất: </w:t>
            </w: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“1. Người nộp thuế phải ghi mã số thuế được cấp vào hóa đơn, </w:t>
            </w:r>
            <w:r w:rsidDel="00000000" w:rsidR="00000000" w:rsidRPr="00000000">
              <w:rPr>
                <w:rFonts w:ascii="Times New Roman" w:cs="Times New Roman" w:eastAsia="Times New Roman" w:hAnsi="Times New Roman"/>
                <w:i w:val="1"/>
                <w:iCs w:val="1"/>
                <w:strike w:val="1"/>
                <w:sz w:val="22"/>
                <w:szCs w:val="22"/>
                <w:vertAlign w:val="baseline"/>
                <w:rtl w:val="0"/>
              </w:rPr>
              <w:t xml:space="preserve">chứng từ, tài liệu khi thực hiện các giao dịch kinh doanh; mở tài khoản tiền gửi tại các tổ chức tín dụng, chi nhánh ngân hàng nước ngoài, tổ chức cung ứng dịch vụ thanh toán, tổ chức cung ứng dịch vụ trung gian thanh toán;</w:t>
            </w:r>
            <w:r w:rsidDel="00000000" w:rsidR="00000000" w:rsidRPr="00000000">
              <w:rPr>
                <w:rFonts w:ascii="Times New Roman" w:cs="Times New Roman" w:eastAsia="Times New Roman" w:hAnsi="Times New Roman"/>
                <w:i w:val="1"/>
                <w:iCs w:val="1"/>
                <w:sz w:val="22"/>
                <w:szCs w:val="22"/>
                <w:vertAlign w:val="baseline"/>
                <w:rtl w:val="0"/>
              </w:rPr>
              <w:t xml:space="preserve"> khai thuế, nộp thuế, miễn thuế, giảm thuế, hoàn thuế, không thu thuế, đăng ký tờ khai hải quan và thực hiện các giao dịch về thuế khác đối với tất cả các nghĩa vụ phải nộp ngân sách nhà nước…</w:t>
            </w: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i w:val="0"/>
                <w:iCs w:val="0"/>
                <w:strike w:val="0"/>
                <w:sz w:val="22"/>
                <w:szCs w:val="22"/>
                <w:vertAlign w:val="baseline"/>
              </w:rPr>
            </w:pPr>
            <w:r w:rsidDel="00000000" w:rsidR="00000000" w:rsidRPr="00000000">
              <w:rPr>
                <w:rFonts w:ascii="Times New Roman" w:cs="Times New Roman" w:eastAsia="Times New Roman" w:hAnsi="Times New Roman"/>
                <w:i w:val="1"/>
                <w:iCs w:val="1"/>
                <w:strike w:val="1"/>
                <w:sz w:val="22"/>
                <w:szCs w:val="22"/>
                <w:vertAlign w:val="baseline"/>
                <w:rtl w:val="0"/>
              </w:rPr>
              <w:t xml:space="preserve">5. Mã số thuế không được sử dụng trong các giao dịch kinh tế sau khi đã bị cơ quan thuế chấm dứt hiệu lực, thông báo về việc người nộp thuế không hoạt động tại địa chỉ đã đăng ký và chỉ được tiếp tục sử dụng sau khi được khôi phục.”</w:t>
            </w: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Lý do: </w:t>
            </w: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Trong nhiều giao dịch dân sự, hồ sơ, chứng từ tài liệu khi thực hiện các giao dịch do các tổ chức thiết kế và yêu cầu, theo đó quy định này có thế phát sinh vướng mắc cho người nộp thuế khi thực hiện các giao dịch dân sự hợp pháp. Ngoài ra quy định tại Khoản 4, Điều 8 đã quy định Ngân hàng phải ghi MST trong hồ sơ mở tài khoản của NNT.</w:t>
            </w:r>
          </w:p>
          <w:p w:rsidR="00000000" w:rsidDel="00000000" w:rsidP="00000000" w:rsidRDefault="00000000" w:rsidRPr="00000000" w14:paraId="0000005A">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Ngoài ra việc quy định MST không được sử dụng trong các giao dịch kinh tế sau khi đã bị cơ quan thuế chấm dứt hiệu lực, không hoạt động tại địa chỉ đăng ký… vô hình làm ảnh hưởng đến quyền thực hiện các giao dịch dân sự hợp pháp của người nộp thuế do không có MST hoạt động</w:t>
            </w:r>
          </w:p>
          <w:p w:rsidR="00000000" w:rsidDel="00000000" w:rsidP="00000000" w:rsidRDefault="00000000" w:rsidRPr="00000000" w14:paraId="0000005C">
            <w:pPr>
              <w:jc w:val="both"/>
              <w:rPr>
                <w:rFonts w:ascii="Times New Roman" w:cs="Times New Roman" w:eastAsia="Times New Roman" w:hAnsi="Times New Roman"/>
                <w:b w:val="0"/>
                <w:bCs w:val="0"/>
                <w:sz w:val="22"/>
                <w:szCs w:val="22"/>
                <w:vertAlign w:val="baseline"/>
              </w:rPr>
            </w:pPr>
            <w:r w:rsidDel="00000000" w:rsidR="00000000" w:rsidRPr="00000000">
              <w:rPr>
                <w:rtl w:val="0"/>
              </w:rPr>
            </w:r>
          </w:p>
        </w:tc>
      </w:tr>
      <w:tr>
        <w:trPr>
          <w:cantSplit w:val="0"/>
          <w:trHeight w:val="685" w:hRule="atLeast"/>
          <w:tblHeader w:val="0"/>
        </w:trPr>
        <w:tc>
          <w:tcPr>
            <w:vAlign w:val="top"/>
          </w:tcPr>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E">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white"/>
                <w:vertAlign w:val="baseline"/>
                <w:rtl w:val="0"/>
              </w:rPr>
              <w:t xml:space="preserve">Năm tài chính</w:t>
            </w:r>
            <w:r w:rsidDel="00000000" w:rsidR="00000000" w:rsidRPr="00000000">
              <w:rPr>
                <w:rtl w:val="0"/>
              </w:rPr>
            </w:r>
          </w:p>
        </w:tc>
        <w:tc>
          <w:tcPr>
            <w:vAlign w:val="top"/>
          </w:tcPr>
          <w:p w:rsidR="00000000" w:rsidDel="00000000" w:rsidP="00000000" w:rsidRDefault="00000000" w:rsidRPr="00000000" w14:paraId="0000005F">
            <w:pPr>
              <w:pStyle w:val="Heading1"/>
              <w:spacing w:after="0" w:before="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0"/>
                <w:bCs w:val="0"/>
                <w:sz w:val="22"/>
                <w:szCs w:val="22"/>
                <w:highlight w:val="white"/>
                <w:vertAlign w:val="baseline"/>
                <w:rtl w:val="0"/>
              </w:rPr>
              <w:t xml:space="preserve">Khoản đ, Điều 9, Dự thảo Nghị định</w:t>
            </w:r>
            <w:r w:rsidDel="00000000" w:rsidR="00000000" w:rsidRPr="00000000">
              <w:rPr>
                <w:rtl w:val="0"/>
              </w:rPr>
            </w:r>
          </w:p>
        </w:tc>
        <w:tc>
          <w:tcPr>
            <w:vAlign w:val="top"/>
          </w:tcPr>
          <w:p w:rsidR="00000000" w:rsidDel="00000000" w:rsidP="00000000" w:rsidRDefault="00000000" w:rsidRPr="00000000" w14:paraId="00000060">
            <w:pPr>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“đ) Kỳ quyết toán thuế thực hiện theo năm dương lịch hoặc theo năm tài chính”</w:t>
            </w:r>
            <w:r w:rsidDel="00000000" w:rsidR="00000000" w:rsidRPr="00000000">
              <w:rPr>
                <w:rtl w:val="0"/>
              </w:rPr>
            </w:r>
          </w:p>
        </w:tc>
        <w:tc>
          <w:tcPr>
            <w:vAlign w:val="top"/>
          </w:tcPr>
          <w:p w:rsidR="00000000" w:rsidDel="00000000" w:rsidP="00000000" w:rsidRDefault="00000000" w:rsidRPr="00000000" w14:paraId="00000061">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Đề xuất: Quy định cụ thể về năm tài chính hoặc đống nhất với kỳ kế toán</w:t>
            </w:r>
          </w:p>
          <w:p w:rsidR="00000000" w:rsidDel="00000000" w:rsidP="00000000" w:rsidRDefault="00000000" w:rsidRPr="00000000" w14:paraId="00000062">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“đ) Kỳ quyết toán thuế thực hiện theo năm dương lịch hoặc theo năm tài chính </w:t>
            </w:r>
            <w:r w:rsidDel="00000000" w:rsidR="00000000" w:rsidRPr="00000000">
              <w:rPr>
                <w:rFonts w:ascii="Times New Roman" w:cs="Times New Roman" w:eastAsia="Times New Roman" w:hAnsi="Times New Roman"/>
                <w:b w:val="1"/>
                <w:bCs w:val="1"/>
                <w:i w:val="1"/>
                <w:iCs w:val="1"/>
                <w:sz w:val="22"/>
                <w:szCs w:val="22"/>
                <w:vertAlign w:val="baseline"/>
                <w:rtl w:val="0"/>
              </w:rPr>
              <w:t xml:space="preserve">(kỳ kế toán)”</w:t>
            </w:r>
            <w:r w:rsidDel="00000000" w:rsidR="00000000" w:rsidRPr="00000000">
              <w:rPr>
                <w:rtl w:val="0"/>
              </w:rPr>
            </w:r>
          </w:p>
        </w:tc>
      </w:tr>
      <w:tr>
        <w:trPr>
          <w:cantSplit w:val="0"/>
          <w:trHeight w:val="685" w:hRule="atLeast"/>
          <w:tblHeader w:val="0"/>
        </w:trPr>
        <w:tc>
          <w:tcPr>
            <w:vAlign w:val="top"/>
          </w:tcPr>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5">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white"/>
                <w:vertAlign w:val="baseline"/>
                <w:rtl w:val="0"/>
              </w:rPr>
              <w:t xml:space="preserve">Thời hạn nộp hồ sơ khai thuế đ</w:t>
            </w:r>
            <w:r w:rsidDel="00000000" w:rsidR="00000000" w:rsidRPr="00000000">
              <w:rPr>
                <w:rFonts w:ascii="Times New Roman" w:cs="Times New Roman" w:eastAsia="Times New Roman" w:hAnsi="Times New Roman"/>
                <w:sz w:val="22"/>
                <w:szCs w:val="22"/>
                <w:vertAlign w:val="baseline"/>
                <w:rtl w:val="0"/>
              </w:rPr>
              <w:t xml:space="preserve">ối với loại thuế phải khai quyết toán thuế</w:t>
            </w:r>
          </w:p>
        </w:tc>
        <w:tc>
          <w:tcPr>
            <w:vAlign w:val="top"/>
          </w:tcPr>
          <w:p w:rsidR="00000000" w:rsidDel="00000000" w:rsidP="00000000" w:rsidRDefault="00000000" w:rsidRPr="00000000" w14:paraId="00000066">
            <w:pPr>
              <w:pStyle w:val="Heading1"/>
              <w:spacing w:after="0" w:before="0" w:lineRule="auto"/>
              <w:rPr>
                <w:rFonts w:ascii="Times New Roman" w:cs="Times New Roman" w:eastAsia="Times New Roman" w:hAnsi="Times New Roman"/>
                <w:b w:val="0"/>
                <w:bCs w:val="0"/>
                <w:sz w:val="22"/>
                <w:szCs w:val="22"/>
                <w:highlight w:val="white"/>
                <w:vertAlign w:val="baseline"/>
              </w:rPr>
            </w:pPr>
            <w:r w:rsidDel="00000000" w:rsidR="00000000" w:rsidRPr="00000000">
              <w:rPr>
                <w:rFonts w:ascii="Times New Roman" w:cs="Times New Roman" w:eastAsia="Times New Roman" w:hAnsi="Times New Roman"/>
                <w:b w:val="0"/>
                <w:bCs w:val="0"/>
                <w:sz w:val="22"/>
                <w:szCs w:val="22"/>
                <w:highlight w:val="white"/>
                <w:vertAlign w:val="baseline"/>
                <w:rtl w:val="0"/>
              </w:rPr>
              <w:t xml:space="preserve">Khoản 5, Điều 10, Dự thảo Nghị định</w:t>
            </w:r>
          </w:p>
        </w:tc>
        <w:tc>
          <w:tcPr>
            <w:vAlign w:val="top"/>
          </w:tcPr>
          <w:p w:rsidR="00000000" w:rsidDel="00000000" w:rsidP="00000000" w:rsidRDefault="00000000" w:rsidRPr="00000000" w14:paraId="00000067">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“5. Đối với loại thuế phải khai quyết toán thuế, thời hạn nộp hồ sơ khai thuế thực hiện như sau:  </w:t>
            </w: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Trường hợp trong 01 năm dương lịch, cá nhân có mặt tại Việt Nam dưới 183 ngày nhưng tính trong 12 tháng liên tục kể từ ngày đầu tiên có mặt tại Việt Nam là từ 183 ngày trở lên  thì thời hạn nộp hồ sơ quyết toán thuế thu nhập cá nhân của năm đầu tiên chậm nhất là ngày cuối cùng của tháng thứ 4 kể từ ngày cuối cùng của tháng tính đủ 12 tháng liên tục.</w:t>
            </w: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d) Trước khi xuất cảnh đối với cá nhân cư trú là người nước ngoài kết thúc hợp đồng lao động tại Việt Nam nhưng </w:t>
            </w:r>
            <w:r w:rsidDel="00000000" w:rsidR="00000000" w:rsidRPr="00000000">
              <w:rPr>
                <w:rFonts w:ascii="Times New Roman" w:cs="Times New Roman" w:eastAsia="Times New Roman" w:hAnsi="Times New Roman"/>
                <w:b w:val="1"/>
                <w:bCs w:val="1"/>
                <w:i w:val="1"/>
                <w:iCs w:val="1"/>
                <w:sz w:val="22"/>
                <w:szCs w:val="22"/>
                <w:vertAlign w:val="baseline"/>
                <w:rtl w:val="0"/>
              </w:rPr>
              <w:t xml:space="preserve">không quá 45 ngày kể từ ngày kết thúc hợp đồng lao động.”</w:t>
            </w:r>
            <w:r w:rsidDel="00000000" w:rsidR="00000000" w:rsidRPr="00000000">
              <w:rPr>
                <w:rtl w:val="0"/>
              </w:rPr>
            </w:r>
          </w:p>
        </w:tc>
        <w:tc>
          <w:tcPr>
            <w:vAlign w:val="top"/>
          </w:tcPr>
          <w:p w:rsidR="00000000" w:rsidDel="00000000" w:rsidP="00000000" w:rsidRDefault="00000000" w:rsidRPr="00000000" w14:paraId="0000006B">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Đề xuất: </w:t>
            </w: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Điều chỉnh quy định tại điểm d, khoản 5, Điều 10 theo hướng:</w:t>
            </w:r>
          </w:p>
          <w:p w:rsidR="00000000" w:rsidDel="00000000" w:rsidP="00000000" w:rsidRDefault="00000000" w:rsidRPr="00000000" w14:paraId="0000006E">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F">
            <w:pPr>
              <w:numPr>
                <w:ilvl w:val="0"/>
                <w:numId w:val="3"/>
              </w:numPr>
              <w:ind w:left="72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Tăng thời hạn nộp hồ sơ quyết toán thuế thu nhập cá nhân đối với cá nhân là người nước ngoài kết thúc hợp đồng lao động tại Việt Nam;</w:t>
            </w:r>
          </w:p>
          <w:p w:rsidR="00000000" w:rsidDel="00000000" w:rsidP="00000000" w:rsidRDefault="00000000" w:rsidRPr="00000000" w14:paraId="00000070">
            <w:pPr>
              <w:numPr>
                <w:ilvl w:val="0"/>
                <w:numId w:val="3"/>
              </w:numPr>
              <w:ind w:left="72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Hoặc bổ sung cơ chế linh hoạt cho phép gia hạn thời hạn nộp hồ sơ trong các trường hợp cần thiết (ví dụ: có yếu tố thu nhập nước ngoài,).</w:t>
            </w:r>
          </w:p>
          <w:p w:rsidR="00000000" w:rsidDel="00000000" w:rsidP="00000000" w:rsidRDefault="00000000" w:rsidRPr="00000000" w14:paraId="00000071">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Lý do:</w:t>
            </w: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Thời hạn tối đa 45 ngày kể từ ngày kết thúc hợp đồng lao động đối với cá nhân là người nước ngoài đang tạo ra một số khó khăn trong quá trình thực hiện.</w:t>
            </w:r>
          </w:p>
          <w:p w:rsidR="00000000" w:rsidDel="00000000" w:rsidP="00000000" w:rsidRDefault="00000000" w:rsidRPr="00000000" w14:paraId="00000076">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Trên thực tế, khi kết thúc hợp đồng lao động, bên cạnh việc kê khai quyết toán thuế, cá nhân phải song song hoàn tất bàn giao công việc, hoàn tất các nghĩa vụ khác liên quan và xuất cảnh. Điều này gây nên khối lượng công việc cần giải quyết khá lớn trong một khoảng thời gian ngắn.</w:t>
            </w:r>
          </w:p>
          <w:p w:rsidR="00000000" w:rsidDel="00000000" w:rsidP="00000000" w:rsidRDefault="00000000" w:rsidRPr="00000000" w14:paraId="00000078">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Trong trường hợp cá nhân ủy quyền cho doanh nghiệp hoặc bên thứ ba thực hiện quyết toán thay, việc tổng hợp và xác nhận dữ liệu từ các bên liên quan, bao gồm thu nhập chịu thuế, các khoản điều chỉnh, khấu trừ và thu nhập phát sinh ở nước ngoài nếu có, cần thêm thời gian để thu thập, rà soát và đối chiếu từ nhiều nguồn. Do đó, thời hạn 45 ngày còn khá giới hạn theo thực tiễn áp dụng, làm gia tăng áp lực tuân thủ và rủi ro sai sót nếu thời hạn thực hiện bị giới hạn. </w:t>
            </w:r>
          </w:p>
          <w:p w:rsidR="00000000" w:rsidDel="00000000" w:rsidP="00000000" w:rsidRDefault="00000000" w:rsidRPr="00000000" w14:paraId="0000007A">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Do đó, việc điều chỉnh thời hạn hoặc áp dụng cơ chế linh hoạt sẽ góp phần tạo điều kiện cho người nộp thuế thực hiện nghĩa vụ một cách đầy đủ, chính xác, đồng thời vẫn đảm bảo mục tiêu quản lý của cơ quan thuế.</w:t>
            </w:r>
          </w:p>
        </w:tc>
      </w:tr>
      <w:tr>
        <w:trPr>
          <w:cantSplit w:val="0"/>
          <w:trHeight w:val="685" w:hRule="atLeast"/>
          <w:tblHeader w:val="0"/>
        </w:trPr>
        <w:tc>
          <w:tcPr>
            <w:vAlign w:val="top"/>
          </w:tcPr>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D">
            <w:pPr>
              <w:rPr>
                <w:rFonts w:ascii="Times New Roman" w:cs="Times New Roman" w:eastAsia="Times New Roman" w:hAnsi="Times New Roman"/>
                <w:sz w:val="22"/>
                <w:szCs w:val="22"/>
                <w:highlight w:val="white"/>
                <w:vertAlign w:val="baseline"/>
              </w:rPr>
            </w:pPr>
            <w:r w:rsidDel="00000000" w:rsidR="00000000" w:rsidRPr="00000000">
              <w:rPr>
                <w:rFonts w:ascii="Times New Roman" w:cs="Times New Roman" w:eastAsia="Times New Roman" w:hAnsi="Times New Roman"/>
                <w:sz w:val="22"/>
                <w:szCs w:val="22"/>
                <w:vertAlign w:val="baseline"/>
                <w:rtl w:val="0"/>
              </w:rPr>
              <w:t xml:space="preserve">Nghĩa vụ nộp hồ sơ khai thuế TNCN trong trường hợp không phát sinh khấu trừ thuế</w:t>
            </w:r>
            <w:r w:rsidDel="00000000" w:rsidR="00000000" w:rsidRPr="00000000">
              <w:rPr>
                <w:rtl w:val="0"/>
              </w:rPr>
            </w:r>
          </w:p>
        </w:tc>
        <w:tc>
          <w:tcPr>
            <w:vAlign w:val="top"/>
          </w:tcPr>
          <w:p w:rsidR="00000000" w:rsidDel="00000000" w:rsidP="00000000" w:rsidRDefault="00000000" w:rsidRPr="00000000" w14:paraId="0000007E">
            <w:pPr>
              <w:pStyle w:val="Heading2"/>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0"/>
                <w:bCs w:val="0"/>
                <w:i w:val="0"/>
                <w:iCs w:val="0"/>
                <w:sz w:val="22"/>
                <w:szCs w:val="22"/>
                <w:vertAlign w:val="baseline"/>
                <w:rtl w:val="0"/>
              </w:rPr>
              <w:t xml:space="preserve">Khoản 6, Điều 11, Dự thảo Nghị định</w:t>
            </w:r>
          </w:p>
          <w:p w:rsidR="00000000" w:rsidDel="00000000" w:rsidP="00000000" w:rsidRDefault="00000000" w:rsidRPr="00000000" w14:paraId="0000007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0">
            <w:pPr>
              <w:pStyle w:val="Heading1"/>
              <w:spacing w:after="0" w:before="0" w:lineRule="auto"/>
              <w:rPr>
                <w:rFonts w:ascii="Times New Roman" w:cs="Times New Roman" w:eastAsia="Times New Roman" w:hAnsi="Times New Roman"/>
                <w:b w:val="0"/>
                <w:bCs w:val="0"/>
                <w:sz w:val="22"/>
                <w:szCs w:val="22"/>
                <w:highlight w:val="white"/>
                <w:vertAlign w:val="baseline"/>
              </w:rPr>
            </w:pPr>
            <w:r w:rsidDel="00000000" w:rsidR="00000000" w:rsidRPr="00000000">
              <w:rPr>
                <w:rtl w:val="0"/>
              </w:rPr>
            </w:r>
          </w:p>
        </w:tc>
        <w:tc>
          <w:tcPr>
            <w:vAlign w:val="top"/>
          </w:tcPr>
          <w:p w:rsidR="00000000" w:rsidDel="00000000" w:rsidP="00000000" w:rsidRDefault="00000000" w:rsidRPr="00000000" w14:paraId="00000081">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“Điều 11. Các trường hợp không phải nộp hồ sơ khai thuế </w:t>
            </w: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6.Người khai thuế thu nhập cá nhân là tổ chức, cá nhân trả thu nhập thuộc trường hợp khai thuế thu nhập cá nhân theo tháng, quý mà trong tháng, quý đó không phát sinh việc khấu trừ thuế thu nhập cá nhân của đối tượng nhận thu nhập.</w:t>
            </w:r>
            <w:r w:rsidDel="00000000" w:rsidR="00000000" w:rsidRPr="00000000">
              <w:rPr>
                <w:rtl w:val="0"/>
              </w:rPr>
            </w:r>
          </w:p>
          <w:p w:rsidR="00000000" w:rsidDel="00000000" w:rsidP="00000000" w:rsidRDefault="00000000" w:rsidRPr="00000000" w14:paraId="00000084">
            <w:pPr>
              <w:ind w:firstLine="72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Trường hợp tháng, quý cuối cùng trong năm hoặc tháng, quý phát sinh việc chia, tách, hợp nhất, sáp nhập, giải thể, phá sản, chấm dứt hoạt động không phát sinh việc khấu trừ thuế và thuộc trường hợp không phải quyết toán thuế thu nhập cá nhân theo hướng dẫn của Bộ Tài chính thì tổ chức, cá nhân trả thu nhập vẫn phải nộp hồ sơ khai thuế thu nhập cá nhân của tháng, quý cuối cùng trong năm hoặc tháng, quý phát sinh việc chia, tách, hợp nhất, sáp nhập, giải thể, phá sản, chấm dứt hoạt động.”</w:t>
            </w: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i w:val="0"/>
                <w:i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7">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Đề xuất:</w:t>
            </w: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88">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Điều chỉnh Khoản 6, Điều 11, Dự thảo Nghị định như sau:</w:t>
            </w: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Đề xuất bãi bỏ quy định về việc vẫn phải nộp tờ khai thuế thu nhập cá nhân của tháng, quý cuối cùng trong năm hoặc tháng, quý phát sinh việc chia, tách, hợp nhất, sáp nhập, giải thể, phá sản, chấm dứt hoạt động khi không có phát sinh khấu trừ thuế.</w:t>
            </w:r>
          </w:p>
          <w:p w:rsidR="00000000" w:rsidDel="00000000" w:rsidP="00000000" w:rsidRDefault="00000000" w:rsidRPr="00000000" w14:paraId="0000008C">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Lý do</w:t>
            </w: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8E">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Chúng tôi nhận thấy rằng quy định tại Dự thảo yêu cầu tổ chức, cá nhân trả thu nhập vẫn phải nộp hồ sơ khai thuế thu nhập cá nhân đối với kỳ tính thuế cuối cùng, ngay cả khi không phát sinh khấu trừ thuế và không thuộc diện quyết toán thuế, là chưa thực sự phù hợp với nguyên tắc quản lý thuế hiện hành.</w:t>
            </w:r>
          </w:p>
          <w:p w:rsidR="00000000" w:rsidDel="00000000" w:rsidP="00000000" w:rsidRDefault="00000000" w:rsidRPr="00000000" w14:paraId="00000090">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Cụ thể, căn cứ khoản 3 Điều 7 Nghị định 126/2020/NĐ-CP được bổ sung bởi khoản 2 Điều 1 Nghị định 91/2022/NĐ-CP quy định các trường hợp không phải nộp tờ khai thuế TNCN như sau: </w:t>
            </w:r>
          </w:p>
          <w:p w:rsidR="00000000" w:rsidDel="00000000" w:rsidP="00000000" w:rsidRDefault="00000000" w:rsidRPr="00000000" w14:paraId="00000092">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“Người khai thuế thu nhập cá nhân là tổ chức, cá nhân trả thu nhập thuộc trường hợp khai thuế thu nhập cá nhân theo tháng, quý mà trong tháng quý đó không phát sinh việc khấu trừ thuế thu nhập cá nhân của đối tượng nhận thu nhập.”</w:t>
            </w: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Theo hiện hành, nghĩa vụ nộp hồ sơ khai thuế được đặt ra trên cơ sở có phát sinh nghĩa vụ thuế. Trên thực tế, cơ chế này đã được áp dụng ổn định trong nhiều năm, giúp giảm thiểu gánh nặng tuân thủ hành chính cho người nộp thuế, đồng thời vẫn đảm bảo hiệu quả quản lý của cơ quan thuế.</w:t>
            </w:r>
          </w:p>
          <w:p w:rsidR="00000000" w:rsidDel="00000000" w:rsidP="00000000" w:rsidRDefault="00000000" w:rsidRPr="00000000" w14:paraId="00000096">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Do đó, việc Dự thảo bổ sung nghĩa vụ nộp hồ sơ khai thuế tháng/ quý trong các trường hợp không phát sinh khấu trừ thuế có thể dẫn đến gia tăng chi phí tuân thủ không cần thiết, trong khi không mang lại giá trị quản lý bổ sung đáng kể cho cơ quan thuế.</w:t>
            </w:r>
          </w:p>
          <w:p w:rsidR="00000000" w:rsidDel="00000000" w:rsidP="00000000" w:rsidRDefault="00000000" w:rsidRPr="00000000" w14:paraId="00000098">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Trên cơ sở đó, chúng tôi đề xuất cân nhắc duy trì nguyên tắc không yêu cầu nộp hồ sơ khai thuế đối với các kỳ không phát sinh nghĩa vụ thuế, bao gồm cả trong trường hợp kỳ tính thuế cuối cùng khi doanh nghiệp thực hiện chia, tách, sáp nhập hoặc chấm dứt hoạt động.</w:t>
            </w:r>
          </w:p>
          <w:p w:rsidR="00000000" w:rsidDel="00000000" w:rsidP="00000000" w:rsidRDefault="00000000" w:rsidRPr="00000000" w14:paraId="0000009A">
            <w:pPr>
              <w:jc w:val="both"/>
              <w:rPr>
                <w:rFonts w:ascii="Times New Roman" w:cs="Times New Roman" w:eastAsia="Times New Roman" w:hAnsi="Times New Roman"/>
                <w:b w:val="0"/>
                <w:bCs w:val="0"/>
                <w:sz w:val="22"/>
                <w:szCs w:val="22"/>
                <w:vertAlign w:val="baseline"/>
              </w:rPr>
            </w:pPr>
            <w:r w:rsidDel="00000000" w:rsidR="00000000" w:rsidRPr="00000000">
              <w:rPr>
                <w:rtl w:val="0"/>
              </w:rPr>
            </w:r>
          </w:p>
        </w:tc>
      </w:tr>
      <w:tr>
        <w:trPr>
          <w:cantSplit w:val="0"/>
          <w:trHeight w:val="685" w:hRule="atLeast"/>
          <w:tblHeader w:val="0"/>
        </w:trPr>
        <w:tc>
          <w:tcPr>
            <w:vAlign w:val="top"/>
          </w:tcPr>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C">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white"/>
                <w:vertAlign w:val="baseline"/>
                <w:rtl w:val="0"/>
              </w:rPr>
              <w:t xml:space="preserve">Khai bổ sung hồ sơ khai thuế</w:t>
            </w:r>
            <w:r w:rsidDel="00000000" w:rsidR="00000000" w:rsidRPr="00000000">
              <w:rPr>
                <w:rtl w:val="0"/>
              </w:rPr>
            </w:r>
          </w:p>
        </w:tc>
        <w:tc>
          <w:tcPr>
            <w:vAlign w:val="top"/>
          </w:tcPr>
          <w:p w:rsidR="00000000" w:rsidDel="00000000" w:rsidP="00000000" w:rsidRDefault="00000000" w:rsidRPr="00000000" w14:paraId="0000009D">
            <w:pPr>
              <w:pStyle w:val="Heading1"/>
              <w:rPr>
                <w:rFonts w:ascii="Times New Roman" w:cs="Times New Roman" w:eastAsia="Times New Roman" w:hAnsi="Times New Roman"/>
                <w:b w:val="0"/>
                <w:bCs w:val="0"/>
                <w:sz w:val="22"/>
                <w:szCs w:val="22"/>
                <w:highlight w:val="white"/>
                <w:vertAlign w:val="baseline"/>
              </w:rPr>
            </w:pPr>
            <w:r w:rsidDel="00000000" w:rsidR="00000000" w:rsidRPr="00000000">
              <w:rPr>
                <w:rFonts w:ascii="Times New Roman" w:cs="Times New Roman" w:eastAsia="Times New Roman" w:hAnsi="Times New Roman"/>
                <w:b w:val="0"/>
                <w:bCs w:val="0"/>
                <w:sz w:val="22"/>
                <w:szCs w:val="22"/>
                <w:highlight w:val="white"/>
                <w:vertAlign w:val="baseline"/>
                <w:rtl w:val="0"/>
              </w:rPr>
              <w:t xml:space="preserve">Khoản 5a, Điều 12, Dự thảo Nghị định</w:t>
            </w:r>
          </w:p>
          <w:p w:rsidR="00000000" w:rsidDel="00000000" w:rsidP="00000000" w:rsidRDefault="00000000" w:rsidRPr="00000000" w14:paraId="0000009E">
            <w:pPr>
              <w:pStyle w:val="Heading1"/>
              <w:rPr>
                <w:rFonts w:ascii="Times New Roman" w:cs="Times New Roman" w:eastAsia="Times New Roman" w:hAnsi="Times New Roman"/>
                <w:b w:val="0"/>
                <w:bCs w:val="0"/>
                <w:sz w:val="22"/>
                <w:szCs w:val="22"/>
                <w:highlight w:val="white"/>
                <w:vertAlign w:val="baseline"/>
              </w:rPr>
            </w:pPr>
            <w:r w:rsidDel="00000000" w:rsidR="00000000" w:rsidRPr="00000000">
              <w:rPr>
                <w:rtl w:val="0"/>
              </w:rPr>
            </w:r>
          </w:p>
          <w:p w:rsidR="00000000" w:rsidDel="00000000" w:rsidP="00000000" w:rsidRDefault="00000000" w:rsidRPr="00000000" w14:paraId="0000009F">
            <w:pPr>
              <w:pStyle w:val="Heading2"/>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0"/>
                <w:bCs w:val="0"/>
                <w:i w:val="0"/>
                <w:iCs w:val="0"/>
                <w:sz w:val="22"/>
                <w:szCs w:val="22"/>
                <w:highlight w:val="white"/>
                <w:vertAlign w:val="baseline"/>
                <w:rtl w:val="0"/>
              </w:rPr>
              <w:t xml:space="preserve">Khoản 8, Điều 12, Dự thảo Nghị định</w:t>
            </w:r>
            <w:r w:rsidDel="00000000" w:rsidR="00000000" w:rsidRPr="00000000">
              <w:rPr>
                <w:rtl w:val="0"/>
              </w:rPr>
            </w:r>
          </w:p>
        </w:tc>
        <w:tc>
          <w:tcPr>
            <w:vAlign w:val="top"/>
          </w:tcPr>
          <w:p w:rsidR="00000000" w:rsidDel="00000000" w:rsidP="00000000" w:rsidRDefault="00000000" w:rsidRPr="00000000" w14:paraId="000000A0">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“5. Đối với trường hợp khai bổ sung quy định tại điểm đ khoản 5 Điều 12 Luật Quản lý thuế:</w:t>
            </w: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a) Trường hợp cơ quan thuế, cơ quan nhà nước có thẩm quyền có văn bản kết luận, quyết định liên quan đến nội dung xác định nghĩa vụ thuế của người nộp thuế thì người nộp thuế khai bổ sung để điều chỉnh nghĩa vụ thuế trong trường hợp việc khai bổ sung làm tăng số thuế phải nộp, giảm số thuế được khấu trừ, miễn, giảm, hoàn và người nộp thuế bị xử lý theo quy định như đối với trường hợp cơ quan thuế, cơ quan có thẩm quyền thanh tra, kiểm tra phát hiện;”</w:t>
            </w: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“8. Người nộp thuế phát hiện hồ sơ khai thuế đã nộp có sai, sót làm tăng số thuế phải nộp hoặc giảm số thuế đã được miễn, giảm, hoàn hoặc giảm số thuế giá trị gia tăng được khấu trừ chuyển kỳ sau nhưng hồ sơ khai thuế đã quá thời hạn 05 năm kể từ ngày hết thời hạn nộp hồ sơ khai thuế thì người nộp thuế không được khai bổ sung hồ sơ khai thuế nhưng được bổ sung hồ sơ giải trình với cơ quan thuế. Cơ quan thuế có trách nhiệm rà soát hồ sơ giải trình của người nộp thuế và ban hành quyết định xử lý về quản lý thuế theo quy định.”</w:t>
            </w:r>
            <w:r w:rsidDel="00000000" w:rsidR="00000000" w:rsidRPr="00000000">
              <w:rPr>
                <w:rtl w:val="0"/>
              </w:rPr>
            </w:r>
          </w:p>
        </w:tc>
        <w:tc>
          <w:tcPr>
            <w:vAlign w:val="top"/>
          </w:tcPr>
          <w:p w:rsidR="00000000" w:rsidDel="00000000" w:rsidP="00000000" w:rsidRDefault="00000000" w:rsidRPr="00000000" w14:paraId="000000A5">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Đề xuất:</w:t>
            </w: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A6">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Điều chỉnh Khoản 5a và Khoản 8, Điều 12, Dự thảo Nghị định như sau:</w:t>
            </w:r>
          </w:p>
          <w:p w:rsidR="00000000" w:rsidDel="00000000" w:rsidP="00000000" w:rsidRDefault="00000000" w:rsidRPr="00000000" w14:paraId="000000A8">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“a) Trường hợp cơ quan thuế, cơ quan nhà nước có thẩm quyền có văn bản kết luận, quyết định liên quan đến nội dung xác định nghĩa vụ thuế của người nộp thuế thì người nộp thuế khai bổ sung để điều chỉnh nghĩa vụ thuế trong trường hợp việc khai bổ sung làm tăng </w:t>
            </w:r>
            <w:r w:rsidDel="00000000" w:rsidR="00000000" w:rsidRPr="00000000">
              <w:rPr>
                <w:rFonts w:ascii="Times New Roman" w:cs="Times New Roman" w:eastAsia="Times New Roman" w:hAnsi="Times New Roman"/>
                <w:b w:val="1"/>
                <w:bCs w:val="1"/>
                <w:i w:val="1"/>
                <w:iCs w:val="1"/>
                <w:sz w:val="22"/>
                <w:szCs w:val="22"/>
                <w:vertAlign w:val="baseline"/>
                <w:rtl w:val="0"/>
              </w:rPr>
              <w:t xml:space="preserve">hoặc giảm</w:t>
            </w:r>
            <w:r w:rsidDel="00000000" w:rsidR="00000000" w:rsidRPr="00000000">
              <w:rPr>
                <w:rFonts w:ascii="Times New Roman" w:cs="Times New Roman" w:eastAsia="Times New Roman" w:hAnsi="Times New Roman"/>
                <w:i w:val="1"/>
                <w:iCs w:val="1"/>
                <w:sz w:val="22"/>
                <w:szCs w:val="22"/>
                <w:vertAlign w:val="baseline"/>
                <w:rtl w:val="0"/>
              </w:rPr>
              <w:t xml:space="preserve"> số thuế phải nộp, giảm số thuế được khấu trừ, miễn, giảm, hoàn, tăng </w:t>
            </w:r>
            <w:r w:rsidDel="00000000" w:rsidR="00000000" w:rsidRPr="00000000">
              <w:rPr>
                <w:rFonts w:ascii="Times New Roman" w:cs="Times New Roman" w:eastAsia="Times New Roman" w:hAnsi="Times New Roman"/>
                <w:b w:val="1"/>
                <w:bCs w:val="1"/>
                <w:i w:val="1"/>
                <w:iCs w:val="1"/>
                <w:sz w:val="22"/>
                <w:szCs w:val="22"/>
                <w:vertAlign w:val="baseline"/>
                <w:rtl w:val="0"/>
              </w:rPr>
              <w:t xml:space="preserve">hoặc giảm</w:t>
            </w:r>
            <w:r w:rsidDel="00000000" w:rsidR="00000000" w:rsidRPr="00000000">
              <w:rPr>
                <w:rFonts w:ascii="Times New Roman" w:cs="Times New Roman" w:eastAsia="Times New Roman" w:hAnsi="Times New Roman"/>
                <w:i w:val="1"/>
                <w:iCs w:val="1"/>
                <w:sz w:val="22"/>
                <w:szCs w:val="22"/>
                <w:vertAlign w:val="baseline"/>
                <w:rtl w:val="0"/>
              </w:rPr>
              <w:t xml:space="preserve"> </w:t>
            </w:r>
            <w:r w:rsidDel="00000000" w:rsidR="00000000" w:rsidRPr="00000000">
              <w:rPr>
                <w:rFonts w:ascii="Times New Roman" w:cs="Times New Roman" w:eastAsia="Times New Roman" w:hAnsi="Times New Roman"/>
                <w:b w:val="1"/>
                <w:bCs w:val="1"/>
                <w:i w:val="1"/>
                <w:iCs w:val="1"/>
                <w:sz w:val="22"/>
                <w:szCs w:val="22"/>
                <w:vertAlign w:val="baseline"/>
                <w:rtl w:val="0"/>
              </w:rPr>
              <w:t xml:space="preserve">số lỗ kết chuyển</w:t>
            </w:r>
            <w:r w:rsidDel="00000000" w:rsidR="00000000" w:rsidRPr="00000000">
              <w:rPr>
                <w:rFonts w:ascii="Times New Roman" w:cs="Times New Roman" w:eastAsia="Times New Roman" w:hAnsi="Times New Roman"/>
                <w:i w:val="1"/>
                <w:iCs w:val="1"/>
                <w:sz w:val="22"/>
                <w:szCs w:val="22"/>
                <w:vertAlign w:val="baseline"/>
                <w:rtl w:val="0"/>
              </w:rPr>
              <w:t xml:space="preserve"> và người nộp thuế bị xử lý theo quy định như đối với trường hợp cơ quan thuế, cơ quan có thẩm quyền thanh tra, kiểm tra phát hiện;” </w:t>
            </w: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“8. Người nộp thuế phát hiện hồ sơ khai thuế đã nộp có sai, sót </w:t>
            </w:r>
            <w:r w:rsidDel="00000000" w:rsidR="00000000" w:rsidRPr="00000000">
              <w:rPr>
                <w:rFonts w:ascii="Times New Roman" w:cs="Times New Roman" w:eastAsia="Times New Roman" w:hAnsi="Times New Roman"/>
                <w:b w:val="1"/>
                <w:bCs w:val="1"/>
                <w:i w:val="1"/>
                <w:iCs w:val="1"/>
                <w:sz w:val="22"/>
                <w:szCs w:val="22"/>
                <w:vertAlign w:val="baseline"/>
                <w:rtl w:val="0"/>
              </w:rPr>
              <w:t xml:space="preserve">làm tăng hoặc giảm</w:t>
            </w:r>
            <w:r w:rsidDel="00000000" w:rsidR="00000000" w:rsidRPr="00000000">
              <w:rPr>
                <w:rFonts w:ascii="Times New Roman" w:cs="Times New Roman" w:eastAsia="Times New Roman" w:hAnsi="Times New Roman"/>
                <w:i w:val="1"/>
                <w:iCs w:val="1"/>
                <w:sz w:val="22"/>
                <w:szCs w:val="22"/>
                <w:vertAlign w:val="baseline"/>
                <w:rtl w:val="0"/>
              </w:rPr>
              <w:t xml:space="preserve"> số thuế phải nộp hoặc giảm số thuế đã được miễn, giảm, hoàn hoặc giảm số thuế giá trị gia tăng được khấu trừ chuyển kỳ sau nhưng hồ sơ khai thuế đã quá thời hạn 05 năm kể từ ngày hết thời hạn nộp hồ sơ khai thuế thì người nộp thuế không được khai bổ sung hồ sơ khai thuế nhưng được bổ sung hồ sơ giải trình với cơ quan thuế. Cơ quan thuế có trách nhiệm rà soát hồ sơ giải trình của người nộp thuế và ban hành quyết định xử lý về quản lý thuế theo quy định.”</w:t>
            </w: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Lý do: </w:t>
            </w: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Đối với trường hợp cơ quan thuế hoặc cơ quan nhà nước có thẩm quyền ra văn bản bản kết luận việc xác định nghĩa vụ thuế của doanh nghiệp; quy định hiện tại đang hạn chế doanh nghiệp được khai bổ sung hồ sơ khai thuế trong một số trường hợp (ví dụ: giảm số thuế phải nộp hay tăng hoặc giảm số lỗ kết chuyển). Vì vậy đề xuất của Chúng tôi giúp tạo ra sự nhất quán và công bằng, qua đó tạo thuận lợi cho doanh nghiệp thực hiện tuân thủ các quy định pháp luật trong quá trình hoạt động sản xuất kinh doanh.</w:t>
            </w:r>
          </w:p>
          <w:p w:rsidR="00000000" w:rsidDel="00000000" w:rsidP="00000000" w:rsidRDefault="00000000" w:rsidRPr="00000000" w14:paraId="000000B0">
            <w:pPr>
              <w:jc w:val="both"/>
              <w:rPr>
                <w:rFonts w:ascii="Times New Roman" w:cs="Times New Roman" w:eastAsia="Times New Roman" w:hAnsi="Times New Roman"/>
                <w:b w:val="0"/>
                <w:bCs w:val="0"/>
                <w:sz w:val="22"/>
                <w:szCs w:val="22"/>
                <w:vertAlign w:val="baseline"/>
              </w:rPr>
            </w:pPr>
            <w:r w:rsidDel="00000000" w:rsidR="00000000" w:rsidRPr="00000000">
              <w:rPr>
                <w:rtl w:val="0"/>
              </w:rPr>
            </w:r>
          </w:p>
        </w:tc>
      </w:tr>
      <w:tr>
        <w:trPr>
          <w:cantSplit w:val="0"/>
          <w:trHeight w:val="685" w:hRule="atLeast"/>
          <w:tblHeader w:val="0"/>
        </w:trPr>
        <w:tc>
          <w:tcPr>
            <w:vAlign w:val="top"/>
          </w:tcPr>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2">
            <w:pPr>
              <w:rPr>
                <w:rFonts w:ascii="Times New Roman" w:cs="Times New Roman" w:eastAsia="Times New Roman" w:hAnsi="Times New Roman"/>
                <w:sz w:val="22"/>
                <w:szCs w:val="22"/>
                <w:highlight w:val="white"/>
                <w:vertAlign w:val="baseline"/>
              </w:rPr>
            </w:pPr>
            <w:r w:rsidDel="00000000" w:rsidR="00000000" w:rsidRPr="00000000">
              <w:rPr>
                <w:rFonts w:ascii="Times New Roman" w:cs="Times New Roman" w:eastAsia="Times New Roman" w:hAnsi="Times New Roman"/>
                <w:sz w:val="22"/>
                <w:szCs w:val="22"/>
                <w:highlight w:val="white"/>
                <w:vertAlign w:val="baseline"/>
                <w:rtl w:val="0"/>
              </w:rPr>
              <w:t xml:space="preserve">Tiền chậm nộp thuế với số thuế phải nộp tăng thêm do kiểm tra</w:t>
            </w:r>
          </w:p>
        </w:tc>
        <w:tc>
          <w:tcPr>
            <w:vAlign w:val="top"/>
          </w:tcPr>
          <w:p w:rsidR="00000000" w:rsidDel="00000000" w:rsidP="00000000" w:rsidRDefault="00000000" w:rsidRPr="00000000" w14:paraId="000000B3">
            <w:pPr>
              <w:pStyle w:val="Heading1"/>
              <w:rPr>
                <w:rFonts w:ascii="Times New Roman" w:cs="Times New Roman" w:eastAsia="Times New Roman" w:hAnsi="Times New Roman"/>
                <w:b w:val="0"/>
                <w:bCs w:val="0"/>
                <w:sz w:val="22"/>
                <w:szCs w:val="22"/>
                <w:highlight w:val="white"/>
                <w:vertAlign w:val="baseline"/>
              </w:rPr>
            </w:pPr>
            <w:r w:rsidDel="00000000" w:rsidR="00000000" w:rsidRPr="00000000">
              <w:rPr>
                <w:rFonts w:ascii="Times New Roman" w:cs="Times New Roman" w:eastAsia="Times New Roman" w:hAnsi="Times New Roman"/>
                <w:b w:val="0"/>
                <w:bCs w:val="0"/>
                <w:sz w:val="22"/>
                <w:szCs w:val="22"/>
                <w:highlight w:val="white"/>
                <w:vertAlign w:val="baseline"/>
                <w:rtl w:val="0"/>
              </w:rPr>
              <w:t xml:space="preserve">Khoản 2, Điều 26, Dự thảo Nghị định</w:t>
            </w:r>
          </w:p>
        </w:tc>
        <w:tc>
          <w:tcPr>
            <w:vAlign w:val="top"/>
          </w:tcPr>
          <w:p w:rsidR="00000000" w:rsidDel="00000000" w:rsidP="00000000" w:rsidRDefault="00000000" w:rsidRPr="00000000" w14:paraId="000000B4">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“2. Trường hợp cơ quan có thẩm quyền thanh tra, kiểm tra sau khi doanh nghiệp đã khai quyết toán thuế năm, nếu phát hiện tăng số thuế </w:t>
            </w:r>
            <w:r w:rsidDel="00000000" w:rsidR="00000000" w:rsidRPr="00000000">
              <w:rPr>
                <w:rFonts w:ascii="Times New Roman" w:cs="Times New Roman" w:eastAsia="Times New Roman" w:hAnsi="Times New Roman"/>
                <w:i w:val="1"/>
                <w:iCs w:val="1"/>
                <w:sz w:val="22"/>
                <w:szCs w:val="22"/>
                <w:u w:val="single"/>
                <w:vertAlign w:val="baseline"/>
                <w:rtl w:val="0"/>
              </w:rPr>
              <w:t xml:space="preserve">phải nộp so với số thuế doanh nghiệp đã kê khai quyết toán</w:t>
            </w:r>
            <w:r w:rsidDel="00000000" w:rsidR="00000000" w:rsidRPr="00000000">
              <w:rPr>
                <w:rFonts w:ascii="Times New Roman" w:cs="Times New Roman" w:eastAsia="Times New Roman" w:hAnsi="Times New Roman"/>
                <w:i w:val="1"/>
                <w:iCs w:val="1"/>
                <w:sz w:val="22"/>
                <w:szCs w:val="22"/>
                <w:vertAlign w:val="baseline"/>
                <w:rtl w:val="0"/>
              </w:rPr>
              <w:t xml:space="preserve"> thì doanh nghiệp bị tính tiền chậm nộp đối </w:t>
            </w:r>
            <w:r w:rsidDel="00000000" w:rsidR="00000000" w:rsidRPr="00000000">
              <w:rPr>
                <w:rFonts w:ascii="Times New Roman" w:cs="Times New Roman" w:eastAsia="Times New Roman" w:hAnsi="Times New Roman"/>
                <w:i w:val="1"/>
                <w:iCs w:val="1"/>
                <w:sz w:val="22"/>
                <w:szCs w:val="22"/>
                <w:u w:val="single"/>
                <w:vertAlign w:val="baseline"/>
                <w:rtl w:val="0"/>
              </w:rPr>
              <w:t xml:space="preserve">với toàn bộ</w:t>
            </w:r>
            <w:r w:rsidDel="00000000" w:rsidR="00000000" w:rsidRPr="00000000">
              <w:rPr>
                <w:rFonts w:ascii="Times New Roman" w:cs="Times New Roman" w:eastAsia="Times New Roman" w:hAnsi="Times New Roman"/>
                <w:i w:val="1"/>
                <w:iCs w:val="1"/>
                <w:sz w:val="22"/>
                <w:szCs w:val="22"/>
                <w:vertAlign w:val="baseline"/>
                <w:rtl w:val="0"/>
              </w:rPr>
              <w:t xml:space="preserve"> số thuế phải nộp tăng thêm đó. Thời gian tính tiền chậm nộp được tính liên tục kể từ ngày tiếp theo ngày cuối cùng của thời hạn nộp hồ sơ quyết toán thuế năm đến ngày liền kề trước của ngày tiền thuế tăng thêm được nộp vào ngân sách nhà nước.”</w:t>
            </w:r>
            <w:r w:rsidDel="00000000" w:rsidR="00000000" w:rsidRPr="00000000">
              <w:rPr>
                <w:rtl w:val="0"/>
              </w:rPr>
            </w:r>
          </w:p>
        </w:tc>
        <w:tc>
          <w:tcPr>
            <w:vAlign w:val="top"/>
          </w:tcPr>
          <w:p w:rsidR="00000000" w:rsidDel="00000000" w:rsidP="00000000" w:rsidRDefault="00000000" w:rsidRPr="00000000" w14:paraId="000000B5">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Đề xuất: Trong trường hợp doanh nghiệp có thuế nộp thừa thì chỉ phải tính tiền chậm nộp sau khi bù trừ với số thuế đã nộp thừa.</w:t>
            </w:r>
          </w:p>
          <w:p w:rsidR="00000000" w:rsidDel="00000000" w:rsidP="00000000" w:rsidRDefault="00000000" w:rsidRPr="00000000" w14:paraId="000000B6">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“2. Trường hợp cơ quan có thẩm quyền thanh tra, kiểm tra sau khi doanh nghiệp đã khai quyết toán thuế năm, nếu phát hiện tăng số thuế phải </w:t>
            </w:r>
            <w:r w:rsidDel="00000000" w:rsidR="00000000" w:rsidRPr="00000000">
              <w:rPr>
                <w:rFonts w:ascii="Times New Roman" w:cs="Times New Roman" w:eastAsia="Times New Roman" w:hAnsi="Times New Roman"/>
                <w:i w:val="1"/>
                <w:iCs w:val="1"/>
                <w:sz w:val="22"/>
                <w:szCs w:val="22"/>
                <w:u w:val="single"/>
                <w:vertAlign w:val="baseline"/>
                <w:rtl w:val="0"/>
              </w:rPr>
              <w:t xml:space="preserve">nộp so với số thuế doanh nghiệp đã kê khai quyết toán</w:t>
            </w:r>
            <w:r w:rsidDel="00000000" w:rsidR="00000000" w:rsidRPr="00000000">
              <w:rPr>
                <w:rFonts w:ascii="Times New Roman" w:cs="Times New Roman" w:eastAsia="Times New Roman" w:hAnsi="Times New Roman"/>
                <w:i w:val="1"/>
                <w:iCs w:val="1"/>
                <w:sz w:val="22"/>
                <w:szCs w:val="22"/>
                <w:vertAlign w:val="baseline"/>
                <w:rtl w:val="0"/>
              </w:rPr>
              <w:t xml:space="preserve"> thì doanh nghiệp bị tính tiền chậm nộp đối </w:t>
            </w:r>
            <w:r w:rsidDel="00000000" w:rsidR="00000000" w:rsidRPr="00000000">
              <w:rPr>
                <w:rFonts w:ascii="Times New Roman" w:cs="Times New Roman" w:eastAsia="Times New Roman" w:hAnsi="Times New Roman"/>
                <w:i w:val="1"/>
                <w:iCs w:val="1"/>
                <w:sz w:val="22"/>
                <w:szCs w:val="22"/>
                <w:u w:val="single"/>
                <w:vertAlign w:val="baseline"/>
                <w:rtl w:val="0"/>
              </w:rPr>
              <w:t xml:space="preserve">với toàn bộ</w:t>
            </w:r>
            <w:r w:rsidDel="00000000" w:rsidR="00000000" w:rsidRPr="00000000">
              <w:rPr>
                <w:rFonts w:ascii="Times New Roman" w:cs="Times New Roman" w:eastAsia="Times New Roman" w:hAnsi="Times New Roman"/>
                <w:i w:val="1"/>
                <w:iCs w:val="1"/>
                <w:sz w:val="22"/>
                <w:szCs w:val="22"/>
                <w:vertAlign w:val="baseline"/>
                <w:rtl w:val="0"/>
              </w:rPr>
              <w:t xml:space="preserve"> số thuế phải nộp tăng thêm đó </w:t>
            </w:r>
            <w:r w:rsidDel="00000000" w:rsidR="00000000" w:rsidRPr="00000000">
              <w:rPr>
                <w:rFonts w:ascii="Times New Roman" w:cs="Times New Roman" w:eastAsia="Times New Roman" w:hAnsi="Times New Roman"/>
                <w:b w:val="1"/>
                <w:bCs w:val="1"/>
                <w:i w:val="1"/>
                <w:iCs w:val="1"/>
                <w:sz w:val="22"/>
                <w:szCs w:val="22"/>
                <w:vertAlign w:val="baseline"/>
                <w:rtl w:val="0"/>
              </w:rPr>
              <w:t xml:space="preserve">(sau khi bù trừ với số thuế nộp thừa cùng tiểu mục thuế tại thời điểm thanh tra, kiểm tra, nếu có)</w:t>
            </w:r>
            <w:r w:rsidDel="00000000" w:rsidR="00000000" w:rsidRPr="00000000">
              <w:rPr>
                <w:rFonts w:ascii="Times New Roman" w:cs="Times New Roman" w:eastAsia="Times New Roman" w:hAnsi="Times New Roman"/>
                <w:i w:val="1"/>
                <w:iCs w:val="1"/>
                <w:sz w:val="22"/>
                <w:szCs w:val="22"/>
                <w:vertAlign w:val="baseline"/>
                <w:rtl w:val="0"/>
              </w:rPr>
              <w:t xml:space="preserve">. Thời gian tính tiền chậm nộp được tính liên tục kể từ ngày tiếp theo ngày cuối cùng của thời hạn nộp hồ sơ quyết toán thuế năm đến ngày liền kề trước của ngày tiền thuế tăng thêm được nộp vào ngân sách nhà nước.”</w:t>
            </w:r>
            <w:r w:rsidDel="00000000" w:rsidR="00000000" w:rsidRPr="00000000">
              <w:rPr>
                <w:rtl w:val="0"/>
              </w:rPr>
            </w:r>
          </w:p>
        </w:tc>
      </w:tr>
      <w:tr>
        <w:trPr>
          <w:cantSplit w:val="0"/>
          <w:trHeight w:val="68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9">
            <w:pPr>
              <w:rPr>
                <w:rFonts w:ascii="Times New Roman" w:cs="Times New Roman" w:eastAsia="Times New Roman" w:hAnsi="Times New Roman"/>
                <w:sz w:val="22"/>
                <w:szCs w:val="22"/>
                <w:highlight w:val="white"/>
                <w:vertAlign w:val="baseline"/>
              </w:rPr>
            </w:pPr>
            <w:r w:rsidDel="00000000" w:rsidR="00000000" w:rsidRPr="00000000">
              <w:rPr>
                <w:rFonts w:ascii="Times New Roman" w:cs="Times New Roman" w:eastAsia="Times New Roman" w:hAnsi="Times New Roman"/>
                <w:sz w:val="22"/>
                <w:szCs w:val="22"/>
                <w:highlight w:val="white"/>
                <w:vertAlign w:val="baseline"/>
                <w:rtl w:val="0"/>
              </w:rPr>
              <w:t xml:space="preserve">Phương pháp kê khai của nhà cung cấp nước ngoài (“NCCNN”) không có cơ sở thường trú (“CSTT”)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A">
            <w:pPr>
              <w:pStyle w:val="Heading1"/>
              <w:rPr>
                <w:rFonts w:ascii="Times New Roman" w:cs="Times New Roman" w:eastAsia="Times New Roman" w:hAnsi="Times New Roman"/>
                <w:b w:val="0"/>
                <w:bCs w:val="0"/>
                <w:sz w:val="22"/>
                <w:szCs w:val="22"/>
                <w:highlight w:val="white"/>
                <w:vertAlign w:val="baseline"/>
              </w:rPr>
            </w:pPr>
            <w:r w:rsidDel="00000000" w:rsidR="00000000" w:rsidRPr="00000000">
              <w:rPr>
                <w:rFonts w:ascii="Times New Roman" w:cs="Times New Roman" w:eastAsia="Times New Roman" w:hAnsi="Times New Roman"/>
                <w:b w:val="0"/>
                <w:bCs w:val="0"/>
                <w:sz w:val="22"/>
                <w:szCs w:val="22"/>
                <w:highlight w:val="white"/>
                <w:vertAlign w:val="baseline"/>
                <w:rtl w:val="0"/>
              </w:rPr>
              <w:t xml:space="preserve">Chương III, Dự thảo Nghị định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B">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Phương pháp kê khai áp dụng cho NCCNN trên nền tảng số không có CSTT</w:t>
            </w:r>
          </w:p>
          <w:p w:rsidR="00000000" w:rsidDel="00000000" w:rsidP="00000000" w:rsidRDefault="00000000" w:rsidRPr="00000000" w14:paraId="000000BC">
            <w:pPr>
              <w:pStyle w:val="Heading1"/>
              <w:numPr>
                <w:ilvl w:val="0"/>
                <w:numId w:val="4"/>
              </w:numPr>
              <w:spacing w:after="0" w:lineRule="auto"/>
              <w:ind w:left="448" w:hanging="359"/>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0"/>
                <w:bCs w:val="0"/>
                <w:sz w:val="22"/>
                <w:szCs w:val="22"/>
                <w:vertAlign w:val="baseline"/>
                <w:rtl w:val="0"/>
              </w:rPr>
              <w:t xml:space="preserve">Theo Thông tư 80/2021 (Điều 77): NCCNN có hoạt động TMĐT không có CSTT tại VN sẽ áp dụng phương pháp trực tiếp tính trên doanh thu để kê khai GTGT và TNDN.</w:t>
            </w:r>
          </w:p>
          <w:p w:rsidR="00000000" w:rsidDel="00000000" w:rsidP="00000000" w:rsidRDefault="00000000" w:rsidRPr="00000000" w14:paraId="000000BD">
            <w:pPr>
              <w:pStyle w:val="Heading1"/>
              <w:numPr>
                <w:ilvl w:val="0"/>
                <w:numId w:val="4"/>
              </w:numPr>
              <w:spacing w:after="0" w:lineRule="auto"/>
              <w:ind w:left="448" w:hanging="359"/>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0"/>
                <w:bCs w:val="0"/>
                <w:sz w:val="22"/>
                <w:szCs w:val="22"/>
                <w:vertAlign w:val="baseline"/>
                <w:rtl w:val="0"/>
              </w:rPr>
              <w:t xml:space="preserve">Luật thuế TNDN số 67/2025 (Điều 11): NCCNN có hoạt động TMĐT không có CSTT tại Việt Nam áp dụng phương pháp tính trực tiếp trên doanh thu để kê khai nộp thuế TNDN.</w:t>
            </w:r>
          </w:p>
          <w:p w:rsidR="00000000" w:rsidDel="00000000" w:rsidP="00000000" w:rsidRDefault="00000000" w:rsidRPr="00000000" w14:paraId="000000BE">
            <w:pPr>
              <w:pStyle w:val="Heading1"/>
              <w:numPr>
                <w:ilvl w:val="0"/>
                <w:numId w:val="4"/>
              </w:numPr>
              <w:spacing w:after="0" w:lineRule="auto"/>
              <w:ind w:left="448" w:hanging="359"/>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0"/>
                <w:bCs w:val="0"/>
                <w:sz w:val="22"/>
                <w:szCs w:val="22"/>
                <w:vertAlign w:val="baseline"/>
                <w:rtl w:val="0"/>
              </w:rPr>
              <w:t xml:space="preserve">Theo Luật thuế GTGT số 48/2024 (Điều 4, Điều 12): NCCNN có hoạt động TMĐT không có CSTT tại VN không thuộc trường hợp kê khai theo phương pháp trực tiếp. Vậy có thể hiểu là NCCNN này sẽ phải kê khai theo phương pháp khấu trừ? Khi đó NCCNN này sẽ phải đăng ký sử dụng hóa đơn GTGT?</w:t>
            </w:r>
          </w:p>
          <w:p w:rsidR="00000000" w:rsidDel="00000000" w:rsidP="00000000" w:rsidRDefault="00000000" w:rsidRPr="00000000" w14:paraId="000000BF">
            <w:pPr>
              <w:pStyle w:val="Heading1"/>
              <w:numPr>
                <w:ilvl w:val="0"/>
                <w:numId w:val="4"/>
              </w:numPr>
              <w:spacing w:after="0" w:lineRule="auto"/>
              <w:ind w:left="448" w:hanging="359"/>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0"/>
                <w:bCs w:val="0"/>
                <w:sz w:val="22"/>
                <w:szCs w:val="22"/>
                <w:vertAlign w:val="baseline"/>
                <w:rtl w:val="0"/>
              </w:rPr>
              <w:t xml:space="preserve">Phương pháp khấu trừ (Điều 11, Luật GTGT 48/2024) chỉ áp dụng cho cơ sở kinh doanh thực hiện đầy đủ chế độ kế toán, hóa đơn, chứng từ, trong khi NCCNN không đáp ứng điều này.</w:t>
            </w:r>
          </w:p>
          <w:p w:rsidR="00000000" w:rsidDel="00000000" w:rsidP="00000000" w:rsidRDefault="00000000" w:rsidRPr="00000000" w14:paraId="000000C0">
            <w:pPr>
              <w:pStyle w:val="Heading1"/>
              <w:numPr>
                <w:ilvl w:val="0"/>
                <w:numId w:val="4"/>
              </w:numPr>
              <w:spacing w:after="0" w:lineRule="auto"/>
              <w:ind w:left="448" w:hanging="359"/>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0"/>
                <w:bCs w:val="0"/>
                <w:sz w:val="22"/>
                <w:szCs w:val="22"/>
                <w:vertAlign w:val="baseline"/>
                <w:rtl w:val="0"/>
              </w:rPr>
              <w:t xml:space="preserve">Phương pháp hỗn hợp (Thông tư 103/2013) chỉ áp dụng với đối tượng có hạch toán kế toán theo pháp luật VN và có cơ sở thường trú.</w:t>
            </w:r>
          </w:p>
          <w:p w:rsidR="00000000" w:rsidDel="00000000" w:rsidP="00000000" w:rsidRDefault="00000000" w:rsidRPr="00000000" w14:paraId="000000C1">
            <w:pPr>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Theo đó, các nhà cung cấp nước ngoài (NCCNN) có hoạt động kinh doanh TMĐT nhưng không có cơ sở thường trú tại Việt Nam hiện dường như chưa đáp ứng điều kiện để áp dụng bất kỳ phương pháp kê khai thuế nào theo quy định của Luật Quản lý thuế, Luật Thuế GTGT và các quy định về nghĩa vụ thuế đối với nhà thầu nước ngoài. Sự thiếu rõ ràng này đang tạo ra khoảng trống pháp lý và gây ảnh hưởng đáng kể đến hoạt động kinh doanh của các NCCNN trong giai đoạn hiện nay.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3">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Kiến nghị làm rõ phương pháp kê khai áp dụng cho N</w:t>
            </w:r>
          </w:p>
          <w:p w:rsidR="00000000" w:rsidDel="00000000" w:rsidP="00000000" w:rsidRDefault="00000000" w:rsidRPr="00000000" w14:paraId="000000C4">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CCNN TMĐT không có CSTT </w:t>
            </w:r>
          </w:p>
          <w:p w:rsidR="00000000" w:rsidDel="00000000" w:rsidP="00000000" w:rsidRDefault="00000000" w:rsidRPr="00000000" w14:paraId="000000C5">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Cần hướng dẫn cụ thể việc đăng ký, mẫu tờ khai (mẫu 02/NCCNN vs 01/GTGT) khi NCCNN áp dụng phương pháp khấu trừ hay phương pháp khác.</w:t>
            </w:r>
            <w:r w:rsidDel="00000000" w:rsidR="00000000" w:rsidRPr="00000000">
              <w:rPr>
                <w:rtl w:val="0"/>
              </w:rPr>
            </w:r>
          </w:p>
        </w:tc>
      </w:tr>
      <w:tr>
        <w:trPr>
          <w:cantSplit w:val="0"/>
          <w:trHeight w:val="68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8">
            <w:pPr>
              <w:rPr>
                <w:rFonts w:ascii="Times New Roman" w:cs="Times New Roman" w:eastAsia="Times New Roman" w:hAnsi="Times New Roman"/>
                <w:sz w:val="22"/>
                <w:szCs w:val="22"/>
                <w:highlight w:val="white"/>
                <w:vertAlign w:val="baseline"/>
              </w:rPr>
            </w:pPr>
            <w:r w:rsidDel="00000000" w:rsidR="00000000" w:rsidRPr="00000000">
              <w:rPr>
                <w:rFonts w:ascii="Times New Roman" w:cs="Times New Roman" w:eastAsia="Times New Roman" w:hAnsi="Times New Roman"/>
                <w:sz w:val="22"/>
                <w:szCs w:val="22"/>
                <w:highlight w:val="white"/>
                <w:vertAlign w:val="baseline"/>
                <w:rtl w:val="0"/>
              </w:rPr>
              <w:t xml:space="preserve">Phạm vi khấu trừ và nộp thay thuế thu nhập cho cá nhân/hộ kinh doanh từ nền tảng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9">
            <w:pPr>
              <w:pStyle w:val="Heading1"/>
              <w:rPr>
                <w:rFonts w:ascii="Times New Roman" w:cs="Times New Roman" w:eastAsia="Times New Roman" w:hAnsi="Times New Roman"/>
                <w:b w:val="0"/>
                <w:bCs w:val="0"/>
                <w:sz w:val="22"/>
                <w:szCs w:val="22"/>
                <w:highlight w:val="white"/>
                <w:vertAlign w:val="baseline"/>
              </w:rPr>
            </w:pPr>
            <w:r w:rsidDel="00000000" w:rsidR="00000000" w:rsidRPr="00000000">
              <w:rPr>
                <w:rFonts w:ascii="Times New Roman" w:cs="Times New Roman" w:eastAsia="Times New Roman" w:hAnsi="Times New Roman"/>
                <w:b w:val="0"/>
                <w:bCs w:val="0"/>
                <w:sz w:val="22"/>
                <w:szCs w:val="22"/>
                <w:highlight w:val="white"/>
                <w:vertAlign w:val="baseline"/>
                <w:rtl w:val="0"/>
              </w:rPr>
              <w:t xml:space="preserve">Điều 43, Dự thảo Nghị định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A">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Dự thảo hiện quy định nền tảng phải khấu trừ và nộp thay thuế đối với mọi giao dịch phát sinh doanh thu của cá nhân cư trú. Quy định này có phạm vi rất rộng.</w:t>
            </w:r>
          </w:p>
          <w:p w:rsidR="00000000" w:rsidDel="00000000" w:rsidP="00000000" w:rsidRDefault="00000000" w:rsidRPr="00000000" w14:paraId="000000CB">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br w:type="textWrapping"/>
              <w:t xml:space="preserve">Ngoài giao dịch bán hàng hoặc cung cấp dịch vụ trên nền tảng/sàn TMĐT, quy định này có thể bao gồm thêm các nguồn thu khác như:</w:t>
            </w:r>
          </w:p>
          <w:p w:rsidR="00000000" w:rsidDel="00000000" w:rsidP="00000000" w:rsidRDefault="00000000" w:rsidRPr="00000000" w14:paraId="000000CC">
            <w:pPr>
              <w:widowControl w:val="0"/>
              <w:numPr>
                <w:ilvl w:val="0"/>
                <w:numId w:val="10"/>
              </w:numPr>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Thu nhập từ livestream</w:t>
            </w:r>
          </w:p>
          <w:p w:rsidR="00000000" w:rsidDel="00000000" w:rsidP="00000000" w:rsidRDefault="00000000" w:rsidRPr="00000000" w14:paraId="000000CD">
            <w:pPr>
              <w:widowControl w:val="0"/>
              <w:numPr>
                <w:ilvl w:val="0"/>
                <w:numId w:val="10"/>
              </w:numPr>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Thu nhập quảng cáo</w:t>
            </w:r>
          </w:p>
          <w:p w:rsidR="00000000" w:rsidDel="00000000" w:rsidP="00000000" w:rsidRDefault="00000000" w:rsidRPr="00000000" w14:paraId="000000CE">
            <w:pPr>
              <w:widowControl w:val="0"/>
              <w:numPr>
                <w:ilvl w:val="0"/>
                <w:numId w:val="10"/>
              </w:numPr>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Thu nhập từ nội dung số dựa trên lượt xem (view), donate</w:t>
            </w:r>
          </w:p>
          <w:p w:rsidR="00000000" w:rsidDel="00000000" w:rsidP="00000000" w:rsidRDefault="00000000" w:rsidRPr="00000000" w14:paraId="000000CF">
            <w:pPr>
              <w:widowControl w:val="0"/>
              <w:numPr>
                <w:ilvl w:val="0"/>
                <w:numId w:val="10"/>
              </w:numPr>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Thu nhập affiliate và các dạng thu nhập số tương tự</w:t>
            </w:r>
          </w:p>
          <w:p w:rsidR="00000000" w:rsidDel="00000000" w:rsidP="00000000" w:rsidRDefault="00000000" w:rsidRPr="00000000" w14:paraId="000000D0">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Khi đó, đối với người nộp thuế (bao gồm cá nhân, hộ kinh doanh và NCCNN)</w:t>
            </w:r>
          </w:p>
          <w:p w:rsidR="00000000" w:rsidDel="00000000" w:rsidP="00000000" w:rsidRDefault="00000000" w:rsidRPr="00000000" w14:paraId="000000D2">
            <w:pPr>
              <w:widowControl w:val="0"/>
              <w:numPr>
                <w:ilvl w:val="0"/>
                <w:numId w:val="11"/>
              </w:numPr>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Rủi ro bị áp dụng sai nghĩa vụ thuế hoặc trùng nghĩa vụ.</w:t>
            </w:r>
          </w:p>
          <w:p w:rsidR="00000000" w:rsidDel="00000000" w:rsidP="00000000" w:rsidRDefault="00000000" w:rsidRPr="00000000" w14:paraId="000000D3">
            <w:pPr>
              <w:widowControl w:val="0"/>
              <w:numPr>
                <w:ilvl w:val="0"/>
                <w:numId w:val="11"/>
              </w:numPr>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Chi phí tuân thủ tăng do phải giải trình thêm hoặc thay đổi mô hình kê khai.</w:t>
            </w:r>
          </w:p>
          <w:p w:rsidR="00000000" w:rsidDel="00000000" w:rsidP="00000000" w:rsidRDefault="00000000" w:rsidRPr="00000000" w14:paraId="000000D4">
            <w:pPr>
              <w:widowControl w:val="0"/>
              <w:numPr>
                <w:ilvl w:val="0"/>
                <w:numId w:val="11"/>
              </w:numPr>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NCCNN gặp khó khăn trong xác định phương pháp kê khai phù hợp do thiếu hướng dẫn rõ ràng.</w:t>
            </w:r>
          </w:p>
          <w:p w:rsidR="00000000" w:rsidDel="00000000" w:rsidP="00000000" w:rsidRDefault="00000000" w:rsidRPr="00000000" w14:paraId="000000D5">
            <w:pPr>
              <w:widowControl w:val="0"/>
              <w:ind w:left="720"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Đối với cơ quan thuế</w:t>
            </w:r>
          </w:p>
          <w:p w:rsidR="00000000" w:rsidDel="00000000" w:rsidP="00000000" w:rsidRDefault="00000000" w:rsidRPr="00000000" w14:paraId="000000D7">
            <w:pPr>
              <w:widowControl w:val="0"/>
              <w:numPr>
                <w:ilvl w:val="0"/>
                <w:numId w:val="12"/>
              </w:numPr>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Khó xác định đúng nghĩa vụ thuế theo từng loại thu nhập.</w:t>
            </w:r>
          </w:p>
          <w:p w:rsidR="00000000" w:rsidDel="00000000" w:rsidP="00000000" w:rsidRDefault="00000000" w:rsidRPr="00000000" w14:paraId="000000D8">
            <w:pPr>
              <w:widowControl w:val="0"/>
              <w:numPr>
                <w:ilvl w:val="0"/>
                <w:numId w:val="12"/>
              </w:numPr>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Dữ liệu không đồng bộ, khó khai thác để quản lý rủi ro.</w:t>
            </w:r>
          </w:p>
          <w:p w:rsidR="00000000" w:rsidDel="00000000" w:rsidP="00000000" w:rsidRDefault="00000000" w:rsidRPr="00000000" w14:paraId="000000D9">
            <w:pPr>
              <w:widowControl w:val="0"/>
              <w:numPr>
                <w:ilvl w:val="0"/>
                <w:numId w:val="12"/>
              </w:numPr>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Dễ dẫn đến bỏ sót doanh thu hoặc thu nhầm – ảnh hưởng đến số thu và hiệu quả quản lý.</w:t>
            </w:r>
          </w:p>
          <w:p w:rsidR="00000000" w:rsidDel="00000000" w:rsidP="00000000" w:rsidRDefault="00000000" w:rsidRPr="00000000" w14:paraId="000000DA">
            <w:pPr>
              <w:jc w:val="both"/>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B">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Kiến nghị chia các loại thu nhập của cá nhân/hộ kinh doanh thành nhóm rõ ràng:</w:t>
            </w:r>
          </w:p>
          <w:p w:rsidR="00000000" w:rsidDel="00000000" w:rsidP="00000000" w:rsidRDefault="00000000" w:rsidRPr="00000000" w14:paraId="000000DC">
            <w:pPr>
              <w:numPr>
                <w:ilvl w:val="0"/>
                <w:numId w:val="13"/>
              </w:numPr>
              <w:ind w:left="72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Thu nhập TMĐT từ bán hàng/cung cấp dịch vụ</w:t>
            </w:r>
          </w:p>
          <w:p w:rsidR="00000000" w:rsidDel="00000000" w:rsidP="00000000" w:rsidRDefault="00000000" w:rsidRPr="00000000" w14:paraId="000000DD">
            <w:pPr>
              <w:numPr>
                <w:ilvl w:val="0"/>
                <w:numId w:val="13"/>
              </w:numPr>
              <w:ind w:left="72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Thu nhập quảng cáo</w:t>
            </w:r>
          </w:p>
          <w:p w:rsidR="00000000" w:rsidDel="00000000" w:rsidP="00000000" w:rsidRDefault="00000000" w:rsidRPr="00000000" w14:paraId="000000DE">
            <w:pPr>
              <w:numPr>
                <w:ilvl w:val="0"/>
                <w:numId w:val="13"/>
              </w:numPr>
              <w:ind w:left="72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Thu nhập từ nội dung số: livestream, view, donate</w:t>
            </w:r>
          </w:p>
          <w:p w:rsidR="00000000" w:rsidDel="00000000" w:rsidP="00000000" w:rsidRDefault="00000000" w:rsidRPr="00000000" w14:paraId="000000DF">
            <w:pPr>
              <w:numPr>
                <w:ilvl w:val="0"/>
                <w:numId w:val="13"/>
              </w:numPr>
              <w:ind w:left="720" w:hanging="36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Thu nhập từ affiliate</w:t>
            </w:r>
          </w:p>
          <w:p w:rsidR="00000000" w:rsidDel="00000000" w:rsidP="00000000" w:rsidRDefault="00000000" w:rsidRPr="00000000" w14:paraId="000000E0">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Từ đó quy định nghĩa vụ khấu trừ, nộp thuế phù hợp theo từng nhóm, tránh chồng chéo.</w:t>
            </w:r>
          </w:p>
          <w:p w:rsidR="00000000" w:rsidDel="00000000" w:rsidP="00000000" w:rsidRDefault="00000000" w:rsidRPr="00000000" w14:paraId="000000E1">
            <w:pPr>
              <w:jc w:val="both"/>
              <w:rPr>
                <w:rFonts w:ascii="Times New Roman" w:cs="Times New Roman" w:eastAsia="Times New Roman" w:hAnsi="Times New Roman"/>
                <w:b w:val="0"/>
                <w:bCs w:val="0"/>
                <w:sz w:val="22"/>
                <w:szCs w:val="22"/>
                <w:vertAlign w:val="baseline"/>
              </w:rPr>
            </w:pPr>
            <w:r w:rsidDel="00000000" w:rsidR="00000000" w:rsidRPr="00000000">
              <w:rPr>
                <w:rtl w:val="0"/>
              </w:rPr>
            </w:r>
          </w:p>
        </w:tc>
      </w:tr>
      <w:tr>
        <w:trPr>
          <w:cantSplit w:val="0"/>
          <w:trHeight w:val="68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3">
            <w:pPr>
              <w:rPr>
                <w:rFonts w:ascii="Times New Roman" w:cs="Times New Roman" w:eastAsia="Times New Roman" w:hAnsi="Times New Roman"/>
                <w:sz w:val="22"/>
                <w:szCs w:val="22"/>
                <w:highlight w:val="white"/>
                <w:vertAlign w:val="baseline"/>
              </w:rPr>
            </w:pPr>
            <w:r w:rsidDel="00000000" w:rsidR="00000000" w:rsidRPr="00000000">
              <w:rPr>
                <w:rFonts w:ascii="Times New Roman" w:cs="Times New Roman" w:eastAsia="Times New Roman" w:hAnsi="Times New Roman"/>
                <w:sz w:val="22"/>
                <w:szCs w:val="22"/>
                <w:highlight w:val="white"/>
                <w:vertAlign w:val="baseline"/>
                <w:rtl w:val="0"/>
              </w:rPr>
              <w:t xml:space="preserve">Nghĩa vụ khấu trừ – nộp thuế thay cho tổ chức nước ngoài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4">
            <w:pPr>
              <w:pStyle w:val="Heading1"/>
              <w:rPr>
                <w:rFonts w:ascii="Times New Roman" w:cs="Times New Roman" w:eastAsia="Times New Roman" w:hAnsi="Times New Roman"/>
                <w:b w:val="0"/>
                <w:bCs w:val="0"/>
                <w:sz w:val="22"/>
                <w:szCs w:val="22"/>
                <w:highlight w:val="white"/>
                <w:vertAlign w:val="baseline"/>
              </w:rPr>
            </w:pPr>
            <w:r w:rsidDel="00000000" w:rsidR="00000000" w:rsidRPr="00000000">
              <w:rPr>
                <w:rFonts w:ascii="Times New Roman" w:cs="Times New Roman" w:eastAsia="Times New Roman" w:hAnsi="Times New Roman"/>
                <w:b w:val="0"/>
                <w:bCs w:val="0"/>
                <w:sz w:val="22"/>
                <w:szCs w:val="22"/>
                <w:vertAlign w:val="baseline"/>
                <w:rtl w:val="0"/>
              </w:rPr>
              <w:t xml:space="preserve">Khoản 5, Điều 46, </w:t>
            </w:r>
            <w:r w:rsidDel="00000000" w:rsidR="00000000" w:rsidRPr="00000000">
              <w:rPr>
                <w:rFonts w:ascii="Times New Roman" w:cs="Times New Roman" w:eastAsia="Times New Roman" w:hAnsi="Times New Roman"/>
                <w:b w:val="0"/>
                <w:bCs w:val="0"/>
                <w:sz w:val="22"/>
                <w:szCs w:val="22"/>
                <w:highlight w:val="white"/>
                <w:vertAlign w:val="baseline"/>
                <w:rtl w:val="0"/>
              </w:rPr>
              <w:t xml:space="preserve">Dự thảo Nghị định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5">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Khoản 5, Điều 46 dự thảo quy định như sau:</w:t>
            </w:r>
          </w:p>
          <w:p w:rsidR="00000000" w:rsidDel="00000000" w:rsidP="00000000" w:rsidRDefault="00000000" w:rsidRPr="00000000" w14:paraId="000000E6">
            <w:pPr>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“5. Tổ chức nước ngoài có hoạt động kinh doanh thương mại điện tử, kinh doanh dựa trên nền tảng số với tổ chức, cá nhân tại Việt Nam, có doanh thu từ Việt Nam chưa được tổ chức quản lý nền tảng thương mại điện tử, nền tảng số nước ngoài khấu trừ, kê khai, nộp thay có trách nhiệm trực tiếp đăng ký, khai thuế, nộp thuế thông qua Hệ thống thông tin quản lý thuế.</w:t>
            </w: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Khoản 3, điều 43 dự thao quy định như sau:</w:t>
            </w: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Tổ chức kinh doanh tại Việt Nam áp dụng phương pháp khấu trừ thuế giá trị gia tăng khi mua hàng hoá, dịch vụ của nhà cung cấp ở nước ngoài, cá nhân không cư trú thông qua thương mại điện tử hoặc nền tảng số có trách nhiệm:</w:t>
            </w: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a) Khấu trừ, nộp thay thuế giá trị gia tăng đối với việc cung cấp dịch vụ theo quy định của pháp luật thuế giá trị gia tăng đối với nhà cung cấp ở nước ngoài, cá nhân không cư trú;</w:t>
            </w: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b) Khấu trừ, nộp thay thuế thu nhập doanh nghiệp đối với nhà cung cấp ở nước ngoài là tổ chức theo quy định của pháp luật thuế thu nhập doanh nghiệp;</w:t>
            </w: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c) Khấu trừ, nộp thay thuế thu nhập cá nhân đối với cá nhân không cư trú theo quy định pháp luật thuế thu nhập cá nhân.</w:t>
            </w: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Căn cứ theo 2 điều này thì trong trường hợp tổ chức kinh doanh tại Việt Nam mua hàng của tổ chức nước ngoài được bán trên sàn tổ chức quản lý nền tảng thương mại điện tử -&gt; nghĩa vụ kê khai thuế trong trường hợp tổ chức quản lý nền tảng thương mại điện tử không kê khai hộ cho giao dịch này thì nghĩa vụ kê khai thuế sẽ là tổ chức kinh doanh tại Việt Nam hay tổ chức nước ngoài”</w:t>
            </w: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i w:val="0"/>
                <w:iCs w:val="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2">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Kiến nghị bổ sung quy định điều 46 là tổ chức nước ngoài chỉ phải đăng ký, kê khai và nộp thuế khi chưa được tổ chức quản lý nền tảng thương mại điện tử, nền tảng số nước ngoài và </w:t>
            </w:r>
            <w:r w:rsidDel="00000000" w:rsidR="00000000" w:rsidRPr="00000000">
              <w:rPr>
                <w:rFonts w:ascii="Times New Roman" w:cs="Times New Roman" w:eastAsia="Times New Roman" w:hAnsi="Times New Roman"/>
                <w:b w:val="1"/>
                <w:bCs w:val="1"/>
                <w:sz w:val="22"/>
                <w:szCs w:val="22"/>
                <w:vertAlign w:val="baseline"/>
                <w:rtl w:val="0"/>
              </w:rPr>
              <w:t xml:space="preserve">tổ chức tại Việt Nam mua hàng</w:t>
            </w:r>
            <w:r w:rsidDel="00000000" w:rsidR="00000000" w:rsidRPr="00000000">
              <w:rPr>
                <w:rFonts w:ascii="Times New Roman" w:cs="Times New Roman" w:eastAsia="Times New Roman" w:hAnsi="Times New Roman"/>
                <w:sz w:val="22"/>
                <w:szCs w:val="22"/>
                <w:vertAlign w:val="baseline"/>
                <w:rtl w:val="0"/>
              </w:rPr>
              <w:t xml:space="preserve"> khấu trừ, kê khai, nộp thay</w:t>
            </w:r>
          </w:p>
        </w:tc>
      </w:tr>
      <w:tr>
        <w:trPr>
          <w:cantSplit w:val="0"/>
          <w:trHeight w:val="68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4">
            <w:pPr>
              <w:rPr>
                <w:rFonts w:ascii="Times New Roman" w:cs="Times New Roman" w:eastAsia="Times New Roman" w:hAnsi="Times New Roman"/>
                <w:sz w:val="22"/>
                <w:szCs w:val="22"/>
                <w:highlight w:val="white"/>
                <w:vertAlign w:val="baseline"/>
              </w:rPr>
            </w:pPr>
            <w:r w:rsidDel="00000000" w:rsidR="00000000" w:rsidRPr="00000000">
              <w:rPr>
                <w:rFonts w:ascii="Times New Roman" w:cs="Times New Roman" w:eastAsia="Times New Roman" w:hAnsi="Times New Roman"/>
                <w:sz w:val="22"/>
                <w:szCs w:val="22"/>
                <w:highlight w:val="white"/>
                <w:vertAlign w:val="baseline"/>
                <w:rtl w:val="0"/>
              </w:rPr>
              <w:t xml:space="preserve">Cưỡng chế bằng biện pháp khấu trừ một phần tiền lương hoặc thu nhập</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5">
            <w:pPr>
              <w:pStyle w:val="Heading1"/>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b w:val="0"/>
                <w:bCs w:val="0"/>
                <w:sz w:val="22"/>
                <w:szCs w:val="22"/>
                <w:highlight w:val="white"/>
                <w:vertAlign w:val="baseline"/>
                <w:rtl w:val="0"/>
              </w:rPr>
              <w:t xml:space="preserve">Điều 66, Dự thảo Nghị định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6">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Biện pháp khấu trừ một phần tiền lương hoặc thu nhập được áp dụng đối với người nộp thuế là cá nhân đáp ứng đủ các điều kiện sau:</w:t>
            </w:r>
          </w:p>
          <w:p w:rsidR="00000000" w:rsidDel="00000000" w:rsidP="00000000" w:rsidRDefault="00000000" w:rsidRPr="00000000" w14:paraId="000000F7">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 Quá 30 ngày kể từ ngày ban hành quyết định cưỡng chế tài khoản mà cơ quan quản lý thuế không thu được hoặc không thu đủ tiền thuế nợ hoặc không đủ thông tin, điều kiện để thực hiện cưỡng chế tài khoản;…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9">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Đề xuất: </w:t>
            </w:r>
            <w:r w:rsidDel="00000000" w:rsidR="00000000" w:rsidRPr="00000000">
              <w:rPr>
                <w:rFonts w:ascii="Times New Roman" w:cs="Times New Roman" w:eastAsia="Times New Roman" w:hAnsi="Times New Roman"/>
                <w:sz w:val="22"/>
                <w:szCs w:val="22"/>
                <w:vertAlign w:val="baseline"/>
                <w:rtl w:val="0"/>
              </w:rPr>
              <w:t xml:space="preserve">Bãi bỏ quy định tại Điều 66 Dự thảo Nghị định.</w:t>
            </w:r>
          </w:p>
          <w:p w:rsidR="00000000" w:rsidDel="00000000" w:rsidP="00000000" w:rsidRDefault="00000000" w:rsidRPr="00000000" w14:paraId="000000FA">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Lý do:</w:t>
            </w:r>
            <w:r w:rsidDel="00000000" w:rsidR="00000000" w:rsidRPr="00000000">
              <w:rPr>
                <w:rFonts w:ascii="Times New Roman" w:cs="Times New Roman" w:eastAsia="Times New Roman" w:hAnsi="Times New Roman"/>
                <w:sz w:val="22"/>
                <w:szCs w:val="22"/>
                <w:vertAlign w:val="baseline"/>
                <w:rtl w:val="0"/>
              </w:rPr>
              <w:t xml:space="preserve"> Trách nhiệm nộp thuế là thuộc về cá nhân, trong trường hợp cá nhân không nộp thuế hoặc không thi hành quyết định cưỡng chế thì tổ chức chi trả thu nhập (Công ty) lại phải có trách nhiệm khấu trừ một phần thu nhập và nộp vào ngân sách nhà nước. Quy định này vô hình chung tạo thêm gánh nặng về thủ tục hành chính cho doanh nghiệp cũng như tạo nên các tranh chấp dân sự giữa cá nhân và tổ chức chi trả.</w:t>
            </w:r>
          </w:p>
          <w:p w:rsidR="00000000" w:rsidDel="00000000" w:rsidP="00000000" w:rsidRDefault="00000000" w:rsidRPr="00000000" w14:paraId="000000FC">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Bên cạnh đó</w:t>
            </w:r>
            <w:bookmarkStart w:colFirst="0" w:colLast="0" w:name="bookmark=id.2to7j8hkx1f1" w:id="0"/>
            <w:bookmarkEnd w:id="0"/>
            <w:r w:rsidDel="00000000" w:rsidR="00000000" w:rsidRPr="00000000">
              <w:rPr>
                <w:rFonts w:ascii="Times New Roman" w:cs="Times New Roman" w:eastAsia="Times New Roman" w:hAnsi="Times New Roman"/>
                <w:sz w:val="22"/>
                <w:szCs w:val="22"/>
                <w:vertAlign w:val="baseline"/>
                <w:rtl w:val="0"/>
              </w:rPr>
              <w:t xml:space="preserve">, khoản 1 Điều 102 Bộ Luật Lao động cũng quy định rõ: Người sử dụng lao động chỉ được khấu trừ tiền lương của người lao động để bồi thường thiệt hại do làm hư hỏng dụng cụ, thiết bị, tài sản của người sử dụng lao động. Do vậy, quy định cưỡng chế này là trái với Bộ Luật Lao động.</w:t>
            </w:r>
          </w:p>
          <w:p w:rsidR="00000000" w:rsidDel="00000000" w:rsidP="00000000" w:rsidRDefault="00000000" w:rsidRPr="00000000" w14:paraId="000000FE">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68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1">
            <w:pPr>
              <w:rPr>
                <w:rFonts w:ascii="Times New Roman" w:cs="Times New Roman" w:eastAsia="Times New Roman" w:hAnsi="Times New Roman"/>
                <w:sz w:val="22"/>
                <w:szCs w:val="22"/>
                <w:highlight w:val="white"/>
                <w:vertAlign w:val="baseline"/>
              </w:rPr>
            </w:pPr>
            <w:r w:rsidDel="00000000" w:rsidR="00000000" w:rsidRPr="00000000">
              <w:rPr>
                <w:rFonts w:ascii="Times New Roman" w:cs="Times New Roman" w:eastAsia="Times New Roman" w:hAnsi="Times New Roman"/>
                <w:sz w:val="22"/>
                <w:szCs w:val="22"/>
                <w:highlight w:val="white"/>
                <w:vertAlign w:val="baseline"/>
                <w:rtl w:val="0"/>
              </w:rPr>
              <w:t xml:space="preserve">Đăng ký kê khai thuế GTGT theo phương pháp khấu trừ</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2">
            <w:pPr>
              <w:pStyle w:val="Heading1"/>
              <w:rPr>
                <w:rFonts w:ascii="Times New Roman" w:cs="Times New Roman" w:eastAsia="Times New Roman" w:hAnsi="Times New Roman"/>
                <w:b w:val="0"/>
                <w:bCs w:val="0"/>
                <w:sz w:val="22"/>
                <w:szCs w:val="22"/>
                <w:highlight w:val="white"/>
                <w:vertAlign w:val="baseline"/>
              </w:rPr>
            </w:pPr>
            <w:r w:rsidDel="00000000" w:rsidR="00000000" w:rsidRPr="00000000">
              <w:rPr>
                <w:rFonts w:ascii="Times New Roman" w:cs="Times New Roman" w:eastAsia="Times New Roman" w:hAnsi="Times New Roman"/>
                <w:b w:val="0"/>
                <w:bCs w:val="0"/>
                <w:sz w:val="22"/>
                <w:szCs w:val="22"/>
                <w:highlight w:val="white"/>
                <w:vertAlign w:val="baseline"/>
                <w:rtl w:val="0"/>
              </w:rPr>
              <w:t xml:space="preserve">Dự thảo Nghị định chưa quy định nội dung này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3">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Các NCCNN có hoạt động TMĐT không có CSTT tại Việt Nam đã đăng ký mã số thuế 10 số bắt đầu bằng 9********, theo quy định dành cho NCCNN trực tiếp kê khai.</w:t>
            </w:r>
          </w:p>
          <w:p w:rsidR="00000000" w:rsidDel="00000000" w:rsidP="00000000" w:rsidRDefault="00000000" w:rsidRPr="00000000" w14:paraId="00000104">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Khi kê khai thuế, nhóm NCCNN này đang thực hiện theo Mẫu 02/NCCNN quy định tại Thông tư 80.</w:t>
            </w:r>
          </w:p>
          <w:p w:rsidR="00000000" w:rsidDel="00000000" w:rsidP="00000000" w:rsidRDefault="00000000" w:rsidRPr="00000000" w14:paraId="00000106">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Trong khi đó, doanh nghiệp áp dụng phương pháp khấu trừ thuế GTGT phải sử dụng Mẫu 01/GTGT (Thông tư 80).</w:t>
            </w:r>
          </w:p>
          <w:p w:rsidR="00000000" w:rsidDel="00000000" w:rsidP="00000000" w:rsidRDefault="00000000" w:rsidRPr="00000000" w14:paraId="00000108">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Hiện chưa có quy định cụ thể để xác định:</w:t>
            </w:r>
          </w:p>
          <w:p w:rsidR="00000000" w:rsidDel="00000000" w:rsidP="00000000" w:rsidRDefault="00000000" w:rsidRPr="00000000" w14:paraId="0000010A">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B">
            <w:pPr>
              <w:widowControl w:val="0"/>
              <w:numPr>
                <w:ilvl w:val="0"/>
                <w:numId w:val="5"/>
              </w:numPr>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Nếu NCCNN muốn/khi được yêu cầu áp dụng phương pháp khấu trừ, thì phải sử dụng mẫu tờ khai nào.</w:t>
            </w:r>
          </w:p>
          <w:p w:rsidR="00000000" w:rsidDel="00000000" w:rsidP="00000000" w:rsidRDefault="00000000" w:rsidRPr="00000000" w14:paraId="0000010C">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D">
            <w:pPr>
              <w:widowControl w:val="0"/>
              <w:numPr>
                <w:ilvl w:val="0"/>
                <w:numId w:val="5"/>
              </w:numPr>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Thủ tục đăng ký phương pháp kê khai GTGT theo khấu trừ đối với NCCNN không có CSTT.</w:t>
            </w:r>
          </w:p>
          <w:p w:rsidR="00000000" w:rsidDel="00000000" w:rsidP="00000000" w:rsidRDefault="00000000" w:rsidRPr="00000000" w14:paraId="0000010E">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Đồng thời, quy định hiện hành không sửa đổi hoặc bổ sung mẫu tờ khai thuế TNDN đối với NCCNN.</w:t>
            </w:r>
          </w:p>
          <w:p w:rsidR="00000000" w:rsidDel="00000000" w:rsidP="00000000" w:rsidRDefault="00000000" w:rsidRPr="00000000" w14:paraId="00000110">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Theo đó, nếu NCCNN áp dụng mẫu khác cho thuế GTGT, thì thuế TNDN có tiếp tục kê theo Mẫu 02/NCCNN hay không cũng chưa được quy định rõ.</w:t>
            </w:r>
          </w:p>
          <w:p w:rsidR="00000000" w:rsidDel="00000000" w:rsidP="00000000" w:rsidRDefault="00000000" w:rsidRPr="00000000" w14:paraId="00000112">
            <w:pPr>
              <w:jc w:val="both"/>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3">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Ban hành hướng dẫn xác định mẫu tờ khai GTGT cho NCCNN khi áp dụng phương pháp khấu trừ</w:t>
            </w:r>
          </w:p>
          <w:p w:rsidR="00000000" w:rsidDel="00000000" w:rsidP="00000000" w:rsidRDefault="00000000" w:rsidRPr="00000000" w14:paraId="00000114">
            <w:pPr>
              <w:numPr>
                <w:ilvl w:val="0"/>
                <w:numId w:val="6"/>
              </w:numPr>
              <w:spacing w:after="160" w:line="276" w:lineRule="auto"/>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Làm rõ NCCNN phải dùng Mẫu 01/GTGT hay một mẫu điều chỉnh riêng.</w:t>
            </w:r>
          </w:p>
          <w:p w:rsidR="00000000" w:rsidDel="00000000" w:rsidP="00000000" w:rsidRDefault="00000000" w:rsidRPr="00000000" w14:paraId="00000115">
            <w:pPr>
              <w:numPr>
                <w:ilvl w:val="0"/>
                <w:numId w:val="6"/>
              </w:numPr>
              <w:spacing w:after="160" w:line="276" w:lineRule="auto"/>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Xác định phương thức khai (trực tiếp qua Cổng NCCNN hay qua portal doanh nghiệp).</w:t>
            </w:r>
          </w:p>
          <w:p w:rsidR="00000000" w:rsidDel="00000000" w:rsidP="00000000" w:rsidRDefault="00000000" w:rsidRPr="00000000" w14:paraId="00000116">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Xây dựng quy trình đăng ký thay đổi phương pháp tính thuế cho NCCNN</w:t>
            </w:r>
          </w:p>
          <w:p w:rsidR="00000000" w:rsidDel="00000000" w:rsidP="00000000" w:rsidRDefault="00000000" w:rsidRPr="00000000" w14:paraId="00000117">
            <w:pPr>
              <w:numPr>
                <w:ilvl w:val="0"/>
                <w:numId w:val="7"/>
              </w:numPr>
              <w:spacing w:after="160" w:line="276" w:lineRule="auto"/>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Bổ sung biểu mẫu đăng ký chuyển phương pháp.</w:t>
            </w:r>
          </w:p>
          <w:p w:rsidR="00000000" w:rsidDel="00000000" w:rsidP="00000000" w:rsidRDefault="00000000" w:rsidRPr="00000000" w14:paraId="00000118">
            <w:pPr>
              <w:numPr>
                <w:ilvl w:val="0"/>
                <w:numId w:val="7"/>
              </w:numPr>
              <w:spacing w:after="160" w:line="276" w:lineRule="auto"/>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Hướng dẫn áp dụng đối với MST 10 số bắt đầu bằng 9********.</w:t>
            </w:r>
          </w:p>
          <w:p w:rsidR="00000000" w:rsidDel="00000000" w:rsidP="00000000" w:rsidRDefault="00000000" w:rsidRPr="00000000" w14:paraId="00000119">
            <w:pPr>
              <w:numPr>
                <w:ilvl w:val="0"/>
                <w:numId w:val="7"/>
              </w:numPr>
              <w:spacing w:after="160" w:line="276" w:lineRule="auto"/>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Quy định thời điểm có hiệu lực của phương pháp khấu trừ.</w:t>
            </w:r>
          </w:p>
          <w:p w:rsidR="00000000" w:rsidDel="00000000" w:rsidP="00000000" w:rsidRDefault="00000000" w:rsidRPr="00000000" w14:paraId="0000011A">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Đồng bộ hóa quy định về thuế TNDN</w:t>
            </w:r>
          </w:p>
          <w:p w:rsidR="00000000" w:rsidDel="00000000" w:rsidP="00000000" w:rsidRDefault="00000000" w:rsidRPr="00000000" w14:paraId="0000011B">
            <w:pPr>
              <w:numPr>
                <w:ilvl w:val="0"/>
                <w:numId w:val="8"/>
              </w:numPr>
              <w:spacing w:after="160" w:line="276" w:lineRule="auto"/>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Làm rõ thuế TNDN của NCCNN khi áp dụng mẫu GTGT mới:</w:t>
            </w:r>
          </w:p>
          <w:p w:rsidR="00000000" w:rsidDel="00000000" w:rsidP="00000000" w:rsidRDefault="00000000" w:rsidRPr="00000000" w14:paraId="0000011C">
            <w:pPr>
              <w:numPr>
                <w:ilvl w:val="1"/>
                <w:numId w:val="8"/>
              </w:numPr>
              <w:spacing w:after="160" w:line="276" w:lineRule="auto"/>
              <w:ind w:left="144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Tiếp tục sử dụng Mẫu 02/NCCNN, hay</w:t>
            </w:r>
          </w:p>
          <w:p w:rsidR="00000000" w:rsidDel="00000000" w:rsidP="00000000" w:rsidRDefault="00000000" w:rsidRPr="00000000" w14:paraId="0000011D">
            <w:pPr>
              <w:numPr>
                <w:ilvl w:val="1"/>
                <w:numId w:val="8"/>
              </w:numPr>
              <w:spacing w:after="160" w:line="276" w:lineRule="auto"/>
              <w:ind w:left="144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Có mẫu mới tương ứng với phương pháp khấu trừ GTGT.</w:t>
            </w:r>
          </w:p>
          <w:p w:rsidR="00000000" w:rsidDel="00000000" w:rsidP="00000000" w:rsidRDefault="00000000" w:rsidRPr="00000000" w14:paraId="0000011E">
            <w:pPr>
              <w:numPr>
                <w:ilvl w:val="0"/>
                <w:numId w:val="8"/>
              </w:numPr>
              <w:spacing w:after="160" w:line="276" w:lineRule="auto"/>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Tránh tình trạng thuế GTGT và TNDN áp dụng hai bộ biểu mẫu và phương pháp khác nhau.</w:t>
            </w:r>
          </w:p>
          <w:p w:rsidR="00000000" w:rsidDel="00000000" w:rsidP="00000000" w:rsidRDefault="00000000" w:rsidRPr="00000000" w14:paraId="0000011F">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Bổ sung hướng dẫn trong Thông tư 80 hoặc văn bản thay thế</w:t>
            </w:r>
          </w:p>
          <w:p w:rsidR="00000000" w:rsidDel="00000000" w:rsidP="00000000" w:rsidRDefault="00000000" w:rsidRPr="00000000" w14:paraId="00000120">
            <w:pPr>
              <w:numPr>
                <w:ilvl w:val="0"/>
                <w:numId w:val="9"/>
              </w:numPr>
              <w:spacing w:after="160" w:line="276" w:lineRule="auto"/>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Làm rõ cơ chế kê khai cho NCCNN không có CSTT khi tham gia hoạt động TMĐT có yêu cầu xuất hóa đơn GTGT.</w:t>
            </w:r>
          </w:p>
          <w:p w:rsidR="00000000" w:rsidDel="00000000" w:rsidP="00000000" w:rsidRDefault="00000000" w:rsidRPr="00000000" w14:paraId="00000121">
            <w:pPr>
              <w:numPr>
                <w:ilvl w:val="0"/>
                <w:numId w:val="9"/>
              </w:numPr>
              <w:spacing w:after="160" w:line="276" w:lineRule="auto"/>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Đồng thời rà soát để tránh xung đột giữa nghĩa vụ kê khai của NCCNN và nhà thầu nước ngoài theo Thông tư 103.</w:t>
            </w:r>
          </w:p>
          <w:p w:rsidR="00000000" w:rsidDel="00000000" w:rsidP="00000000" w:rsidRDefault="00000000" w:rsidRPr="00000000" w14:paraId="00000122">
            <w:pPr>
              <w:jc w:val="both"/>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68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bookmarkStart w:colFirst="0" w:colLast="0" w:name="bookmark=id.g58rq4zeis1x" w:id="1"/>
          <w:bookmarkEnd w:id="1"/>
          <w:p w:rsidR="00000000" w:rsidDel="00000000" w:rsidP="00000000" w:rsidRDefault="00000000" w:rsidRPr="00000000" w14:paraId="00000124">
            <w:pPr>
              <w:rPr>
                <w:rFonts w:ascii="Times New Roman" w:cs="Times New Roman" w:eastAsia="Times New Roman" w:hAnsi="Times New Roman"/>
                <w:sz w:val="22"/>
                <w:szCs w:val="22"/>
                <w:highlight w:val="white"/>
                <w:vertAlign w:val="baseline"/>
              </w:rPr>
            </w:pPr>
            <w:r w:rsidDel="00000000" w:rsidR="00000000" w:rsidRPr="00000000">
              <w:rPr>
                <w:rFonts w:ascii="Times New Roman" w:cs="Times New Roman" w:eastAsia="Times New Roman" w:hAnsi="Times New Roman"/>
                <w:sz w:val="22"/>
                <w:szCs w:val="22"/>
                <w:highlight w:val="white"/>
                <w:vertAlign w:val="baseline"/>
                <w:rtl w:val="0"/>
              </w:rPr>
              <w:t xml:space="preserve">Bù trừ tiền thuế, tiền chậm nộp, tiền phạt nộp thừa giữa các sắc thuế, giữa các tiểu mục thuế với nhau</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5">
            <w:pPr>
              <w:pStyle w:val="Heading1"/>
              <w:rPr>
                <w:rFonts w:ascii="Times New Roman" w:cs="Times New Roman" w:eastAsia="Times New Roman" w:hAnsi="Times New Roman"/>
                <w:b w:val="0"/>
                <w:bCs w:val="0"/>
                <w:sz w:val="22"/>
                <w:szCs w:val="22"/>
                <w:highlight w:val="white"/>
                <w:vertAlign w:val="baseline"/>
              </w:rPr>
            </w:pPr>
            <w:r w:rsidDel="00000000" w:rsidR="00000000" w:rsidRPr="00000000">
              <w:rPr>
                <w:rFonts w:ascii="Times New Roman" w:cs="Times New Roman" w:eastAsia="Times New Roman" w:hAnsi="Times New Roman"/>
                <w:b w:val="0"/>
                <w:bCs w:val="0"/>
                <w:sz w:val="22"/>
                <w:szCs w:val="22"/>
                <w:highlight w:val="white"/>
                <w:vertAlign w:val="baseline"/>
                <w:rtl w:val="0"/>
              </w:rPr>
              <w:t xml:space="preserve">Dự thảo Nghị định chưa quy định nội dung này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6">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Dự thảo Nghị định chưa quy định cụ thể về cơ chế bù trừ tiền thuế, tiền chậm nộp, tiền phạt nộp thừa giữa các sắc thuế, giữa các tiểu mục thuế với nhau.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7">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Đề xuất: </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Bổ sung cơ chế cho phép bù trừ tiền thuế, tiền chậm nộp, tiền phạt nộp thừa giữa các sắc thuế, giữa các tiểu mục thuế với nhau. Ngoài ra do quy định hiện tại đã cho phép bù trừ thu nhập hoạt động chuyển nhượng BĐS và hoạt động sản xuất kinh doanh khác, vì vậy đề nghị sửa đổi quy định về quản lý thuế liên quan cho phù hợp (không phải nộp thuế vào tiểu mục riêng với hoạt động chuyển nhượng BĐS),</w:t>
            </w:r>
          </w:p>
          <w:p w:rsidR="00000000" w:rsidDel="00000000" w:rsidP="00000000" w:rsidRDefault="00000000" w:rsidRPr="00000000" w14:paraId="0000012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Đồng thời làm rõ việc bù trừ theo mã định danh khoản phải nộp được thực hiện như thế nào.</w:t>
            </w:r>
          </w:p>
          <w:p w:rsidR="00000000" w:rsidDel="00000000" w:rsidP="00000000" w:rsidRDefault="00000000" w:rsidRPr="00000000" w14:paraId="0000012A">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B">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Lý do:</w:t>
            </w: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12C">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D">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Quy định trước đây (Khoản 1 Điều 60 Luật Quản lý thuế 2019) đã cho phép doanh nghiệp được bù trừ tiền thuế, tiền chậm nộp, tiền phạt nộp thừa trong các lần nộp tiếp theo. Tuy nhiên việc xử lý này chưa phản ánh đúng thực trạng, vì trong quá trình đối soát nghĩa vụ nợ với Cơ quan quản lý thuế có phát sinh nhiều khoản thuế nộp thừa từ các sắc thuế, tiểu mục khác nhau. Vì vậy đề xuất này của Chúng tôi giúp quy định bao quát hơn và tạo thuận lợi cho doanh nghiệp.</w:t>
            </w:r>
          </w:p>
          <w:p w:rsidR="00000000" w:rsidDel="00000000" w:rsidP="00000000" w:rsidRDefault="00000000" w:rsidRPr="00000000" w14:paraId="0000012E">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F">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Ngoài ra căn cứ khoản 6 Điều 3 Thông tư 19/2021/TT-BTC quy định mã định danh khoản phải nộp (ID) là một dãy các ký tự được tạo trên hệ thống ứng dụng quản lý thuế của ngành thuế, có tính duy nhất cho từng hồ sơ thuế hoặc khoản phải nộp của người nộp thuế. Theo đó quy định hiện tại chưa rõ việc bù trừ theo mã định danh khoản phải nộp được thực hiện như thế nào, có được bù trừ giữa các sắc thuế/tiểu mục thuế khác nhau không.</w:t>
            </w:r>
          </w:p>
        </w:tc>
      </w:tr>
    </w:tbl>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sectPr>
      <w:footerReference r:id="rId7" w:type="default"/>
      <w:pgSz w:h="12240" w:w="15840" w:orient="landscape"/>
      <w:pgMar w:bottom="720" w:top="720" w:left="454" w:right="45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Georgia"/>
  <w:font w:name="Arial"/>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156082"/>
        <w:sz w:val="24"/>
        <w:szCs w:val="24"/>
        <w:u w:val="none"/>
        <w:shd w:fill="auto" w:val="clear"/>
        <w:vertAlign w:val="baseline"/>
      </w:rPr>
    </w:pPr>
    <w:r w:rsidDel="00000000" w:rsidR="00000000" w:rsidRPr="00000000">
      <w:rPr>
        <w:rFonts w:ascii="Cambria" w:cs="Cambria" w:eastAsia="Cambria" w:hAnsi="Cambria"/>
        <w:b w:val="0"/>
        <w:bCs w:val="0"/>
        <w:i w:val="0"/>
        <w:iCs w:val="0"/>
        <w:smallCaps w:val="1"/>
        <w:strike w:val="0"/>
        <w:color w:val="156082"/>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libri" w:cs="Calibri" w:eastAsia="Calibri" w:hAnsi="Calibri"/>
      <w:b w:val="1"/>
      <w:bCs w:val="1"/>
      <w:sz w:val="32"/>
      <w:szCs w:val="32"/>
      <w:vertAlign w:val="baseline"/>
    </w:rPr>
  </w:style>
  <w:style w:type="paragraph" w:styleId="Heading2">
    <w:name w:val="heading 2"/>
    <w:basedOn w:val="Normal"/>
    <w:next w:val="Normal"/>
    <w:pPr>
      <w:keepNext w:val="1"/>
      <w:spacing w:after="60" w:before="240" w:lineRule="auto"/>
    </w:pPr>
    <w:rPr>
      <w:rFonts w:ascii="Play" w:cs="Play" w:eastAsia="Play" w:hAnsi="Play"/>
      <w:b w:val="1"/>
      <w:bCs w:val="1"/>
      <w:i w:val="1"/>
      <w:iCs w:val="1"/>
      <w:sz w:val="28"/>
      <w:szCs w:val="28"/>
      <w:vertAlign w:val="baseline"/>
    </w:rPr>
  </w:style>
  <w:style w:type="paragraph" w:styleId="Heading3">
    <w:name w:val="heading 3"/>
    <w:basedOn w:val="Normal"/>
    <w:next w:val="Normal"/>
    <w:pPr>
      <w:keepNext w:val="1"/>
      <w:spacing w:after="60" w:before="240" w:lineRule="auto"/>
    </w:pPr>
    <w:rPr>
      <w:rFonts w:ascii="Play" w:cs="Play" w:eastAsia="Play" w:hAnsi="Play"/>
      <w:b w:val="1"/>
      <w:bCs w:val="1"/>
      <w:sz w:val="26"/>
      <w:szCs w:val="26"/>
      <w:vertAlign w:val="baseline"/>
    </w:rPr>
  </w:style>
  <w:style w:type="paragraph" w:styleId="Heading4">
    <w:name w:val="heading 4"/>
    <w:basedOn w:val="Normal"/>
    <w:next w:val="Normal"/>
    <w:pPr>
      <w:keepNext w:val="1"/>
      <w:spacing w:after="20" w:before="20" w:lineRule="auto"/>
      <w:jc w:val="center"/>
    </w:pPr>
    <w:rPr>
      <w:rFonts w:ascii="Times New Roman" w:cs="Times New Roman" w:eastAsia="Times New Roman" w:hAnsi="Times New Roman"/>
      <w:b w:val="1"/>
      <w:bCs w:val="1"/>
      <w:sz w:val="26"/>
      <w:szCs w:val="26"/>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spacing w:before="200" w:lineRule="auto"/>
    </w:pPr>
    <w:rPr>
      <w:i w:val="1"/>
      <w:iCs w:val="1"/>
      <w:color w:val="243f60"/>
      <w:sz w:val="24"/>
      <w:szCs w:val="24"/>
      <w:vertAlign w:val="baseline"/>
    </w:rPr>
  </w:style>
  <w:style w:type="paragraph" w:styleId="Title">
    <w:name w:val="Title"/>
    <w:basedOn w:val="Normal"/>
    <w:next w:val="Normal"/>
    <w:pPr>
      <w:jc w:val="center"/>
    </w:pPr>
    <w:rPr>
      <w:rFonts w:ascii="Times New Roman" w:cs="Times New Roman" w:eastAsia="Times New Roman" w:hAnsi="Times New Roman"/>
      <w:b w:val="1"/>
      <w:bCs w:val="1"/>
      <w:sz w:val="32"/>
      <w:szCs w:val="32"/>
      <w:vertAlign w:val="baseline"/>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PHULUC">
    <w:name w:val="PHU LUC"/>
    <w:basedOn w:val="Normal"/>
    <w:next w:val="PHULUC"/>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eastAsia="Times New Roman" w:hAnsi="Times New Roman"/>
      <w:b w:val="1"/>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Heading4Char">
    <w:name w:val="Heading 4 Char"/>
    <w:next w:val="Heading4Char"/>
    <w:autoRedefine w:val="0"/>
    <w:hidden w:val="0"/>
    <w:qFormat w:val="0"/>
    <w:rPr>
      <w:rFonts w:ascii=".VnTimeH" w:eastAsia="Times New Roman" w:hAnsi=".VnTimeH"/>
      <w:b w:val="1"/>
      <w:w w:val="100"/>
      <w:position w:val="-1"/>
      <w:sz w:val="26"/>
      <w:effect w:val="none"/>
      <w:vertAlign w:val="baseline"/>
      <w:cs w:val="0"/>
      <w:em w:val="none"/>
      <w:lang/>
    </w:rPr>
  </w:style>
  <w:style w:type="character" w:styleId="Heading6Char">
    <w:name w:val="Heading 6 Char"/>
    <w:next w:val="Heading6Char"/>
    <w:autoRedefine w:val="0"/>
    <w:hidden w:val="0"/>
    <w:qFormat w:val="0"/>
    <w:rPr>
      <w:i w:val="1"/>
      <w:iCs w:val="1"/>
      <w:color w:val="243f60"/>
      <w:w w:val="100"/>
      <w:position w:val="-1"/>
      <w:sz w:val="24"/>
      <w:szCs w:val="24"/>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after="120" w:line="1" w:lineRule="atLeast"/>
      <w:ind w:left="283"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und" w:val="und"/>
    </w:rPr>
  </w:style>
  <w:style w:type="character" w:styleId="BodyTextIndentChar">
    <w:name w:val="Body Text Indent Char"/>
    <w:next w:val="BodyTextIndent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character" w:styleId="TitleChar">
    <w:name w:val="Title Char"/>
    <w:next w:val="TitleChar"/>
    <w:autoRedefine w:val="0"/>
    <w:hidden w:val="0"/>
    <w:qFormat w:val="0"/>
    <w:rPr>
      <w:rFonts w:ascii="Times New Roman" w:eastAsia="Times New Roman" w:hAnsi="Times New Roman"/>
      <w:b w:val="1"/>
      <w:w w:val="100"/>
      <w:position w:val="-1"/>
      <w:sz w:val="32"/>
      <w:szCs w:val="32"/>
      <w:effect w:val="none"/>
      <w:vertAlign w:val="baseline"/>
      <w:cs w:val="0"/>
      <w:em w:val="none"/>
      <w:lang w:val="nl-NL"/>
    </w:rPr>
  </w:style>
  <w:style w:type="paragraph" w:styleId="ListParagraph,bullet,bullet1,ListParagraph1,Thang2,ListParagraph11,ListParagraph12,ListParagraph2,VNA-ListParagraph,1.,TableSequence,ListParagraph111,ColorfulList-Accent11,Mychecklist,ListParagraph1,CitationList,ColorfulListAccent1">
    <w:name w:val="List Paragraph,bullet,bullet 1,List Paragraph1,Thang2,List Paragraph11,List Paragraph12,List Paragraph2,VNA - List Paragraph,1.,Table Sequence,List Paragraph111,Colorful List - Accent 11,My checklist,List Paragraph 1,Citation List,Colorful List Accent 1"/>
    <w:basedOn w:val="Normal"/>
    <w:next w:val="ListParagraph,bullet,bullet1,ListParagraph1,Thang2,ListParagraph11,ListParagraph12,ListParagraph2,VNA-ListParagraph,1.,TableSequence,ListParagraph111,ColorfulList-Accent11,Mychecklist,ListParagraph1,CitationList,ColorfulListAccent1"/>
    <w:autoRedefine w:val="0"/>
    <w:hidden w:val="0"/>
    <w:qFormat w:val="0"/>
    <w:pPr>
      <w:suppressAutoHyphens w:val="1"/>
      <w:spacing w:line="1" w:lineRule="atLeast"/>
      <w:ind w:left="720" w:leftChars="-1" w:rightChars="0" w:firstLineChars="-1"/>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en-US" w:val="en-US"/>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noteText">
    <w:name w:val="Footnote Text"/>
    <w:basedOn w:val="Normal"/>
    <w:next w:val="FootnoteText"/>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FootnoteTextChar">
    <w:name w:val="Footnote Text Char"/>
    <w:basedOn w:val="DefaultParagraphFont"/>
    <w:next w:val="FootnoteTextChar"/>
    <w:autoRedefine w:val="0"/>
    <w:hidden w:val="0"/>
    <w:qFormat w:val="0"/>
    <w:rPr>
      <w:w w:val="100"/>
      <w:position w:val="-1"/>
      <w:effect w:val="none"/>
      <w:vertAlign w:val="baseline"/>
      <w:cs w:val="0"/>
      <w:em w:val="none"/>
      <w:lang/>
    </w:r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ListParagraphChar,bulletChar,bullet1Char,ListParagraph1Char,Thang2Char,ListParagraph11Char,ListParagraph12Char,ListParagraph2Char,VNA-ListParagraphChar,1.Char,TableSequenceChar,ListParagraph111Char,ColorfulList-Accent11Char">
    <w:name w:val="List Paragraph Char,bullet Char,bullet 1 Char,List Paragraph1 Char,Thang2 Char,List Paragraph11 Char,List Paragraph12 Char,List Paragraph2 Char,VNA - List Paragraph Char,1. Char,Table Sequence Char,List Paragraph111 Char,Colorful List - Accent 11 Char"/>
    <w:next w:val="ListParagraphChar,bulletChar,bullet1Char,ListParagraph1Char,Thang2Char,ListParagraph11Char,ListParagraph12Char,ListParagraph2Char,VNA-ListParagraphChar,1.Char,TableSequenceChar,ListParagraph111Char,ColorfulList-Accent11Char"/>
    <w:autoRedefine w:val="0"/>
    <w:hidden w:val="0"/>
    <w:qFormat w:val="0"/>
    <w:rPr>
      <w:rFonts w:ascii="Times New Roman" w:eastAsia="Calibri" w:hAnsi="Times New Roman"/>
      <w:w w:val="100"/>
      <w:position w:val="-1"/>
      <w:sz w:val="24"/>
      <w:szCs w:val="24"/>
      <w:effect w:val="none"/>
      <w:vertAlign w:val="baseline"/>
      <w:cs w:val="0"/>
      <w:em w:val="none"/>
      <w:lang/>
    </w:rPr>
  </w:style>
  <w:style w:type="character" w:styleId="Heading1Char">
    <w:name w:val="Heading 1 Char"/>
    <w:next w:val="Heading1Char"/>
    <w:autoRedefine w:val="0"/>
    <w:hidden w:val="0"/>
    <w:qFormat w:val="0"/>
    <w:rPr>
      <w:rFonts w:ascii="Calibri Light" w:cs="Times New Roman" w:eastAsia="Times New Roman" w:hAnsi="Calibri Light"/>
      <w:b w:val="1"/>
      <w:bCs w:val="1"/>
      <w:w w:val="100"/>
      <w:kern w:val="32"/>
      <w:position w:val="-1"/>
      <w:sz w:val="32"/>
      <w:szCs w:val="32"/>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Heading3Char">
    <w:name w:val="Heading 3 Char"/>
    <w:next w:val="Heading3Char"/>
    <w:autoRedefine w:val="0"/>
    <w:hidden w:val="0"/>
    <w:qFormat w:val="0"/>
    <w:rPr>
      <w:rFonts w:ascii="Aptos Display" w:cs="Times New Roman" w:eastAsia="Times New Roman" w:hAnsi="Aptos Display"/>
      <w:b w:val="1"/>
      <w:bCs w:val="1"/>
      <w:w w:val="100"/>
      <w:position w:val="-1"/>
      <w:sz w:val="26"/>
      <w:szCs w:val="26"/>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eading2Char">
    <w:name w:val="Heading 2 Char"/>
    <w:next w:val="Heading2Char"/>
    <w:autoRedefine w:val="0"/>
    <w:hidden w:val="0"/>
    <w:qFormat w:val="0"/>
    <w:rPr>
      <w:rFonts w:ascii="Aptos Display" w:cs="Times New Roman" w:eastAsia="Times New Roman" w:hAnsi="Aptos Display"/>
      <w:b w:val="1"/>
      <w:bCs w:val="1"/>
      <w:i w:val="1"/>
      <w:iCs w:val="1"/>
      <w:w w:val="100"/>
      <w:position w:val="-1"/>
      <w:sz w:val="28"/>
      <w:szCs w:val="2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28.0" w:type="dxa"/>
        <w:left w:w="108.0" w:type="dxa"/>
        <w:bottom w:w="28.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J6MyF0UpOhNjUL9rrXKl8SKzxQ==">CgMxLjAyD2lkLjJ0bzdqOGhreDFmMTIPaWQuZzU4cnE0emVpczF4OAByITFOVHVfOVVfZm1TLXVGSXJwTTRleVBELUNLcGNmaklQLQ==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2026-03-26T09:40:00Z</dcterms:created>
  <dc:creator>Doan Trong Bang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str>0x01010055F7530A0977CB4DA86F560105915E27</vt:lpstr>
  </property>
  <property fmtid="{D5CDD505-2E9C-101B-9397-08002B2CF9AE}" pid="3" name="_activity">
    <vt:lpstr/>
  </property>
</Properties>
</file>