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593" w:type="dxa"/>
        <w:tblInd w:w="-1276" w:type="dxa"/>
        <w:tblLook w:val="01E0" w:firstRow="1" w:lastRow="1" w:firstColumn="1" w:lastColumn="1" w:noHBand="0" w:noVBand="0"/>
      </w:tblPr>
      <w:tblGrid>
        <w:gridCol w:w="6522"/>
        <w:gridCol w:w="9071"/>
      </w:tblGrid>
      <w:tr w:rsidR="00DE13FC" w:rsidRPr="00B84876" w:rsidTr="007910B6">
        <w:trPr>
          <w:trHeight w:val="1302"/>
        </w:trPr>
        <w:tc>
          <w:tcPr>
            <w:tcW w:w="6522" w:type="dxa"/>
          </w:tcPr>
          <w:p w:rsidR="00A8723D" w:rsidRPr="00B84876" w:rsidRDefault="00DE13FC" w:rsidP="00517470">
            <w:pPr>
              <w:keepNext/>
              <w:autoSpaceDE w:val="0"/>
              <w:autoSpaceDN w:val="0"/>
              <w:adjustRightInd w:val="0"/>
              <w:spacing w:line="240" w:lineRule="atLeast"/>
              <w:jc w:val="center"/>
              <w:rPr>
                <w:rFonts w:ascii="Times New Roman" w:eastAsia="Times New Roman" w:hAnsi="Times New Roman" w:cs="Times New Roman"/>
                <w:i/>
                <w:sz w:val="28"/>
                <w:szCs w:val="28"/>
              </w:rPr>
            </w:pPr>
            <w:r w:rsidRPr="00B84876">
              <w:rPr>
                <w:rFonts w:ascii="Times New Roman" w:eastAsia="Times New Roman" w:hAnsi="Times New Roman" w:cs="Times New Roman"/>
                <w:b/>
                <w:noProof/>
                <w:color w:val="auto"/>
                <w:spacing w:val="-8"/>
                <w:sz w:val="28"/>
                <w:szCs w:val="28"/>
                <w:lang w:val="en-US" w:eastAsia="en-US"/>
                <w14:ligatures w14:val="standardContextual"/>
              </w:rPr>
              <mc:AlternateContent>
                <mc:Choice Requires="wps">
                  <w:drawing>
                    <wp:anchor distT="0" distB="0" distL="114300" distR="114300" simplePos="0" relativeHeight="251659264" behindDoc="0" locked="0" layoutInCell="1" allowOverlap="1" wp14:anchorId="1F7032AF" wp14:editId="2E5529DC">
                      <wp:simplePos x="0" y="0"/>
                      <wp:positionH relativeFrom="column">
                        <wp:posOffset>1580359</wp:posOffset>
                      </wp:positionH>
                      <wp:positionV relativeFrom="paragraph">
                        <wp:posOffset>200025</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015D1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45pt,15.75pt" to="193.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" strokecolor="black [3200]" strokeweight=".5pt">
                      <v:stroke joinstyle="miter"/>
                    </v:line>
                  </w:pict>
                </mc:Fallback>
              </mc:AlternateContent>
            </w:r>
            <w:r w:rsidRPr="00B84876">
              <w:rPr>
                <w:rFonts w:ascii="Times New Roman" w:eastAsia="Times New Roman" w:hAnsi="Times New Roman" w:cs="Times New Roman"/>
                <w:b/>
                <w:color w:val="auto"/>
                <w:spacing w:val="-8"/>
                <w:sz w:val="28"/>
                <w:szCs w:val="28"/>
                <w:lang w:val="nl-NL"/>
              </w:rPr>
              <w:t xml:space="preserve">BỘ </w:t>
            </w:r>
            <w:r w:rsidRPr="00B84876">
              <w:rPr>
                <w:rFonts w:ascii="Times New Roman" w:eastAsia="Times New Roman" w:hAnsi="Times New Roman" w:cs="Times New Roman"/>
                <w:b/>
                <w:color w:val="auto"/>
                <w:spacing w:val="-8"/>
                <w:sz w:val="28"/>
                <w:szCs w:val="28"/>
              </w:rPr>
              <w:t>TƯ PHÁP</w:t>
            </w:r>
            <w:r w:rsidRPr="00B84876">
              <w:rPr>
                <w:rFonts w:ascii="Times New Roman" w:eastAsia="Times New Roman" w:hAnsi="Times New Roman" w:cs="Times New Roman"/>
                <w:b/>
                <w:color w:val="auto"/>
                <w:sz w:val="28"/>
                <w:szCs w:val="28"/>
                <w:lang w:val="nl-NL"/>
              </w:rPr>
              <w:br/>
            </w:r>
          </w:p>
          <w:p w:rsidR="00610754" w:rsidRPr="00B84876" w:rsidRDefault="00B43DA9" w:rsidP="00610754">
            <w:pPr>
              <w:keepNext/>
              <w:autoSpaceDE w:val="0"/>
              <w:autoSpaceDN w:val="0"/>
              <w:adjustRightInd w:val="0"/>
              <w:spacing w:line="240" w:lineRule="atLeast"/>
              <w:jc w:val="center"/>
              <w:rPr>
                <w:rFonts w:ascii="Times New Roman" w:eastAsia="Times New Roman" w:hAnsi="Times New Roman" w:cs="Times New Roman"/>
                <w:i/>
                <w:sz w:val="28"/>
                <w:szCs w:val="28"/>
              </w:rPr>
            </w:pPr>
            <w:r w:rsidRPr="00B84876">
              <w:rPr>
                <w:rFonts w:ascii="Times New Roman" w:eastAsia="Times New Roman" w:hAnsi="Times New Roman" w:cs="Times New Roman"/>
                <w:i/>
                <w:sz w:val="28"/>
                <w:szCs w:val="28"/>
                <w:lang w:val="en-US"/>
              </w:rPr>
              <w:t xml:space="preserve">Tài liệu </w:t>
            </w:r>
            <w:r w:rsidR="00610754" w:rsidRPr="00B84876">
              <w:rPr>
                <w:rFonts w:ascii="Times New Roman" w:eastAsia="Times New Roman" w:hAnsi="Times New Roman" w:cs="Times New Roman"/>
                <w:i/>
                <w:sz w:val="28"/>
                <w:szCs w:val="28"/>
              </w:rPr>
              <w:t xml:space="preserve">gửi lấy ý kiến </w:t>
            </w:r>
          </w:p>
          <w:p w:rsidR="00DE13FC" w:rsidRPr="00B84876" w:rsidRDefault="00DE13FC" w:rsidP="00610754">
            <w:pPr>
              <w:ind w:left="-256"/>
              <w:jc w:val="center"/>
              <w:rPr>
                <w:rFonts w:ascii="Times New Roman" w:eastAsia="Times New Roman" w:hAnsi="Times New Roman" w:cs="Times New Roman"/>
                <w:b/>
                <w:color w:val="auto"/>
                <w:sz w:val="28"/>
                <w:szCs w:val="28"/>
                <w:lang w:val="en-US"/>
              </w:rPr>
            </w:pPr>
          </w:p>
        </w:tc>
        <w:tc>
          <w:tcPr>
            <w:tcW w:w="9071" w:type="dxa"/>
          </w:tcPr>
          <w:p w:rsidR="00DE13FC" w:rsidRPr="00B84876" w:rsidRDefault="00DE13FC" w:rsidP="007910B6">
            <w:pPr>
              <w:ind w:left="1595"/>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pacing w:val="-8"/>
                <w:sz w:val="28"/>
                <w:szCs w:val="28"/>
              </w:rPr>
              <w:t>CỘNG HÒA XÃ HỘI CHỦ NGHĨA VIỆT NAM</w:t>
            </w:r>
            <w:r w:rsidRPr="00B84876">
              <w:rPr>
                <w:rFonts w:ascii="Times New Roman" w:eastAsia="Times New Roman" w:hAnsi="Times New Roman" w:cs="Times New Roman"/>
                <w:b/>
                <w:color w:val="auto"/>
                <w:sz w:val="28"/>
                <w:szCs w:val="28"/>
              </w:rPr>
              <w:br/>
              <w:t xml:space="preserve">Độc lập - Tự do - Hạnh phúc </w:t>
            </w:r>
          </w:p>
          <w:p w:rsidR="00DE13FC" w:rsidRPr="00B84876" w:rsidRDefault="00DE13FC" w:rsidP="007910B6">
            <w:pPr>
              <w:ind w:left="1595"/>
              <w:jc w:val="center"/>
              <w:rPr>
                <w:rFonts w:ascii="Times New Roman" w:eastAsia="Times New Roman" w:hAnsi="Times New Roman" w:cs="Times New Roman"/>
                <w:color w:val="auto"/>
                <w:sz w:val="28"/>
                <w:szCs w:val="28"/>
                <w:vertAlign w:val="superscript"/>
              </w:rPr>
            </w:pPr>
            <w:r w:rsidRPr="00B84876">
              <w:rPr>
                <w:rFonts w:ascii="Times New Roman" w:eastAsia="Times New Roman" w:hAnsi="Times New Roman" w:cs="Times New Roman"/>
                <w:noProof/>
                <w:color w:val="auto"/>
                <w:sz w:val="28"/>
                <w:szCs w:val="28"/>
                <w:vertAlign w:val="superscript"/>
                <w:lang w:val="en-US" w:eastAsia="en-US"/>
                <w14:ligatures w14:val="standardContextual"/>
              </w:rPr>
              <mc:AlternateContent>
                <mc:Choice Requires="wps">
                  <w:drawing>
                    <wp:anchor distT="0" distB="0" distL="114300" distR="114300" simplePos="0" relativeHeight="251660288" behindDoc="0" locked="0" layoutInCell="1" allowOverlap="1" wp14:anchorId="14339EF0" wp14:editId="1B6511A4">
                      <wp:simplePos x="0" y="0"/>
                      <wp:positionH relativeFrom="column">
                        <wp:posOffset>2400300</wp:posOffset>
                      </wp:positionH>
                      <wp:positionV relativeFrom="paragraph">
                        <wp:posOffset>20955</wp:posOffset>
                      </wp:positionV>
                      <wp:extent cx="1857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71241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pt,1.65pt" to="33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vPtQEAALcDAAAOAAAAZHJzL2Uyb0RvYy54bWysU8GO0zAQvSPxD5bvNGnR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" strokecolor="black [3200]" strokeweight=".5pt">
                      <v:stroke joinstyle="miter"/>
                    </v:line>
                  </w:pict>
                </mc:Fallback>
              </mc:AlternateContent>
            </w:r>
          </w:p>
          <w:p w:rsidR="00DE13FC" w:rsidRPr="00B84876" w:rsidRDefault="00DE13FC" w:rsidP="002A5DEF">
            <w:pPr>
              <w:ind w:left="1595"/>
              <w:jc w:val="center"/>
              <w:rPr>
                <w:rFonts w:ascii="Times New Roman" w:eastAsia="Times New Roman" w:hAnsi="Times New Roman" w:cs="Times New Roman"/>
                <w:color w:val="auto"/>
                <w:sz w:val="28"/>
                <w:szCs w:val="28"/>
              </w:rPr>
            </w:pPr>
            <w:r w:rsidRPr="00B84876">
              <w:rPr>
                <w:rFonts w:ascii="Times New Roman" w:eastAsia="Times New Roman" w:hAnsi="Times New Roman" w:cs="Times New Roman"/>
                <w:i/>
                <w:color w:val="auto"/>
                <w:sz w:val="28"/>
                <w:szCs w:val="28"/>
              </w:rPr>
              <w:t xml:space="preserve">Hà Nội, ngày </w:t>
            </w:r>
            <w:r w:rsidR="00620284" w:rsidRPr="00B84876">
              <w:rPr>
                <w:rFonts w:ascii="Times New Roman" w:eastAsia="Times New Roman" w:hAnsi="Times New Roman" w:cs="Times New Roman"/>
                <w:i/>
                <w:color w:val="auto"/>
                <w:sz w:val="28"/>
                <w:szCs w:val="28"/>
              </w:rPr>
              <w:t xml:space="preserve"> </w:t>
            </w:r>
            <w:r w:rsidR="00A80408" w:rsidRPr="00B84876">
              <w:rPr>
                <w:rFonts w:ascii="Times New Roman" w:eastAsia="Times New Roman" w:hAnsi="Times New Roman" w:cs="Times New Roman"/>
                <w:i/>
                <w:color w:val="auto"/>
                <w:sz w:val="28"/>
                <w:szCs w:val="28"/>
                <w:lang w:val="en-US"/>
              </w:rPr>
              <w:t xml:space="preserve">    </w:t>
            </w:r>
            <w:r w:rsidR="00620284" w:rsidRPr="00B84876">
              <w:rPr>
                <w:rFonts w:ascii="Times New Roman" w:eastAsia="Times New Roman" w:hAnsi="Times New Roman" w:cs="Times New Roman"/>
                <w:i/>
                <w:color w:val="auto"/>
                <w:sz w:val="28"/>
                <w:szCs w:val="28"/>
              </w:rPr>
              <w:t xml:space="preserve">  </w:t>
            </w:r>
            <w:r w:rsidRPr="00B84876">
              <w:rPr>
                <w:rFonts w:ascii="Times New Roman" w:eastAsia="Times New Roman" w:hAnsi="Times New Roman" w:cs="Times New Roman"/>
                <w:i/>
                <w:color w:val="auto"/>
                <w:sz w:val="28"/>
                <w:szCs w:val="28"/>
              </w:rPr>
              <w:t xml:space="preserve"> tháng</w:t>
            </w:r>
            <w:r w:rsidR="00620284" w:rsidRPr="00B84876">
              <w:rPr>
                <w:rFonts w:ascii="Times New Roman" w:eastAsia="Times New Roman" w:hAnsi="Times New Roman" w:cs="Times New Roman"/>
                <w:i/>
                <w:color w:val="auto"/>
                <w:sz w:val="28"/>
                <w:szCs w:val="28"/>
              </w:rPr>
              <w:t xml:space="preserve">   </w:t>
            </w:r>
            <w:r w:rsidRPr="00B84876">
              <w:rPr>
                <w:rFonts w:ascii="Times New Roman" w:eastAsia="Times New Roman" w:hAnsi="Times New Roman" w:cs="Times New Roman"/>
                <w:i/>
                <w:color w:val="auto"/>
                <w:sz w:val="28"/>
                <w:szCs w:val="28"/>
              </w:rPr>
              <w:t xml:space="preserve"> </w:t>
            </w:r>
            <w:r w:rsidR="00AD1C52" w:rsidRPr="00B84876">
              <w:rPr>
                <w:rFonts w:ascii="Times New Roman" w:eastAsia="Times New Roman" w:hAnsi="Times New Roman" w:cs="Times New Roman"/>
                <w:i/>
                <w:color w:val="auto"/>
                <w:sz w:val="28"/>
                <w:szCs w:val="28"/>
              </w:rPr>
              <w:t>năm 2026</w:t>
            </w:r>
          </w:p>
        </w:tc>
      </w:tr>
    </w:tbl>
    <w:p w:rsidR="00DE13FC" w:rsidRPr="00B84876" w:rsidRDefault="00DE13FC" w:rsidP="00DE13FC">
      <w:pPr>
        <w:spacing w:line="276" w:lineRule="auto"/>
        <w:jc w:val="center"/>
        <w:rPr>
          <w:rFonts w:ascii="Times New Roman" w:eastAsia="Times New Roman" w:hAnsi="Times New Roman" w:cs="Times New Roman"/>
          <w:b/>
          <w:color w:val="auto"/>
          <w:sz w:val="28"/>
          <w:szCs w:val="28"/>
        </w:rPr>
      </w:pPr>
    </w:p>
    <w:p w:rsidR="00A65878" w:rsidRPr="00B84876" w:rsidRDefault="00DE13FC" w:rsidP="00AD1C52">
      <w:pPr>
        <w:spacing w:line="276" w:lineRule="auto"/>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 xml:space="preserve">BẢN THUYẾT MINH QUY PHẠM HÓA CHÍNH SÁCH </w:t>
      </w:r>
    </w:p>
    <w:p w:rsidR="00AD1C52" w:rsidRPr="00B84876" w:rsidRDefault="00517470" w:rsidP="00AD1C52">
      <w:pPr>
        <w:spacing w:line="276" w:lineRule="auto"/>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 xml:space="preserve">CỦA LUẬT </w:t>
      </w:r>
      <w:r w:rsidR="00A80408" w:rsidRPr="00B84876">
        <w:rPr>
          <w:rFonts w:ascii="Times New Roman" w:eastAsia="Times New Roman" w:hAnsi="Times New Roman" w:cs="Times New Roman"/>
          <w:b/>
          <w:color w:val="auto"/>
          <w:sz w:val="28"/>
          <w:szCs w:val="28"/>
          <w:lang w:val="en-US"/>
        </w:rPr>
        <w:t>ĐẤU GIÁ TÀI SẢN</w:t>
      </w:r>
      <w:r w:rsidRPr="00B84876">
        <w:rPr>
          <w:rFonts w:ascii="Times New Roman" w:eastAsia="Times New Roman" w:hAnsi="Times New Roman" w:cs="Times New Roman"/>
          <w:b/>
          <w:color w:val="auto"/>
          <w:sz w:val="28"/>
          <w:szCs w:val="28"/>
        </w:rPr>
        <w:t xml:space="preserve"> (SỬA ĐỔI</w:t>
      </w:r>
      <w:r w:rsidR="00DE13FC" w:rsidRPr="00B84876">
        <w:rPr>
          <w:rFonts w:ascii="Times New Roman" w:eastAsia="Times New Roman" w:hAnsi="Times New Roman" w:cs="Times New Roman"/>
          <w:b/>
          <w:color w:val="auto"/>
          <w:sz w:val="28"/>
          <w:szCs w:val="28"/>
        </w:rPr>
        <w:t>)</w:t>
      </w:r>
    </w:p>
    <w:p w:rsidR="00A65878" w:rsidRPr="00B84876" w:rsidRDefault="00A65878" w:rsidP="00AD1C52">
      <w:pPr>
        <w:spacing w:line="276" w:lineRule="auto"/>
        <w:jc w:val="center"/>
        <w:rPr>
          <w:rFonts w:ascii="Times New Roman" w:eastAsia="Times New Roman" w:hAnsi="Times New Roman" w:cs="Times New Roman"/>
          <w:b/>
          <w:color w:val="auto"/>
          <w:sz w:val="28"/>
          <w:szCs w:val="28"/>
        </w:rPr>
      </w:pPr>
    </w:p>
    <w:tbl>
      <w:tblPr>
        <w:tblStyle w:val="TableGrid"/>
        <w:tblW w:w="15425" w:type="dxa"/>
        <w:jc w:val="center"/>
        <w:tblLook w:val="04A0" w:firstRow="1" w:lastRow="0" w:firstColumn="1" w:lastColumn="0" w:noHBand="0" w:noVBand="1"/>
      </w:tblPr>
      <w:tblGrid>
        <w:gridCol w:w="746"/>
        <w:gridCol w:w="2935"/>
        <w:gridCol w:w="4678"/>
        <w:gridCol w:w="7066"/>
      </w:tblGrid>
      <w:tr w:rsidR="00A65878" w:rsidRPr="00B84876" w:rsidTr="0050533F">
        <w:trPr>
          <w:tblHeader/>
          <w:jc w:val="center"/>
        </w:trPr>
        <w:tc>
          <w:tcPr>
            <w:tcW w:w="746" w:type="dxa"/>
            <w:vAlign w:val="center"/>
          </w:tcPr>
          <w:p w:rsidR="00A65878" w:rsidRPr="00B84876" w:rsidRDefault="00A65878" w:rsidP="00A65878">
            <w:pPr>
              <w:spacing w:before="120" w:after="120" w:line="340" w:lineRule="exact"/>
              <w:jc w:val="center"/>
              <w:rPr>
                <w:rFonts w:ascii="Times New Roman" w:eastAsia="Times New Roman" w:hAnsi="Times New Roman" w:cs="Times New Roman"/>
                <w:b/>
                <w:color w:val="auto"/>
                <w:sz w:val="28"/>
                <w:szCs w:val="28"/>
                <w:lang w:val="en-US"/>
              </w:rPr>
            </w:pPr>
            <w:r w:rsidRPr="00B84876">
              <w:rPr>
                <w:rFonts w:ascii="Times New Roman" w:eastAsia="Times New Roman" w:hAnsi="Times New Roman" w:cs="Times New Roman"/>
                <w:b/>
                <w:color w:val="auto"/>
                <w:sz w:val="28"/>
                <w:szCs w:val="28"/>
                <w:lang w:val="en-US"/>
              </w:rPr>
              <w:t>STT</w:t>
            </w:r>
          </w:p>
        </w:tc>
        <w:tc>
          <w:tcPr>
            <w:tcW w:w="2935" w:type="dxa"/>
            <w:vAlign w:val="center"/>
          </w:tcPr>
          <w:p w:rsidR="00A65878" w:rsidRPr="00B84876" w:rsidRDefault="00A65878" w:rsidP="00A65878">
            <w:pPr>
              <w:spacing w:before="120" w:after="120" w:line="340" w:lineRule="exact"/>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 xml:space="preserve">TÊN </w:t>
            </w:r>
            <w:r w:rsidRPr="00B84876">
              <w:rPr>
                <w:rFonts w:ascii="Times New Roman" w:eastAsia="Times New Roman" w:hAnsi="Times New Roman" w:cs="Times New Roman"/>
                <w:b/>
                <w:color w:val="auto"/>
                <w:sz w:val="28"/>
                <w:szCs w:val="28"/>
                <w:lang w:val="en-US"/>
              </w:rPr>
              <w:t>CHÍNH SÁCH</w:t>
            </w:r>
            <w:r w:rsidRPr="00B84876">
              <w:rPr>
                <w:rFonts w:ascii="Times New Roman" w:eastAsia="Times New Roman" w:hAnsi="Times New Roman" w:cs="Times New Roman"/>
                <w:b/>
                <w:color w:val="auto"/>
                <w:sz w:val="28"/>
                <w:szCs w:val="28"/>
              </w:rPr>
              <w:t xml:space="preserve">  </w:t>
            </w:r>
          </w:p>
        </w:tc>
        <w:tc>
          <w:tcPr>
            <w:tcW w:w="4678" w:type="dxa"/>
            <w:vAlign w:val="center"/>
          </w:tcPr>
          <w:p w:rsidR="00A65878" w:rsidRPr="00B84876" w:rsidRDefault="00A65878" w:rsidP="00A65878">
            <w:pPr>
              <w:spacing w:before="120" w:after="120" w:line="340" w:lineRule="exact"/>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NỘI DUNG, GIẢI PHÁP THỰC HIỆN CHÍNH SÁCH ĐƯỢC LỰA CHỌN</w:t>
            </w:r>
          </w:p>
        </w:tc>
        <w:tc>
          <w:tcPr>
            <w:tcW w:w="7066" w:type="dxa"/>
            <w:vAlign w:val="center"/>
          </w:tcPr>
          <w:p w:rsidR="00A65878" w:rsidRPr="00B84876" w:rsidRDefault="00A65878" w:rsidP="00A65878">
            <w:pPr>
              <w:suppressLineNumbers/>
              <w:spacing w:before="120" w:after="120" w:line="340" w:lineRule="exact"/>
              <w:jc w:val="center"/>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DỰ KIẾN QUY PHẠM HOÁ NỘI DUNG GIẢI PHÁP THỰC HIỆN CHÍNH SÁCH ĐƯỢC LỰA CHỌN</w:t>
            </w:r>
          </w:p>
        </w:tc>
      </w:tr>
      <w:tr w:rsidR="00A65878" w:rsidRPr="00B84876" w:rsidTr="0050533F">
        <w:trPr>
          <w:jc w:val="center"/>
        </w:trPr>
        <w:tc>
          <w:tcPr>
            <w:tcW w:w="746" w:type="dxa"/>
          </w:tcPr>
          <w:p w:rsidR="00A65878" w:rsidRPr="00B84876" w:rsidRDefault="002957F5" w:rsidP="00A65878">
            <w:pPr>
              <w:spacing w:line="276" w:lineRule="auto"/>
              <w:jc w:val="center"/>
              <w:rPr>
                <w:rFonts w:ascii="Times New Roman" w:eastAsia="Times New Roman" w:hAnsi="Times New Roman" w:cs="Times New Roman"/>
                <w:b/>
                <w:color w:val="auto"/>
                <w:sz w:val="28"/>
                <w:szCs w:val="28"/>
                <w:lang w:val="en-US"/>
              </w:rPr>
            </w:pPr>
            <w:r w:rsidRPr="00B84876">
              <w:rPr>
                <w:rFonts w:ascii="Times New Roman" w:eastAsia="Times New Roman" w:hAnsi="Times New Roman" w:cs="Times New Roman"/>
                <w:b/>
                <w:color w:val="auto"/>
                <w:sz w:val="28"/>
                <w:szCs w:val="28"/>
                <w:lang w:val="en-US"/>
              </w:rPr>
              <w:t>1</w:t>
            </w:r>
          </w:p>
        </w:tc>
        <w:tc>
          <w:tcPr>
            <w:tcW w:w="2935" w:type="dxa"/>
            <w:vAlign w:val="center"/>
          </w:tcPr>
          <w:p w:rsidR="00A65878" w:rsidRPr="00B84876" w:rsidRDefault="00A65878" w:rsidP="00A65878">
            <w:pPr>
              <w:spacing w:before="120" w:after="120" w:line="340" w:lineRule="exact"/>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Hoàn thiện các quy định về tiêu chuẩn, điều kiện của đấu giá viên; tổ chức, hoạt động, quyền và trách nhiệm của tổ chức hành nghề đấu giá tài sản</w:t>
            </w:r>
          </w:p>
        </w:tc>
        <w:tc>
          <w:tcPr>
            <w:tcW w:w="4678" w:type="dxa"/>
            <w:vAlign w:val="center"/>
          </w:tcPr>
          <w:p w:rsidR="00A65878" w:rsidRPr="00B84876" w:rsidRDefault="00A65878" w:rsidP="00A65878">
            <w:pPr>
              <w:spacing w:before="120" w:after="120" w:line="340" w:lineRule="exact"/>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rPr>
              <w:t>Sửa đổi, bổ sung, hoàn thiện các quy định về tiêu chuẩn, điều kiện của đấu giá viên; tổ chức, hoạt động, quyền và trách nhiệm của tổ chức hành nghề đấu giá tài sản</w:t>
            </w:r>
            <w:r w:rsidRPr="00B84876">
              <w:rPr>
                <w:rFonts w:ascii="Times New Roman" w:eastAsia="Times New Roman" w:hAnsi="Times New Roman" w:cs="Times New Roman"/>
                <w:color w:val="auto"/>
                <w:sz w:val="28"/>
                <w:szCs w:val="28"/>
                <w:lang w:val="en-US"/>
              </w:rPr>
              <w:t>:</w:t>
            </w:r>
          </w:p>
          <w:p w:rsidR="00A65878" w:rsidRPr="00B84876" w:rsidRDefault="00A65878" w:rsidP="00A65878">
            <w:pPr>
              <w:spacing w:before="120" w:after="120" w:line="340" w:lineRule="exact"/>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Chuẩn hoá tiêu chuẩn đấu giá viên, điều kiện hành nghề đấu giá viên gắn yêu cầu đầu vào với các trách nhiệm, nghĩa vụ bồi dưỡng chuyên môn, nghiệp vụ định kỳ; quy định các thủ tục hành chính cấp, cấp lại, thu hồi Chứng chỉ hành nghề đấu giá viên đáp ứng yêu cầu phân cấp, phân quyền, cắt giảm thủ tục hành chính, đơn giản hóa điều kiện đầu tư, kinh doanh.</w:t>
            </w:r>
          </w:p>
          <w:p w:rsidR="00A65878" w:rsidRPr="00B84876" w:rsidRDefault="00A65878" w:rsidP="00A65878">
            <w:pPr>
              <w:spacing w:before="120" w:after="120" w:line="340" w:lineRule="exact"/>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lastRenderedPageBreak/>
              <w:t>- Quy định việc đăng ký hoạt động, thay đổi nội dung đăng ký hoạt động đối với doanh nghiệp đấu giá tài sản, chi nhánh doanh nghiệp đấu giá theo hướng đảm bảo vừa đơn giản hóa thủ tục hành chính, vừa tăng cường tính thực chất, hiệu quả hoạt động và công tác quản lý nhà nước.</w:t>
            </w:r>
          </w:p>
          <w:p w:rsidR="00A65878" w:rsidRPr="00B84876" w:rsidRDefault="00A65878" w:rsidP="00A65878">
            <w:pPr>
              <w:spacing w:before="120" w:after="120" w:line="340" w:lineRule="exact"/>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Mở rộng các quyền và trách nhiệm của tổ chức hành nghề đấu giá trong việc đấu giá tài sản thuộc sở hữu của tổ chức, cá nhân, qua đó, tiếp tục tạo điều kiện thuận lợi cho việc cung cấp dịch vụ đấu giá tài sản tự nguyện của đấu giá viên, tổ chức hành nghề đấu giá tài sản, phù hợp với thông lệ của các quốc gia trên thế giới.</w:t>
            </w:r>
          </w:p>
        </w:tc>
        <w:tc>
          <w:tcPr>
            <w:tcW w:w="7066" w:type="dxa"/>
          </w:tcPr>
          <w:p w:rsidR="0091655A" w:rsidRPr="00B84876" w:rsidRDefault="0091655A" w:rsidP="002D6DFA">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lastRenderedPageBreak/>
              <w:t xml:space="preserve">- Sửa đổi quy định về tiêu chuẩn đấu giá viên, bổ sung </w:t>
            </w:r>
            <w:r w:rsidR="007531DB" w:rsidRPr="00B84876">
              <w:rPr>
                <w:rFonts w:ascii="Times New Roman" w:eastAsia="Times New Roman" w:hAnsi="Times New Roman" w:cs="Times New Roman"/>
                <w:color w:val="auto"/>
                <w:sz w:val="28"/>
                <w:szCs w:val="28"/>
                <w:lang w:val="en-US"/>
              </w:rPr>
              <w:t xml:space="preserve">quyền và nghĩa vụ của đấu giá viên trong hoạt động hành nghề để tăng cường trách nhiệm trong bồi dưỡng chuyên môn, nghiệp vụ, đạo đức và kỹ năng hành nghề. </w:t>
            </w:r>
            <w:r w:rsidRPr="00B84876">
              <w:rPr>
                <w:rFonts w:ascii="Times New Roman" w:eastAsia="Times New Roman" w:hAnsi="Times New Roman" w:cs="Times New Roman"/>
                <w:color w:val="auto"/>
                <w:sz w:val="28"/>
                <w:szCs w:val="28"/>
                <w:lang w:val="en-US"/>
              </w:rPr>
              <w:t xml:space="preserve"> </w:t>
            </w:r>
          </w:p>
          <w:p w:rsidR="001D1A4E" w:rsidRPr="00B84876" w:rsidRDefault="00F27E12" w:rsidP="002D6DFA">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 </w:t>
            </w:r>
            <w:r w:rsidR="001D1A4E" w:rsidRPr="00B84876">
              <w:rPr>
                <w:rFonts w:ascii="Times New Roman" w:eastAsia="Times New Roman" w:hAnsi="Times New Roman" w:cs="Times New Roman"/>
                <w:color w:val="auto"/>
                <w:sz w:val="28"/>
                <w:szCs w:val="28"/>
                <w:lang w:val="en-US"/>
              </w:rPr>
              <w:t xml:space="preserve">Sửa đổi </w:t>
            </w:r>
            <w:r w:rsidR="002D6DFA" w:rsidRPr="00B84876">
              <w:rPr>
                <w:rFonts w:ascii="Times New Roman" w:eastAsia="Times New Roman" w:hAnsi="Times New Roman" w:cs="Times New Roman"/>
                <w:color w:val="auto"/>
                <w:sz w:val="28"/>
                <w:szCs w:val="28"/>
                <w:lang w:val="en-US"/>
              </w:rPr>
              <w:t>quy định cấp Chứng chỉ hành nghề đấu giá</w:t>
            </w:r>
            <w:r w:rsidR="001D1A4E" w:rsidRPr="00B84876">
              <w:rPr>
                <w:rFonts w:ascii="Times New Roman" w:eastAsia="Times New Roman" w:hAnsi="Times New Roman" w:cs="Times New Roman"/>
                <w:color w:val="auto"/>
                <w:sz w:val="28"/>
                <w:szCs w:val="28"/>
                <w:lang w:val="en-US"/>
              </w:rPr>
              <w:t xml:space="preserve"> theo hướng lược bỏ thành phần hồ sơ đề nghị cấp Chứng chỉ hành nghề đấu giá để đảm bảo đơn giản hoá thủ tục hành chính (bỏ Bản sao có chứng thực hoặc bản sao kèm theo bản chính để đối chiếu bằng tốt nghiệp từ đại học trở lên, bỏ quy định về cơ quan có thẩm quyền cấp Chứng chỉ hành nghề đấu giá có quyền yêu cầu cơ quan cấp Phiếu lý lịch tư pháp cấp Phiếu lý lịch tư pháp số 2 của người đề nghị cấp Chứng chỉ hành nghề đấu giá). </w:t>
            </w:r>
          </w:p>
          <w:p w:rsidR="00A65878" w:rsidRPr="00B84876" w:rsidRDefault="001D1A4E" w:rsidP="002D3173">
            <w:pPr>
              <w:spacing w:line="276" w:lineRule="auto"/>
              <w:jc w:val="both"/>
              <w:rPr>
                <w:rFonts w:ascii="Times New Roman" w:hAnsi="Times New Roman" w:cs="Times New Roman"/>
                <w:sz w:val="28"/>
                <w:szCs w:val="28"/>
                <w:lang w:val="de-DE"/>
              </w:rPr>
            </w:pPr>
            <w:r w:rsidRPr="00B84876">
              <w:rPr>
                <w:rFonts w:ascii="Times New Roman" w:eastAsia="Times New Roman" w:hAnsi="Times New Roman" w:cs="Times New Roman"/>
                <w:color w:val="auto"/>
                <w:sz w:val="28"/>
                <w:szCs w:val="28"/>
                <w:lang w:val="en-US"/>
              </w:rPr>
              <w:t>- Sửa đổi quy định</w:t>
            </w:r>
            <w:r w:rsidR="002D6DFA" w:rsidRPr="00B84876">
              <w:rPr>
                <w:rFonts w:ascii="Times New Roman" w:eastAsia="Times New Roman" w:hAnsi="Times New Roman" w:cs="Times New Roman"/>
                <w:color w:val="auto"/>
                <w:sz w:val="28"/>
                <w:szCs w:val="28"/>
                <w:lang w:val="en-US"/>
              </w:rPr>
              <w:t xml:space="preserve"> về việc cấp, thu hồi Chứng chỉ hành nghề đấu giá theo nguyên tắc chung </w:t>
            </w:r>
            <w:r w:rsidR="002D3173" w:rsidRPr="00B84876">
              <w:rPr>
                <w:rFonts w:ascii="Times New Roman" w:eastAsia="Times New Roman" w:hAnsi="Times New Roman" w:cs="Times New Roman"/>
                <w:color w:val="auto"/>
                <w:sz w:val="28"/>
                <w:szCs w:val="28"/>
                <w:lang w:val="en-US"/>
              </w:rPr>
              <w:t xml:space="preserve">là </w:t>
            </w:r>
            <w:r w:rsidRPr="00B84876">
              <w:rPr>
                <w:rFonts w:ascii="Times New Roman" w:eastAsia="Times New Roman" w:hAnsi="Times New Roman" w:cs="Times New Roman"/>
                <w:color w:val="auto"/>
                <w:sz w:val="28"/>
                <w:szCs w:val="28"/>
                <w:lang w:val="en-US"/>
              </w:rPr>
              <w:t xml:space="preserve">thẩm quyền </w:t>
            </w:r>
            <w:r w:rsidR="002D3173" w:rsidRPr="00B84876">
              <w:rPr>
                <w:rFonts w:ascii="Times New Roman" w:eastAsia="Times New Roman" w:hAnsi="Times New Roman" w:cs="Times New Roman"/>
                <w:color w:val="auto"/>
                <w:sz w:val="28"/>
                <w:szCs w:val="28"/>
                <w:lang w:val="en-US"/>
              </w:rPr>
              <w:t xml:space="preserve">cấp, thu hồi </w:t>
            </w:r>
            <w:r w:rsidR="002D3173" w:rsidRPr="00B84876">
              <w:rPr>
                <w:rFonts w:ascii="Times New Roman" w:eastAsia="Times New Roman" w:hAnsi="Times New Roman" w:cs="Times New Roman"/>
                <w:color w:val="auto"/>
                <w:sz w:val="28"/>
                <w:szCs w:val="28"/>
                <w:lang w:val="en-US"/>
              </w:rPr>
              <w:lastRenderedPageBreak/>
              <w:t>thuộc về</w:t>
            </w:r>
            <w:r w:rsidRPr="00B84876">
              <w:rPr>
                <w:rFonts w:ascii="Times New Roman" w:eastAsia="Times New Roman" w:hAnsi="Times New Roman" w:cs="Times New Roman"/>
                <w:color w:val="auto"/>
                <w:sz w:val="28"/>
                <w:szCs w:val="28"/>
                <w:lang w:val="en-US"/>
              </w:rPr>
              <w:t xml:space="preserve"> Giám đốc Sở Tư pháp các tỉnh, thành phố</w:t>
            </w:r>
            <w:r w:rsidR="002D3173" w:rsidRPr="00B84876">
              <w:rPr>
                <w:rFonts w:ascii="Times New Roman" w:eastAsia="Times New Roman" w:hAnsi="Times New Roman" w:cs="Times New Roman"/>
                <w:color w:val="auto"/>
                <w:sz w:val="28"/>
                <w:szCs w:val="28"/>
                <w:lang w:val="en-US"/>
              </w:rPr>
              <w:t xml:space="preserve"> để đảm bảo tính sâu sát với thực tiễn và nhanh chóng, kịp thời trong giải quyết TTHC, đồng thời, </w:t>
            </w:r>
            <w:r w:rsidR="002D3173" w:rsidRPr="00B84876">
              <w:rPr>
                <w:rFonts w:ascii="Times New Roman" w:hAnsi="Times New Roman" w:cs="Times New Roman"/>
                <w:sz w:val="28"/>
                <w:szCs w:val="28"/>
                <w:lang w:val="de-DE"/>
              </w:rPr>
              <w:t xml:space="preserve">giao Chính phủ quy định chi tiết vấn đề này. </w:t>
            </w:r>
          </w:p>
          <w:p w:rsidR="002A0C7B" w:rsidRPr="00B84876" w:rsidRDefault="002A0C7B" w:rsidP="00466E79">
            <w:pPr>
              <w:spacing w:line="276" w:lineRule="auto"/>
              <w:jc w:val="both"/>
              <w:rPr>
                <w:rFonts w:ascii="Times New Roman" w:hAnsi="Times New Roman" w:cs="Times New Roman"/>
                <w:sz w:val="28"/>
                <w:szCs w:val="28"/>
                <w:lang w:val="de-DE"/>
              </w:rPr>
            </w:pPr>
            <w:r w:rsidRPr="00B84876">
              <w:rPr>
                <w:rFonts w:ascii="Times New Roman" w:hAnsi="Times New Roman" w:cs="Times New Roman"/>
                <w:sz w:val="28"/>
                <w:szCs w:val="28"/>
                <w:lang w:val="de-DE"/>
              </w:rPr>
              <w:t xml:space="preserve">- Tiếp tục đơn giản hoá các điều kiện thành lập doanh nghiệp đấu giá tài sản, hướng mạnh sang cơ chế hậu kiểm và giao Chính phủ quy định chi tiết để đảm bảo tính linh hoạt trong thi hành. </w:t>
            </w:r>
          </w:p>
          <w:p w:rsidR="007531DB" w:rsidRPr="00B84876" w:rsidRDefault="007531DB" w:rsidP="00466E79">
            <w:pPr>
              <w:spacing w:line="276" w:lineRule="auto"/>
              <w:jc w:val="both"/>
              <w:rPr>
                <w:rFonts w:ascii="Times New Roman" w:hAnsi="Times New Roman" w:cs="Times New Roman"/>
                <w:sz w:val="28"/>
                <w:szCs w:val="28"/>
                <w:lang w:val="de-DE"/>
              </w:rPr>
            </w:pPr>
            <w:r w:rsidRPr="00B84876">
              <w:rPr>
                <w:rFonts w:ascii="Times New Roman" w:hAnsi="Times New Roman" w:cs="Times New Roman"/>
                <w:sz w:val="28"/>
                <w:szCs w:val="28"/>
                <w:lang w:val="de-DE"/>
              </w:rPr>
              <w:t xml:space="preserve">- </w:t>
            </w:r>
            <w:r w:rsidR="006F3E8D" w:rsidRPr="00B84876">
              <w:rPr>
                <w:rFonts w:ascii="Times New Roman" w:hAnsi="Times New Roman" w:cs="Times New Roman"/>
                <w:sz w:val="28"/>
                <w:szCs w:val="28"/>
                <w:lang w:val="de-DE"/>
              </w:rPr>
              <w:t>Sửa đổi quy định về chi nhánh của doanh nghiệp đấu giá tài sản theo hướng bổ sung quy định một đấu giá viên chỉ được làm Trưởng của một chi nhánh doanh nghiệp đấu giá tài sản để</w:t>
            </w:r>
            <w:r w:rsidR="00E1481E" w:rsidRPr="00B84876">
              <w:rPr>
                <w:rFonts w:ascii="Times New Roman" w:hAnsi="Times New Roman" w:cs="Times New Roman"/>
                <w:sz w:val="28"/>
                <w:szCs w:val="28"/>
                <w:lang w:val="de-DE"/>
              </w:rPr>
              <w:t xml:space="preserve"> tăng cường trách nhiệm, tính thực chất và chuyên nghiệp trong hoạt động hành nghề cũng như công tác quản lý điều hành hoạt động của chi nhánh, tránh tình trạng đánh trống ghi tên. </w:t>
            </w:r>
          </w:p>
          <w:p w:rsidR="00BC379A" w:rsidRPr="00B84876" w:rsidRDefault="00BC379A" w:rsidP="00BC379A">
            <w:pPr>
              <w:spacing w:line="276" w:lineRule="auto"/>
              <w:jc w:val="both"/>
              <w:rPr>
                <w:rFonts w:ascii="Times New Roman" w:hAnsi="Times New Roman" w:cs="Times New Roman"/>
                <w:sz w:val="28"/>
                <w:szCs w:val="28"/>
                <w:lang w:val="de-DE"/>
              </w:rPr>
            </w:pPr>
            <w:r w:rsidRPr="00B84876">
              <w:rPr>
                <w:rFonts w:ascii="Times New Roman" w:hAnsi="Times New Roman" w:cs="Times New Roman"/>
                <w:sz w:val="28"/>
                <w:szCs w:val="28"/>
                <w:lang w:val="de-DE"/>
              </w:rPr>
              <w:t>- Sửa đổi quy định về quyền và nghĩa vụ của tổ chức hành nghề đấu giá tài sản theo hướng bổ sung quy định cho phép tổ chức hành nghề đấu giá hợp tác với các đối tác nước ngoài có nhu cầu phối hợp tổ chức phiên đấu giá tài sản tự nguyện, được lựa chọn trình tự, thủ tục đấu giá tài sản trên cơ sở tuân thủ pháp luật Việt Nam và các điều ước quốc tế mà Việt Nam là thành viên.</w:t>
            </w:r>
          </w:p>
        </w:tc>
      </w:tr>
      <w:tr w:rsidR="00A65878" w:rsidRPr="00B84876" w:rsidTr="0050533F">
        <w:trPr>
          <w:jc w:val="center"/>
        </w:trPr>
        <w:tc>
          <w:tcPr>
            <w:tcW w:w="746" w:type="dxa"/>
          </w:tcPr>
          <w:p w:rsidR="00A65878" w:rsidRPr="00B84876" w:rsidRDefault="00244946" w:rsidP="00A65878">
            <w:pPr>
              <w:spacing w:line="276" w:lineRule="auto"/>
              <w:jc w:val="center"/>
              <w:rPr>
                <w:rFonts w:ascii="Times New Roman" w:eastAsia="Times New Roman" w:hAnsi="Times New Roman" w:cs="Times New Roman"/>
                <w:b/>
                <w:color w:val="auto"/>
                <w:sz w:val="28"/>
                <w:szCs w:val="28"/>
                <w:lang w:val="en-US"/>
              </w:rPr>
            </w:pPr>
            <w:r w:rsidRPr="00B84876">
              <w:rPr>
                <w:rFonts w:ascii="Times New Roman" w:eastAsia="Times New Roman" w:hAnsi="Times New Roman" w:cs="Times New Roman"/>
                <w:b/>
                <w:color w:val="auto"/>
                <w:sz w:val="28"/>
                <w:szCs w:val="28"/>
                <w:lang w:val="en-US"/>
              </w:rPr>
              <w:lastRenderedPageBreak/>
              <w:t>2</w:t>
            </w:r>
          </w:p>
        </w:tc>
        <w:tc>
          <w:tcPr>
            <w:tcW w:w="2935" w:type="dxa"/>
          </w:tcPr>
          <w:p w:rsidR="00A65878" w:rsidRPr="00B84876" w:rsidRDefault="00244946" w:rsidP="00244946">
            <w:pPr>
              <w:spacing w:line="276" w:lineRule="auto"/>
              <w:jc w:val="both"/>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Hoàn thiện các quy định về trình tự, thủ tục đấu giá tài sản để phù hợp với thực tiễn, đảm bảo chặt chẽ, công khai, minh bạch, thống nhất; tiếp tục ứng dụng mạnh mẽ công nghệ thông tin trong hoạt động đấu giá tài sản góp phần nâng cao chất lượng, hiệu quả hoạt động đấu giá, tránh tình trạng tiêu cực, gây thất thoát tài sản</w:t>
            </w:r>
          </w:p>
        </w:tc>
        <w:tc>
          <w:tcPr>
            <w:tcW w:w="4678" w:type="dxa"/>
          </w:tcPr>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Quy định đầy đủ, rõ ràng, chặt chẽ cách thức, trình tự, thủ tục niêm yết, thông báo công khai việc đấu giá tài sản, tiếp nhận hồ sơ, thời gian nộp hồ sơ đăng ký tham gia đấu giá và nộp tiền đặt trước... để đảm bảo tính đồng bộ, khả thi trong việc thẩm tra hồ sơ, xác định năng lực, điều kiện của người tham gia đấu giá; số hoá các thông tin, dữ liệu về các cuộc đấu giá tài sản trên Cổng Đấu giá tài sản quốc gia; từng bước xây dựng cơ sở dữ liệu đầy đủ về các cuộc đấu giá trong cả nước.</w:t>
            </w:r>
          </w:p>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xml:space="preserve">- Quy định nguyên tắc xác định tiền đặt trước phù hợp với các loại tài sản, góp phần khắc phục tình trạng trả giá cao rồi bỏ cọc, nhằm mục đích cố tình phá cuộc đấu giá hoặc “thổi giá”, tạo mặt bằng giá ảo để thao túng thị trường và trục lợi đã xảy ra trong thời gian qua, đồng thời, phù hợp với quy định của Nghị quyết số 66.11/2026/NQ-CP ngày 06/01/2026 </w:t>
            </w:r>
            <w:r w:rsidRPr="00B84876">
              <w:rPr>
                <w:rFonts w:ascii="Times New Roman" w:eastAsia="Times New Roman" w:hAnsi="Times New Roman" w:cs="Times New Roman"/>
                <w:color w:val="auto"/>
                <w:sz w:val="28"/>
                <w:szCs w:val="28"/>
              </w:rPr>
              <w:lastRenderedPageBreak/>
              <w:t>của Chính phủ quy định xử lý khó khăn, vướng mắc trong hoạt động đấu giá quyền sử dụng đất theo quy định của Luật Đất đai; quy định các trường hợp mất tiền đặt trước khi tham gia cuộc đấu giá mà gây mất trật tự cuộc đấu như trả dưới giá khởi điểm, không trả giá… để ngăn chặn tình trạng lợi dụng hoạt động đấu giá tài sản để trục lợi.</w:t>
            </w:r>
          </w:p>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Quy định rõ ràng, chặt chẽ các hình thức đấu giá: đấu giá bằng bỏ phiếu gián tiếp, đấu giá bằng hình thức bỏ phiếu trực tuyến, đấu giá trực tuyến đảm bảo dự liệu đầy đủ các tình huống xảy ra trên thực tiễn, ngăn chặn, xử lý các hành vi tiêu cực trong quá trình tổ chức đấu giá.</w:t>
            </w:r>
          </w:p>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xml:space="preserve">- Chuẩn hoá mô hình đấu giá trực tuyến toàn trình (từ niêm yết, thông báo công khai, bán, tiếp nhận hồ sơ tham gia đấu giá, đảm bảo chặt chẽ, khách quan, công khai, minh bạch) với các yêu cầu chặt chẽ về hạ tầng công nghệ và cơ chế giám </w:t>
            </w:r>
            <w:r w:rsidRPr="00B84876">
              <w:rPr>
                <w:rFonts w:ascii="Times New Roman" w:eastAsia="Times New Roman" w:hAnsi="Times New Roman" w:cs="Times New Roman"/>
                <w:color w:val="auto"/>
                <w:sz w:val="28"/>
                <w:szCs w:val="28"/>
              </w:rPr>
              <w:lastRenderedPageBreak/>
              <w:t>sát cụ thể.</w:t>
            </w:r>
          </w:p>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xml:space="preserve">- Phân định rõ trình tự, thủ tục chung và trình tự thủ tục riêng đối với các nhóm tài sản đặc thù, bảo đảm tính thống nhất nhưng không chồng chéo. </w:t>
            </w:r>
          </w:p>
          <w:p w:rsidR="00D22D41"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xml:space="preserve">- Quy định trình tự, thủ tục rút gọn theo hướng đơn giản, thuận lợi hơn đối với một số tài sản đấu giá có giá trị nhỏ để tăng hiệu quả xử lý tài sản. </w:t>
            </w:r>
          </w:p>
          <w:p w:rsidR="00A65878" w:rsidRPr="00B84876" w:rsidRDefault="00D22D41" w:rsidP="00D22D41">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Quy định đầy đủ, cụ thể hơn về trình tự, thủ tục đấu giá tài sản thuộc sở hữu của tổ chức, cá nhân để tạo cơ sở pháp lý đầy đủ, đồng bộ, thúc đẩy, phát triển việc đấu giá tài sản tự nguyện, bảo đảm phù hợp với thông lệ quốc tế.</w:t>
            </w:r>
          </w:p>
        </w:tc>
        <w:tc>
          <w:tcPr>
            <w:tcW w:w="7066" w:type="dxa"/>
          </w:tcPr>
          <w:p w:rsidR="00A65878" w:rsidRPr="00B84876" w:rsidRDefault="005759F8" w:rsidP="005759F8">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lastRenderedPageBreak/>
              <w:t>- Sửa đổi quy định về Quy chế cuộc đấu giá theo hướng quy định cụ thể, chặt chẽ hơn các nội dung của Quy chế cuộc đấu giá, trong đó bổ sung quy định người tham gia đấu giá bắt buộc phải trả giá để ngăn chặn tình trạng người tham gia đấu giá không có nhu cầu mua tài sản, cò mồi, lợi dụng tham gia cuộc đấu giá để trục lợi.</w:t>
            </w:r>
          </w:p>
          <w:p w:rsidR="005759F8" w:rsidRPr="00B84876" w:rsidRDefault="005759F8" w:rsidP="005759F8">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Sửa đổi quy định về niêm yết việc đấu giá theo hướng quy định rõ ràng, minh bạch các địa điểm niêm yết việc đấu giá đảm bảo thực chất, hiệu quả trong việc phổ biến thông tin đấu giá và thuận lợi cho người dân trong việc tiếp cận thông tin.</w:t>
            </w:r>
          </w:p>
          <w:p w:rsidR="00243348" w:rsidRPr="00B84876" w:rsidRDefault="00243348" w:rsidP="00243348">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Sửa đổi quy định về thay đổi địa điểm tổ chức phiên đấu giá để phù hợp với việc tổ chức chính quyền địa phương 02 cấp.</w:t>
            </w:r>
          </w:p>
          <w:p w:rsidR="00243348" w:rsidRPr="00B84876" w:rsidRDefault="00243348" w:rsidP="00243348">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Sửa đổi quy định về đăng ký tham gia đấu giá theo hướng bổ sung hình thức đăng ký tham gia đấu giá qua trang thông tin điện tử của tổ chức hành nghề đấu giá tài sản và cách thức thực hiện; bổ sung các trường hợp không được đăng ký tham gia đấu giá.</w:t>
            </w:r>
          </w:p>
          <w:p w:rsidR="00243348" w:rsidRPr="00B84876" w:rsidRDefault="00243348" w:rsidP="00243348">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 Sửa đổi quy định về tiền đặt trước tham gia đấu giá theo hướng nâng mức tiền đặt trước tham gia đấu giá phù hợp đối với các loại tài sản đấu giá, trong đó nâng mức tiền đặt trước đối với quyền sử dụng đất trong trường hợp nhà nước giao đất ở cho cá nhân để phù hợp với quy định của Nghị quyết số </w:t>
            </w:r>
            <w:r w:rsidRPr="00B84876">
              <w:rPr>
                <w:rFonts w:ascii="Times New Roman" w:eastAsia="Times New Roman" w:hAnsi="Times New Roman" w:cs="Times New Roman"/>
                <w:color w:val="auto"/>
                <w:sz w:val="28"/>
                <w:szCs w:val="28"/>
                <w:lang w:val="en-US"/>
              </w:rPr>
              <w:lastRenderedPageBreak/>
              <w:t>66.11/2026/NQ-CP của Chính phủ; bổ sung trường hợp người tham gia đấu giá không được nhận lại tiền đặt trước trong trường hợp trả giá dưới giá khởi điểm trong trường hợp công khai giá khởi điểm; không trả giá trong trường hợp đấu giá bằng hình thức bỏ phiếu trực tiếp tại cuộc đấu giá hoặc hình thức bỏ phiếu gián tiếp.</w:t>
            </w:r>
          </w:p>
          <w:p w:rsidR="00243348" w:rsidRPr="00B84876" w:rsidRDefault="00243348" w:rsidP="00691C6A">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 </w:t>
            </w:r>
            <w:r w:rsidR="00691C6A" w:rsidRPr="00B84876">
              <w:rPr>
                <w:rFonts w:ascii="Times New Roman" w:eastAsia="Times New Roman" w:hAnsi="Times New Roman" w:cs="Times New Roman"/>
                <w:color w:val="auto"/>
                <w:sz w:val="28"/>
                <w:szCs w:val="28"/>
                <w:lang w:val="en-US"/>
              </w:rPr>
              <w:t>Sửa đổi, bổ sung quy định đấu giá bằng bỏ phiếu gián tiếp theo hướng b</w:t>
            </w:r>
            <w:r w:rsidRPr="00B84876">
              <w:rPr>
                <w:rFonts w:ascii="Times New Roman" w:eastAsia="Times New Roman" w:hAnsi="Times New Roman" w:cs="Times New Roman"/>
                <w:color w:val="auto"/>
                <w:sz w:val="28"/>
                <w:szCs w:val="28"/>
                <w:lang w:val="en-US"/>
              </w:rPr>
              <w:t xml:space="preserve">ổ sung quy định cụ thể về thời hạn nhận phiếu trả giá trong trường hợp đấu giá bằng bỏ phiếu gián </w:t>
            </w:r>
            <w:r w:rsidR="00691C6A" w:rsidRPr="00B84876">
              <w:rPr>
                <w:rFonts w:ascii="Times New Roman" w:eastAsia="Times New Roman" w:hAnsi="Times New Roman" w:cs="Times New Roman"/>
                <w:color w:val="auto"/>
                <w:sz w:val="28"/>
                <w:szCs w:val="28"/>
                <w:lang w:val="en-US"/>
              </w:rPr>
              <w:t>tiếp; b</w:t>
            </w:r>
            <w:r w:rsidRPr="00B84876">
              <w:rPr>
                <w:rFonts w:ascii="Times New Roman" w:eastAsia="Times New Roman" w:hAnsi="Times New Roman" w:cs="Times New Roman"/>
                <w:color w:val="auto"/>
                <w:sz w:val="28"/>
                <w:szCs w:val="28"/>
                <w:lang w:val="en-US"/>
              </w:rPr>
              <w:t>ổ sung quy định người có tài sản và tổ chức đấu giá tài sản thỏa thuận việc áp dụng hình thức đấu giá bỏ phiếu gián tiếp hoặc kết hợp hình thức đấu giá bằng bỏ phiếu gián tiếp với hình thức đấu giá trực tiếp bằng lời nói hoặc bỏ phiếu trực tiếp tại cuộc đấu giá.</w:t>
            </w:r>
          </w:p>
          <w:p w:rsidR="00C65569" w:rsidRPr="00B84876" w:rsidRDefault="00C65569" w:rsidP="005E008E">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 Sửa đổi quy định về đấu giá trực tuyến theo hướng quy định việc đấu giá trực tuyến thực hiện trên Sàn đấu giá tài sản công do Bộ Công an xây dựng hoặc trang thông tin đấu giá trực tuyến của các tổ chức hành nghề đấu giá tài sản; việc thuê, sử dụng Sàn đấu giá tài sản công và trang thông tin đấu giá trực tuyến của các tổ </w:t>
            </w:r>
            <w:r w:rsidR="008D4509" w:rsidRPr="00B84876">
              <w:rPr>
                <w:rFonts w:ascii="Times New Roman" w:eastAsia="Times New Roman" w:hAnsi="Times New Roman" w:cs="Times New Roman"/>
                <w:color w:val="auto"/>
                <w:sz w:val="28"/>
                <w:szCs w:val="28"/>
                <w:lang w:val="en-US"/>
              </w:rPr>
              <w:t>chức hành nghề đấu giá tài sản; b</w:t>
            </w:r>
            <w:r w:rsidRPr="00B84876">
              <w:rPr>
                <w:rFonts w:ascii="Times New Roman" w:eastAsia="Times New Roman" w:hAnsi="Times New Roman" w:cs="Times New Roman"/>
                <w:color w:val="auto"/>
                <w:sz w:val="28"/>
                <w:szCs w:val="28"/>
                <w:lang w:val="en-US"/>
              </w:rPr>
              <w:t xml:space="preserve">ổ sung quy định quy định cụ thể về yêu cầu kỹ thuật, lộ trình thực hiện và chính sách hỗ trợ để Cổng đấu giá tài sản quốc gia và các </w:t>
            </w:r>
            <w:r w:rsidRPr="00B84876">
              <w:rPr>
                <w:rFonts w:ascii="Times New Roman" w:eastAsia="Times New Roman" w:hAnsi="Times New Roman" w:cs="Times New Roman"/>
                <w:color w:val="auto"/>
                <w:sz w:val="28"/>
                <w:szCs w:val="28"/>
                <w:lang w:val="en-US"/>
              </w:rPr>
              <w:lastRenderedPageBreak/>
              <w:t>Trang thông tin đấu giá trực tuyến được đảm bảo trong việc kết nối, tích hợp, chia sẻ dữ liệu và đạt cấp độ an toàn thông tin theo quy định của pháp luật về bảo đảm an toàn</w:t>
            </w:r>
            <w:r w:rsidR="008D4509" w:rsidRPr="00B84876">
              <w:rPr>
                <w:rFonts w:ascii="Times New Roman" w:eastAsia="Times New Roman" w:hAnsi="Times New Roman" w:cs="Times New Roman"/>
                <w:color w:val="auto"/>
                <w:sz w:val="28"/>
                <w:szCs w:val="28"/>
                <w:lang w:val="en-US"/>
              </w:rPr>
              <w:t xml:space="preserve"> hệ thống thông tin theo cấp độ; </w:t>
            </w:r>
            <w:r w:rsidR="005E008E" w:rsidRPr="00B84876">
              <w:rPr>
                <w:rFonts w:ascii="Times New Roman" w:eastAsia="Times New Roman" w:hAnsi="Times New Roman" w:cs="Times New Roman"/>
                <w:color w:val="auto"/>
                <w:sz w:val="28"/>
                <w:szCs w:val="28"/>
                <w:lang w:val="en-US"/>
              </w:rPr>
              <w:t xml:space="preserve">quy định rõ ràng, đầy đủ, cụ thể trình tự, thủ tục đấu giá trực tuyến toàn trình trên môi trường điện từ việc đăng ký tham gia đấu giá, xem tài sản, trả giá và các thủ tục khác có liên quan; bổ sung trách nhiệm số hoá các thông tin, dữ liệu của cuộc đấu giá trên Cổng Đấu giá tài sản quốc gia; </w:t>
            </w:r>
            <w:r w:rsidR="008D4509" w:rsidRPr="00B84876">
              <w:rPr>
                <w:rFonts w:ascii="Times New Roman" w:eastAsia="Times New Roman" w:hAnsi="Times New Roman" w:cs="Times New Roman"/>
                <w:color w:val="auto"/>
                <w:sz w:val="28"/>
                <w:szCs w:val="28"/>
                <w:lang w:val="en-US"/>
              </w:rPr>
              <w:t>bổ s</w:t>
            </w:r>
            <w:r w:rsidRPr="00B84876">
              <w:rPr>
                <w:rFonts w:ascii="Times New Roman" w:eastAsia="Times New Roman" w:hAnsi="Times New Roman" w:cs="Times New Roman"/>
                <w:color w:val="auto"/>
                <w:sz w:val="28"/>
                <w:szCs w:val="28"/>
                <w:lang w:val="en-US"/>
              </w:rPr>
              <w:t xml:space="preserve">ung quy định về việc công </w:t>
            </w:r>
            <w:r w:rsidR="008D4509" w:rsidRPr="00B84876">
              <w:rPr>
                <w:rFonts w:ascii="Times New Roman" w:eastAsia="Times New Roman" w:hAnsi="Times New Roman" w:cs="Times New Roman"/>
                <w:color w:val="auto"/>
                <w:sz w:val="28"/>
                <w:szCs w:val="28"/>
                <w:lang w:val="en-US"/>
              </w:rPr>
              <w:t xml:space="preserve">khai kết quả đấu giá trực tuyến để đảm bảo tính minh bạch, khách quan. </w:t>
            </w:r>
          </w:p>
          <w:p w:rsidR="00185D0E" w:rsidRPr="00B84876" w:rsidRDefault="005E008E" w:rsidP="00185D0E">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 </w:t>
            </w:r>
            <w:r w:rsidR="00185D0E" w:rsidRPr="00B84876">
              <w:rPr>
                <w:rFonts w:ascii="Times New Roman" w:eastAsia="Times New Roman" w:hAnsi="Times New Roman" w:cs="Times New Roman"/>
                <w:color w:val="auto"/>
                <w:sz w:val="28"/>
                <w:szCs w:val="28"/>
                <w:lang w:val="en-US"/>
              </w:rPr>
              <w:t>Đấu giá theo thủ tục rút gọn</w:t>
            </w:r>
          </w:p>
          <w:p w:rsidR="008D4509" w:rsidRPr="00B84876" w:rsidRDefault="00185D0E" w:rsidP="00185D0E">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xml:space="preserve">Sửa đổi quy định về đấu giá theo thủ tục rút gọn theo hướng bổ sung trường hợp đấu giá tài sản theo thủ tục rút gọn để đảm bảo </w:t>
            </w:r>
            <w:r w:rsidR="005F4C25" w:rsidRPr="00B84876">
              <w:rPr>
                <w:rFonts w:ascii="Times New Roman" w:eastAsia="Times New Roman" w:hAnsi="Times New Roman" w:cs="Times New Roman"/>
                <w:color w:val="auto"/>
                <w:sz w:val="28"/>
                <w:szCs w:val="28"/>
                <w:lang w:val="en-US"/>
              </w:rPr>
              <w:t xml:space="preserve">tính khả thi, phù hợp với tính chất của </w:t>
            </w:r>
            <w:r w:rsidRPr="00B84876">
              <w:rPr>
                <w:rFonts w:ascii="Times New Roman" w:eastAsia="Times New Roman" w:hAnsi="Times New Roman" w:cs="Times New Roman"/>
                <w:color w:val="auto"/>
                <w:sz w:val="28"/>
                <w:szCs w:val="28"/>
                <w:lang w:val="en-US"/>
              </w:rPr>
              <w:t>tài sản</w:t>
            </w:r>
            <w:r w:rsidR="005F4C25" w:rsidRPr="00B84876">
              <w:rPr>
                <w:rFonts w:ascii="Times New Roman" w:eastAsia="Times New Roman" w:hAnsi="Times New Roman" w:cs="Times New Roman"/>
                <w:color w:val="auto"/>
                <w:sz w:val="28"/>
                <w:szCs w:val="28"/>
                <w:lang w:val="en-US"/>
              </w:rPr>
              <w:t xml:space="preserve"> đưa ra đấu giá. </w:t>
            </w:r>
          </w:p>
          <w:p w:rsidR="008A0C1F" w:rsidRPr="00B84876" w:rsidRDefault="00D221CE" w:rsidP="00D221CE">
            <w:pPr>
              <w:spacing w:line="276" w:lineRule="auto"/>
              <w:jc w:val="both"/>
              <w:rPr>
                <w:rFonts w:ascii="Times New Roman" w:eastAsia="Times New Roman" w:hAnsi="Times New Roman" w:cs="Times New Roman"/>
                <w:color w:val="auto"/>
                <w:sz w:val="28"/>
                <w:szCs w:val="28"/>
                <w:lang w:val="en-US"/>
              </w:rPr>
            </w:pPr>
            <w:r w:rsidRPr="00B84876">
              <w:rPr>
                <w:rFonts w:ascii="Times New Roman" w:eastAsia="Times New Roman" w:hAnsi="Times New Roman" w:cs="Times New Roman"/>
                <w:color w:val="auto"/>
                <w:sz w:val="28"/>
                <w:szCs w:val="28"/>
                <w:lang w:val="en-US"/>
              </w:rPr>
              <w:t>- Sửa đổi quy định về thông báo công khai việc đấu giá tài sản theo hướng bỏ quy định về việc đăng báo in hoặc báo hình, đồng thời, quy định tất cả tài sản đấu giá phải thông báo công khai trê</w:t>
            </w:r>
            <w:r w:rsidR="008A0C1F" w:rsidRPr="00B84876">
              <w:rPr>
                <w:rFonts w:ascii="Times New Roman" w:eastAsia="Times New Roman" w:hAnsi="Times New Roman" w:cs="Times New Roman"/>
                <w:color w:val="auto"/>
                <w:sz w:val="28"/>
                <w:szCs w:val="28"/>
                <w:lang w:val="en-US"/>
              </w:rPr>
              <w:t>n Cổng Đấu giá tài sản quốc gia.</w:t>
            </w:r>
          </w:p>
          <w:p w:rsidR="008D4509" w:rsidRPr="00B84876" w:rsidRDefault="008A0C1F" w:rsidP="008A0C1F">
            <w:pPr>
              <w:spacing w:line="276" w:lineRule="auto"/>
              <w:jc w:val="both"/>
              <w:rPr>
                <w:rFonts w:ascii="Times New Roman" w:hAnsi="Times New Roman" w:cs="Times New Roman"/>
                <w:sz w:val="28"/>
                <w:szCs w:val="28"/>
              </w:rPr>
            </w:pPr>
            <w:r w:rsidRPr="00B84876">
              <w:rPr>
                <w:rFonts w:ascii="Times New Roman" w:eastAsia="Times New Roman" w:hAnsi="Times New Roman" w:cs="Times New Roman"/>
                <w:color w:val="auto"/>
                <w:sz w:val="28"/>
                <w:szCs w:val="28"/>
                <w:lang w:val="en-US"/>
              </w:rPr>
              <w:t xml:space="preserve">- Sửa đổi, bổ sung các quy định cụ thể về việc bán hồ sơ mời tham gia đấu giá, tiếp nhận hồ sơ tham gia đấu giá trong trường hợp tổ chức mà Nhà nước sở hữu 100% vốn điều lệ do </w:t>
            </w:r>
            <w:r w:rsidRPr="00B84876">
              <w:rPr>
                <w:rFonts w:ascii="Times New Roman" w:eastAsia="Times New Roman" w:hAnsi="Times New Roman" w:cs="Times New Roman"/>
                <w:color w:val="auto"/>
                <w:sz w:val="28"/>
                <w:szCs w:val="28"/>
                <w:lang w:val="en-US"/>
              </w:rPr>
              <w:lastRenderedPageBreak/>
              <w:t>Ngân hàng Nhà nước Việt Nam thành lập để xử lý nợ xấu của tổ chức tín dụng (VAMC) tổ chức đấu giá tài sản để đảm bảo tính tương thích về trình tự, thủ tục đấu giá nói chung cũng như có tính đến tính đặc thù trong tổ chức và hoạt động của VAMC.</w:t>
            </w:r>
          </w:p>
        </w:tc>
      </w:tr>
      <w:tr w:rsidR="00A65878" w:rsidRPr="00B84876" w:rsidTr="0050533F">
        <w:trPr>
          <w:jc w:val="center"/>
        </w:trPr>
        <w:tc>
          <w:tcPr>
            <w:tcW w:w="746" w:type="dxa"/>
          </w:tcPr>
          <w:p w:rsidR="00A65878" w:rsidRPr="00B84876" w:rsidRDefault="00B84876" w:rsidP="00A65878">
            <w:pPr>
              <w:spacing w:line="276" w:lineRule="auto"/>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lastRenderedPageBreak/>
              <w:t>3</w:t>
            </w:r>
          </w:p>
        </w:tc>
        <w:tc>
          <w:tcPr>
            <w:tcW w:w="2935" w:type="dxa"/>
          </w:tcPr>
          <w:p w:rsidR="00A65878" w:rsidRPr="00B84876" w:rsidRDefault="00792ECE" w:rsidP="00792ECE">
            <w:pPr>
              <w:spacing w:line="276" w:lineRule="auto"/>
              <w:jc w:val="both"/>
              <w:rPr>
                <w:rFonts w:ascii="Times New Roman" w:eastAsia="Times New Roman" w:hAnsi="Times New Roman" w:cs="Times New Roman"/>
                <w:b/>
                <w:color w:val="auto"/>
                <w:sz w:val="28"/>
                <w:szCs w:val="28"/>
              </w:rPr>
            </w:pPr>
            <w:r w:rsidRPr="00B84876">
              <w:rPr>
                <w:rFonts w:ascii="Times New Roman" w:eastAsia="Times New Roman" w:hAnsi="Times New Roman" w:cs="Times New Roman"/>
                <w:b/>
                <w:color w:val="auto"/>
                <w:sz w:val="28"/>
                <w:szCs w:val="28"/>
              </w:rPr>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tc>
        <w:tc>
          <w:tcPr>
            <w:tcW w:w="4678" w:type="dxa"/>
          </w:tcPr>
          <w:p w:rsidR="00792ECE" w:rsidRPr="00B84876" w:rsidRDefault="00792ECE" w:rsidP="00792ECE">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Thực hiện phân cấp, phân quyền tối đa nhiệm vụ quản lý nhà nước cho địa phương, chuẩn hóa quy trình dịch vụ công, minh bạch điều kiện kinh doanh, đơn giản hóa thủ tục hành chính.</w:t>
            </w:r>
          </w:p>
          <w:p w:rsidR="00792ECE" w:rsidRPr="00B84876" w:rsidRDefault="00792ECE" w:rsidP="00792ECE">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Quy định chức năng của Cổng Đấu giá tài sản quốc gia do Bộ Tư pháp quản lý, vận hành để đăng thông báo đấu giá theo quy định của Luật Đấu giá tài sản; còn việc vận hành, quản lý nền tảng đấu giá trực tuyến của Sàn đấu giá tài sản công do Bộ Công an thực hiện (được kết nối tích hợp vào Cổng Đấu giá tài sản quốc gia) bảo đảm phù hợp với các Thông báo kết luận của Thủ tướng Chính phủ liên quan đến việc triển khai thực hiện Đề án 06.</w:t>
            </w:r>
          </w:p>
          <w:p w:rsidR="00792ECE" w:rsidRPr="00B84876" w:rsidRDefault="00792ECE" w:rsidP="00792ECE">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lastRenderedPageBreak/>
              <w:t>- Quy định rõ ràng, chặt chẽ hơn trách nhiệm và chế tài xử lý đủ mạnh đối với hành vi thông đồng, dìm giá và các hành vi vi phạm khác, nhất là đối với người tham gia đấu giá trong việc vi phạm nghĩa vụ nộp tiền trúng đấu giá phù hợp với quy định của Nghị quyết số 66.11/2026/NQ-CP ngày 06/01/2026 của Chính phủ quy định xử lý khó khăn, vướng mắc trong hoạt động đấu giá quyền sử dụng đất theo quy định của Luật Đất đai.</w:t>
            </w:r>
          </w:p>
          <w:p w:rsidR="00A65878" w:rsidRPr="00B84876" w:rsidRDefault="00792ECE" w:rsidP="00792ECE">
            <w:pPr>
              <w:spacing w:line="276" w:lineRule="auto"/>
              <w:jc w:val="both"/>
              <w:rPr>
                <w:rFonts w:ascii="Times New Roman" w:eastAsia="Times New Roman" w:hAnsi="Times New Roman" w:cs="Times New Roman"/>
                <w:color w:val="auto"/>
                <w:sz w:val="28"/>
                <w:szCs w:val="28"/>
              </w:rPr>
            </w:pPr>
            <w:r w:rsidRPr="00B84876">
              <w:rPr>
                <w:rFonts w:ascii="Times New Roman" w:eastAsia="Times New Roman" w:hAnsi="Times New Roman" w:cs="Times New Roman"/>
                <w:color w:val="auto"/>
                <w:sz w:val="28"/>
                <w:szCs w:val="28"/>
              </w:rPr>
              <w:t xml:space="preserve">- Quy định rõ quyền và nghĩa vụ của người tham gia đấu giá, cơ quan, tổ chức có liên quan trong hoạt động đấu giá tài sản; xác định rõ trách nhiệm của người có tài sản trong việc giám sát quá trình tổ chức đấu giá, tham dự cuộc đấu giá để kịp thời phát hiện các hành vi thông đồng, dìm giá, cản trở tại cuộc đấu giá; tổ chức đấu giá tài sản, đấu giá viên trong quá trình thực hiện trình tự, thủ tục </w:t>
            </w:r>
            <w:r w:rsidRPr="00B84876">
              <w:rPr>
                <w:rFonts w:ascii="Times New Roman" w:eastAsia="Times New Roman" w:hAnsi="Times New Roman" w:cs="Times New Roman"/>
                <w:color w:val="auto"/>
                <w:sz w:val="28"/>
                <w:szCs w:val="28"/>
              </w:rPr>
              <w:lastRenderedPageBreak/>
              <w:t>đấu giá theo quy định; người tham gia đấu giá, cá nhân, tổ chức có liên quan khi tham gia đấu giá, qua đó góp phần hạn chế tối đa các tiêu cực trong hoạt động đấu giá tài sản.</w:t>
            </w:r>
          </w:p>
        </w:tc>
        <w:tc>
          <w:tcPr>
            <w:tcW w:w="7066" w:type="dxa"/>
          </w:tcPr>
          <w:p w:rsidR="00F249B9" w:rsidRPr="00B84876" w:rsidRDefault="00F249B9" w:rsidP="00B84876">
            <w:pPr>
              <w:spacing w:before="120" w:after="120" w:line="360" w:lineRule="atLeast"/>
              <w:jc w:val="both"/>
              <w:rPr>
                <w:rFonts w:ascii="Times New Roman" w:eastAsia="Times New Roman" w:hAnsi="Times New Roman" w:cs="Times New Roman"/>
                <w:color w:val="auto"/>
                <w:sz w:val="28"/>
                <w:szCs w:val="28"/>
              </w:rPr>
            </w:pPr>
            <w:r w:rsidRPr="00B84876">
              <w:rPr>
                <w:rFonts w:ascii="Times New Roman" w:hAnsi="Times New Roman" w:cs="Times New Roman"/>
                <w:bCs/>
                <w:sz w:val="28"/>
                <w:szCs w:val="28"/>
              </w:rPr>
              <w:lastRenderedPageBreak/>
              <w:t xml:space="preserve">- Sửa đổi </w:t>
            </w:r>
            <w:r w:rsidR="00B84876" w:rsidRPr="00B84876">
              <w:rPr>
                <w:rFonts w:ascii="Times New Roman" w:hAnsi="Times New Roman" w:cs="Times New Roman"/>
                <w:bCs/>
                <w:sz w:val="28"/>
                <w:szCs w:val="28"/>
                <w:lang w:val="en-US"/>
              </w:rPr>
              <w:t>quy định</w:t>
            </w:r>
            <w:r w:rsidRPr="00B84876">
              <w:rPr>
                <w:rFonts w:ascii="Times New Roman" w:hAnsi="Times New Roman" w:cs="Times New Roman"/>
                <w:bCs/>
                <w:sz w:val="28"/>
                <w:szCs w:val="28"/>
              </w:rPr>
              <w:t xml:space="preserve"> về nhiệm vụ, quyền hạn của Bộ Tư pháp theo hướng phân cấp một số nhiệm vụ quản lý nhà nước cho địa phương, sửa đổi một số nhiệm vụ liên quan đến Cổng Đấu giá tài sản tài sản quố</w:t>
            </w:r>
            <w:r w:rsidR="00B84876" w:rsidRPr="00B84876">
              <w:rPr>
                <w:rFonts w:ascii="Times New Roman" w:hAnsi="Times New Roman" w:cs="Times New Roman"/>
                <w:bCs/>
                <w:sz w:val="28"/>
                <w:szCs w:val="28"/>
              </w:rPr>
              <w:t xml:space="preserve">c gia; </w:t>
            </w:r>
            <w:r w:rsidR="00B84876" w:rsidRPr="00B84876">
              <w:rPr>
                <w:rFonts w:ascii="Times New Roman" w:hAnsi="Times New Roman" w:cs="Times New Roman"/>
                <w:bCs/>
                <w:sz w:val="28"/>
                <w:szCs w:val="28"/>
                <w:lang w:val="en-US"/>
              </w:rPr>
              <w:t>b</w:t>
            </w:r>
            <w:r w:rsidR="00B84876" w:rsidRPr="00B84876">
              <w:rPr>
                <w:rFonts w:ascii="Times New Roman" w:hAnsi="Times New Roman" w:cs="Times New Roman"/>
                <w:bCs/>
                <w:sz w:val="28"/>
                <w:szCs w:val="28"/>
              </w:rPr>
              <w:t>ổ sung quy định cụ thể về nhiệm vụ, quyền hạn của Bộ Công an liên quan đến Sàn Đấu giá tài sản công.</w:t>
            </w:r>
          </w:p>
          <w:p w:rsidR="005C1EDE" w:rsidRPr="00B84876" w:rsidRDefault="005C1EDE" w:rsidP="005C1EDE">
            <w:pPr>
              <w:spacing w:line="276" w:lineRule="auto"/>
              <w:jc w:val="both"/>
              <w:rPr>
                <w:rFonts w:ascii="Times New Roman" w:hAnsi="Times New Roman" w:cs="Times New Roman"/>
                <w:sz w:val="28"/>
                <w:szCs w:val="28"/>
              </w:rPr>
            </w:pPr>
            <w:r w:rsidRPr="00B84876">
              <w:rPr>
                <w:rFonts w:ascii="Times New Roman" w:eastAsia="Times New Roman" w:hAnsi="Times New Roman" w:cs="Times New Roman"/>
                <w:color w:val="auto"/>
                <w:sz w:val="28"/>
                <w:szCs w:val="28"/>
              </w:rPr>
              <w:t>- Bổ sung quy định về xử lý vi phạm đối với người tham gia đấu giá, người trúng đấu giá, cá nhân, tổ chức có liên quan</w:t>
            </w:r>
            <w:r w:rsidRPr="00B84876">
              <w:rPr>
                <w:rFonts w:ascii="Times New Roman" w:eastAsia="Times New Roman" w:hAnsi="Times New Roman" w:cs="Times New Roman"/>
                <w:color w:val="auto"/>
                <w:sz w:val="28"/>
                <w:szCs w:val="28"/>
                <w:lang w:val="en-US"/>
              </w:rPr>
              <w:t xml:space="preserve"> theo hướng</w:t>
            </w:r>
            <w:r w:rsidRPr="00B84876">
              <w:rPr>
                <w:rFonts w:ascii="Times New Roman" w:eastAsia="Times New Roman" w:hAnsi="Times New Roman" w:cs="Times New Roman"/>
                <w:color w:val="auto"/>
                <w:sz w:val="28"/>
                <w:szCs w:val="28"/>
              </w:rPr>
              <w:t xml:space="preserve"> cấm tham gia đấu giá có thời hạn đối với trường hợp người trúng đấu giá quyền sử dụng đất đối với trường hợp giao đất ở vi phạm nghĩa vụ nộp tiền trúng đấu giá quyền sử dụng đất dẫn đến quyết định công nhận kết quả đấu giá bị hủy.</w:t>
            </w:r>
            <w:r w:rsidRPr="00B84876">
              <w:rPr>
                <w:rFonts w:ascii="Times New Roman" w:hAnsi="Times New Roman" w:cs="Times New Roman"/>
                <w:sz w:val="28"/>
                <w:szCs w:val="28"/>
              </w:rPr>
              <w:t xml:space="preserve"> </w:t>
            </w:r>
          </w:p>
          <w:p w:rsidR="00F249B9" w:rsidRPr="00B84876" w:rsidRDefault="00F249B9" w:rsidP="00B91867">
            <w:pPr>
              <w:spacing w:line="276" w:lineRule="auto"/>
              <w:jc w:val="both"/>
              <w:rPr>
                <w:rFonts w:ascii="Times New Roman" w:hAnsi="Times New Roman" w:cs="Times New Roman"/>
                <w:sz w:val="28"/>
                <w:szCs w:val="28"/>
                <w:lang w:val="en-US"/>
              </w:rPr>
            </w:pPr>
            <w:r w:rsidRPr="00B84876">
              <w:rPr>
                <w:rFonts w:ascii="Times New Roman" w:hAnsi="Times New Roman" w:cs="Times New Roman"/>
                <w:sz w:val="28"/>
                <w:szCs w:val="28"/>
                <w:lang w:val="en-US"/>
              </w:rPr>
              <w:t xml:space="preserve">- Sửa đổi quy định về huỷ kết quả đấu giá tài sản theo hướng bổ sung các trường hợp kết quả đấu giá tài sản bị huỷ để giải quyết toàn diện các trường hợp phát sinh trong thực tiễn. </w:t>
            </w:r>
          </w:p>
          <w:p w:rsidR="00B84876" w:rsidRPr="00B84876" w:rsidRDefault="005C1EDE" w:rsidP="00B91867">
            <w:pPr>
              <w:spacing w:before="120" w:after="120" w:line="360" w:lineRule="atLeast"/>
              <w:jc w:val="both"/>
              <w:rPr>
                <w:rFonts w:ascii="Times New Roman" w:hAnsi="Times New Roman" w:cs="Times New Roman"/>
                <w:bCs/>
                <w:sz w:val="28"/>
                <w:szCs w:val="28"/>
              </w:rPr>
            </w:pPr>
            <w:r w:rsidRPr="00B84876">
              <w:rPr>
                <w:rFonts w:ascii="Times New Roman" w:eastAsia="Times New Roman" w:hAnsi="Times New Roman" w:cs="Times New Roman"/>
                <w:color w:val="auto"/>
                <w:sz w:val="28"/>
                <w:szCs w:val="28"/>
              </w:rPr>
              <w:t xml:space="preserve">- Sửa đổi </w:t>
            </w:r>
            <w:r w:rsidRPr="00B84876">
              <w:rPr>
                <w:rFonts w:ascii="Times New Roman" w:eastAsia="Times New Roman" w:hAnsi="Times New Roman" w:cs="Times New Roman"/>
                <w:color w:val="auto"/>
                <w:sz w:val="28"/>
                <w:szCs w:val="28"/>
                <w:lang w:val="en-US"/>
              </w:rPr>
              <w:t>quy định về h</w:t>
            </w:r>
            <w:r w:rsidRPr="00B84876">
              <w:rPr>
                <w:rFonts w:ascii="Times New Roman" w:eastAsia="Times New Roman" w:hAnsi="Times New Roman" w:cs="Times New Roman"/>
                <w:color w:val="auto"/>
                <w:sz w:val="28"/>
                <w:szCs w:val="28"/>
              </w:rPr>
              <w:t xml:space="preserve">ậu quả pháp lý khi hủy kết quả đấu giá </w:t>
            </w:r>
            <w:r w:rsidRPr="00B84876">
              <w:rPr>
                <w:rFonts w:ascii="Times New Roman" w:eastAsia="Times New Roman" w:hAnsi="Times New Roman" w:cs="Times New Roman"/>
                <w:color w:val="auto"/>
                <w:sz w:val="28"/>
                <w:szCs w:val="28"/>
              </w:rPr>
              <w:lastRenderedPageBreak/>
              <w:t>tài sản</w:t>
            </w:r>
            <w:r w:rsidRPr="00B84876">
              <w:rPr>
                <w:rFonts w:ascii="Times New Roman" w:eastAsia="Times New Roman" w:hAnsi="Times New Roman" w:cs="Times New Roman"/>
                <w:color w:val="auto"/>
                <w:sz w:val="28"/>
                <w:szCs w:val="28"/>
                <w:lang w:val="en-US"/>
              </w:rPr>
              <w:t xml:space="preserve"> </w:t>
            </w:r>
            <w:r w:rsidRPr="00B84876">
              <w:rPr>
                <w:rFonts w:ascii="Times New Roman" w:eastAsia="Times New Roman" w:hAnsi="Times New Roman" w:cs="Times New Roman"/>
                <w:color w:val="auto"/>
                <w:sz w:val="28"/>
                <w:szCs w:val="28"/>
              </w:rPr>
              <w:t>theo hướng quy định rõ hậu quả pháp lý trong các trường hợp kết quả đấu giá tài sản bị huỷ.</w:t>
            </w:r>
            <w:r w:rsidR="00F249B9" w:rsidRPr="00B84876">
              <w:rPr>
                <w:rFonts w:ascii="Times New Roman" w:hAnsi="Times New Roman" w:cs="Times New Roman"/>
                <w:bCs/>
                <w:sz w:val="28"/>
                <w:szCs w:val="28"/>
              </w:rPr>
              <w:t xml:space="preserve"> </w:t>
            </w:r>
          </w:p>
          <w:p w:rsidR="00B84876" w:rsidRPr="00B84876" w:rsidRDefault="00B84876" w:rsidP="00B91867">
            <w:pPr>
              <w:spacing w:before="120" w:after="120" w:line="360" w:lineRule="atLeast"/>
              <w:jc w:val="both"/>
              <w:rPr>
                <w:rFonts w:ascii="Times New Roman" w:hAnsi="Times New Roman" w:cs="Times New Roman"/>
                <w:bCs/>
                <w:sz w:val="28"/>
                <w:szCs w:val="28"/>
              </w:rPr>
            </w:pPr>
            <w:r w:rsidRPr="00B84876">
              <w:rPr>
                <w:rFonts w:ascii="Times New Roman" w:hAnsi="Times New Roman" w:cs="Times New Roman"/>
                <w:bCs/>
                <w:sz w:val="28"/>
                <w:szCs w:val="28"/>
                <w:lang w:val="en-US"/>
              </w:rPr>
              <w:t>- Sửa đổi quy định về trách nhiệm của Ủy ban nhân dân cấp tỉnh và Sở Tư pháp sau khi được phân cấp một số nhiệm vụ quản lý nhà nước từ Trung ương.</w:t>
            </w:r>
          </w:p>
        </w:tc>
      </w:tr>
    </w:tbl>
    <w:p w:rsidR="007D0BA6" w:rsidRPr="00B84876" w:rsidRDefault="007D0BA6" w:rsidP="000D690B">
      <w:pPr>
        <w:spacing w:line="276" w:lineRule="auto"/>
        <w:jc w:val="center"/>
        <w:rPr>
          <w:rFonts w:ascii="Times New Roman" w:hAnsi="Times New Roman" w:cs="Times New Roman"/>
          <w:sz w:val="28"/>
          <w:szCs w:val="28"/>
        </w:rPr>
      </w:pPr>
      <w:bookmarkStart w:id="0" w:name="_GoBack"/>
      <w:bookmarkEnd w:id="0"/>
    </w:p>
    <w:sectPr w:rsidR="007D0BA6" w:rsidRPr="00B84876" w:rsidSect="00D52AB1">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487" w:rsidRDefault="00EE5487" w:rsidP="000D1A29">
      <w:r>
        <w:separator/>
      </w:r>
    </w:p>
  </w:endnote>
  <w:endnote w:type="continuationSeparator" w:id="0">
    <w:p w:rsidR="00EE5487" w:rsidRDefault="00EE5487" w:rsidP="000D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487" w:rsidRDefault="00EE5487" w:rsidP="000D1A29">
      <w:r>
        <w:separator/>
      </w:r>
    </w:p>
  </w:footnote>
  <w:footnote w:type="continuationSeparator" w:id="0">
    <w:p w:rsidR="00EE5487" w:rsidRDefault="00EE5487" w:rsidP="000D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017277"/>
      <w:docPartObj>
        <w:docPartGallery w:val="Page Numbers (Top of Page)"/>
        <w:docPartUnique/>
      </w:docPartObj>
    </w:sdtPr>
    <w:sdtEndPr>
      <w:rPr>
        <w:rFonts w:ascii="Times New Roman" w:hAnsi="Times New Roman" w:cs="Times New Roman"/>
        <w:noProof/>
        <w:sz w:val="28"/>
        <w:szCs w:val="28"/>
      </w:rPr>
    </w:sdtEndPr>
    <w:sdtContent>
      <w:p w:rsidR="00D52AB1" w:rsidRPr="00D52AB1" w:rsidRDefault="00D52AB1">
        <w:pPr>
          <w:pStyle w:val="Header"/>
          <w:jc w:val="center"/>
          <w:rPr>
            <w:rFonts w:ascii="Times New Roman" w:hAnsi="Times New Roman" w:cs="Times New Roman"/>
            <w:sz w:val="28"/>
            <w:szCs w:val="28"/>
          </w:rPr>
        </w:pPr>
        <w:r w:rsidRPr="00D52AB1">
          <w:rPr>
            <w:rFonts w:ascii="Times New Roman" w:hAnsi="Times New Roman" w:cs="Times New Roman"/>
            <w:sz w:val="28"/>
            <w:szCs w:val="28"/>
          </w:rPr>
          <w:fldChar w:fldCharType="begin"/>
        </w:r>
        <w:r w:rsidRPr="00D52AB1">
          <w:rPr>
            <w:rFonts w:ascii="Times New Roman" w:hAnsi="Times New Roman" w:cs="Times New Roman"/>
            <w:sz w:val="28"/>
            <w:szCs w:val="28"/>
          </w:rPr>
          <w:instrText xml:space="preserve"> PAGE   \* MERGEFORMAT </w:instrText>
        </w:r>
        <w:r w:rsidRPr="00D52AB1">
          <w:rPr>
            <w:rFonts w:ascii="Times New Roman" w:hAnsi="Times New Roman" w:cs="Times New Roman"/>
            <w:sz w:val="28"/>
            <w:szCs w:val="28"/>
          </w:rPr>
          <w:fldChar w:fldCharType="separate"/>
        </w:r>
        <w:r w:rsidR="000D690B">
          <w:rPr>
            <w:rFonts w:ascii="Times New Roman" w:hAnsi="Times New Roman" w:cs="Times New Roman"/>
            <w:noProof/>
            <w:sz w:val="28"/>
            <w:szCs w:val="28"/>
          </w:rPr>
          <w:t>7</w:t>
        </w:r>
        <w:r w:rsidRPr="00D52AB1">
          <w:rPr>
            <w:rFonts w:ascii="Times New Roman" w:hAnsi="Times New Roman" w:cs="Times New Roman"/>
            <w:noProof/>
            <w:sz w:val="28"/>
            <w:szCs w:val="28"/>
          </w:rPr>
          <w:fldChar w:fldCharType="end"/>
        </w:r>
      </w:p>
    </w:sdtContent>
  </w:sdt>
  <w:p w:rsidR="00D52AB1" w:rsidRDefault="00D52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2533"/>
    <w:multiLevelType w:val="hybridMultilevel"/>
    <w:tmpl w:val="816ECDCE"/>
    <w:lvl w:ilvl="0" w:tplc="9E5CC2B0">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E49D3"/>
    <w:multiLevelType w:val="hybridMultilevel"/>
    <w:tmpl w:val="907C7FB6"/>
    <w:lvl w:ilvl="0" w:tplc="E5E4EA20">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737F6"/>
    <w:multiLevelType w:val="hybridMultilevel"/>
    <w:tmpl w:val="649C3F1C"/>
    <w:lvl w:ilvl="0" w:tplc="7200CCAC">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7441B"/>
    <w:multiLevelType w:val="hybridMultilevel"/>
    <w:tmpl w:val="09AA30F8"/>
    <w:lvl w:ilvl="0" w:tplc="6E40EC34">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D"/>
    <w:rsid w:val="000077AE"/>
    <w:rsid w:val="000243BF"/>
    <w:rsid w:val="00033F0C"/>
    <w:rsid w:val="000405E4"/>
    <w:rsid w:val="00040D6D"/>
    <w:rsid w:val="0005153D"/>
    <w:rsid w:val="00061BB0"/>
    <w:rsid w:val="000622B1"/>
    <w:rsid w:val="00073749"/>
    <w:rsid w:val="00074D53"/>
    <w:rsid w:val="00092EB6"/>
    <w:rsid w:val="0009632B"/>
    <w:rsid w:val="000A652B"/>
    <w:rsid w:val="000B3D50"/>
    <w:rsid w:val="000D1A29"/>
    <w:rsid w:val="000D690B"/>
    <w:rsid w:val="000D71B2"/>
    <w:rsid w:val="000E0CF4"/>
    <w:rsid w:val="000F547C"/>
    <w:rsid w:val="001002B7"/>
    <w:rsid w:val="00101DA4"/>
    <w:rsid w:val="001208C9"/>
    <w:rsid w:val="001614A2"/>
    <w:rsid w:val="0016395F"/>
    <w:rsid w:val="001715C7"/>
    <w:rsid w:val="00181D3B"/>
    <w:rsid w:val="00185D0E"/>
    <w:rsid w:val="001A1FAE"/>
    <w:rsid w:val="001A2670"/>
    <w:rsid w:val="001A63DC"/>
    <w:rsid w:val="001B0E50"/>
    <w:rsid w:val="001B105C"/>
    <w:rsid w:val="001B5A54"/>
    <w:rsid w:val="001C6728"/>
    <w:rsid w:val="001D0A63"/>
    <w:rsid w:val="001D1A4E"/>
    <w:rsid w:val="001D1D19"/>
    <w:rsid w:val="001F3E68"/>
    <w:rsid w:val="00210861"/>
    <w:rsid w:val="00230665"/>
    <w:rsid w:val="00231376"/>
    <w:rsid w:val="002377A3"/>
    <w:rsid w:val="00243348"/>
    <w:rsid w:val="00244946"/>
    <w:rsid w:val="0025251F"/>
    <w:rsid w:val="00283D92"/>
    <w:rsid w:val="002900F3"/>
    <w:rsid w:val="002957F5"/>
    <w:rsid w:val="002A0C7B"/>
    <w:rsid w:val="002A33F0"/>
    <w:rsid w:val="002A5DEF"/>
    <w:rsid w:val="002B27DE"/>
    <w:rsid w:val="002B5FBF"/>
    <w:rsid w:val="002D2917"/>
    <w:rsid w:val="002D3173"/>
    <w:rsid w:val="002D4776"/>
    <w:rsid w:val="002D6DFA"/>
    <w:rsid w:val="002F2F48"/>
    <w:rsid w:val="002F590A"/>
    <w:rsid w:val="00300694"/>
    <w:rsid w:val="00303EA6"/>
    <w:rsid w:val="00304935"/>
    <w:rsid w:val="0032164B"/>
    <w:rsid w:val="00326CBC"/>
    <w:rsid w:val="00341673"/>
    <w:rsid w:val="0035108C"/>
    <w:rsid w:val="00355C95"/>
    <w:rsid w:val="00370A2D"/>
    <w:rsid w:val="00371674"/>
    <w:rsid w:val="003761BE"/>
    <w:rsid w:val="0038318A"/>
    <w:rsid w:val="003905A5"/>
    <w:rsid w:val="00392388"/>
    <w:rsid w:val="00396462"/>
    <w:rsid w:val="003A3ABE"/>
    <w:rsid w:val="003C0CE3"/>
    <w:rsid w:val="003D633F"/>
    <w:rsid w:val="003F7F94"/>
    <w:rsid w:val="004106F9"/>
    <w:rsid w:val="004115F2"/>
    <w:rsid w:val="00412BD9"/>
    <w:rsid w:val="004309D0"/>
    <w:rsid w:val="0043316E"/>
    <w:rsid w:val="00433C3B"/>
    <w:rsid w:val="0044192C"/>
    <w:rsid w:val="00442C82"/>
    <w:rsid w:val="004559AE"/>
    <w:rsid w:val="004565FA"/>
    <w:rsid w:val="00457DA3"/>
    <w:rsid w:val="00466E79"/>
    <w:rsid w:val="004716C9"/>
    <w:rsid w:val="00477452"/>
    <w:rsid w:val="004867D1"/>
    <w:rsid w:val="00487670"/>
    <w:rsid w:val="0049174A"/>
    <w:rsid w:val="00492B81"/>
    <w:rsid w:val="00495559"/>
    <w:rsid w:val="004A6FA5"/>
    <w:rsid w:val="004C1DDB"/>
    <w:rsid w:val="004C1E38"/>
    <w:rsid w:val="004C2B78"/>
    <w:rsid w:val="004C7C07"/>
    <w:rsid w:val="004D5F87"/>
    <w:rsid w:val="004D76EF"/>
    <w:rsid w:val="004E021D"/>
    <w:rsid w:val="004E515C"/>
    <w:rsid w:val="004E6E53"/>
    <w:rsid w:val="004F5BDE"/>
    <w:rsid w:val="004F6377"/>
    <w:rsid w:val="0050047F"/>
    <w:rsid w:val="00500927"/>
    <w:rsid w:val="0050533F"/>
    <w:rsid w:val="00514345"/>
    <w:rsid w:val="00517470"/>
    <w:rsid w:val="00517FC7"/>
    <w:rsid w:val="0052182F"/>
    <w:rsid w:val="00521A79"/>
    <w:rsid w:val="0052395C"/>
    <w:rsid w:val="005323B8"/>
    <w:rsid w:val="005324DE"/>
    <w:rsid w:val="00532DFA"/>
    <w:rsid w:val="005347FF"/>
    <w:rsid w:val="0053660F"/>
    <w:rsid w:val="00542D17"/>
    <w:rsid w:val="005443F4"/>
    <w:rsid w:val="00557A8B"/>
    <w:rsid w:val="0056291C"/>
    <w:rsid w:val="00567288"/>
    <w:rsid w:val="005750E6"/>
    <w:rsid w:val="005759F8"/>
    <w:rsid w:val="005813DE"/>
    <w:rsid w:val="0058480D"/>
    <w:rsid w:val="00591C4A"/>
    <w:rsid w:val="00594212"/>
    <w:rsid w:val="005A154A"/>
    <w:rsid w:val="005B22DC"/>
    <w:rsid w:val="005B7791"/>
    <w:rsid w:val="005C1EDE"/>
    <w:rsid w:val="005D6E30"/>
    <w:rsid w:val="005E008E"/>
    <w:rsid w:val="005E40E2"/>
    <w:rsid w:val="005E5408"/>
    <w:rsid w:val="005E626D"/>
    <w:rsid w:val="005E7C14"/>
    <w:rsid w:val="005F4C25"/>
    <w:rsid w:val="005F58BD"/>
    <w:rsid w:val="005F5E54"/>
    <w:rsid w:val="0061008D"/>
    <w:rsid w:val="00610680"/>
    <w:rsid w:val="00610754"/>
    <w:rsid w:val="006112AD"/>
    <w:rsid w:val="00612C1C"/>
    <w:rsid w:val="00617B45"/>
    <w:rsid w:val="00620284"/>
    <w:rsid w:val="0065279B"/>
    <w:rsid w:val="00654FAE"/>
    <w:rsid w:val="0066016E"/>
    <w:rsid w:val="00661D10"/>
    <w:rsid w:val="0066363C"/>
    <w:rsid w:val="00672B01"/>
    <w:rsid w:val="00676DC4"/>
    <w:rsid w:val="00682919"/>
    <w:rsid w:val="00685A1B"/>
    <w:rsid w:val="00691C6A"/>
    <w:rsid w:val="006A3A20"/>
    <w:rsid w:val="006A4236"/>
    <w:rsid w:val="006B2915"/>
    <w:rsid w:val="006B6A88"/>
    <w:rsid w:val="006C7B53"/>
    <w:rsid w:val="006D4A0E"/>
    <w:rsid w:val="006D5C5C"/>
    <w:rsid w:val="006E1401"/>
    <w:rsid w:val="006E608E"/>
    <w:rsid w:val="006F3E8D"/>
    <w:rsid w:val="00707AE5"/>
    <w:rsid w:val="00726FEC"/>
    <w:rsid w:val="00734495"/>
    <w:rsid w:val="007457AB"/>
    <w:rsid w:val="007515A1"/>
    <w:rsid w:val="007531DB"/>
    <w:rsid w:val="00761BEA"/>
    <w:rsid w:val="00764EA4"/>
    <w:rsid w:val="007732D4"/>
    <w:rsid w:val="007810DF"/>
    <w:rsid w:val="00781753"/>
    <w:rsid w:val="00792ECE"/>
    <w:rsid w:val="007951E4"/>
    <w:rsid w:val="007A40AB"/>
    <w:rsid w:val="007A468F"/>
    <w:rsid w:val="007A778E"/>
    <w:rsid w:val="007D0BA6"/>
    <w:rsid w:val="007D403C"/>
    <w:rsid w:val="007E0EB9"/>
    <w:rsid w:val="007E650D"/>
    <w:rsid w:val="007F4987"/>
    <w:rsid w:val="00823821"/>
    <w:rsid w:val="00823A70"/>
    <w:rsid w:val="00831A49"/>
    <w:rsid w:val="0083776A"/>
    <w:rsid w:val="0085091A"/>
    <w:rsid w:val="00860FE3"/>
    <w:rsid w:val="00876D41"/>
    <w:rsid w:val="0088656B"/>
    <w:rsid w:val="008A0C1F"/>
    <w:rsid w:val="008A4A1D"/>
    <w:rsid w:val="008A608C"/>
    <w:rsid w:val="008B168E"/>
    <w:rsid w:val="008B2C7F"/>
    <w:rsid w:val="008B588F"/>
    <w:rsid w:val="008D4509"/>
    <w:rsid w:val="008E11E5"/>
    <w:rsid w:val="008E62DD"/>
    <w:rsid w:val="008F7DBE"/>
    <w:rsid w:val="00905B75"/>
    <w:rsid w:val="0091655A"/>
    <w:rsid w:val="00922B4F"/>
    <w:rsid w:val="00922EFF"/>
    <w:rsid w:val="00935433"/>
    <w:rsid w:val="00943CBA"/>
    <w:rsid w:val="00945C85"/>
    <w:rsid w:val="00945EA1"/>
    <w:rsid w:val="009657E3"/>
    <w:rsid w:val="00966F10"/>
    <w:rsid w:val="0097010D"/>
    <w:rsid w:val="009730B8"/>
    <w:rsid w:val="009833C1"/>
    <w:rsid w:val="00983D61"/>
    <w:rsid w:val="00985263"/>
    <w:rsid w:val="009C5467"/>
    <w:rsid w:val="009E707F"/>
    <w:rsid w:val="009E7A3C"/>
    <w:rsid w:val="009F52BF"/>
    <w:rsid w:val="00A03D56"/>
    <w:rsid w:val="00A05153"/>
    <w:rsid w:val="00A138FC"/>
    <w:rsid w:val="00A17B72"/>
    <w:rsid w:val="00A20AC3"/>
    <w:rsid w:val="00A403E8"/>
    <w:rsid w:val="00A41FED"/>
    <w:rsid w:val="00A65878"/>
    <w:rsid w:val="00A773C0"/>
    <w:rsid w:val="00A77688"/>
    <w:rsid w:val="00A80408"/>
    <w:rsid w:val="00A8441E"/>
    <w:rsid w:val="00A85967"/>
    <w:rsid w:val="00A8723D"/>
    <w:rsid w:val="00A95053"/>
    <w:rsid w:val="00AA3EE6"/>
    <w:rsid w:val="00AA4D90"/>
    <w:rsid w:val="00AB0689"/>
    <w:rsid w:val="00AB277A"/>
    <w:rsid w:val="00AB6F27"/>
    <w:rsid w:val="00AC251D"/>
    <w:rsid w:val="00AC2F2C"/>
    <w:rsid w:val="00AC3434"/>
    <w:rsid w:val="00AC3B63"/>
    <w:rsid w:val="00AC405A"/>
    <w:rsid w:val="00AD1C52"/>
    <w:rsid w:val="00AD52F0"/>
    <w:rsid w:val="00AE50FB"/>
    <w:rsid w:val="00AF332A"/>
    <w:rsid w:val="00AF69C4"/>
    <w:rsid w:val="00B02BB6"/>
    <w:rsid w:val="00B05461"/>
    <w:rsid w:val="00B17A28"/>
    <w:rsid w:val="00B3329D"/>
    <w:rsid w:val="00B347C2"/>
    <w:rsid w:val="00B43939"/>
    <w:rsid w:val="00B43DA9"/>
    <w:rsid w:val="00B51A62"/>
    <w:rsid w:val="00B71FAC"/>
    <w:rsid w:val="00B74AD7"/>
    <w:rsid w:val="00B80E1E"/>
    <w:rsid w:val="00B84876"/>
    <w:rsid w:val="00B86871"/>
    <w:rsid w:val="00B91643"/>
    <w:rsid w:val="00B91867"/>
    <w:rsid w:val="00B91B6B"/>
    <w:rsid w:val="00BA7941"/>
    <w:rsid w:val="00BC21AF"/>
    <w:rsid w:val="00BC379A"/>
    <w:rsid w:val="00BC61B0"/>
    <w:rsid w:val="00BF6944"/>
    <w:rsid w:val="00C01200"/>
    <w:rsid w:val="00C0437F"/>
    <w:rsid w:val="00C06C8E"/>
    <w:rsid w:val="00C104A3"/>
    <w:rsid w:val="00C461B0"/>
    <w:rsid w:val="00C64406"/>
    <w:rsid w:val="00C6550A"/>
    <w:rsid w:val="00C65569"/>
    <w:rsid w:val="00C724F1"/>
    <w:rsid w:val="00C91B19"/>
    <w:rsid w:val="00C96A0E"/>
    <w:rsid w:val="00CA50B8"/>
    <w:rsid w:val="00CB56CA"/>
    <w:rsid w:val="00CC3490"/>
    <w:rsid w:val="00CD02F7"/>
    <w:rsid w:val="00CD3AFE"/>
    <w:rsid w:val="00CF2C68"/>
    <w:rsid w:val="00D002A0"/>
    <w:rsid w:val="00D135CE"/>
    <w:rsid w:val="00D16DDD"/>
    <w:rsid w:val="00D221CE"/>
    <w:rsid w:val="00D22D41"/>
    <w:rsid w:val="00D31D4E"/>
    <w:rsid w:val="00D35867"/>
    <w:rsid w:val="00D42CFE"/>
    <w:rsid w:val="00D46317"/>
    <w:rsid w:val="00D465CB"/>
    <w:rsid w:val="00D52AB1"/>
    <w:rsid w:val="00D52E91"/>
    <w:rsid w:val="00D65627"/>
    <w:rsid w:val="00D82D99"/>
    <w:rsid w:val="00D90049"/>
    <w:rsid w:val="00D9154B"/>
    <w:rsid w:val="00DA3408"/>
    <w:rsid w:val="00DB614E"/>
    <w:rsid w:val="00DC585D"/>
    <w:rsid w:val="00DD47FB"/>
    <w:rsid w:val="00DD6895"/>
    <w:rsid w:val="00DE13FC"/>
    <w:rsid w:val="00DE5FC1"/>
    <w:rsid w:val="00DE62B9"/>
    <w:rsid w:val="00DF00FA"/>
    <w:rsid w:val="00E01C73"/>
    <w:rsid w:val="00E07858"/>
    <w:rsid w:val="00E1481E"/>
    <w:rsid w:val="00E25806"/>
    <w:rsid w:val="00E27614"/>
    <w:rsid w:val="00E40A01"/>
    <w:rsid w:val="00E526AA"/>
    <w:rsid w:val="00E54AC6"/>
    <w:rsid w:val="00E81868"/>
    <w:rsid w:val="00E86282"/>
    <w:rsid w:val="00EA3C62"/>
    <w:rsid w:val="00EB0704"/>
    <w:rsid w:val="00EB2ED2"/>
    <w:rsid w:val="00EE5487"/>
    <w:rsid w:val="00EE6C5B"/>
    <w:rsid w:val="00EF1B15"/>
    <w:rsid w:val="00EF1B1D"/>
    <w:rsid w:val="00F00A75"/>
    <w:rsid w:val="00F1157E"/>
    <w:rsid w:val="00F155CD"/>
    <w:rsid w:val="00F22ABF"/>
    <w:rsid w:val="00F249B9"/>
    <w:rsid w:val="00F27E12"/>
    <w:rsid w:val="00F34040"/>
    <w:rsid w:val="00F53B84"/>
    <w:rsid w:val="00F57C1F"/>
    <w:rsid w:val="00F760A7"/>
    <w:rsid w:val="00F77191"/>
    <w:rsid w:val="00F77B2F"/>
    <w:rsid w:val="00F8746C"/>
    <w:rsid w:val="00F91E9B"/>
    <w:rsid w:val="00F92E32"/>
    <w:rsid w:val="00FA15BE"/>
    <w:rsid w:val="00FC41AB"/>
    <w:rsid w:val="00FC6115"/>
    <w:rsid w:val="00FD4E56"/>
    <w:rsid w:val="00FD6BDE"/>
    <w:rsid w:val="00FE6444"/>
    <w:rsid w:val="00FF0453"/>
    <w:rsid w:val="00FF04FA"/>
    <w:rsid w:val="00FF4155"/>
    <w:rsid w:val="00FF47F7"/>
    <w:rsid w:val="00FF592B"/>
    <w:rsid w:val="00FF5A24"/>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62AA9-B76F-444A-B0CE-0E3979F5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BA6"/>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qFormat/>
    <w:rsid w:val="004E021D"/>
    <w:pPr>
      <w:keepNext/>
      <w:widowControl/>
      <w:spacing w:before="160" w:after="160"/>
      <w:ind w:firstLine="720"/>
      <w:jc w:val="both"/>
      <w:outlineLvl w:val="2"/>
    </w:pPr>
    <w:rPr>
      <w:rFonts w:ascii="Times New Roman" w:eastAsia="Times New Roman" w:hAnsi="Times New Roman" w:cs="Times New Roman"/>
      <w:b/>
      <w:bCs/>
      <w:color w:val="auto"/>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9F52BF"/>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9F52BF"/>
    <w:rPr>
      <w:rFonts w:ascii="Times New Roman" w:eastAsia="Times New Roman" w:hAnsi="Times New Roman" w:cs="Times New Roman"/>
      <w:sz w:val="24"/>
      <w:szCs w:val="24"/>
    </w:rPr>
  </w:style>
  <w:style w:type="paragraph" w:customStyle="1" w:styleId="n-dieu">
    <w:name w:val="n-dieu"/>
    <w:basedOn w:val="Normal"/>
    <w:rsid w:val="00D35867"/>
    <w:pPr>
      <w:widowControl/>
      <w:spacing w:before="120" w:after="180"/>
      <w:ind w:firstLine="709"/>
    </w:pPr>
    <w:rPr>
      <w:rFonts w:ascii="Times New Roman" w:eastAsia="Times New Roman" w:hAnsi="Times New Roman" w:cs="Times New Roman"/>
      <w:b/>
      <w:i/>
      <w:color w:val="auto"/>
      <w:sz w:val="28"/>
      <w:szCs w:val="20"/>
      <w:lang w:val="en-US" w:eastAsia="en-US"/>
    </w:rPr>
  </w:style>
  <w:style w:type="character" w:styleId="FootnoteReference">
    <w:name w:val="footnote reference"/>
    <w:link w:val="4GCharCharChar"/>
    <w:qFormat/>
    <w:rsid w:val="000D1A29"/>
    <w:rPr>
      <w:vertAlign w:val="superscript"/>
    </w:rPr>
  </w:style>
  <w:style w:type="paragraph" w:customStyle="1" w:styleId="4GCharCharChar">
    <w:name w:val="4_G Char Char Char"/>
    <w:basedOn w:val="Normal"/>
    <w:link w:val="FootnoteReference"/>
    <w:qFormat/>
    <w:rsid w:val="000D1A29"/>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 w:type="paragraph" w:styleId="FootnoteText">
    <w:name w:val="footnote text"/>
    <w:basedOn w:val="Normal"/>
    <w:link w:val="FootnoteTextChar"/>
    <w:qFormat/>
    <w:rsid w:val="000D1A29"/>
    <w:pPr>
      <w:widowControl/>
      <w:autoSpaceDE w:val="0"/>
      <w:autoSpaceDN w:val="0"/>
      <w:jc w:val="both"/>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0D1A2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0D1A29"/>
    <w:pPr>
      <w:widowControl/>
      <w:ind w:left="720"/>
      <w:contextualSpacing/>
      <w:jc w:val="center"/>
    </w:pPr>
    <w:rPr>
      <w:rFonts w:ascii="Times New Roman" w:eastAsia="Times New Roman" w:hAnsi="Times New Roman" w:cs="Times New Roman"/>
      <w:color w:val="auto"/>
      <w:sz w:val="20"/>
      <w:szCs w:val="20"/>
      <w:lang w:eastAsia="en-US"/>
    </w:rPr>
  </w:style>
  <w:style w:type="character" w:customStyle="1" w:styleId="ListParagraphChar">
    <w:name w:val="List Paragraph Char"/>
    <w:link w:val="ListParagraph"/>
    <w:uiPriority w:val="34"/>
    <w:locked/>
    <w:rsid w:val="000D1A29"/>
    <w:rPr>
      <w:rFonts w:ascii="Times New Roman" w:eastAsia="Times New Roman" w:hAnsi="Times New Roman" w:cs="Times New Roman"/>
      <w:sz w:val="20"/>
      <w:szCs w:val="20"/>
      <w:lang w:val="vi-VN"/>
    </w:rPr>
  </w:style>
  <w:style w:type="paragraph" w:styleId="BalloonText">
    <w:name w:val="Balloon Text"/>
    <w:basedOn w:val="Normal"/>
    <w:link w:val="BalloonTextChar"/>
    <w:unhideWhenUsed/>
    <w:rsid w:val="00457DA3"/>
    <w:rPr>
      <w:rFonts w:ascii="Segoe UI" w:hAnsi="Segoe UI" w:cs="Segoe UI"/>
      <w:sz w:val="18"/>
      <w:szCs w:val="18"/>
    </w:rPr>
  </w:style>
  <w:style w:type="character" w:customStyle="1" w:styleId="BalloonTextChar">
    <w:name w:val="Balloon Text Char"/>
    <w:basedOn w:val="DefaultParagraphFont"/>
    <w:link w:val="BalloonText"/>
    <w:rsid w:val="00457DA3"/>
    <w:rPr>
      <w:rFonts w:ascii="Segoe UI" w:eastAsia="Courier New" w:hAnsi="Segoe UI" w:cs="Segoe UI"/>
      <w:color w:val="000000"/>
      <w:sz w:val="18"/>
      <w:szCs w:val="18"/>
      <w:lang w:val="vi-VN" w:eastAsia="vi-VN"/>
    </w:rPr>
  </w:style>
  <w:style w:type="paragraph" w:styleId="BodyText">
    <w:name w:val="Body Text"/>
    <w:basedOn w:val="Normal"/>
    <w:link w:val="BodyTextChar"/>
    <w:uiPriority w:val="99"/>
    <w:semiHidden/>
    <w:unhideWhenUsed/>
    <w:rsid w:val="004E6E53"/>
    <w:pPr>
      <w:spacing w:after="120"/>
    </w:pPr>
  </w:style>
  <w:style w:type="character" w:customStyle="1" w:styleId="BodyTextChar">
    <w:name w:val="Body Text Char"/>
    <w:basedOn w:val="DefaultParagraphFont"/>
    <w:link w:val="BodyText"/>
    <w:uiPriority w:val="99"/>
    <w:semiHidden/>
    <w:rsid w:val="004E6E53"/>
    <w:rPr>
      <w:rFonts w:ascii="Courier New" w:eastAsia="Courier New" w:hAnsi="Courier New" w:cs="Courier New"/>
      <w:color w:val="000000"/>
      <w:sz w:val="24"/>
      <w:szCs w:val="24"/>
      <w:lang w:val="vi-VN" w:eastAsia="vi-VN"/>
    </w:rPr>
  </w:style>
  <w:style w:type="paragraph" w:styleId="Header">
    <w:name w:val="header"/>
    <w:basedOn w:val="Normal"/>
    <w:link w:val="HeaderChar"/>
    <w:uiPriority w:val="99"/>
    <w:unhideWhenUsed/>
    <w:rsid w:val="00D52AB1"/>
    <w:pPr>
      <w:tabs>
        <w:tab w:val="center" w:pos="4680"/>
        <w:tab w:val="right" w:pos="9360"/>
      </w:tabs>
    </w:pPr>
  </w:style>
  <w:style w:type="character" w:customStyle="1" w:styleId="HeaderChar">
    <w:name w:val="Header Char"/>
    <w:basedOn w:val="DefaultParagraphFont"/>
    <w:link w:val="Header"/>
    <w:uiPriority w:val="99"/>
    <w:rsid w:val="00D52AB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D52AB1"/>
    <w:pPr>
      <w:tabs>
        <w:tab w:val="center" w:pos="4680"/>
        <w:tab w:val="right" w:pos="9360"/>
      </w:tabs>
    </w:pPr>
  </w:style>
  <w:style w:type="character" w:customStyle="1" w:styleId="FooterChar">
    <w:name w:val="Footer Char"/>
    <w:basedOn w:val="DefaultParagraphFont"/>
    <w:link w:val="Footer"/>
    <w:uiPriority w:val="99"/>
    <w:rsid w:val="00D52AB1"/>
    <w:rPr>
      <w:rFonts w:ascii="Courier New" w:eastAsia="Courier New" w:hAnsi="Courier New" w:cs="Courier New"/>
      <w:color w:val="000000"/>
      <w:sz w:val="24"/>
      <w:szCs w:val="24"/>
      <w:lang w:val="vi-VN" w:eastAsia="vi-VN"/>
    </w:rPr>
  </w:style>
  <w:style w:type="character" w:customStyle="1" w:styleId="Heading3Char">
    <w:name w:val="Heading 3 Char"/>
    <w:basedOn w:val="DefaultParagraphFont"/>
    <w:link w:val="Heading3"/>
    <w:rsid w:val="004E021D"/>
    <w:rPr>
      <w:rFonts w:ascii="Times New Roman" w:eastAsia="Times New Roman" w:hAnsi="Times New Roman" w:cs="Times New Roman"/>
      <w:b/>
      <w:bCs/>
      <w:sz w:val="28"/>
      <w:szCs w:val="26"/>
      <w:lang w:val="vi-VN"/>
    </w:rPr>
  </w:style>
  <w:style w:type="table" w:styleId="TableGrid">
    <w:name w:val="Table Grid"/>
    <w:basedOn w:val="TableNormal"/>
    <w:uiPriority w:val="39"/>
    <w:rsid w:val="00A65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3237-E221-4DB5-91D3-03B9A761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22</cp:revision>
  <cp:lastPrinted>2026-03-05T17:53:00Z</cp:lastPrinted>
  <dcterms:created xsi:type="dcterms:W3CDTF">2026-03-05T16:00:00Z</dcterms:created>
  <dcterms:modified xsi:type="dcterms:W3CDTF">2026-03-05T17:54:00Z</dcterms:modified>
</cp:coreProperties>
</file>