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268"/>
        <w:tblW w:w="9606" w:type="dxa"/>
        <w:tblLayout w:type="fixed"/>
        <w:tblLook w:val="0000"/>
      </w:tblPr>
      <w:tblGrid>
        <w:gridCol w:w="2802"/>
        <w:gridCol w:w="6804"/>
      </w:tblGrid>
      <w:tr w:rsidR="00670D69" w:rsidRPr="00951278" w:rsidTr="008461FF">
        <w:trPr>
          <w:trHeight w:val="1126"/>
        </w:trPr>
        <w:tc>
          <w:tcPr>
            <w:tcW w:w="2802" w:type="dxa"/>
          </w:tcPr>
          <w:p w:rsidR="00670D69" w:rsidRPr="00B27AAE" w:rsidRDefault="00670D69" w:rsidP="008461FF">
            <w:pPr>
              <w:spacing w:line="340" w:lineRule="atLeast"/>
              <w:jc w:val="center"/>
              <w:rPr>
                <w:b/>
                <w:bCs/>
                <w:color w:val="auto"/>
                <w:sz w:val="26"/>
                <w:szCs w:val="26"/>
                <w:lang w:val="nl-NL"/>
              </w:rPr>
            </w:pPr>
            <w:r w:rsidRPr="00B27AAE">
              <w:rPr>
                <w:b/>
                <w:bCs/>
                <w:color w:val="auto"/>
                <w:sz w:val="28"/>
                <w:szCs w:val="28"/>
                <w:lang w:val="nl-NL"/>
              </w:rPr>
              <w:t xml:space="preserve">  </w:t>
            </w:r>
            <w:r w:rsidRPr="00B27AAE">
              <w:rPr>
                <w:b/>
                <w:bCs/>
                <w:color w:val="auto"/>
                <w:sz w:val="26"/>
                <w:szCs w:val="26"/>
                <w:lang w:val="nl-NL"/>
              </w:rPr>
              <w:t>BỘ TÀI CHÍNH</w:t>
            </w:r>
          </w:p>
          <w:p w:rsidR="00670D69" w:rsidRPr="00B27AAE" w:rsidRDefault="008E0CE8" w:rsidP="008461FF">
            <w:pPr>
              <w:spacing w:line="340" w:lineRule="atLeast"/>
              <w:jc w:val="center"/>
              <w:rPr>
                <w:b/>
                <w:bCs/>
                <w:color w:val="auto"/>
                <w:sz w:val="28"/>
                <w:szCs w:val="28"/>
                <w:lang w:val="nl-NL"/>
              </w:rPr>
            </w:pPr>
            <w:r>
              <w:rPr>
                <w:b/>
                <w:bCs/>
                <w:color w:val="auto"/>
                <w:sz w:val="28"/>
                <w:szCs w:val="28"/>
              </w:rPr>
              <w:pict>
                <v:line id="_x0000_s2062" style="position:absolute;left:0;text-align:left;z-index:251662336" from="51.8pt,4.4pt" to="87.35pt,4.4pt"/>
              </w:pict>
            </w:r>
          </w:p>
          <w:p w:rsidR="00670D69" w:rsidRPr="00B27AAE" w:rsidRDefault="00670D69" w:rsidP="008461FF">
            <w:pPr>
              <w:spacing w:line="340" w:lineRule="atLeast"/>
              <w:jc w:val="center"/>
              <w:rPr>
                <w:color w:val="auto"/>
                <w:sz w:val="28"/>
                <w:szCs w:val="28"/>
                <w:lang w:val="nl-NL"/>
              </w:rPr>
            </w:pPr>
          </w:p>
          <w:p w:rsidR="00670D69" w:rsidRPr="00B27AAE" w:rsidRDefault="00670D69" w:rsidP="008461FF">
            <w:pPr>
              <w:spacing w:line="340" w:lineRule="atLeast"/>
              <w:jc w:val="center"/>
              <w:rPr>
                <w:color w:val="auto"/>
                <w:sz w:val="28"/>
                <w:szCs w:val="28"/>
                <w:lang w:val="nl-NL"/>
              </w:rPr>
            </w:pPr>
            <w:r w:rsidRPr="00B27AAE">
              <w:rPr>
                <w:color w:val="auto"/>
                <w:sz w:val="26"/>
                <w:szCs w:val="26"/>
                <w:lang w:val="nl-NL"/>
              </w:rPr>
              <w:t xml:space="preserve">Số: </w:t>
            </w:r>
            <w:r w:rsidRPr="00B27AAE">
              <w:rPr>
                <w:b/>
                <w:color w:val="auto"/>
                <w:sz w:val="26"/>
                <w:szCs w:val="26"/>
                <w:lang w:val="nl-NL"/>
              </w:rPr>
              <w:t xml:space="preserve">        </w:t>
            </w:r>
            <w:r w:rsidRPr="00B27AAE">
              <w:rPr>
                <w:color w:val="auto"/>
                <w:sz w:val="26"/>
                <w:szCs w:val="26"/>
                <w:lang w:val="nl-NL"/>
              </w:rPr>
              <w:t>/BC-BTC</w:t>
            </w:r>
          </w:p>
          <w:p w:rsidR="00670D69" w:rsidRPr="00B27AAE" w:rsidRDefault="00670D69" w:rsidP="008461FF">
            <w:pPr>
              <w:spacing w:line="340" w:lineRule="atLeast"/>
              <w:jc w:val="center"/>
              <w:rPr>
                <w:rStyle w:val="Strong"/>
                <w:b w:val="0"/>
                <w:bCs w:val="0"/>
                <w:color w:val="auto"/>
                <w:sz w:val="28"/>
                <w:szCs w:val="28"/>
                <w:lang w:val="nl-NL"/>
              </w:rPr>
            </w:pPr>
          </w:p>
        </w:tc>
        <w:tc>
          <w:tcPr>
            <w:tcW w:w="6804" w:type="dxa"/>
          </w:tcPr>
          <w:p w:rsidR="00670D69" w:rsidRPr="00B27AAE" w:rsidRDefault="00670D69" w:rsidP="008461FF">
            <w:pPr>
              <w:spacing w:line="340" w:lineRule="atLeast"/>
              <w:jc w:val="center"/>
              <w:rPr>
                <w:b/>
                <w:bCs/>
                <w:color w:val="auto"/>
                <w:sz w:val="26"/>
                <w:szCs w:val="26"/>
                <w:lang w:val="nl-NL"/>
              </w:rPr>
            </w:pPr>
            <w:r w:rsidRPr="00B27AAE">
              <w:rPr>
                <w:b/>
                <w:bCs/>
                <w:color w:val="auto"/>
                <w:sz w:val="26"/>
                <w:szCs w:val="26"/>
                <w:lang w:val="nl-NL"/>
              </w:rPr>
              <w:t>CỘNG HOÀ XÃ HỘI CHỦ NGHĨA VIỆT NAM</w:t>
            </w:r>
          </w:p>
          <w:p w:rsidR="00670D69" w:rsidRPr="00B27AAE" w:rsidRDefault="00670D69" w:rsidP="008461FF">
            <w:pPr>
              <w:spacing w:line="340" w:lineRule="atLeast"/>
              <w:jc w:val="center"/>
              <w:rPr>
                <w:b/>
                <w:bCs/>
                <w:color w:val="auto"/>
                <w:sz w:val="28"/>
                <w:szCs w:val="28"/>
              </w:rPr>
            </w:pPr>
            <w:r w:rsidRPr="00B27AAE">
              <w:rPr>
                <w:b/>
                <w:bCs/>
                <w:color w:val="auto"/>
                <w:sz w:val="28"/>
                <w:szCs w:val="28"/>
              </w:rPr>
              <w:t>Độc lập - Tự do - Hạnh phúc</w:t>
            </w:r>
          </w:p>
          <w:p w:rsidR="00670D69" w:rsidRPr="00B27AAE" w:rsidRDefault="008E0CE8" w:rsidP="008461FF">
            <w:pPr>
              <w:spacing w:line="340" w:lineRule="atLeast"/>
              <w:jc w:val="center"/>
              <w:rPr>
                <w:i/>
                <w:iCs/>
                <w:color w:val="auto"/>
                <w:sz w:val="28"/>
                <w:szCs w:val="28"/>
              </w:rPr>
            </w:pPr>
            <w:r w:rsidRPr="008E0CE8">
              <w:rPr>
                <w:b/>
                <w:bCs/>
                <w:color w:val="auto"/>
                <w:sz w:val="28"/>
                <w:szCs w:val="28"/>
                <w:lang w:val="nl-NL"/>
              </w:rPr>
              <w:pict>
                <v:line id="_x0000_s2061" style="position:absolute;left:0;text-align:left;z-index:251661312" from="82.1pt,4.8pt" to="248.6pt,4.8pt"/>
              </w:pict>
            </w:r>
          </w:p>
          <w:p w:rsidR="00670D69" w:rsidRPr="00B27AAE" w:rsidRDefault="00670D69" w:rsidP="008461FF">
            <w:pPr>
              <w:spacing w:line="340" w:lineRule="atLeast"/>
              <w:jc w:val="center"/>
              <w:rPr>
                <w:i/>
                <w:iCs/>
                <w:color w:val="auto"/>
                <w:sz w:val="28"/>
                <w:szCs w:val="28"/>
              </w:rPr>
            </w:pPr>
            <w:r w:rsidRPr="00B27AAE">
              <w:rPr>
                <w:i/>
                <w:iCs/>
                <w:color w:val="auto"/>
                <w:sz w:val="28"/>
                <w:szCs w:val="28"/>
              </w:rPr>
              <w:t>Hà Nội, ngày     tháng    năm 202</w:t>
            </w:r>
            <w:r w:rsidR="006A0AE6">
              <w:rPr>
                <w:i/>
                <w:iCs/>
                <w:color w:val="auto"/>
                <w:sz w:val="28"/>
                <w:szCs w:val="28"/>
              </w:rPr>
              <w:t>6</w:t>
            </w:r>
          </w:p>
        </w:tc>
      </w:tr>
    </w:tbl>
    <w:p w:rsidR="0096115C" w:rsidRPr="001F4CB8" w:rsidRDefault="0096115C" w:rsidP="006B6F74">
      <w:pPr>
        <w:ind w:firstLine="720"/>
        <w:rPr>
          <w:b/>
          <w:color w:val="auto"/>
          <w:sz w:val="8"/>
          <w:szCs w:val="28"/>
        </w:rPr>
      </w:pPr>
    </w:p>
    <w:p w:rsidR="00670D69" w:rsidRDefault="006B6F74" w:rsidP="006B6F74">
      <w:pPr>
        <w:ind w:firstLine="720"/>
        <w:rPr>
          <w:b/>
          <w:color w:val="auto"/>
          <w:sz w:val="28"/>
          <w:szCs w:val="28"/>
        </w:rPr>
      </w:pPr>
      <w:r w:rsidRPr="001F4CB8">
        <w:rPr>
          <w:b/>
          <w:color w:val="auto"/>
          <w:sz w:val="28"/>
          <w:szCs w:val="28"/>
        </w:rPr>
        <w:t xml:space="preserve">              </w:t>
      </w:r>
      <w:r w:rsidR="005E675B" w:rsidRPr="001F4CB8">
        <w:rPr>
          <w:b/>
          <w:color w:val="auto"/>
          <w:sz w:val="28"/>
          <w:szCs w:val="28"/>
        </w:rPr>
        <w:t xml:space="preserve">                            </w:t>
      </w:r>
    </w:p>
    <w:p w:rsidR="006B6F74" w:rsidRPr="001F4CB8" w:rsidRDefault="006B6F74" w:rsidP="00670D69">
      <w:pPr>
        <w:ind w:firstLine="720"/>
        <w:jc w:val="center"/>
        <w:rPr>
          <w:b/>
          <w:color w:val="auto"/>
          <w:sz w:val="28"/>
          <w:szCs w:val="28"/>
        </w:rPr>
      </w:pPr>
      <w:r w:rsidRPr="001F4CB8">
        <w:rPr>
          <w:b/>
          <w:color w:val="auto"/>
          <w:sz w:val="28"/>
          <w:szCs w:val="28"/>
        </w:rPr>
        <w:t>BÁO CÁO</w:t>
      </w:r>
    </w:p>
    <w:p w:rsidR="00115EF7" w:rsidRPr="00723418" w:rsidRDefault="002817A7" w:rsidP="002817A7">
      <w:pPr>
        <w:jc w:val="center"/>
        <w:rPr>
          <w:b/>
          <w:color w:val="auto"/>
          <w:sz w:val="28"/>
          <w:szCs w:val="28"/>
        </w:rPr>
      </w:pPr>
      <w:r>
        <w:rPr>
          <w:b/>
          <w:color w:val="auto"/>
          <w:sz w:val="28"/>
          <w:szCs w:val="28"/>
        </w:rPr>
        <w:t>T</w:t>
      </w:r>
      <w:r w:rsidR="0067500F">
        <w:rPr>
          <w:b/>
          <w:color w:val="auto"/>
          <w:sz w:val="28"/>
          <w:szCs w:val="28"/>
        </w:rPr>
        <w:t>ổng kết thi hành Nghị định số 137/2021/NĐ-CP ngày 31/12/2021</w:t>
      </w:r>
      <w:r>
        <w:rPr>
          <w:b/>
          <w:color w:val="auto"/>
          <w:sz w:val="28"/>
          <w:szCs w:val="28"/>
        </w:rPr>
        <w:t xml:space="preserve"> </w:t>
      </w:r>
      <w:r w:rsidR="0067500F">
        <w:rPr>
          <w:b/>
          <w:color w:val="auto"/>
          <w:sz w:val="28"/>
          <w:szCs w:val="28"/>
        </w:rPr>
        <w:t>của Chính phủ quy định về xử phạt vi phạm hành chính trong lĩnh vực đặt cược</w:t>
      </w:r>
      <w:r w:rsidR="002C2B9A">
        <w:rPr>
          <w:b/>
          <w:color w:val="auto"/>
          <w:sz w:val="28"/>
          <w:szCs w:val="28"/>
        </w:rPr>
        <w:t xml:space="preserve"> </w:t>
      </w:r>
      <w:r w:rsidR="0067500F">
        <w:rPr>
          <w:b/>
          <w:color w:val="auto"/>
          <w:sz w:val="28"/>
          <w:szCs w:val="28"/>
        </w:rPr>
        <w:t>và trò chơi có thưởng</w:t>
      </w:r>
    </w:p>
    <w:p w:rsidR="006B6F74" w:rsidRPr="00723418" w:rsidRDefault="006B6F74" w:rsidP="006B6F74">
      <w:pPr>
        <w:jc w:val="center"/>
        <w:rPr>
          <w:b/>
          <w:color w:val="auto"/>
          <w:sz w:val="28"/>
          <w:szCs w:val="28"/>
        </w:rPr>
      </w:pPr>
    </w:p>
    <w:p w:rsidR="00C97447" w:rsidRPr="001F4CB8" w:rsidRDefault="008E0CE8" w:rsidP="0096115C">
      <w:pPr>
        <w:spacing w:before="120" w:after="120"/>
        <w:ind w:firstLine="720"/>
        <w:jc w:val="center"/>
        <w:rPr>
          <w:b/>
          <w:color w:val="auto"/>
          <w:sz w:val="28"/>
          <w:szCs w:val="28"/>
        </w:rPr>
      </w:pPr>
      <w:r>
        <w:rPr>
          <w:b/>
          <w:color w:val="auto"/>
          <w:sz w:val="28"/>
          <w:szCs w:val="28"/>
        </w:rPr>
        <w:pict>
          <v:shapetype id="_x0000_t32" coordsize="21600,21600" o:spt="32" o:oned="t" path="m,l21600,21600e" filled="f">
            <v:path arrowok="t" fillok="f" o:connecttype="none"/>
            <o:lock v:ext="edit" shapetype="t"/>
          </v:shapetype>
          <v:shape id="AutoShape 21" o:spid="_x0000_s2051" type="#_x0000_t32" style="position:absolute;left:0;text-align:left;margin-left:154.8pt;margin-top:8.75pt;width:14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"/>
        </w:pict>
      </w:r>
    </w:p>
    <w:p w:rsidR="00077456" w:rsidRPr="008C55EA" w:rsidRDefault="008E207D" w:rsidP="007E1384">
      <w:pPr>
        <w:tabs>
          <w:tab w:val="left" w:pos="720"/>
          <w:tab w:val="left" w:pos="6090"/>
        </w:tabs>
        <w:spacing w:before="120" w:after="120"/>
        <w:ind w:firstLine="567"/>
        <w:rPr>
          <w:color w:val="auto"/>
          <w:sz w:val="18"/>
          <w:szCs w:val="28"/>
          <w:lang w:val="nl-NL"/>
        </w:rPr>
      </w:pPr>
      <w:r>
        <w:rPr>
          <w:color w:val="auto"/>
          <w:sz w:val="28"/>
          <w:szCs w:val="28"/>
          <w:lang w:val="nl-NL"/>
        </w:rPr>
        <w:tab/>
      </w:r>
      <w:r w:rsidR="007E1384">
        <w:rPr>
          <w:color w:val="auto"/>
          <w:sz w:val="28"/>
          <w:szCs w:val="28"/>
          <w:lang w:val="nl-NL"/>
        </w:rPr>
        <w:tab/>
      </w:r>
    </w:p>
    <w:p w:rsidR="008E0CE8" w:rsidRDefault="00D815FD" w:rsidP="008E0CE8">
      <w:pPr>
        <w:pStyle w:val="NormalWeb"/>
        <w:spacing w:before="120" w:beforeAutospacing="0" w:after="120" w:afterAutospacing="0" w:line="400" w:lineRule="exact"/>
        <w:ind w:firstLine="720"/>
        <w:jc w:val="both"/>
        <w:rPr>
          <w:spacing w:val="-4"/>
          <w:sz w:val="28"/>
          <w:szCs w:val="28"/>
          <w:lang w:val="nl-NL"/>
        </w:rPr>
      </w:pPr>
      <w:r w:rsidRPr="008C55EA">
        <w:rPr>
          <w:spacing w:val="-4"/>
          <w:sz w:val="28"/>
          <w:szCs w:val="28"/>
          <w:lang w:val="nl-NL"/>
        </w:rPr>
        <w:t xml:space="preserve">Ngày 31/12/2021, Chính phủ ban hành </w:t>
      </w:r>
      <w:r w:rsidR="008E0CE8" w:rsidRPr="008E0CE8">
        <w:rPr>
          <w:sz w:val="28"/>
          <w:szCs w:val="28"/>
          <w:lang w:val="nl-NL"/>
        </w:rPr>
        <w:t>Nghị định số 137/2021/NĐ-CP quy định về xử phạt vi phạm hành chính trong lĩnh vực đặt cược và trò chơi có thưởng</w:t>
      </w:r>
      <w:r w:rsidRPr="008C55EA">
        <w:rPr>
          <w:spacing w:val="-4"/>
          <w:sz w:val="28"/>
          <w:szCs w:val="28"/>
          <w:lang w:val="nl-NL"/>
        </w:rPr>
        <w:t xml:space="preserve"> (Nghị định số </w:t>
      </w:r>
      <w:r w:rsidR="008C55EA" w:rsidRPr="008C55EA">
        <w:rPr>
          <w:spacing w:val="-4"/>
          <w:sz w:val="28"/>
          <w:szCs w:val="28"/>
          <w:lang w:val="nl-NL"/>
        </w:rPr>
        <w:t>137</w:t>
      </w:r>
      <w:r>
        <w:rPr>
          <w:spacing w:val="-4"/>
          <w:sz w:val="28"/>
          <w:szCs w:val="28"/>
          <w:lang w:val="nl-NL"/>
        </w:rPr>
        <w:t>/2021</w:t>
      </w:r>
      <w:r w:rsidRPr="00422269">
        <w:rPr>
          <w:spacing w:val="-4"/>
          <w:sz w:val="28"/>
          <w:szCs w:val="28"/>
          <w:lang w:val="nl-NL"/>
        </w:rPr>
        <w:t>/NĐ-CP)</w:t>
      </w:r>
      <w:r w:rsidR="008C55EA">
        <w:rPr>
          <w:spacing w:val="-4"/>
          <w:sz w:val="28"/>
          <w:szCs w:val="28"/>
          <w:lang w:val="nl-NL"/>
        </w:rPr>
        <w:t>. Việc ban hành Nghị định số 137/</w:t>
      </w:r>
      <w:r w:rsidR="008E0CE8" w:rsidRPr="008E0CE8">
        <w:rPr>
          <w:sz w:val="28"/>
          <w:szCs w:val="28"/>
          <w:lang w:val="nl-NL"/>
        </w:rPr>
        <w:t xml:space="preserve">2021/NĐ-CP đã góp phần hoàn thiện cơ sở pháp lý đối với xử phạt vi phạm hành chính trong lĩnh vực đặt cược và trrò chơi có thưởng. Qua triển khai thực hiện Nghị định số 137/2021/NĐ-CP đã tăng cường công tác xử phạt vi phạm hành chính đối với hoạt động kinh doanh casino và kinh doanh trò chơi điện tử có thưởng (TCĐTCT). Tuy nhiên, quá trình triển khai thực hiện, bên cạnh những kết quả đã đạt được cũng có một số quy định pháp lý cần phải tiếp tục sửa đổi, hoàn thiện để đồng bộ với quy định pháp luật hiện hành và tăng cường quản lý nhà nước. </w:t>
      </w:r>
      <w:r w:rsidRPr="00422269">
        <w:rPr>
          <w:spacing w:val="-4"/>
          <w:sz w:val="28"/>
          <w:szCs w:val="28"/>
          <w:lang w:val="nl-NL"/>
        </w:rPr>
        <w:t>Bộ Tài chính</w:t>
      </w:r>
      <w:r w:rsidR="00C4303A">
        <w:rPr>
          <w:spacing w:val="-4"/>
          <w:sz w:val="28"/>
          <w:szCs w:val="28"/>
          <w:lang w:val="nl-NL"/>
        </w:rPr>
        <w:t xml:space="preserve"> </w:t>
      </w:r>
      <w:r w:rsidRPr="00422269">
        <w:rPr>
          <w:spacing w:val="-4"/>
          <w:sz w:val="28"/>
          <w:szCs w:val="28"/>
          <w:lang w:val="nl-NL"/>
        </w:rPr>
        <w:t xml:space="preserve">tổng kết thi hành </w:t>
      </w:r>
      <w:r w:rsidR="008E0CE8" w:rsidRPr="008E0CE8">
        <w:rPr>
          <w:sz w:val="28"/>
          <w:szCs w:val="28"/>
          <w:lang w:val="nl-NL"/>
        </w:rPr>
        <w:t>Nghị định số 137/2021/NĐ-CP</w:t>
      </w:r>
      <w:r w:rsidRPr="00422269">
        <w:rPr>
          <w:spacing w:val="-4"/>
          <w:sz w:val="28"/>
          <w:szCs w:val="28"/>
          <w:lang w:val="nl-NL"/>
        </w:rPr>
        <w:t xml:space="preserve"> cụ thể như sau:</w:t>
      </w:r>
    </w:p>
    <w:p w:rsidR="008E0CE8" w:rsidRDefault="003A0E4B" w:rsidP="008E0CE8">
      <w:pPr>
        <w:spacing w:before="120" w:after="120" w:line="400" w:lineRule="exact"/>
        <w:ind w:firstLine="720"/>
        <w:rPr>
          <w:rFonts w:eastAsia="Times New Roman"/>
          <w:b/>
          <w:noProof w:val="0"/>
          <w:color w:val="auto"/>
          <w:sz w:val="28"/>
          <w:szCs w:val="28"/>
          <w:lang w:val="nl-NL"/>
        </w:rPr>
      </w:pPr>
      <w:r w:rsidRPr="00A33BA6">
        <w:rPr>
          <w:rFonts w:eastAsia="Times New Roman"/>
          <w:b/>
          <w:noProof w:val="0"/>
          <w:color w:val="auto"/>
          <w:sz w:val="28"/>
          <w:szCs w:val="28"/>
          <w:lang w:val="nl-NL"/>
        </w:rPr>
        <w:t>I</w:t>
      </w:r>
      <w:r w:rsidR="002A3DEB" w:rsidRPr="00A33BA6">
        <w:rPr>
          <w:rFonts w:eastAsia="Times New Roman"/>
          <w:b/>
          <w:noProof w:val="0"/>
          <w:color w:val="auto"/>
          <w:sz w:val="28"/>
          <w:szCs w:val="28"/>
          <w:lang w:val="nl-NL"/>
        </w:rPr>
        <w:t xml:space="preserve">. </w:t>
      </w:r>
      <w:r w:rsidR="008461FF">
        <w:rPr>
          <w:rFonts w:eastAsia="Times New Roman"/>
          <w:b/>
          <w:noProof w:val="0"/>
          <w:color w:val="auto"/>
          <w:sz w:val="28"/>
          <w:szCs w:val="28"/>
          <w:lang w:val="nl-NL"/>
        </w:rPr>
        <w:t>BỐI CẢNH THỰC HIỆN TỔNG KẾT</w:t>
      </w:r>
    </w:p>
    <w:p w:rsidR="008E0CE8" w:rsidRPr="008E0CE8" w:rsidRDefault="008E0CE8" w:rsidP="008E0CE8">
      <w:pPr>
        <w:spacing w:before="120" w:after="120" w:line="400" w:lineRule="exact"/>
        <w:ind w:firstLine="720"/>
        <w:rPr>
          <w:color w:val="auto"/>
          <w:sz w:val="28"/>
          <w:szCs w:val="28"/>
          <w:lang w:val="nl-NL"/>
        </w:rPr>
      </w:pPr>
      <w:r w:rsidRPr="008E0CE8">
        <w:rPr>
          <w:color w:val="auto"/>
          <w:sz w:val="28"/>
          <w:szCs w:val="28"/>
          <w:lang w:val="nl-NL"/>
        </w:rPr>
        <w:t>Trước khi Nghị định số 137/2021/NĐ-CP được ban hành, quy định về xử phạt vi phạm hành chính đối với lĩnh vực đặt cược và trò chơi có thưởng (gồm casino và TCĐTCT) được Chính phủ quy định tại 03 Nghị định chuyên ngành (gồm Nghị định số 86/2013/NĐ-CP ngày 29/7/2013 về kinh doanh trò chơi điện tử có thưởng dành cho người nước ngoài, Nghị định số 03/2017/NĐ-CP ngày 16/01/2017 về kinh doanh casino và Nghị định số 06/2017/NĐ-CP ngày 22/01/2017 về kinh doanh đặt cược đua ngựa, đua chó và bóng đá quốc tế), trong đó quy định cụ thể về h</w:t>
      </w:r>
      <w:r w:rsidR="000C4996" w:rsidRPr="009B403E">
        <w:rPr>
          <w:rFonts w:eastAsia="SimSun"/>
          <w:color w:val="auto"/>
          <w:sz w:val="28"/>
          <w:szCs w:val="22"/>
          <w:lang w:val="vi-VN"/>
        </w:rPr>
        <w:t>ành vi vi phạm hành chính;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vi phạm hành chính</w:t>
      </w:r>
      <w:r w:rsidRPr="008E0CE8">
        <w:rPr>
          <w:rFonts w:eastAsia="SimSun"/>
          <w:color w:val="auto"/>
          <w:sz w:val="28"/>
          <w:szCs w:val="22"/>
          <w:lang w:val="nl-NL"/>
        </w:rPr>
        <w:t xml:space="preserve">. </w:t>
      </w:r>
      <w:r w:rsidRPr="008E0CE8">
        <w:rPr>
          <w:color w:val="auto"/>
          <w:sz w:val="28"/>
          <w:szCs w:val="28"/>
          <w:lang w:val="nl-NL"/>
        </w:rPr>
        <w:t xml:space="preserve">Năm 2020, Quốc hội đã </w:t>
      </w:r>
      <w:r w:rsidRPr="008E0CE8">
        <w:rPr>
          <w:color w:val="auto"/>
          <w:sz w:val="28"/>
          <w:szCs w:val="28"/>
          <w:lang w:val="nl-NL"/>
        </w:rPr>
        <w:lastRenderedPageBreak/>
        <w:t>ban hành Luật sửa đổi, bổ sung một số điều của Luật xử lý vi phạm hành chính số 67/2020/QH14, theo đó đã sửa đổi các quy định về xử lý vi phạm hành chính bao gồm nguyên tắc xử lý vi phạm hành chính, thời hiệu xử lý vi phạm hành chính, thẩm quyền xử phạt vi phạm hành chính và áp dụng biện pháp khắc phục hậu quả, thủ tục xử phạt... Ngày 26/01/2021, Thủ tướng Chính phủ đã ký ban hành Quyết định số 126/QĐ-TTg ban hành Kế hoạch triển khai thi hành Luật sửa đổi, bổ sung một số điều của Luật xử lý vi phạm hành chính, trong đó giao Bộ Tài chính chủ trì, xây dựng Nghị định quy định xử phạt vi phạm hành chính trong lĩnh vực đặt cược và trò chơi có thưởng. Thực hiện quy định, Chính phủ đã ban hành Nghị định số 137/2021/NĐ-CP quy định về xử phạt vi phạm hành chính trong lĩnh vực đặt cược và trò chơi có thưởng.</w:t>
      </w:r>
    </w:p>
    <w:p w:rsidR="008E0CE8" w:rsidRPr="008E0CE8" w:rsidRDefault="008E0CE8" w:rsidP="008E0CE8">
      <w:pPr>
        <w:spacing w:before="120" w:after="120" w:line="400" w:lineRule="exact"/>
        <w:ind w:firstLine="720"/>
        <w:rPr>
          <w:color w:val="auto"/>
          <w:sz w:val="28"/>
          <w:szCs w:val="28"/>
          <w:lang w:val="nl-NL"/>
        </w:rPr>
      </w:pPr>
      <w:r w:rsidRPr="008E0CE8">
        <w:rPr>
          <w:color w:val="auto"/>
          <w:sz w:val="28"/>
          <w:szCs w:val="28"/>
          <w:lang w:val="nl-NL"/>
        </w:rPr>
        <w:t>Việc ban hành Nghị định số 137/2021/NĐ-CP và các văn bản hướng dẫn đã đạt được mục tiêu: (i) Từng bước hoàn thiện khung khổ pháp lý đối với hoạt động kinh doanh TCĐTCT, tăng cường hiệu lực, hiệu quả quản lý nhà nước trên cả 3 phương diện: thể chế chính sách, quản lý, giám sát và xử lý vi phạm hành chính; (ii) Cập nhật, đồng bộ với Luật Xử lý vi phạm hành chính, Luật Phòng, chống rửa tiền, Luật Phòng, chống khủng bố...; (iii) Đảm bảo chế tài xử lý vi phạm trong lĩnh vực đặt cược và trò chơi có thưởng, đảm bảo nguyên tắc các ngành nghề kinh doanh này là ngành, nghề kinh doanh có điều kiện, chịu sự kiểm soát chặt chẽ của cơ quan quản lý nhà nước có thẩm quyền để đảm bảo an ninh, trật tự xã hội.</w:t>
      </w:r>
    </w:p>
    <w:p w:rsidR="008E0CE8" w:rsidRDefault="003A0E4B" w:rsidP="008E0CE8">
      <w:pPr>
        <w:spacing w:before="120" w:after="120" w:line="400" w:lineRule="exact"/>
        <w:ind w:firstLine="720"/>
        <w:rPr>
          <w:b/>
          <w:sz w:val="28"/>
          <w:szCs w:val="28"/>
          <w:lang w:val="nl-NL"/>
        </w:rPr>
      </w:pPr>
      <w:r>
        <w:rPr>
          <w:b/>
          <w:sz w:val="28"/>
          <w:szCs w:val="28"/>
          <w:lang w:val="nl-NL"/>
        </w:rPr>
        <w:t>II</w:t>
      </w:r>
      <w:r w:rsidRPr="0084168B">
        <w:rPr>
          <w:b/>
          <w:sz w:val="28"/>
          <w:szCs w:val="28"/>
          <w:lang w:val="nl-NL"/>
        </w:rPr>
        <w:t xml:space="preserve">. </w:t>
      </w:r>
      <w:r w:rsidR="008461FF">
        <w:rPr>
          <w:b/>
          <w:sz w:val="28"/>
          <w:szCs w:val="28"/>
          <w:lang w:val="nl-NL"/>
        </w:rPr>
        <w:t>KẾT QUẢ THỰC HIỆN</w:t>
      </w:r>
    </w:p>
    <w:p w:rsidR="008E0CE8" w:rsidRDefault="008461FF" w:rsidP="008E0CE8">
      <w:pPr>
        <w:pStyle w:val="NormalWeb"/>
        <w:spacing w:before="120" w:beforeAutospacing="0" w:after="120" w:afterAutospacing="0" w:line="400" w:lineRule="exact"/>
        <w:ind w:firstLine="720"/>
        <w:jc w:val="both"/>
        <w:rPr>
          <w:b/>
          <w:sz w:val="28"/>
          <w:szCs w:val="28"/>
          <w:lang w:val="nl-NL"/>
        </w:rPr>
      </w:pPr>
      <w:r>
        <w:rPr>
          <w:b/>
          <w:sz w:val="28"/>
          <w:szCs w:val="28"/>
          <w:lang w:val="nl-NL"/>
        </w:rPr>
        <w:t>1. Việc tổ chức thi hành</w:t>
      </w:r>
    </w:p>
    <w:p w:rsidR="008E0CE8" w:rsidRPr="008E0CE8" w:rsidRDefault="008E0CE8" w:rsidP="008E0CE8">
      <w:pPr>
        <w:widowControl w:val="0"/>
        <w:spacing w:before="120" w:after="120" w:line="400" w:lineRule="exact"/>
        <w:ind w:firstLine="720"/>
        <w:rPr>
          <w:color w:val="auto"/>
          <w:sz w:val="28"/>
          <w:szCs w:val="28"/>
          <w:lang w:val="nl-NL"/>
        </w:rPr>
      </w:pPr>
      <w:r w:rsidRPr="008E0CE8">
        <w:rPr>
          <w:color w:val="auto"/>
          <w:sz w:val="28"/>
          <w:szCs w:val="28"/>
          <w:lang w:val="nl-NL"/>
        </w:rPr>
        <w:t>Triển khai các Nghị định chuyên ngành (Nghị định số 121/2021/NĐ-CP, Nghị định số 03/2017/NĐ-CP) và Nghị định số 137/2021/NĐ-CP, từ năm 2022 đến năm 202</w:t>
      </w:r>
      <w:r w:rsidR="00192B55">
        <w:rPr>
          <w:color w:val="auto"/>
          <w:sz w:val="28"/>
          <w:szCs w:val="28"/>
          <w:lang w:val="nl-NL"/>
        </w:rPr>
        <w:t>5</w:t>
      </w:r>
      <w:r w:rsidRPr="008E0CE8">
        <w:rPr>
          <w:color w:val="auto"/>
          <w:sz w:val="28"/>
          <w:szCs w:val="28"/>
          <w:lang w:val="nl-NL"/>
        </w:rPr>
        <w:t xml:space="preserve">, Bộ Tài chính đã phối hợp các Bộ Công an, Kế hoạch và Đầu tư (nay là Bộ Tài chính), Văn hóa, Thể thao và Du lịch, Ngân hàng Nhà nước Việt Nam và Ủy ban nhân dân cấp tỉnh kiểm tra định kỳ hoạt động kinh doanh casino và TCĐTCT tại </w:t>
      </w:r>
      <w:r w:rsidR="00192B55">
        <w:rPr>
          <w:color w:val="auto"/>
          <w:sz w:val="28"/>
          <w:szCs w:val="28"/>
          <w:lang w:val="nl-NL"/>
        </w:rPr>
        <w:t>68</w:t>
      </w:r>
      <w:r w:rsidRPr="008E0CE8">
        <w:rPr>
          <w:color w:val="auto"/>
          <w:sz w:val="28"/>
          <w:szCs w:val="28"/>
          <w:lang w:val="nl-NL"/>
        </w:rPr>
        <w:t xml:space="preserve"> doanh nghiệp. Căn cứ quy định của Nghị định số 137/2021/NĐ-CP, Bộ Tài chính đã ban hành 20 Quyết định xử phạt đối với doanh nghiệp casino và TCĐTCT có hành vi vi phạm hành chính với tổng số tiền phạt là 3.593 triệu đồng; tước quyền sử dụng Giấy chứng nhận đủ điều kiện kinh doanh đối với 05 doanh nghiệp; Ngân hàng Nhà nước Việt Nam đã ban hành 02 Quyết định xử phạt đối với 02 doanh nghiệp TCĐTCT với tổng số tiền </w:t>
      </w:r>
      <w:r w:rsidRPr="008E0CE8">
        <w:rPr>
          <w:color w:val="auto"/>
          <w:sz w:val="28"/>
          <w:szCs w:val="28"/>
          <w:lang w:val="nl-NL"/>
        </w:rPr>
        <w:lastRenderedPageBreak/>
        <w:t>phạt là 340 triệu đồng.</w:t>
      </w:r>
    </w:p>
    <w:p w:rsidR="008E0CE8" w:rsidRPr="008E0CE8" w:rsidRDefault="008E0CE8" w:rsidP="008E0CE8">
      <w:pPr>
        <w:widowControl w:val="0"/>
        <w:spacing w:before="120" w:after="120" w:line="400" w:lineRule="exact"/>
        <w:ind w:firstLine="720"/>
        <w:rPr>
          <w:color w:val="auto"/>
          <w:sz w:val="28"/>
          <w:szCs w:val="28"/>
          <w:lang w:val="nl-NL"/>
        </w:rPr>
      </w:pPr>
      <w:r w:rsidRPr="008E0CE8">
        <w:rPr>
          <w:color w:val="auto"/>
          <w:sz w:val="28"/>
          <w:szCs w:val="28"/>
          <w:lang w:val="nl-NL"/>
        </w:rPr>
        <w:t>Theo đánh giá của Bộ Tài chính, việc triển khai thực hiện Nghị định số 137/2021/NĐ-CP về xử phạt vi phạm hành chính trong lĩnh vực đặt cược và trò chơi có thưởng đã góp phần thể hiện tính nghiêm minh của pháp luật, nâng cao ý thức chấp hành pháp luật của doanh nghiệp, các tổ chức, cá nhân có liên quan. Qua kiểm tra định kỳ hàng năm cho thấy, số hành vi vi phạm của doanh nghiệp có xu hướng giảm dần.</w:t>
      </w:r>
    </w:p>
    <w:p w:rsidR="008E0CE8" w:rsidRPr="008E0CE8" w:rsidRDefault="008E0CE8" w:rsidP="008E0CE8">
      <w:pPr>
        <w:widowControl w:val="0"/>
        <w:spacing w:before="120" w:after="120" w:line="400" w:lineRule="exact"/>
        <w:ind w:firstLine="720"/>
        <w:rPr>
          <w:b/>
          <w:color w:val="auto"/>
          <w:sz w:val="28"/>
          <w:szCs w:val="28"/>
          <w:lang w:val="nl-NL"/>
        </w:rPr>
      </w:pPr>
      <w:r w:rsidRPr="008E0CE8">
        <w:rPr>
          <w:b/>
          <w:color w:val="auto"/>
          <w:sz w:val="28"/>
          <w:szCs w:val="28"/>
          <w:lang w:val="nl-NL"/>
        </w:rPr>
        <w:t>2. Kết quả thi hành</w:t>
      </w:r>
    </w:p>
    <w:p w:rsidR="008E0CE8" w:rsidRDefault="008E0CE8" w:rsidP="008E0CE8">
      <w:pPr>
        <w:widowControl w:val="0"/>
        <w:spacing w:before="120" w:after="120" w:line="400" w:lineRule="exact"/>
        <w:ind w:firstLine="720"/>
        <w:rPr>
          <w:color w:val="auto"/>
          <w:sz w:val="28"/>
          <w:szCs w:val="28"/>
          <w:lang w:val="nl-NL"/>
        </w:rPr>
      </w:pPr>
      <w:r w:rsidRPr="008E0CE8">
        <w:rPr>
          <w:color w:val="auto"/>
          <w:sz w:val="28"/>
          <w:szCs w:val="28"/>
          <w:lang w:val="nl-NL"/>
        </w:rPr>
        <w:t>Q</w:t>
      </w:r>
      <w:r w:rsidR="003A0E4B" w:rsidRPr="003D7392">
        <w:rPr>
          <w:color w:val="auto"/>
          <w:sz w:val="28"/>
          <w:szCs w:val="28"/>
          <w:lang w:val="vi-VN"/>
        </w:rPr>
        <w:t xml:space="preserve">uá trình triển khai </w:t>
      </w:r>
      <w:r w:rsidRPr="008E0CE8">
        <w:rPr>
          <w:color w:val="auto"/>
          <w:sz w:val="28"/>
          <w:szCs w:val="28"/>
          <w:lang w:val="nl-NL"/>
        </w:rPr>
        <w:t>Nghị định số 137/2021/NĐ-CP</w:t>
      </w:r>
      <w:r w:rsidR="003A0E4B" w:rsidRPr="003D7392">
        <w:rPr>
          <w:color w:val="auto"/>
          <w:sz w:val="28"/>
          <w:szCs w:val="28"/>
          <w:lang w:val="vi-VN"/>
        </w:rPr>
        <w:t xml:space="preserve"> cho thấy</w:t>
      </w:r>
      <w:r w:rsidR="003A0E4B" w:rsidRPr="003D7392">
        <w:rPr>
          <w:color w:val="auto"/>
          <w:sz w:val="28"/>
          <w:szCs w:val="28"/>
          <w:lang w:val="nl-NL"/>
        </w:rPr>
        <w:t xml:space="preserve"> một số quy định tại Nghị định cần thiết phải tiếp tục hoàn thiện, bổ sung để nâng cao hiệu lực, hiệu quả quản lý nhà nước, đồng bộ với hệ thống pháp luật hiện hành và phù hợp thực tế, cụ thể như sau:</w:t>
      </w:r>
    </w:p>
    <w:p w:rsidR="008E0CE8" w:rsidRPr="008E0CE8" w:rsidRDefault="008E0CE8" w:rsidP="008E0CE8">
      <w:pPr>
        <w:widowControl w:val="0"/>
        <w:spacing w:before="120" w:after="120" w:line="400" w:lineRule="exact"/>
        <w:ind w:firstLine="709"/>
        <w:outlineLvl w:val="0"/>
        <w:rPr>
          <w:i/>
          <w:color w:val="auto"/>
          <w:sz w:val="28"/>
          <w:szCs w:val="28"/>
          <w:lang w:val="nl-NL"/>
        </w:rPr>
      </w:pPr>
      <w:r w:rsidRPr="008E0CE8">
        <w:rPr>
          <w:i/>
          <w:color w:val="auto"/>
          <w:sz w:val="28"/>
          <w:szCs w:val="28"/>
          <w:lang w:val="nl-NL"/>
        </w:rPr>
        <w:t xml:space="preserve">2.1. Về chế tài xử lý vi phạm </w:t>
      </w:r>
    </w:p>
    <w:p w:rsidR="008E0CE8" w:rsidRDefault="009874F5" w:rsidP="008E0CE8">
      <w:pPr>
        <w:widowControl w:val="0"/>
        <w:spacing w:before="120" w:after="120" w:line="400" w:lineRule="exact"/>
        <w:ind w:firstLine="709"/>
        <w:rPr>
          <w:rFonts w:eastAsia="Times New Roman"/>
          <w:noProof w:val="0"/>
          <w:color w:val="auto"/>
          <w:spacing w:val="-3"/>
          <w:sz w:val="28"/>
          <w:szCs w:val="28"/>
          <w:lang w:val="nl-NL"/>
        </w:rPr>
      </w:pPr>
      <w:r w:rsidRPr="009874F5">
        <w:rPr>
          <w:rFonts w:eastAsia="Times New Roman"/>
          <w:noProof w:val="0"/>
          <w:color w:val="auto"/>
          <w:spacing w:val="-3"/>
          <w:sz w:val="28"/>
          <w:szCs w:val="28"/>
          <w:lang w:val="nl-NL"/>
        </w:rPr>
        <w:t>- Về hình thức xử phạt bổ sung tước quyền sử dụng Giấy chứng nhận đủ điều kiện kinh doanh có thời hạn:</w:t>
      </w:r>
    </w:p>
    <w:p w:rsidR="008E0CE8" w:rsidRDefault="009874F5" w:rsidP="008E0CE8">
      <w:pPr>
        <w:widowControl w:val="0"/>
        <w:spacing w:before="120" w:after="120" w:line="400" w:lineRule="exact"/>
        <w:ind w:firstLine="709"/>
        <w:rPr>
          <w:rFonts w:eastAsia="Times New Roman"/>
          <w:noProof w:val="0"/>
          <w:color w:val="auto"/>
          <w:spacing w:val="-3"/>
          <w:sz w:val="28"/>
          <w:szCs w:val="28"/>
          <w:lang w:val="nl-NL"/>
        </w:rPr>
      </w:pPr>
      <w:r w:rsidRPr="009874F5">
        <w:rPr>
          <w:rFonts w:eastAsia="Times New Roman"/>
          <w:noProof w:val="0"/>
          <w:color w:val="auto"/>
          <w:spacing w:val="-3"/>
          <w:sz w:val="28"/>
          <w:szCs w:val="28"/>
          <w:lang w:val="nl-NL"/>
        </w:rPr>
        <w:t>+ Tại Nghị định số 137/2021/NĐ-CP quy định hình thức xử phạt bổ sung tước quyền sử dụng Giấy chứng nhận đủ điều kiện kinh doanh có thời hạn đối với 30 hành vi vi phạm hành chính, gồm: 12 hành vi trong kinh doanh đặt cược, 09 hành vi đối với kinh doanh TCĐTCT, 09 hành vi trong kinh doanh casino.</w:t>
      </w:r>
    </w:p>
    <w:p w:rsidR="008E0CE8" w:rsidRDefault="009874F5" w:rsidP="008E0CE8">
      <w:pPr>
        <w:widowControl w:val="0"/>
        <w:spacing w:before="120" w:after="120" w:line="400" w:lineRule="exact"/>
        <w:ind w:firstLine="709"/>
        <w:rPr>
          <w:rFonts w:eastAsia="Times New Roman"/>
          <w:noProof w:val="0"/>
          <w:color w:val="auto"/>
          <w:spacing w:val="-3"/>
          <w:sz w:val="28"/>
          <w:szCs w:val="28"/>
          <w:lang w:val="nl-NL"/>
        </w:rPr>
      </w:pPr>
      <w:r w:rsidRPr="009874F5">
        <w:rPr>
          <w:rFonts w:eastAsia="Times New Roman"/>
          <w:noProof w:val="0"/>
          <w:color w:val="auto"/>
          <w:spacing w:val="-3"/>
          <w:sz w:val="28"/>
          <w:szCs w:val="28"/>
          <w:lang w:val="nl-NL"/>
        </w:rPr>
        <w:t>+ Quy định về cấp Giấy chứng nhận đủ điều kiện kinh doanh TCĐTCT/casino: tại các Nghị định chuyên ngành (Nghị định số 121/2021/NĐ-CP về kinh doanh TCĐTCT, Nghị định số 03/2017/NĐ-CP về kinh doanh casino) quy định về cấp mới Giấy chứng nhận đủ điều kiện kinh doanh đối với các doanh nghiệp đáp ứng điều kiện. Đối với các doanh nghiệp chuyển tiếp được cơ quan quản lý nhà nước cấp phép kinh doanh casino và TCĐTCT trước khi các Nghị định chuyên ngành ban hành thì được phép tiếp tục kinh doanh theo Giấy phép đầu tư/Giấy chứng nhận đăng ký doanh nghiệp hoặc văn bản của cơ quan quản lý nhà nước cấp. Trường hợp có nhu cầu doanh nghiệp có nhu cầu thì làm thủ tục để được cấp Giấy chứng nhận đủ điều kiện kinh doanh theo quy định tại Nghị định</w:t>
      </w:r>
      <w:r w:rsidRPr="009874F5">
        <w:rPr>
          <w:rFonts w:eastAsia="Times New Roman"/>
          <w:noProof w:val="0"/>
          <w:color w:val="auto"/>
          <w:spacing w:val="-3"/>
          <w:sz w:val="28"/>
          <w:szCs w:val="28"/>
          <w:vertAlign w:val="superscript"/>
          <w:lang w:val="nl-NL"/>
        </w:rPr>
        <w:footnoteReference w:id="1"/>
      </w:r>
      <w:r w:rsidRPr="009874F5">
        <w:rPr>
          <w:rFonts w:eastAsia="Times New Roman"/>
          <w:noProof w:val="0"/>
          <w:color w:val="auto"/>
          <w:spacing w:val="-3"/>
          <w:sz w:val="28"/>
          <w:szCs w:val="28"/>
          <w:lang w:val="nl-NL"/>
        </w:rPr>
        <w:t xml:space="preserve">. Theo đó, hiện có </w:t>
      </w:r>
      <w:r w:rsidR="00486266">
        <w:rPr>
          <w:rFonts w:eastAsia="Times New Roman"/>
          <w:noProof w:val="0"/>
          <w:color w:val="auto"/>
          <w:spacing w:val="-3"/>
          <w:sz w:val="28"/>
          <w:szCs w:val="28"/>
          <w:lang w:val="nl-NL"/>
        </w:rPr>
        <w:t>20</w:t>
      </w:r>
      <w:r w:rsidRPr="009874F5">
        <w:rPr>
          <w:rFonts w:eastAsia="Times New Roman"/>
          <w:noProof w:val="0"/>
          <w:color w:val="auto"/>
          <w:spacing w:val="-3"/>
          <w:sz w:val="28"/>
          <w:szCs w:val="28"/>
          <w:lang w:val="nl-NL"/>
        </w:rPr>
        <w:t xml:space="preserve"> doanh nghiệp TCĐTCT chuyển tiếp và 06 doanh nghiệp casino thuộc đối tượng chuyển tiếp, tiếp tục kinh doanh theo quy định của các </w:t>
      </w:r>
      <w:r w:rsidRPr="009874F5">
        <w:rPr>
          <w:rFonts w:eastAsia="Times New Roman"/>
          <w:noProof w:val="0"/>
          <w:color w:val="auto"/>
          <w:spacing w:val="-3"/>
          <w:sz w:val="28"/>
          <w:szCs w:val="28"/>
          <w:lang w:val="nl-NL"/>
        </w:rPr>
        <w:lastRenderedPageBreak/>
        <w:t>Giấy phép đã được cấp trước đây, không làm thủ tục cấp Giấy chứng nhận đủ điều kiện kinh doanh. Riêng đối với kinh doanh đặt cược không còn doanh nghiệp chuyển tiếp.</w:t>
      </w:r>
    </w:p>
    <w:p w:rsidR="008E0CE8" w:rsidRDefault="009874F5" w:rsidP="008E0CE8">
      <w:pPr>
        <w:widowControl w:val="0"/>
        <w:spacing w:before="120" w:after="120" w:line="400" w:lineRule="exact"/>
        <w:ind w:firstLine="709"/>
        <w:rPr>
          <w:rFonts w:eastAsia="Times New Roman"/>
          <w:noProof w:val="0"/>
          <w:color w:val="auto"/>
          <w:spacing w:val="-3"/>
          <w:sz w:val="28"/>
          <w:szCs w:val="28"/>
          <w:lang w:val="nl-NL"/>
        </w:rPr>
      </w:pPr>
      <w:r w:rsidRPr="009874F5">
        <w:rPr>
          <w:rFonts w:eastAsia="Times New Roman"/>
          <w:noProof w:val="0"/>
          <w:color w:val="auto"/>
          <w:spacing w:val="-3"/>
          <w:sz w:val="28"/>
          <w:szCs w:val="28"/>
          <w:lang w:val="nl-NL"/>
        </w:rPr>
        <w:t>+ Thời gian vừa qua khi thực hiện kiểm tra tại doanh nghiệp kinh doanh casino và TCĐTCT có bất cập là một số doanh nghiệp hoạt động theo quy định chuyển tiếp (tiếp tục kinh doanh theo Giấy phép trước đây, không làm thủ tục cấp Giấy chứng nhận đủ điều kiện kinh doanh) có hành vi vi phạm hành chính nhưng chỉ bị áp dụng hình thức xử phạt là phạt tiền, không bị áp dụng hình thức xử phạt tước quyền sử dụng Giấy chứng nhận đủ điều kiện kinh doanh (do doanh nghiệp không làm thủ tục để được cấp Giấy chứng nhận đủ điều kiện kinh doanh này). Như vậy, giữa doanh nghiệp chuyển tiếp và doanh nghiệp được cấp Giấy chứng nhận đủ điều kiện kinh doanh có cùng hành vi vi phạm nhưng chưa có chế tài xử lý thống nhất, chưa đảm bảo tính đồng bộ của hệ thống pháp luật, cần thiết phải sửa đổi, bổ sung quy định đối với chính sách này.</w:t>
      </w:r>
    </w:p>
    <w:p w:rsidR="008E0CE8" w:rsidRDefault="009874F5" w:rsidP="008E0CE8">
      <w:pPr>
        <w:widowControl w:val="0"/>
        <w:spacing w:before="120" w:after="120" w:line="400" w:lineRule="exact"/>
        <w:ind w:firstLine="709"/>
        <w:rPr>
          <w:rFonts w:eastAsia="Times New Roman"/>
          <w:noProof w:val="0"/>
          <w:color w:val="auto"/>
          <w:spacing w:val="-3"/>
          <w:sz w:val="28"/>
          <w:szCs w:val="28"/>
          <w:lang w:val="nl-NL"/>
        </w:rPr>
      </w:pPr>
      <w:r w:rsidRPr="009874F5">
        <w:rPr>
          <w:rFonts w:eastAsia="Times New Roman"/>
          <w:noProof w:val="0"/>
          <w:color w:val="auto"/>
          <w:spacing w:val="-3"/>
          <w:sz w:val="28"/>
          <w:szCs w:val="28"/>
          <w:lang w:val="nl-NL"/>
        </w:rPr>
        <w:t xml:space="preserve">- Về hình thức xử phạt tịch thu tang vật/phương tiện vi phạm hành chính: </w:t>
      </w:r>
    </w:p>
    <w:p w:rsidR="008E0CE8" w:rsidRDefault="009874F5" w:rsidP="008E0CE8">
      <w:pPr>
        <w:widowControl w:val="0"/>
        <w:spacing w:before="120" w:after="120" w:line="400" w:lineRule="exact"/>
        <w:ind w:firstLine="709"/>
        <w:rPr>
          <w:rFonts w:eastAsia="Times New Roman"/>
          <w:noProof w:val="0"/>
          <w:color w:val="auto"/>
          <w:spacing w:val="-3"/>
          <w:sz w:val="28"/>
          <w:szCs w:val="28"/>
          <w:lang w:val="nl-NL"/>
        </w:rPr>
      </w:pPr>
      <w:r w:rsidRPr="009874F5">
        <w:rPr>
          <w:rFonts w:eastAsia="Times New Roman"/>
          <w:noProof w:val="0"/>
          <w:color w:val="auto"/>
          <w:spacing w:val="-3"/>
          <w:sz w:val="28"/>
          <w:szCs w:val="28"/>
          <w:lang w:val="nl-NL"/>
        </w:rPr>
        <w:t>+ Nghị định số 137/2021/NĐ-CP quy định hình thức xử phạt bổ sung tịch thu tang vật/phương tiện vi phạm hành chính đối với 07 hành vi vi phạm hành chính, gồm: 01 hành vi trong kinh doanh đặt cược, 03 hành vi trong kinh doanh TCĐTCT, 03 hành vi trong kinh doanh casino).</w:t>
      </w:r>
    </w:p>
    <w:p w:rsidR="008E0CE8" w:rsidRDefault="009874F5" w:rsidP="008E0CE8">
      <w:pPr>
        <w:widowControl w:val="0"/>
        <w:spacing w:before="120" w:after="120" w:line="400" w:lineRule="exact"/>
        <w:ind w:firstLine="709"/>
        <w:rPr>
          <w:rFonts w:eastAsia="Times New Roman"/>
          <w:noProof w:val="0"/>
          <w:color w:val="auto"/>
          <w:spacing w:val="-3"/>
          <w:sz w:val="28"/>
          <w:szCs w:val="28"/>
          <w:lang w:val="nl-NL"/>
        </w:rPr>
      </w:pPr>
      <w:r w:rsidRPr="009874F5">
        <w:rPr>
          <w:rFonts w:eastAsia="Times New Roman"/>
          <w:noProof w:val="0"/>
          <w:color w:val="auto"/>
          <w:spacing w:val="-3"/>
          <w:sz w:val="28"/>
          <w:szCs w:val="28"/>
          <w:lang w:val="nl-NL"/>
        </w:rPr>
        <w:t>+ Trong thực tiễn triển khai, một số trường hợp còn gặp khó khăn đối với việc tịch thu, di chuyển, bảo quản tang vật/phương tiện vi phạm là các máy TCĐTCT, thiết bị trò chơi; các tang vật bị tịch thu này cũng không thể được tái sử dụng (do pháp luật TCĐTCT quy định các doanh nghiệp kinh doanh TCĐTCT phải sử dụng máy mới 100% và chỉ được kinh doanh theo số lượng được cấp phép) và buộc phải tiêu hủy do vi phạm các quy định có liên quan. Do đó, cần thiết rà soát, sửa đổi đối với hình thức xử phạt tịch thu tang vật/phương tiện vi phạm hành chính để phù hợp với tình hình thực tiễn.</w:t>
      </w:r>
    </w:p>
    <w:p w:rsidR="008E0CE8" w:rsidRDefault="00B53CA4" w:rsidP="008E0CE8">
      <w:pPr>
        <w:widowControl w:val="0"/>
        <w:spacing w:before="120" w:after="120" w:line="400" w:lineRule="exact"/>
        <w:ind w:firstLine="709"/>
        <w:rPr>
          <w:rFonts w:eastAsia="Times New Roman"/>
          <w:noProof w:val="0"/>
          <w:color w:val="auto"/>
          <w:spacing w:val="-3"/>
          <w:sz w:val="28"/>
          <w:szCs w:val="28"/>
          <w:lang w:val="nl-NL"/>
        </w:rPr>
      </w:pPr>
      <w:r>
        <w:rPr>
          <w:rFonts w:eastAsia="Times New Roman"/>
          <w:noProof w:val="0"/>
          <w:color w:val="auto"/>
          <w:spacing w:val="-3"/>
          <w:sz w:val="28"/>
          <w:szCs w:val="28"/>
          <w:lang w:val="nl-NL"/>
        </w:rPr>
        <w:t xml:space="preserve">- </w:t>
      </w:r>
      <w:r w:rsidRPr="00B53CA4">
        <w:rPr>
          <w:rFonts w:eastAsia="Times New Roman"/>
          <w:noProof w:val="0"/>
          <w:color w:val="auto"/>
          <w:spacing w:val="-3"/>
          <w:sz w:val="28"/>
          <w:szCs w:val="28"/>
          <w:lang w:val="nl-NL"/>
        </w:rPr>
        <w:t>Về biện pháp khắc phục hậu quả buộc nộp lại số lợi bất hợp pháp có được do thực hiện hành vi vi phạm hành chính</w:t>
      </w:r>
      <w:r w:rsidR="00C40DA8">
        <w:rPr>
          <w:rFonts w:eastAsia="Times New Roman"/>
          <w:noProof w:val="0"/>
          <w:color w:val="auto"/>
          <w:spacing w:val="-3"/>
          <w:sz w:val="28"/>
          <w:szCs w:val="28"/>
          <w:lang w:val="nl-NL"/>
        </w:rPr>
        <w:t>:</w:t>
      </w:r>
    </w:p>
    <w:p w:rsidR="008E0CE8" w:rsidRDefault="007870F5" w:rsidP="008E0CE8">
      <w:pPr>
        <w:widowControl w:val="0"/>
        <w:spacing w:before="120" w:after="120" w:line="400" w:lineRule="exact"/>
        <w:ind w:firstLine="709"/>
        <w:rPr>
          <w:rFonts w:eastAsia="Times New Roman"/>
          <w:noProof w:val="0"/>
          <w:color w:val="auto"/>
          <w:spacing w:val="-3"/>
          <w:sz w:val="28"/>
          <w:szCs w:val="28"/>
          <w:lang w:val="nl-NL"/>
        </w:rPr>
      </w:pPr>
      <w:r>
        <w:rPr>
          <w:rFonts w:eastAsia="Times New Roman"/>
          <w:noProof w:val="0"/>
          <w:color w:val="auto"/>
          <w:spacing w:val="-3"/>
          <w:sz w:val="28"/>
          <w:szCs w:val="28"/>
          <w:lang w:val="nl-NL"/>
        </w:rPr>
        <w:t>+</w:t>
      </w:r>
      <w:r w:rsidRPr="007870F5">
        <w:rPr>
          <w:rFonts w:eastAsia="Times New Roman"/>
          <w:noProof w:val="0"/>
          <w:color w:val="auto"/>
          <w:spacing w:val="-3"/>
          <w:sz w:val="28"/>
          <w:szCs w:val="28"/>
          <w:lang w:val="nl-NL"/>
        </w:rPr>
        <w:t xml:space="preserve"> Tại Nghị định số 137/2021/NĐ-CP quy định biện pháp khắc phục hậu quả buộc nộp lại số lợi bất hợp pháp có được do thực hiện hành vi vi phạm hành chính  đối với 23 hành vi vi phạm hành chính, gồm: 11 hành vi trong kinh doanh đặt cược, 06 hành vi đối với kinh doanh TCĐTCT, 06 hành vi trong kinh doanh </w:t>
      </w:r>
      <w:r w:rsidRPr="007870F5">
        <w:rPr>
          <w:rFonts w:eastAsia="Times New Roman"/>
          <w:noProof w:val="0"/>
          <w:color w:val="auto"/>
          <w:spacing w:val="-3"/>
          <w:sz w:val="28"/>
          <w:szCs w:val="28"/>
          <w:lang w:val="nl-NL"/>
        </w:rPr>
        <w:lastRenderedPageBreak/>
        <w:t>casino.</w:t>
      </w:r>
    </w:p>
    <w:p w:rsidR="008E0CE8" w:rsidRDefault="007870F5" w:rsidP="008E0CE8">
      <w:pPr>
        <w:widowControl w:val="0"/>
        <w:spacing w:before="120" w:after="120" w:line="400" w:lineRule="exact"/>
        <w:ind w:firstLine="709"/>
        <w:rPr>
          <w:rFonts w:eastAsia="Times New Roman"/>
          <w:noProof w:val="0"/>
          <w:color w:val="auto"/>
          <w:spacing w:val="-3"/>
          <w:sz w:val="28"/>
          <w:szCs w:val="28"/>
          <w:lang w:val="nl-NL"/>
        </w:rPr>
      </w:pPr>
      <w:r w:rsidRPr="007870F5">
        <w:rPr>
          <w:rFonts w:eastAsia="Times New Roman"/>
          <w:noProof w:val="0"/>
          <w:color w:val="auto"/>
          <w:spacing w:val="-3"/>
          <w:sz w:val="28"/>
          <w:szCs w:val="28"/>
          <w:lang w:val="nl-NL"/>
        </w:rPr>
        <w:t xml:space="preserve"> </w:t>
      </w:r>
      <w:r>
        <w:rPr>
          <w:rFonts w:eastAsia="Times New Roman"/>
          <w:noProof w:val="0"/>
          <w:color w:val="auto"/>
          <w:spacing w:val="-3"/>
          <w:sz w:val="28"/>
          <w:szCs w:val="28"/>
          <w:lang w:val="nl-NL"/>
        </w:rPr>
        <w:t>+</w:t>
      </w:r>
      <w:r w:rsidRPr="007870F5">
        <w:rPr>
          <w:rFonts w:eastAsia="Times New Roman"/>
          <w:noProof w:val="0"/>
          <w:color w:val="auto"/>
          <w:spacing w:val="-3"/>
          <w:sz w:val="28"/>
          <w:szCs w:val="28"/>
          <w:lang w:val="nl-NL"/>
        </w:rPr>
        <w:t xml:space="preserve"> </w:t>
      </w:r>
      <w:r w:rsidR="008E0CE8" w:rsidRPr="008E0CE8">
        <w:rPr>
          <w:rFonts w:eastAsia="Times New Roman"/>
          <w:bCs/>
          <w:noProof w:val="0"/>
          <w:color w:val="auto"/>
          <w:spacing w:val="-3"/>
          <w:sz w:val="28"/>
          <w:szCs w:val="28"/>
          <w:lang w:val="nl-NL"/>
        </w:rPr>
        <w:t xml:space="preserve">Theo quy định tại Điều 37 Luật Xử lý vi phạm hành chính: Cá nhân, tổ chức vi phạm phải nộp lại </w:t>
      </w:r>
      <w:r w:rsidR="008E0CE8" w:rsidRPr="008E0CE8">
        <w:rPr>
          <w:rFonts w:eastAsia="Times New Roman"/>
          <w:bCs/>
          <w:iCs/>
          <w:noProof w:val="0"/>
          <w:color w:val="auto"/>
          <w:spacing w:val="-3"/>
          <w:sz w:val="28"/>
          <w:szCs w:val="28"/>
          <w:lang w:val="nl-NL"/>
        </w:rPr>
        <w:t>số lợi bất hợp pháp</w:t>
      </w:r>
      <w:r w:rsidR="008E0CE8" w:rsidRPr="008E0CE8">
        <w:rPr>
          <w:rFonts w:eastAsia="Times New Roman"/>
          <w:bCs/>
          <w:noProof w:val="0"/>
          <w:color w:val="auto"/>
          <w:spacing w:val="-3"/>
          <w:sz w:val="28"/>
          <w:szCs w:val="28"/>
          <w:lang w:val="nl-NL"/>
        </w:rPr>
        <w:t xml:space="preserve"> là tiền, tài sản, giấy tờ và vật có giá có được từ vi phạm hành chính mà cá nhân, tổ chức đó đã thực hiện để sung vào ngân sách nhà nước hoặc hoàn trả cho đối tượng bị chiếm đoạt; phải nộp lại số tiền bằng với giá trị tang vật, phương tiện vi phạm hành chính nếu tang vật, phương tiện đó đã bị tiêu thụ, tẩu tán, tiêu hủy trái quy định của pháp luật. </w:t>
      </w:r>
      <w:r w:rsidRPr="007870F5">
        <w:rPr>
          <w:rFonts w:eastAsia="Times New Roman"/>
          <w:noProof w:val="0"/>
          <w:color w:val="auto"/>
          <w:spacing w:val="-3"/>
          <w:sz w:val="28"/>
          <w:szCs w:val="28"/>
          <w:lang w:val="nl-NL"/>
        </w:rPr>
        <w:t>Tại khoản 5 Điều 4 Nghị định số 118/2021/NĐ-CP ngày 28/12/2021 của Chính phủ quy định chi tiết một số điều và biện pháp thi hành Luật Xử lý vi phạm hành chính quy định biện pháp khắc phục hậu quả phải được mô tả, rõ ràng, đầy đủ, cụ thể để có thể thực hiện được trong thực tiễn và đảm bảo tính khả thi.</w:t>
      </w:r>
    </w:p>
    <w:p w:rsidR="008E0CE8" w:rsidRDefault="007870F5" w:rsidP="008E0CE8">
      <w:pPr>
        <w:widowControl w:val="0"/>
        <w:spacing w:before="120" w:after="120" w:line="400" w:lineRule="exact"/>
        <w:ind w:firstLine="709"/>
        <w:rPr>
          <w:rFonts w:eastAsia="Times New Roman"/>
          <w:noProof w:val="0"/>
          <w:color w:val="auto"/>
          <w:spacing w:val="-3"/>
          <w:sz w:val="28"/>
          <w:szCs w:val="28"/>
          <w:lang w:val="nl-NL"/>
        </w:rPr>
      </w:pPr>
      <w:r>
        <w:rPr>
          <w:rFonts w:eastAsia="Times New Roman"/>
          <w:noProof w:val="0"/>
          <w:color w:val="auto"/>
          <w:spacing w:val="-3"/>
          <w:sz w:val="28"/>
          <w:szCs w:val="28"/>
          <w:lang w:val="nl-NL"/>
        </w:rPr>
        <w:t>+</w:t>
      </w:r>
      <w:r w:rsidRPr="007870F5">
        <w:rPr>
          <w:rFonts w:eastAsia="Times New Roman"/>
          <w:noProof w:val="0"/>
          <w:color w:val="auto"/>
          <w:spacing w:val="-3"/>
          <w:sz w:val="28"/>
          <w:szCs w:val="28"/>
          <w:lang w:val="nl-NL"/>
        </w:rPr>
        <w:t xml:space="preserve"> Qua thực tiễn triển khai, số lợi bất hợp pháp có được do vi phạm hành chính trong lĩnh vực đặt cược và trò chơi có thưởng rất khó xác định về </w:t>
      </w:r>
      <w:r w:rsidR="008E0CE8" w:rsidRPr="008E0CE8">
        <w:rPr>
          <w:rFonts w:eastAsia="Times New Roman"/>
          <w:noProof w:val="0"/>
          <w:color w:val="auto"/>
          <w:spacing w:val="-3"/>
          <w:sz w:val="28"/>
          <w:szCs w:val="28"/>
          <w:lang w:val="nl-NL"/>
        </w:rPr>
        <w:t>thời điểm xác định thu lợi bất hợp pháp, các khoản chi phí trả thưởng hoặc các chi phí gián tiếp khác.  Do đó, cần thiết bãi bỏ biện pháp khắc phục hậu quả buộc nộp lại số lợi bất hợp pháp để phù hợp với tình hình thực tiễn.</w:t>
      </w:r>
    </w:p>
    <w:p w:rsidR="008E0CE8" w:rsidRPr="008E0CE8" w:rsidRDefault="008E0CE8" w:rsidP="008E0CE8">
      <w:pPr>
        <w:widowControl w:val="0"/>
        <w:spacing w:before="120" w:after="120" w:line="400" w:lineRule="exact"/>
        <w:rPr>
          <w:i/>
          <w:color w:val="auto"/>
          <w:sz w:val="28"/>
          <w:szCs w:val="28"/>
          <w:lang w:val="nl-NL"/>
        </w:rPr>
      </w:pPr>
      <w:r w:rsidRPr="008E0CE8">
        <w:rPr>
          <w:i/>
          <w:color w:val="auto"/>
          <w:sz w:val="28"/>
          <w:szCs w:val="28"/>
          <w:lang w:val="nl-NL"/>
        </w:rPr>
        <w:tab/>
        <w:t>2.2. Về hành vi vi phạm hành chính</w:t>
      </w:r>
      <w:r w:rsidR="009874F5" w:rsidRPr="00FB50B3">
        <w:rPr>
          <w:i/>
          <w:color w:val="auto"/>
          <w:sz w:val="28"/>
          <w:szCs w:val="28"/>
          <w:lang w:val="vi-VN"/>
        </w:rPr>
        <w:t xml:space="preserve"> </w:t>
      </w:r>
    </w:p>
    <w:p w:rsidR="008E0CE8" w:rsidRPr="008E0CE8" w:rsidRDefault="008E0CE8" w:rsidP="008E0CE8">
      <w:pPr>
        <w:widowControl w:val="0"/>
        <w:spacing w:before="120" w:after="120" w:line="400" w:lineRule="exact"/>
        <w:ind w:firstLine="709"/>
        <w:outlineLvl w:val="0"/>
        <w:rPr>
          <w:rFonts w:eastAsia="Times New Roman"/>
          <w:noProof w:val="0"/>
          <w:color w:val="auto"/>
          <w:sz w:val="28"/>
          <w:szCs w:val="28"/>
          <w:lang w:val="nl-NL"/>
        </w:rPr>
      </w:pPr>
      <w:r w:rsidRPr="008E0CE8">
        <w:rPr>
          <w:rFonts w:eastAsia="Times New Roman"/>
          <w:noProof w:val="0"/>
          <w:color w:val="auto"/>
          <w:sz w:val="28"/>
          <w:szCs w:val="28"/>
          <w:lang w:val="nl-NL"/>
        </w:rPr>
        <w:t>- Theo quy định tại khoản 1 Điều 2 Luật XLVPHC, vi phạm hành chính là hành vi có lỗi do cá nhân, tổ chức thực hiện, vi phạm quy định của pháp luật về quản lý nhà nước. Như vậy, quy định về hành vi vi phạm hành chính phải tương ứng với quy định của quản lý nhà nước.</w:t>
      </w:r>
    </w:p>
    <w:p w:rsidR="008E0CE8" w:rsidRPr="008E0CE8" w:rsidRDefault="008E0CE8" w:rsidP="008E0CE8">
      <w:pPr>
        <w:widowControl w:val="0"/>
        <w:spacing w:before="120" w:after="120" w:line="400" w:lineRule="exact"/>
        <w:ind w:firstLine="709"/>
        <w:outlineLvl w:val="0"/>
        <w:rPr>
          <w:rFonts w:eastAsia="Times New Roman"/>
          <w:noProof w:val="0"/>
          <w:color w:val="auto"/>
          <w:sz w:val="28"/>
          <w:szCs w:val="28"/>
          <w:lang w:val="nl-NL"/>
        </w:rPr>
      </w:pPr>
      <w:r w:rsidRPr="008E0CE8">
        <w:rPr>
          <w:rFonts w:eastAsia="Times New Roman"/>
          <w:noProof w:val="0"/>
          <w:color w:val="auto"/>
          <w:sz w:val="28"/>
          <w:szCs w:val="28"/>
          <w:lang w:val="nl-NL"/>
        </w:rPr>
        <w:t xml:space="preserve">- Tuy nhiên, do Nghị định số 137/2021/NĐ-CP được xây dựng song song cùng với Nghị định số 121/2021/NĐ-CP nên tại thời điểm xây dựng Nghị định số 137/2021/NĐ-CP, Nghị định số 121/2021/NĐ-CP chưa được ban hành, chưa thể quy định là hành vi vi phạm quy định. Do đó, tại Nghị định số 137/2021/NĐ-CP kế thừa quy định về các hành vi vi phạm của Nghị định số 86/2013/NĐ-CP (Nghị định trước khi ban hành Nghị định số 121/2021/NĐ-CP); Nghị định số 137/2021/NĐ-CP chưa quy định về xử phạt đối với một số quy định mới tại Nghị định số 121/2021/NĐ-CP. </w:t>
      </w:r>
    </w:p>
    <w:p w:rsidR="008E0CE8" w:rsidRPr="008E0CE8" w:rsidRDefault="008E0CE8" w:rsidP="008E0CE8">
      <w:pPr>
        <w:widowControl w:val="0"/>
        <w:spacing w:before="120" w:after="120" w:line="400" w:lineRule="exact"/>
        <w:ind w:firstLine="709"/>
        <w:outlineLvl w:val="0"/>
        <w:rPr>
          <w:rFonts w:eastAsia="Times New Roman"/>
          <w:noProof w:val="0"/>
          <w:color w:val="auto"/>
          <w:sz w:val="28"/>
          <w:szCs w:val="28"/>
          <w:lang w:val="nl-NL"/>
        </w:rPr>
      </w:pPr>
      <w:r w:rsidRPr="008E0CE8">
        <w:rPr>
          <w:rFonts w:eastAsia="Times New Roman"/>
          <w:noProof w:val="0"/>
          <w:color w:val="auto"/>
          <w:spacing w:val="-4"/>
          <w:sz w:val="28"/>
          <w:szCs w:val="28"/>
          <w:lang w:val="nl-NL"/>
        </w:rPr>
        <w:t xml:space="preserve">- Ngoài ra, thời gian qua, Quốc hội ban hành Luật Phòng, chống rửa tiền số 14/2022/QH15, tại Luật này quy định cụ thể các nội dung phòng chống rửa tiền trong lĩnh vực đặt cược và trò chơi có thưởng, dấu hiệu giao dịch đáng ngờ, giá trị giao dịch lớn phải báo cáo, các nội dung công tác phòng chống rửa tiền cần thực </w:t>
      </w:r>
      <w:r w:rsidRPr="008E0CE8">
        <w:rPr>
          <w:rFonts w:eastAsia="Times New Roman"/>
          <w:noProof w:val="0"/>
          <w:color w:val="auto"/>
          <w:spacing w:val="-4"/>
          <w:sz w:val="28"/>
          <w:szCs w:val="28"/>
          <w:lang w:val="nl-NL"/>
        </w:rPr>
        <w:lastRenderedPageBreak/>
        <w:t>hiện (nhận biết khách hàng, báo cáo giao dịch đáng ngờ, báo cáo định kỳ,...).</w:t>
      </w:r>
      <w:r w:rsidRPr="008E0CE8">
        <w:rPr>
          <w:rFonts w:eastAsia="Times New Roman"/>
          <w:noProof w:val="0"/>
          <w:color w:val="auto"/>
          <w:sz w:val="28"/>
          <w:szCs w:val="28"/>
          <w:lang w:val="nl-NL"/>
        </w:rPr>
        <w:t xml:space="preserve"> </w:t>
      </w:r>
    </w:p>
    <w:p w:rsidR="008E0CE8" w:rsidRPr="008E0CE8" w:rsidRDefault="008E0CE8" w:rsidP="008E0CE8">
      <w:pPr>
        <w:widowControl w:val="0"/>
        <w:spacing w:before="120" w:after="120" w:line="400" w:lineRule="exact"/>
        <w:ind w:firstLine="709"/>
        <w:outlineLvl w:val="0"/>
        <w:rPr>
          <w:rFonts w:eastAsia="Times New Roman"/>
          <w:noProof w:val="0"/>
          <w:color w:val="auto"/>
          <w:sz w:val="28"/>
          <w:szCs w:val="28"/>
          <w:lang w:val="nl-NL"/>
        </w:rPr>
      </w:pPr>
      <w:r w:rsidRPr="008E0CE8">
        <w:rPr>
          <w:rFonts w:eastAsia="Times New Roman"/>
          <w:noProof w:val="0"/>
          <w:color w:val="auto"/>
          <w:sz w:val="28"/>
          <w:szCs w:val="28"/>
          <w:lang w:val="nl-NL"/>
        </w:rPr>
        <w:t>- Đồng thời, để tăng cường quản lý chặt chẽ đối với các hoạt động kinh doanh đặt cược, casino và TCĐTCT theo đúng nguyên tắc quản lý đối với các hoạt động kinh doanh này, đảm bảo tính răn đe, nghiêm khắc của pháp luật và phù hợp thực tiễn triển khai, cần tiếp tục rà soát các hành vi vi phạm và mức xử phạt vi phạm hành chính (bao gồm cả phạt tiền và mức xử phạt bổ sung).</w:t>
      </w:r>
    </w:p>
    <w:p w:rsidR="008E0CE8" w:rsidRPr="008E0CE8" w:rsidRDefault="008E0CE8" w:rsidP="008E0CE8">
      <w:pPr>
        <w:widowControl w:val="0"/>
        <w:spacing w:before="120" w:after="120" w:line="400" w:lineRule="exact"/>
        <w:ind w:firstLine="709"/>
        <w:outlineLvl w:val="0"/>
        <w:rPr>
          <w:i/>
          <w:color w:val="auto"/>
          <w:sz w:val="28"/>
          <w:szCs w:val="28"/>
          <w:lang w:val="nl-NL"/>
        </w:rPr>
      </w:pPr>
      <w:r w:rsidRPr="008E0CE8">
        <w:rPr>
          <w:i/>
          <w:color w:val="auto"/>
          <w:sz w:val="28"/>
          <w:szCs w:val="28"/>
          <w:lang w:val="nl-NL"/>
        </w:rPr>
        <w:t>2.3. Về thẩm quyền lập biên bản và xử phạt vi phạm hành chính:</w:t>
      </w:r>
    </w:p>
    <w:p w:rsidR="008E0CE8" w:rsidRDefault="009874F5" w:rsidP="008E0CE8">
      <w:pPr>
        <w:widowControl w:val="0"/>
        <w:spacing w:before="120" w:after="120" w:line="400" w:lineRule="exact"/>
        <w:ind w:firstLine="709"/>
        <w:outlineLvl w:val="0"/>
        <w:rPr>
          <w:rFonts w:eastAsia="Times New Roman"/>
          <w:noProof w:val="0"/>
          <w:color w:val="auto"/>
          <w:spacing w:val="-2"/>
          <w:sz w:val="28"/>
          <w:szCs w:val="28"/>
          <w:lang w:val="nl-NL"/>
        </w:rPr>
      </w:pPr>
      <w:r w:rsidRPr="009874F5">
        <w:rPr>
          <w:rFonts w:eastAsia="Times New Roman"/>
          <w:noProof w:val="0"/>
          <w:color w:val="auto"/>
          <w:spacing w:val="-2"/>
          <w:sz w:val="28"/>
          <w:szCs w:val="28"/>
          <w:lang w:val="nl-NL"/>
        </w:rPr>
        <w:t>- Tại Khoản 29 Điều 1 Luật XLVPHC quy định khi phát hiện hành vi vi phạm hành chính, người có thẩm quyền đang thi hành công vụ thuộc lĩnh vực quản lý của mình phải kịp thời lập biên bản vi phạm hành chính;  giao Chính phủ quy định chi tiết Điều này.</w:t>
      </w:r>
    </w:p>
    <w:p w:rsidR="008E0CE8" w:rsidRDefault="009874F5" w:rsidP="008E0CE8">
      <w:pPr>
        <w:widowControl w:val="0"/>
        <w:spacing w:before="120" w:after="120" w:line="400" w:lineRule="exact"/>
        <w:ind w:firstLine="709"/>
        <w:outlineLvl w:val="0"/>
        <w:rPr>
          <w:rFonts w:eastAsia="Times New Roman"/>
          <w:noProof w:val="0"/>
          <w:color w:val="auto"/>
          <w:spacing w:val="-2"/>
          <w:sz w:val="28"/>
          <w:szCs w:val="28"/>
          <w:lang w:val="nl-NL"/>
        </w:rPr>
      </w:pPr>
      <w:r w:rsidRPr="009874F5">
        <w:rPr>
          <w:rFonts w:eastAsia="Times New Roman"/>
          <w:noProof w:val="0"/>
          <w:color w:val="auto"/>
          <w:spacing w:val="-2"/>
          <w:sz w:val="28"/>
          <w:szCs w:val="28"/>
          <w:lang w:val="pt-BR"/>
        </w:rPr>
        <w:t xml:space="preserve">- Tại Nghị định số 137/2021/NĐ-CP hiện đang quy định người có thẩm quyền lập biên bản vi phạm hành chính gồm 03 nhóm: </w:t>
      </w:r>
      <w:r w:rsidRPr="009874F5">
        <w:rPr>
          <w:rFonts w:eastAsia="Times New Roman"/>
          <w:noProof w:val="0"/>
          <w:color w:val="auto"/>
          <w:spacing w:val="-2"/>
          <w:sz w:val="28"/>
          <w:szCs w:val="28"/>
          <w:lang w:val="nl-NL"/>
        </w:rPr>
        <w:t>(i) nhóm lực lượng thanh tra gồm: Thanh tra viên Tài chính các cấp, Chánh Thanh tra Sở Tài chính, Trưởng đoàn thanh tra chuyên ngành Bộ Tài chính, Chánh Thanh tra Bộ Tài chính; (ii) nhóm lực lượng công an gồm: Chiến sĩ công an nhân dân, Trưởng công an cấp huyện, Trưởng phòng nghiệp vụ của Bộ Công an, Giám đốc công an cấp tỉnh, Cục trưởng Bộ Công an; (iii) nhóm lực lượng tại địa phương là UBND cấp tỉnh (các Điều 57, 58, 59 và 60). Nghị định số 137/2021/NĐ-CP chưa có quy định về thẩm quyền lập biên bản vi phạm hành chính của công chức, viên chức đang thi hành công vụ, nhiệm vụ.</w:t>
      </w:r>
    </w:p>
    <w:p w:rsidR="008E0CE8" w:rsidRDefault="00081B3D" w:rsidP="008E0CE8">
      <w:pPr>
        <w:widowControl w:val="0"/>
        <w:spacing w:before="120" w:after="120" w:line="400" w:lineRule="exact"/>
        <w:ind w:firstLine="709"/>
        <w:outlineLvl w:val="0"/>
        <w:rPr>
          <w:rFonts w:eastAsia="Times New Roman"/>
          <w:noProof w:val="0"/>
          <w:color w:val="auto"/>
          <w:spacing w:val="-2"/>
          <w:sz w:val="28"/>
          <w:szCs w:val="28"/>
          <w:lang w:val="nl-NL"/>
        </w:rPr>
      </w:pPr>
      <w:r>
        <w:rPr>
          <w:rFonts w:eastAsia="Times New Roman"/>
          <w:bCs/>
          <w:iCs/>
          <w:noProof w:val="0"/>
          <w:color w:val="auto"/>
          <w:spacing w:val="-2"/>
          <w:sz w:val="28"/>
          <w:szCs w:val="28"/>
          <w:lang w:val="pt-BR"/>
        </w:rPr>
        <w:t xml:space="preserve">- </w:t>
      </w:r>
      <w:r w:rsidRPr="00081B3D">
        <w:rPr>
          <w:rFonts w:eastAsia="Times New Roman"/>
          <w:bCs/>
          <w:iCs/>
          <w:noProof w:val="0"/>
          <w:color w:val="auto"/>
          <w:spacing w:val="-2"/>
          <w:sz w:val="28"/>
          <w:szCs w:val="28"/>
          <w:lang w:val="nl-NL"/>
        </w:rPr>
        <w:t xml:space="preserve">Trong thời gian qua, Quốc hội đã ban hành </w:t>
      </w:r>
      <w:r w:rsidRPr="00081B3D">
        <w:rPr>
          <w:rFonts w:eastAsia="Times New Roman"/>
          <w:bCs/>
          <w:iCs/>
          <w:noProof w:val="0"/>
          <w:color w:val="auto"/>
          <w:spacing w:val="-2"/>
          <w:sz w:val="28"/>
          <w:szCs w:val="28"/>
          <w:lang w:val="pt-BR"/>
        </w:rPr>
        <w:t xml:space="preserve">Luật Thanh tra (Luật số 84/2025/QH15) và </w:t>
      </w:r>
      <w:r w:rsidRPr="00081B3D">
        <w:rPr>
          <w:rFonts w:eastAsia="Times New Roman"/>
          <w:bCs/>
          <w:iCs/>
          <w:noProof w:val="0"/>
          <w:color w:val="auto"/>
          <w:spacing w:val="-2"/>
          <w:sz w:val="28"/>
          <w:szCs w:val="28"/>
          <w:lang w:val="nl-NL"/>
        </w:rPr>
        <w:t xml:space="preserve">Luật sửa đổi, bổ sung một số điều Luật Xử lý vi phạm hành chính (Luật số 88/2025/QH15) đồng thời Chính phủ đã ban hành Nghị định số 189/2025/NĐ-CP ngày 1/7/2025 của </w:t>
      </w:r>
      <w:r w:rsidR="008E0CE8" w:rsidRPr="008E0CE8">
        <w:rPr>
          <w:rFonts w:eastAsia="Times New Roman"/>
          <w:bCs/>
          <w:iCs/>
          <w:noProof w:val="0"/>
          <w:color w:val="auto"/>
          <w:spacing w:val="-2"/>
          <w:sz w:val="28"/>
          <w:szCs w:val="28"/>
          <w:lang w:val="pt-BR"/>
        </w:rPr>
        <w:t xml:space="preserve">quy định chi tiết Luật XLVPHC về thẩm quyền xử phạt vi phạm hành chính có thay đổi về các chức danh. Theo đó, </w:t>
      </w:r>
      <w:r>
        <w:rPr>
          <w:rFonts w:eastAsia="Times New Roman"/>
          <w:bCs/>
          <w:iCs/>
          <w:noProof w:val="0"/>
          <w:color w:val="auto"/>
          <w:spacing w:val="-2"/>
          <w:sz w:val="28"/>
          <w:szCs w:val="28"/>
          <w:lang w:val="pt-BR"/>
        </w:rPr>
        <w:t>cần thiết cập nhật thẩm quyền lập biên bản và xử phạt vi phạm hành chính đối với các chức danh</w:t>
      </w:r>
    </w:p>
    <w:p w:rsidR="008E0CE8" w:rsidRDefault="003A0E4B" w:rsidP="008E0CE8">
      <w:pPr>
        <w:widowControl w:val="0"/>
        <w:spacing w:before="120" w:after="120" w:line="400" w:lineRule="exact"/>
        <w:ind w:firstLine="720"/>
        <w:rPr>
          <w:b/>
          <w:color w:val="auto"/>
          <w:sz w:val="28"/>
          <w:szCs w:val="28"/>
          <w:lang w:val="nl-NL"/>
        </w:rPr>
      </w:pPr>
      <w:r w:rsidRPr="003D7392">
        <w:rPr>
          <w:b/>
          <w:color w:val="auto"/>
          <w:sz w:val="28"/>
          <w:szCs w:val="28"/>
          <w:lang w:val="nl-NL"/>
        </w:rPr>
        <w:t xml:space="preserve">III. </w:t>
      </w:r>
      <w:r w:rsidR="008461FF">
        <w:rPr>
          <w:b/>
          <w:color w:val="auto"/>
          <w:sz w:val="28"/>
          <w:szCs w:val="28"/>
          <w:lang w:val="nl-NL"/>
        </w:rPr>
        <w:t>ĐỀ XUẤT, KIẾN NGHỊ</w:t>
      </w:r>
      <w:r w:rsidRPr="003D7392">
        <w:rPr>
          <w:b/>
          <w:color w:val="auto"/>
          <w:sz w:val="28"/>
          <w:szCs w:val="28"/>
          <w:lang w:val="nl-NL"/>
        </w:rPr>
        <w:t xml:space="preserve"> </w:t>
      </w:r>
    </w:p>
    <w:p w:rsidR="008E0CE8" w:rsidRDefault="008E0CE8" w:rsidP="008E0CE8">
      <w:pPr>
        <w:widowControl w:val="0"/>
        <w:spacing w:before="120" w:after="120" w:line="400" w:lineRule="exact"/>
        <w:ind w:firstLine="720"/>
        <w:rPr>
          <w:color w:val="auto"/>
          <w:spacing w:val="-4"/>
          <w:sz w:val="28"/>
          <w:szCs w:val="28"/>
          <w:lang w:val="vi-VN"/>
        </w:rPr>
      </w:pPr>
      <w:r w:rsidRPr="008E0CE8">
        <w:rPr>
          <w:color w:val="auto"/>
          <w:spacing w:val="-4"/>
          <w:sz w:val="28"/>
          <w:szCs w:val="28"/>
          <w:lang w:val="nl-NL"/>
        </w:rPr>
        <w:t>Để</w:t>
      </w:r>
      <w:r w:rsidR="003A0E4B" w:rsidRPr="003D7392">
        <w:rPr>
          <w:color w:val="auto"/>
          <w:spacing w:val="-4"/>
          <w:sz w:val="28"/>
          <w:szCs w:val="28"/>
          <w:lang w:val="vi-VN"/>
        </w:rPr>
        <w:t xml:space="preserve"> nâng cao hiệu lực, hiệu quả quản lý của nhà nước đối với lĩnh vực kinh doanh có điều kiện phải được kiểm soát chặt chẽ này, việc </w:t>
      </w:r>
      <w:r w:rsidRPr="008E0CE8">
        <w:rPr>
          <w:color w:val="auto"/>
          <w:spacing w:val="-4"/>
          <w:sz w:val="28"/>
          <w:szCs w:val="28"/>
          <w:lang w:val="nl-NL"/>
        </w:rPr>
        <w:t xml:space="preserve">xây dựng, ban hành Nghị định sửa đổi, bổ sung một số điều của Nghị định số 137/2021/NĐ-CP ngày 31/12/2021 của Chính phủ quy định về xử phạt vi phạm hành chính trong lĩnh vực </w:t>
      </w:r>
      <w:r w:rsidRPr="008E0CE8">
        <w:rPr>
          <w:color w:val="auto"/>
          <w:spacing w:val="-4"/>
          <w:sz w:val="28"/>
          <w:szCs w:val="28"/>
          <w:lang w:val="nl-NL"/>
        </w:rPr>
        <w:lastRenderedPageBreak/>
        <w:t>đặt cược và trò chơi có thưởng</w:t>
      </w:r>
      <w:r w:rsidR="003A0E4B" w:rsidRPr="003D7392">
        <w:rPr>
          <w:color w:val="auto"/>
          <w:spacing w:val="-4"/>
          <w:sz w:val="28"/>
          <w:szCs w:val="28"/>
          <w:lang w:val="vi-VN"/>
        </w:rPr>
        <w:t xml:space="preserve"> là hết sức cần thiết nhằm: </w:t>
      </w:r>
    </w:p>
    <w:p w:rsidR="008E0CE8" w:rsidRDefault="003A0E4B" w:rsidP="008E0CE8">
      <w:pPr>
        <w:widowControl w:val="0"/>
        <w:spacing w:before="120" w:after="120" w:line="400" w:lineRule="exact"/>
        <w:ind w:firstLine="720"/>
        <w:rPr>
          <w:color w:val="auto"/>
          <w:spacing w:val="-2"/>
          <w:sz w:val="28"/>
          <w:szCs w:val="28"/>
          <w:lang w:val="vi-VN"/>
        </w:rPr>
      </w:pPr>
      <w:r w:rsidRPr="003D7392">
        <w:rPr>
          <w:color w:val="auto"/>
          <w:spacing w:val="-2"/>
          <w:sz w:val="28"/>
          <w:szCs w:val="28"/>
          <w:lang w:val="vi-VN"/>
        </w:rPr>
        <w:t xml:space="preserve">- </w:t>
      </w:r>
      <w:r w:rsidR="008E0CE8" w:rsidRPr="008E0CE8">
        <w:rPr>
          <w:color w:val="auto"/>
          <w:spacing w:val="-2"/>
          <w:sz w:val="28"/>
          <w:szCs w:val="28"/>
          <w:lang w:val="vi-VN"/>
        </w:rPr>
        <w:t>H</w:t>
      </w:r>
      <w:r w:rsidRPr="003D7392">
        <w:rPr>
          <w:color w:val="auto"/>
          <w:spacing w:val="-2"/>
          <w:sz w:val="28"/>
          <w:szCs w:val="28"/>
          <w:lang w:val="vi-VN"/>
        </w:rPr>
        <w:t>oàn thiện khuôn khổ pháp lý</w:t>
      </w:r>
      <w:r w:rsidR="008E0CE8" w:rsidRPr="008E0CE8">
        <w:rPr>
          <w:color w:val="auto"/>
          <w:spacing w:val="-2"/>
          <w:sz w:val="28"/>
          <w:szCs w:val="28"/>
          <w:lang w:val="vi-VN"/>
        </w:rPr>
        <w:t>,</w:t>
      </w:r>
      <w:r w:rsidRPr="003D7392">
        <w:rPr>
          <w:color w:val="auto"/>
          <w:spacing w:val="-2"/>
          <w:sz w:val="28"/>
          <w:szCs w:val="28"/>
          <w:lang w:val="vi-VN"/>
        </w:rPr>
        <w:t xml:space="preserve"> hệ thống hóa các quy định pháp luật</w:t>
      </w:r>
      <w:r w:rsidR="008E0CE8" w:rsidRPr="008E0CE8">
        <w:rPr>
          <w:color w:val="auto"/>
          <w:spacing w:val="-2"/>
          <w:sz w:val="28"/>
          <w:szCs w:val="28"/>
          <w:lang w:val="vi-VN"/>
        </w:rPr>
        <w:t xml:space="preserve"> </w:t>
      </w:r>
      <w:r w:rsidRPr="003D7392">
        <w:rPr>
          <w:color w:val="auto"/>
          <w:spacing w:val="-2"/>
          <w:sz w:val="28"/>
          <w:szCs w:val="28"/>
          <w:lang w:val="vi-VN"/>
        </w:rPr>
        <w:t xml:space="preserve">về </w:t>
      </w:r>
      <w:r w:rsidR="008E0CE8" w:rsidRPr="008E0CE8">
        <w:rPr>
          <w:color w:val="auto"/>
          <w:spacing w:val="-2"/>
          <w:sz w:val="28"/>
          <w:szCs w:val="28"/>
          <w:lang w:val="vi-VN"/>
        </w:rPr>
        <w:t>xử phạt vi phạm hành chính trong lĩnh vực đặt cược và trò chơi có thưởng</w:t>
      </w:r>
      <w:r w:rsidRPr="003D7392">
        <w:rPr>
          <w:color w:val="auto"/>
          <w:spacing w:val="-2"/>
          <w:sz w:val="28"/>
          <w:szCs w:val="28"/>
          <w:lang w:val="vi-VN"/>
        </w:rPr>
        <w:t xml:space="preserve">, khắc phục những tồn tại, hạn chế </w:t>
      </w:r>
      <w:r w:rsidR="008E0CE8" w:rsidRPr="008E0CE8">
        <w:rPr>
          <w:color w:val="auto"/>
          <w:spacing w:val="-2"/>
          <w:sz w:val="28"/>
          <w:szCs w:val="28"/>
          <w:lang w:val="vi-VN"/>
        </w:rPr>
        <w:t>trong thực tế triển khai thi hành</w:t>
      </w:r>
      <w:r w:rsidRPr="003D7392">
        <w:rPr>
          <w:color w:val="auto"/>
          <w:spacing w:val="-2"/>
          <w:sz w:val="28"/>
          <w:szCs w:val="28"/>
          <w:lang w:val="vi-VN"/>
        </w:rPr>
        <w:t xml:space="preserve">; </w:t>
      </w:r>
    </w:p>
    <w:p w:rsidR="008E0CE8" w:rsidRDefault="003A0E4B" w:rsidP="008E0CE8">
      <w:pPr>
        <w:widowControl w:val="0"/>
        <w:spacing w:before="120" w:after="120" w:line="400" w:lineRule="exact"/>
        <w:ind w:firstLine="720"/>
        <w:rPr>
          <w:color w:val="auto"/>
          <w:spacing w:val="-2"/>
          <w:sz w:val="28"/>
          <w:szCs w:val="28"/>
          <w:lang w:val="vi-VN"/>
        </w:rPr>
      </w:pPr>
      <w:r w:rsidRPr="003D7392">
        <w:rPr>
          <w:color w:val="auto"/>
          <w:spacing w:val="-2"/>
          <w:sz w:val="28"/>
          <w:szCs w:val="28"/>
          <w:lang w:val="vi-VN"/>
        </w:rPr>
        <w:t xml:space="preserve">- </w:t>
      </w:r>
      <w:r w:rsidR="008E0CE8" w:rsidRPr="008E0CE8">
        <w:rPr>
          <w:color w:val="auto"/>
          <w:spacing w:val="-2"/>
          <w:sz w:val="28"/>
          <w:szCs w:val="28"/>
          <w:lang w:val="vi-VN"/>
        </w:rPr>
        <w:t>T</w:t>
      </w:r>
      <w:r w:rsidRPr="003D7392">
        <w:rPr>
          <w:color w:val="auto"/>
          <w:spacing w:val="-2"/>
          <w:sz w:val="28"/>
          <w:szCs w:val="28"/>
          <w:lang w:val="vi-VN"/>
        </w:rPr>
        <w:t xml:space="preserve">ạo điều kiện cho các doanh nghiệp kinh doanh </w:t>
      </w:r>
      <w:r w:rsidR="008E0CE8" w:rsidRPr="008E0CE8">
        <w:rPr>
          <w:color w:val="auto"/>
          <w:spacing w:val="-2"/>
          <w:sz w:val="28"/>
          <w:szCs w:val="28"/>
          <w:lang w:val="vi-VN"/>
        </w:rPr>
        <w:t>đặt cược và trò chơi có thưởng</w:t>
      </w:r>
      <w:r w:rsidRPr="003D7392">
        <w:rPr>
          <w:color w:val="auto"/>
          <w:spacing w:val="-2"/>
          <w:sz w:val="28"/>
          <w:szCs w:val="28"/>
          <w:lang w:val="vi-VN"/>
        </w:rPr>
        <w:t xml:space="preserve"> tuân thủ quy định của pháp luật và bảo vệ quyền lợi của người chơi; </w:t>
      </w:r>
    </w:p>
    <w:p w:rsidR="008E0CE8" w:rsidRPr="008E0CE8" w:rsidRDefault="003A0E4B" w:rsidP="008E0CE8">
      <w:pPr>
        <w:widowControl w:val="0"/>
        <w:spacing w:before="120" w:after="120" w:line="400" w:lineRule="exact"/>
        <w:ind w:firstLine="720"/>
        <w:rPr>
          <w:color w:val="auto"/>
          <w:spacing w:val="-2"/>
          <w:sz w:val="28"/>
          <w:szCs w:val="28"/>
          <w:lang w:val="vi-VN"/>
        </w:rPr>
      </w:pPr>
      <w:r w:rsidRPr="003D7392">
        <w:rPr>
          <w:color w:val="auto"/>
          <w:spacing w:val="-2"/>
          <w:sz w:val="28"/>
          <w:szCs w:val="28"/>
          <w:lang w:val="vi-VN"/>
        </w:rPr>
        <w:t xml:space="preserve">- </w:t>
      </w:r>
      <w:r w:rsidR="008E0CE8" w:rsidRPr="008E0CE8">
        <w:rPr>
          <w:color w:val="auto"/>
          <w:spacing w:val="-2"/>
          <w:sz w:val="28"/>
          <w:szCs w:val="28"/>
          <w:lang w:val="vi-VN"/>
        </w:rPr>
        <w:t>N</w:t>
      </w:r>
      <w:r w:rsidRPr="003D7392">
        <w:rPr>
          <w:color w:val="auto"/>
          <w:spacing w:val="-2"/>
          <w:sz w:val="28"/>
          <w:szCs w:val="28"/>
          <w:lang w:val="vi-VN"/>
        </w:rPr>
        <w:t xml:space="preserve">âng cao năng lực, hiệu quả quản lý của nhà nước trên các phương diện thể chế chính sách, công tác quản lý, giám sát và xử </w:t>
      </w:r>
      <w:r w:rsidR="008E0CE8" w:rsidRPr="008E0CE8">
        <w:rPr>
          <w:color w:val="auto"/>
          <w:spacing w:val="-2"/>
          <w:sz w:val="28"/>
          <w:szCs w:val="28"/>
          <w:lang w:val="vi-VN"/>
        </w:rPr>
        <w:t>phạt</w:t>
      </w:r>
      <w:r w:rsidRPr="003D7392">
        <w:rPr>
          <w:color w:val="auto"/>
          <w:spacing w:val="-2"/>
          <w:sz w:val="28"/>
          <w:szCs w:val="28"/>
          <w:lang w:val="vi-VN"/>
        </w:rPr>
        <w:t xml:space="preserve"> vi phạm </w:t>
      </w:r>
      <w:r w:rsidR="008E0CE8" w:rsidRPr="008E0CE8">
        <w:rPr>
          <w:color w:val="auto"/>
          <w:spacing w:val="-2"/>
          <w:sz w:val="28"/>
          <w:szCs w:val="28"/>
          <w:lang w:val="vi-VN"/>
        </w:rPr>
        <w:t>hành chính</w:t>
      </w:r>
      <w:r w:rsidRPr="003D7392">
        <w:rPr>
          <w:color w:val="auto"/>
          <w:spacing w:val="-2"/>
          <w:sz w:val="28"/>
          <w:szCs w:val="28"/>
          <w:lang w:val="vi-VN"/>
        </w:rPr>
        <w:t>.</w:t>
      </w:r>
    </w:p>
    <w:p w:rsidR="008E0CE8" w:rsidRPr="008E0CE8" w:rsidRDefault="008E0CE8" w:rsidP="008E0CE8">
      <w:pPr>
        <w:widowControl w:val="0"/>
        <w:spacing w:before="120" w:after="120" w:line="400" w:lineRule="exact"/>
        <w:ind w:firstLine="720"/>
        <w:rPr>
          <w:color w:val="auto"/>
          <w:spacing w:val="-2"/>
          <w:sz w:val="28"/>
          <w:szCs w:val="28"/>
          <w:lang w:val="vi-VN"/>
        </w:rPr>
      </w:pPr>
      <w:r w:rsidRPr="008E0CE8">
        <w:rPr>
          <w:color w:val="auto"/>
          <w:sz w:val="28"/>
          <w:szCs w:val="28"/>
          <w:lang w:val="vi-VN"/>
        </w:rPr>
        <w:t xml:space="preserve">Trên đây là Báo cáo tổng kết thi hành </w:t>
      </w:r>
      <w:r w:rsidRPr="008E0CE8">
        <w:rPr>
          <w:color w:val="auto"/>
          <w:spacing w:val="-4"/>
          <w:sz w:val="28"/>
          <w:szCs w:val="28"/>
          <w:lang w:val="vi-VN"/>
        </w:rPr>
        <w:t>Nghị định số 137/2021/NĐ-CP ngày 31/12/2021 của Chính phủ quy định về xử phạt vi phạm hành chính trong lĩnh vực đặt cược và trò chơi có thưởng</w:t>
      </w:r>
      <w:r w:rsidRPr="008E0CE8">
        <w:rPr>
          <w:color w:val="auto"/>
          <w:sz w:val="28"/>
          <w:szCs w:val="28"/>
          <w:lang w:val="vi-VN"/>
        </w:rPr>
        <w:t>, Bộ Tài chính kính trình Thủ tướng Chính phủ./.</w:t>
      </w:r>
    </w:p>
    <w:tbl>
      <w:tblPr>
        <w:tblW w:w="9688" w:type="dxa"/>
        <w:tblLook w:val="01E0"/>
      </w:tblPr>
      <w:tblGrid>
        <w:gridCol w:w="4788"/>
        <w:gridCol w:w="4900"/>
      </w:tblGrid>
      <w:tr w:rsidR="005F2E52" w:rsidRPr="00192B55" w:rsidTr="00E143CD">
        <w:trPr>
          <w:trHeight w:val="1094"/>
        </w:trPr>
        <w:tc>
          <w:tcPr>
            <w:tcW w:w="4788" w:type="dxa"/>
          </w:tcPr>
          <w:p w:rsidR="005F2E52" w:rsidRPr="005F2E52" w:rsidRDefault="005F2E52" w:rsidP="005F2E52">
            <w:pPr>
              <w:rPr>
                <w:rFonts w:eastAsia="Times New Roman"/>
                <w:color w:val="auto"/>
                <w:lang w:val="vi-VN"/>
              </w:rPr>
            </w:pPr>
            <w:r w:rsidRPr="005F2E52">
              <w:rPr>
                <w:rFonts w:eastAsia="Times New Roman"/>
                <w:b/>
                <w:i/>
                <w:color w:val="auto"/>
                <w:lang w:val="vi-VN"/>
              </w:rPr>
              <w:t>Nơi nhận</w:t>
            </w:r>
            <w:r w:rsidRPr="005F2E52">
              <w:rPr>
                <w:rFonts w:eastAsia="Times New Roman"/>
                <w:color w:val="auto"/>
                <w:lang w:val="vi-VN"/>
              </w:rPr>
              <w:t>:</w:t>
            </w:r>
          </w:p>
          <w:p w:rsidR="005F2E52" w:rsidRPr="005F2E52" w:rsidRDefault="005F2E52" w:rsidP="005F2E52">
            <w:pPr>
              <w:jc w:val="left"/>
              <w:rPr>
                <w:rFonts w:eastAsia="Times New Roman"/>
                <w:color w:val="auto"/>
                <w:sz w:val="22"/>
                <w:szCs w:val="22"/>
                <w:lang w:val="af-ZA"/>
              </w:rPr>
            </w:pPr>
            <w:r w:rsidRPr="005F2E52">
              <w:rPr>
                <w:rFonts w:eastAsia="Times New Roman"/>
                <w:color w:val="auto"/>
                <w:sz w:val="22"/>
                <w:szCs w:val="22"/>
                <w:lang w:val="af-ZA"/>
              </w:rPr>
              <w:t xml:space="preserve">- Phó </w:t>
            </w:r>
            <w:r w:rsidR="00531435">
              <w:rPr>
                <w:rFonts w:eastAsia="Times New Roman"/>
                <w:color w:val="auto"/>
                <w:sz w:val="22"/>
                <w:szCs w:val="22"/>
                <w:lang w:val="af-ZA"/>
              </w:rPr>
              <w:t xml:space="preserve">Thủ tướng Chính phủ </w:t>
            </w:r>
            <w:r w:rsidRPr="005F2E52">
              <w:rPr>
                <w:rFonts w:eastAsia="Times New Roman"/>
                <w:color w:val="auto"/>
                <w:sz w:val="22"/>
                <w:szCs w:val="22"/>
                <w:lang w:val="af-ZA"/>
              </w:rPr>
              <w:t xml:space="preserve">Hồ Đức Phớc (để </w:t>
            </w:r>
            <w:r w:rsidR="00E143CD" w:rsidRPr="005F2E52">
              <w:rPr>
                <w:rFonts w:eastAsia="Times New Roman"/>
                <w:color w:val="auto"/>
                <w:sz w:val="22"/>
                <w:szCs w:val="22"/>
                <w:lang w:val="af-ZA"/>
              </w:rPr>
              <w:t>b</w:t>
            </w:r>
            <w:r w:rsidR="00E143CD">
              <w:rPr>
                <w:rFonts w:eastAsia="Times New Roman"/>
                <w:color w:val="auto"/>
                <w:sz w:val="22"/>
                <w:szCs w:val="22"/>
                <w:lang w:val="af-ZA"/>
              </w:rPr>
              <w:t>/c</w:t>
            </w:r>
            <w:r w:rsidRPr="005F2E52">
              <w:rPr>
                <w:rFonts w:eastAsia="Times New Roman"/>
                <w:color w:val="auto"/>
                <w:sz w:val="22"/>
                <w:szCs w:val="22"/>
                <w:lang w:val="af-ZA"/>
              </w:rPr>
              <w:t>);</w:t>
            </w:r>
          </w:p>
          <w:p w:rsidR="005F2E52" w:rsidRPr="005F2E52" w:rsidRDefault="005F2E52" w:rsidP="005F2E52">
            <w:pPr>
              <w:rPr>
                <w:rFonts w:eastAsia="Times New Roman"/>
                <w:color w:val="auto"/>
                <w:sz w:val="22"/>
                <w:szCs w:val="22"/>
                <w:lang w:val="af-ZA"/>
              </w:rPr>
            </w:pPr>
            <w:r w:rsidRPr="005F2E52">
              <w:rPr>
                <w:rFonts w:eastAsia="Times New Roman"/>
                <w:color w:val="auto"/>
                <w:sz w:val="22"/>
                <w:szCs w:val="22"/>
                <w:lang w:val="af-ZA"/>
              </w:rPr>
              <w:t>- Văn phòng Chính phủ;</w:t>
            </w:r>
          </w:p>
          <w:p w:rsidR="005F2E52" w:rsidRPr="005F2E52" w:rsidRDefault="005F2E52" w:rsidP="005F2E52">
            <w:pPr>
              <w:rPr>
                <w:rFonts w:eastAsia="Times New Roman"/>
                <w:color w:val="auto"/>
                <w:sz w:val="22"/>
                <w:szCs w:val="22"/>
                <w:lang w:val="af-ZA"/>
              </w:rPr>
            </w:pPr>
            <w:r w:rsidRPr="005F2E52">
              <w:rPr>
                <w:rFonts w:eastAsia="Times New Roman"/>
                <w:color w:val="auto"/>
                <w:sz w:val="22"/>
                <w:szCs w:val="22"/>
                <w:lang w:val="af-ZA"/>
              </w:rPr>
              <w:t>- Bộ Tư pháp (để phối hợp);</w:t>
            </w:r>
          </w:p>
          <w:p w:rsidR="005F2E52" w:rsidRDefault="005F2E52" w:rsidP="005F2E52">
            <w:pPr>
              <w:rPr>
                <w:rFonts w:eastAsia="Times New Roman"/>
                <w:color w:val="auto"/>
                <w:sz w:val="22"/>
                <w:szCs w:val="22"/>
                <w:lang w:val="af-ZA"/>
              </w:rPr>
            </w:pPr>
            <w:r w:rsidRPr="005F2E52">
              <w:rPr>
                <w:rFonts w:eastAsia="Times New Roman"/>
                <w:color w:val="auto"/>
                <w:sz w:val="22"/>
                <w:szCs w:val="22"/>
                <w:lang w:val="af-ZA"/>
              </w:rPr>
              <w:t>- Vụ Pháp chế;</w:t>
            </w:r>
          </w:p>
          <w:p w:rsidR="005F2E52" w:rsidRPr="005F2E52" w:rsidRDefault="005F2E52">
            <w:pPr>
              <w:rPr>
                <w:rFonts w:eastAsia="Times New Roman"/>
                <w:b/>
                <w:i/>
                <w:color w:val="auto"/>
                <w:lang w:val="af-ZA"/>
              </w:rPr>
            </w:pPr>
            <w:r w:rsidRPr="005F2E52">
              <w:rPr>
                <w:rFonts w:eastAsia="Times New Roman"/>
                <w:color w:val="auto"/>
                <w:sz w:val="22"/>
                <w:szCs w:val="22"/>
                <w:lang w:val="af-ZA"/>
              </w:rPr>
              <w:t xml:space="preserve">- Lưu VT, </w:t>
            </w:r>
            <w:r w:rsidR="00E143CD">
              <w:rPr>
                <w:rFonts w:eastAsia="Times New Roman"/>
                <w:color w:val="auto"/>
                <w:sz w:val="22"/>
                <w:szCs w:val="22"/>
                <w:lang w:val="af-ZA"/>
              </w:rPr>
              <w:t>ĐCTC</w:t>
            </w:r>
            <w:r w:rsidR="00E143CD" w:rsidRPr="005F2E52">
              <w:rPr>
                <w:rFonts w:eastAsia="Times New Roman"/>
                <w:color w:val="auto"/>
                <w:sz w:val="22"/>
                <w:szCs w:val="22"/>
                <w:lang w:val="af-ZA"/>
              </w:rPr>
              <w:t xml:space="preserve"> </w:t>
            </w:r>
            <w:r w:rsidRPr="005F2E52">
              <w:rPr>
                <w:rFonts w:eastAsia="Times New Roman"/>
                <w:color w:val="auto"/>
                <w:sz w:val="22"/>
                <w:szCs w:val="22"/>
                <w:lang w:val="af-ZA"/>
              </w:rPr>
              <w:t>(</w:t>
            </w:r>
            <w:r w:rsidR="00E143CD">
              <w:rPr>
                <w:rFonts w:eastAsia="Times New Roman"/>
                <w:color w:val="auto"/>
                <w:sz w:val="22"/>
                <w:szCs w:val="22"/>
                <w:lang w:val="af-ZA"/>
              </w:rPr>
              <w:t>NĐThắng</w:t>
            </w:r>
            <w:r w:rsidRPr="005F2E52">
              <w:rPr>
                <w:rFonts w:eastAsia="Times New Roman"/>
                <w:color w:val="auto"/>
                <w:sz w:val="22"/>
                <w:szCs w:val="22"/>
                <w:lang w:val="af-ZA"/>
              </w:rPr>
              <w:t>-6b).</w:t>
            </w:r>
          </w:p>
        </w:tc>
        <w:tc>
          <w:tcPr>
            <w:tcW w:w="4900" w:type="dxa"/>
          </w:tcPr>
          <w:p w:rsidR="005F2E52" w:rsidRPr="005F2E52" w:rsidRDefault="005F2E52" w:rsidP="005F2E52">
            <w:pPr>
              <w:jc w:val="center"/>
              <w:rPr>
                <w:rFonts w:eastAsia="Times New Roman"/>
                <w:b/>
                <w:color w:val="auto"/>
                <w:sz w:val="26"/>
                <w:szCs w:val="26"/>
                <w:lang w:val="af-ZA"/>
              </w:rPr>
            </w:pPr>
            <w:r w:rsidRPr="005F2E52">
              <w:rPr>
                <w:rFonts w:eastAsia="Times New Roman"/>
                <w:b/>
                <w:color w:val="auto"/>
                <w:sz w:val="26"/>
                <w:szCs w:val="26"/>
                <w:lang w:val="af-ZA"/>
              </w:rPr>
              <w:t>KT. BỘ TRƯỞNG</w:t>
            </w:r>
          </w:p>
          <w:p w:rsidR="005F2E52" w:rsidRPr="005F2E52" w:rsidRDefault="005F2E52" w:rsidP="005F2E52">
            <w:pPr>
              <w:jc w:val="center"/>
              <w:rPr>
                <w:rFonts w:eastAsia="Times New Roman"/>
                <w:b/>
                <w:color w:val="auto"/>
                <w:sz w:val="26"/>
                <w:szCs w:val="26"/>
                <w:lang w:val="af-ZA"/>
              </w:rPr>
            </w:pPr>
            <w:r w:rsidRPr="005F2E52">
              <w:rPr>
                <w:rFonts w:eastAsia="Times New Roman"/>
                <w:b/>
                <w:color w:val="auto"/>
                <w:sz w:val="26"/>
                <w:szCs w:val="26"/>
                <w:lang w:val="af-ZA"/>
              </w:rPr>
              <w:t>THỨ TRƯỞNG</w:t>
            </w:r>
          </w:p>
          <w:p w:rsidR="005F2E52" w:rsidRPr="005F2E52" w:rsidRDefault="005F2E52" w:rsidP="005F2E52">
            <w:pPr>
              <w:jc w:val="center"/>
              <w:rPr>
                <w:rFonts w:eastAsia="Times New Roman"/>
                <w:b/>
                <w:color w:val="auto"/>
                <w:sz w:val="28"/>
                <w:szCs w:val="28"/>
                <w:lang w:val="af-ZA"/>
              </w:rPr>
            </w:pPr>
          </w:p>
          <w:p w:rsidR="005F2E52" w:rsidRPr="005F2E52" w:rsidRDefault="005F2E52" w:rsidP="005F2E52">
            <w:pPr>
              <w:jc w:val="center"/>
              <w:rPr>
                <w:rFonts w:eastAsia="Times New Roman"/>
                <w:b/>
                <w:color w:val="auto"/>
                <w:sz w:val="28"/>
                <w:szCs w:val="28"/>
                <w:lang w:val="af-ZA"/>
              </w:rPr>
            </w:pPr>
          </w:p>
          <w:p w:rsidR="005F2E52" w:rsidRPr="005F2E52" w:rsidRDefault="005F2E52" w:rsidP="005F2E52">
            <w:pPr>
              <w:jc w:val="left"/>
              <w:rPr>
                <w:rFonts w:eastAsia="Times New Roman"/>
                <w:b/>
                <w:color w:val="auto"/>
                <w:sz w:val="28"/>
                <w:szCs w:val="28"/>
                <w:lang w:val="af-ZA"/>
              </w:rPr>
            </w:pPr>
          </w:p>
          <w:p w:rsidR="005F2E52" w:rsidRDefault="005F2E52" w:rsidP="005F2E52">
            <w:pPr>
              <w:jc w:val="center"/>
              <w:rPr>
                <w:rFonts w:eastAsia="Times New Roman"/>
                <w:b/>
                <w:color w:val="auto"/>
                <w:sz w:val="28"/>
                <w:szCs w:val="28"/>
                <w:lang w:val="af-ZA"/>
              </w:rPr>
            </w:pPr>
          </w:p>
          <w:p w:rsidR="00C726C7" w:rsidRPr="005F2E52" w:rsidRDefault="00C726C7" w:rsidP="005F2E52">
            <w:pPr>
              <w:jc w:val="center"/>
              <w:rPr>
                <w:rFonts w:eastAsia="Times New Roman"/>
                <w:b/>
                <w:color w:val="auto"/>
                <w:sz w:val="28"/>
                <w:szCs w:val="28"/>
                <w:lang w:val="af-ZA"/>
              </w:rPr>
            </w:pPr>
          </w:p>
          <w:p w:rsidR="005F2E52" w:rsidRPr="005F2E52" w:rsidRDefault="005F2E52" w:rsidP="005F2E52">
            <w:pPr>
              <w:jc w:val="center"/>
              <w:rPr>
                <w:rFonts w:eastAsia="Times New Roman"/>
                <w:b/>
                <w:color w:val="auto"/>
                <w:sz w:val="28"/>
                <w:szCs w:val="28"/>
                <w:lang w:val="af-ZA"/>
              </w:rPr>
            </w:pPr>
          </w:p>
          <w:p w:rsidR="005F2E52" w:rsidRPr="005F2E52" w:rsidRDefault="005F2E52" w:rsidP="005F2E52">
            <w:pPr>
              <w:jc w:val="center"/>
              <w:rPr>
                <w:rFonts w:eastAsia="Times New Roman"/>
                <w:b/>
                <w:color w:val="auto"/>
                <w:sz w:val="20"/>
                <w:szCs w:val="20"/>
                <w:lang w:val="af-ZA"/>
              </w:rPr>
            </w:pPr>
            <w:r w:rsidRPr="005F2E52">
              <w:rPr>
                <w:rFonts w:eastAsia="Times New Roman"/>
                <w:b/>
                <w:color w:val="auto"/>
                <w:sz w:val="28"/>
                <w:szCs w:val="28"/>
                <w:lang w:val="af-ZA"/>
              </w:rPr>
              <w:t xml:space="preserve">  Nguyễn Đức Chi</w:t>
            </w:r>
          </w:p>
        </w:tc>
      </w:tr>
    </w:tbl>
    <w:p w:rsidR="00E143CD" w:rsidRPr="00081B3D" w:rsidRDefault="00E143CD" w:rsidP="00402926">
      <w:pPr>
        <w:widowControl w:val="0"/>
        <w:spacing w:before="120" w:after="120" w:line="340" w:lineRule="exact"/>
        <w:ind w:firstLine="709"/>
        <w:rPr>
          <w:color w:val="auto"/>
          <w:sz w:val="28"/>
          <w:szCs w:val="28"/>
          <w:lang w:val="af-ZA"/>
        </w:rPr>
      </w:pPr>
    </w:p>
    <w:p w:rsidR="00E143CD" w:rsidRPr="00081B3D" w:rsidRDefault="008E0CE8">
      <w:pPr>
        <w:jc w:val="left"/>
        <w:rPr>
          <w:color w:val="auto"/>
          <w:sz w:val="28"/>
          <w:szCs w:val="28"/>
          <w:lang w:val="af-ZA"/>
        </w:rPr>
      </w:pPr>
      <w:r w:rsidRPr="008E0CE8">
        <w:rPr>
          <w:color w:val="auto"/>
          <w:sz w:val="28"/>
          <w:szCs w:val="28"/>
          <w:lang w:val="af-ZA"/>
        </w:rPr>
        <w:br w:type="page"/>
      </w:r>
    </w:p>
    <w:p w:rsidR="00E143CD" w:rsidRPr="00081B3D" w:rsidRDefault="00E143CD" w:rsidP="00402926">
      <w:pPr>
        <w:widowControl w:val="0"/>
        <w:spacing w:before="120" w:after="120" w:line="340" w:lineRule="exact"/>
        <w:ind w:firstLine="709"/>
        <w:rPr>
          <w:color w:val="auto"/>
          <w:sz w:val="28"/>
          <w:szCs w:val="28"/>
          <w:lang w:val="af-ZA"/>
        </w:rPr>
        <w:sectPr w:rsidR="00E143CD" w:rsidRPr="00081B3D" w:rsidSect="00A30D47">
          <w:headerReference w:type="default" r:id="rId8"/>
          <w:footerReference w:type="default" r:id="rId9"/>
          <w:pgSz w:w="11907" w:h="16840" w:code="9"/>
          <w:pgMar w:top="1134" w:right="1134" w:bottom="1134" w:left="1701" w:header="720" w:footer="720" w:gutter="0"/>
          <w:cols w:space="720"/>
          <w:titlePg/>
          <w:docGrid w:linePitch="360"/>
        </w:sectPr>
      </w:pPr>
    </w:p>
    <w:p w:rsidR="00E143CD" w:rsidRPr="00E143CD" w:rsidRDefault="008E0CE8" w:rsidP="00E143CD">
      <w:pPr>
        <w:spacing w:before="120" w:after="120" w:line="350" w:lineRule="exact"/>
        <w:ind w:firstLine="709"/>
        <w:jc w:val="center"/>
        <w:rPr>
          <w:b/>
          <w:color w:val="000000" w:themeColor="text1"/>
          <w:sz w:val="28"/>
          <w:szCs w:val="28"/>
          <w:lang w:val="af-ZA"/>
        </w:rPr>
      </w:pPr>
      <w:r w:rsidRPr="008E0CE8">
        <w:rPr>
          <w:b/>
          <w:color w:val="000000" w:themeColor="text1"/>
          <w:sz w:val="28"/>
          <w:szCs w:val="28"/>
          <w:lang w:val="af-ZA"/>
        </w:rPr>
        <w:lastRenderedPageBreak/>
        <w:t>Phụ lục</w:t>
      </w:r>
    </w:p>
    <w:p w:rsidR="00E143CD" w:rsidRPr="00E143CD" w:rsidRDefault="008E0CE8" w:rsidP="00E143CD">
      <w:pPr>
        <w:spacing w:before="120" w:after="120" w:line="350" w:lineRule="exact"/>
        <w:ind w:firstLine="709"/>
        <w:jc w:val="center"/>
        <w:rPr>
          <w:b/>
          <w:color w:val="000000" w:themeColor="text1"/>
          <w:sz w:val="28"/>
          <w:szCs w:val="28"/>
          <w:lang w:val="af-ZA"/>
        </w:rPr>
      </w:pPr>
      <w:r w:rsidRPr="008E0CE8">
        <w:rPr>
          <w:b/>
          <w:color w:val="000000" w:themeColor="text1"/>
          <w:sz w:val="28"/>
          <w:szCs w:val="28"/>
          <w:lang w:val="af-ZA"/>
        </w:rPr>
        <w:t>1. Chủ trương, đường lối của Đảng có liên quan đến chính sách, dự thảo</w:t>
      </w:r>
    </w:p>
    <w:p w:rsidR="00E143CD" w:rsidRPr="00E143CD" w:rsidRDefault="00E143CD" w:rsidP="00E143CD">
      <w:pPr>
        <w:spacing w:before="120" w:after="120" w:line="350" w:lineRule="exact"/>
        <w:ind w:firstLine="709"/>
        <w:jc w:val="center"/>
        <w:rPr>
          <w:b/>
          <w:color w:val="000000" w:themeColor="text1"/>
          <w:sz w:val="28"/>
          <w:szCs w:val="28"/>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6095"/>
        <w:gridCol w:w="2410"/>
        <w:gridCol w:w="1985"/>
      </w:tblGrid>
      <w:tr w:rsidR="00E143CD" w:rsidRPr="00E143CD" w:rsidTr="00E143CD">
        <w:trPr>
          <w:tblHeader/>
        </w:trPr>
        <w:tc>
          <w:tcPr>
            <w:tcW w:w="4219" w:type="dxa"/>
            <w:vAlign w:val="center"/>
          </w:tcPr>
          <w:p w:rsidR="00E143CD" w:rsidRPr="00E143CD" w:rsidRDefault="008E0CE8" w:rsidP="00E143CD">
            <w:pPr>
              <w:jc w:val="center"/>
              <w:rPr>
                <w:b/>
                <w:color w:val="000000" w:themeColor="text1"/>
                <w:lang w:val="af-ZA"/>
              </w:rPr>
            </w:pPr>
            <w:r w:rsidRPr="008E0CE8">
              <w:rPr>
                <w:b/>
                <w:color w:val="000000" w:themeColor="text1"/>
                <w:lang w:val="af-ZA"/>
              </w:rPr>
              <w:t>Chủ trương, đường lối của Đảng</w:t>
            </w:r>
          </w:p>
        </w:tc>
        <w:tc>
          <w:tcPr>
            <w:tcW w:w="6095" w:type="dxa"/>
            <w:vAlign w:val="center"/>
          </w:tcPr>
          <w:p w:rsidR="00E143CD" w:rsidRPr="00E143CD" w:rsidRDefault="008E0CE8" w:rsidP="00E143CD">
            <w:pPr>
              <w:jc w:val="center"/>
              <w:rPr>
                <w:b/>
                <w:color w:val="000000" w:themeColor="text1"/>
                <w:lang w:val="af-ZA"/>
              </w:rPr>
            </w:pPr>
            <w:r w:rsidRPr="008E0CE8">
              <w:rPr>
                <w:b/>
                <w:color w:val="000000" w:themeColor="text1"/>
                <w:lang w:val="af-ZA"/>
              </w:rPr>
              <w:t>Chính sách/quy định của dự thảo</w:t>
            </w:r>
          </w:p>
        </w:tc>
        <w:tc>
          <w:tcPr>
            <w:tcW w:w="2410" w:type="dxa"/>
            <w:vAlign w:val="center"/>
          </w:tcPr>
          <w:p w:rsidR="00E143CD" w:rsidRPr="00E143CD" w:rsidRDefault="008E0CE8" w:rsidP="00E143CD">
            <w:pPr>
              <w:jc w:val="center"/>
              <w:rPr>
                <w:b/>
                <w:color w:val="000000" w:themeColor="text1"/>
                <w:lang w:val="af-ZA"/>
              </w:rPr>
            </w:pPr>
            <w:r w:rsidRPr="008E0CE8">
              <w:rPr>
                <w:b/>
                <w:color w:val="000000" w:themeColor="text1"/>
                <w:lang w:val="af-ZA"/>
              </w:rPr>
              <w:t>Đánh giá</w:t>
            </w:r>
          </w:p>
          <w:p w:rsidR="00E143CD" w:rsidRPr="00E143CD" w:rsidRDefault="008E0CE8" w:rsidP="00E143CD">
            <w:pPr>
              <w:jc w:val="center"/>
              <w:rPr>
                <w:b/>
                <w:color w:val="000000" w:themeColor="text1"/>
                <w:lang w:val="af-ZA"/>
              </w:rPr>
            </w:pPr>
            <w:r w:rsidRPr="008E0CE8">
              <w:rPr>
                <w:b/>
                <w:color w:val="000000" w:themeColor="text1"/>
                <w:lang w:val="af-ZA"/>
              </w:rPr>
              <w:t>(đã thể chế đầy đủ hoặc một phần)</w:t>
            </w:r>
          </w:p>
        </w:tc>
        <w:tc>
          <w:tcPr>
            <w:tcW w:w="1985" w:type="dxa"/>
            <w:vAlign w:val="center"/>
          </w:tcPr>
          <w:p w:rsidR="00E143CD" w:rsidRPr="00E143CD" w:rsidRDefault="008E0CE8" w:rsidP="00E143CD">
            <w:pPr>
              <w:jc w:val="center"/>
              <w:rPr>
                <w:b/>
                <w:color w:val="000000" w:themeColor="text1"/>
                <w:lang w:val="af-ZA"/>
              </w:rPr>
            </w:pPr>
            <w:r w:rsidRPr="008E0CE8">
              <w:rPr>
                <w:b/>
                <w:color w:val="000000" w:themeColor="text1"/>
                <w:lang w:val="af-ZA"/>
              </w:rPr>
              <w:t>Đề xuất xử lý</w:t>
            </w:r>
          </w:p>
        </w:tc>
      </w:tr>
      <w:tr w:rsidR="00192B55" w:rsidRPr="00192B55" w:rsidTr="00E143CD">
        <w:tc>
          <w:tcPr>
            <w:tcW w:w="4219" w:type="dxa"/>
          </w:tcPr>
          <w:p w:rsidR="00192B55" w:rsidRPr="00E143CD" w:rsidRDefault="008E0CE8" w:rsidP="00192B55">
            <w:pPr>
              <w:widowControl w:val="0"/>
              <w:pBdr>
                <w:top w:val="dotted" w:sz="4" w:space="0" w:color="FFFFFF"/>
                <w:left w:val="dotted" w:sz="4" w:space="0" w:color="FFFFFF"/>
                <w:bottom w:val="dotted" w:sz="4" w:space="14" w:color="FFFFFF"/>
                <w:right w:val="dotted" w:sz="4" w:space="0" w:color="FFFFFF"/>
              </w:pBdr>
              <w:shd w:val="clear" w:color="auto" w:fill="FFFFFF"/>
              <w:rPr>
                <w:bCs/>
                <w:color w:val="000000" w:themeColor="text1"/>
                <w:spacing w:val="-2"/>
              </w:rPr>
            </w:pPr>
            <w:r w:rsidRPr="008E0CE8">
              <w:rPr>
                <w:bCs/>
                <w:color w:val="000000" w:themeColor="text1"/>
                <w:spacing w:val="-2"/>
              </w:rPr>
              <w:t>Kết luận số 134-KL/TW ngày 28/03/2025 của Ban Chấp hành Trung ương về việc sắp xếp tinh gọn bộ máy cơ quan thanh tra theo 02 cấp ở trung ương (kết thúc hoạt động của Thanh tra các bộ) và địa phương (thanh tra tỉnh)</w:t>
            </w:r>
            <w:r w:rsidRPr="008E0CE8">
              <w:rPr>
                <w:color w:val="000000" w:themeColor="text1"/>
                <w:spacing w:val="-2"/>
              </w:rPr>
              <w:t xml:space="preserve">. Theo đó, </w:t>
            </w:r>
            <w:r w:rsidRPr="008E0CE8">
              <w:rPr>
                <w:bCs/>
                <w:color w:val="000000" w:themeColor="text1"/>
                <w:spacing w:val="-2"/>
              </w:rPr>
              <w:t>sau sắp xếp tổ chức, bộ máy, Bộ Tài chính và cơ quan thuế không có chức năng, nhiệm vụ về thanh tra; UBND cấp tỉnh (thanh tra tỉnh) có chức năng thanh tra</w:t>
            </w:r>
          </w:p>
        </w:tc>
        <w:tc>
          <w:tcPr>
            <w:tcW w:w="6095" w:type="dxa"/>
          </w:tcPr>
          <w:p w:rsidR="00192B55" w:rsidRPr="00192B55" w:rsidRDefault="00192B55" w:rsidP="00192B55">
            <w:pPr>
              <w:rPr>
                <w:color w:val="000000" w:themeColor="text1"/>
                <w:lang w:val="nl-NL"/>
              </w:rPr>
            </w:pPr>
            <w:r w:rsidRPr="00473611">
              <w:rPr>
                <w:iCs/>
                <w:color w:val="000000"/>
                <w:lang w:val="pt-BR"/>
              </w:rPr>
              <w:t xml:space="preserve">Bộ Tài chính trình Chính phủ </w:t>
            </w:r>
            <w:r>
              <w:rPr>
                <w:iCs/>
                <w:color w:val="000000"/>
                <w:lang w:val="pt-BR"/>
              </w:rPr>
              <w:t>bãi bỏ</w:t>
            </w:r>
            <w:r w:rsidRPr="00473611">
              <w:rPr>
                <w:iCs/>
                <w:color w:val="000000"/>
                <w:lang w:val="pt-BR"/>
              </w:rPr>
              <w:t xml:space="preserve"> các quy định về thẩm quyền xử phạt </w:t>
            </w:r>
            <w:r>
              <w:rPr>
                <w:iCs/>
                <w:color w:val="000000"/>
                <w:lang w:val="pt-BR"/>
              </w:rPr>
              <w:t>của thanh tra</w:t>
            </w:r>
          </w:p>
        </w:tc>
        <w:tc>
          <w:tcPr>
            <w:tcW w:w="2410" w:type="dxa"/>
            <w:vMerge w:val="restart"/>
          </w:tcPr>
          <w:p w:rsidR="00192B55" w:rsidRPr="00E143CD" w:rsidRDefault="008E0CE8" w:rsidP="00192B55">
            <w:pPr>
              <w:rPr>
                <w:color w:val="000000" w:themeColor="text1"/>
                <w:lang w:val="af-ZA"/>
              </w:rPr>
            </w:pPr>
            <w:r w:rsidRPr="008E0CE8">
              <w:rPr>
                <w:color w:val="000000" w:themeColor="text1"/>
                <w:lang w:val="af-ZA"/>
              </w:rPr>
              <w:t>Phù hợp chủ trương của Bộ Chính trị</w:t>
            </w:r>
          </w:p>
        </w:tc>
        <w:tc>
          <w:tcPr>
            <w:tcW w:w="1985" w:type="dxa"/>
            <w:vMerge w:val="restart"/>
          </w:tcPr>
          <w:p w:rsidR="00192B55" w:rsidRPr="00E143CD" w:rsidRDefault="008E0CE8" w:rsidP="00192B55">
            <w:pPr>
              <w:rPr>
                <w:b/>
                <w:color w:val="000000" w:themeColor="text1"/>
                <w:lang w:val="af-ZA"/>
              </w:rPr>
            </w:pPr>
            <w:r w:rsidRPr="008E0CE8">
              <w:rPr>
                <w:color w:val="000000" w:themeColor="text1"/>
                <w:lang w:val="af-ZA"/>
              </w:rPr>
              <w:t>Trình Chính phủ chấp thuận</w:t>
            </w:r>
          </w:p>
        </w:tc>
      </w:tr>
      <w:tr w:rsidR="00192B55" w:rsidRPr="00192B55" w:rsidTr="00E143CD">
        <w:tc>
          <w:tcPr>
            <w:tcW w:w="4219" w:type="dxa"/>
          </w:tcPr>
          <w:p w:rsidR="00192B55" w:rsidRPr="00081B3D"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bCs/>
                <w:color w:val="000000" w:themeColor="text1"/>
                <w:spacing w:val="-2"/>
                <w:lang w:val="vi-VN"/>
              </w:rPr>
            </w:pPr>
            <w:r w:rsidRPr="00E143CD">
              <w:rPr>
                <w:bCs/>
                <w:color w:val="000000" w:themeColor="text1"/>
                <w:spacing w:val="-2"/>
                <w:lang w:val="vi-VN"/>
              </w:rPr>
              <w:t>Tại tiểu mục 2.3 mục II Kết luận số 121-KL/TW</w:t>
            </w:r>
            <w:r w:rsidR="008E0CE8" w:rsidRPr="008E0CE8">
              <w:rPr>
                <w:bCs/>
                <w:color w:val="000000" w:themeColor="text1"/>
                <w:spacing w:val="-2"/>
                <w:lang w:val="af-ZA"/>
              </w:rPr>
              <w:t xml:space="preserve"> ngày 24/01/2025</w:t>
            </w:r>
            <w:r w:rsidRPr="00E143CD">
              <w:rPr>
                <w:bCs/>
                <w:color w:val="000000" w:themeColor="text1"/>
                <w:spacing w:val="-2"/>
                <w:lang w:val="vi-VN"/>
              </w:rPr>
              <w:t xml:space="preserve"> của Ban Chấp hành Trung ương đã nêu “</w:t>
            </w:r>
            <w:r w:rsidRPr="00E143CD">
              <w:rPr>
                <w:bCs/>
                <w:i/>
                <w:iCs/>
                <w:color w:val="000000" w:themeColor="text1"/>
                <w:spacing w:val="-2"/>
                <w:lang w:val="vi-VN"/>
              </w:rPr>
              <w:t xml:space="preserve">Đồng ý chủ trương sắp xếp tổ chức bộ máy công an địa phương theo hướng "tinh toàn diện; xã vững mạnh, bám cơ sở", </w:t>
            </w:r>
            <w:r w:rsidRPr="00E143CD">
              <w:rPr>
                <w:bCs/>
                <w:i/>
                <w:iCs/>
                <w:color w:val="000000" w:themeColor="text1"/>
                <w:spacing w:val="-2"/>
                <w:u w:val="single"/>
                <w:lang w:val="vi-VN"/>
              </w:rPr>
              <w:t>không tổ chức công an cấp huyện</w:t>
            </w:r>
            <w:r w:rsidRPr="00E143CD">
              <w:rPr>
                <w:bCs/>
                <w:i/>
                <w:iCs/>
                <w:color w:val="000000" w:themeColor="text1"/>
                <w:spacing w:val="-2"/>
                <w:lang w:val="vi-VN"/>
              </w:rPr>
              <w:t>. Riêng đối với những huyện đảo bố trí đồn công an (do không có đơn vị hành chính cấp xã). Thí điểm không lập tổ chức đảng ở công an quận, huyện, thị xã, thành phố trực thuộc tỉnh, thành phố trực thuộc Trung ương”.</w:t>
            </w:r>
          </w:p>
        </w:tc>
        <w:tc>
          <w:tcPr>
            <w:tcW w:w="6095" w:type="dxa"/>
          </w:tcPr>
          <w:p w:rsidR="00192B55" w:rsidRPr="00081B3D" w:rsidRDefault="00192B55" w:rsidP="00192B55">
            <w:pPr>
              <w:rPr>
                <w:color w:val="000000" w:themeColor="text1"/>
                <w:spacing w:val="-2"/>
                <w:lang w:val="vi-VN"/>
              </w:rPr>
            </w:pPr>
            <w:r w:rsidRPr="00E143CD">
              <w:rPr>
                <w:color w:val="000000" w:themeColor="text1"/>
                <w:spacing w:val="-2"/>
                <w:lang w:val="pt-BR"/>
              </w:rPr>
              <w:t xml:space="preserve">- </w:t>
            </w:r>
            <w:r w:rsidRPr="00E143CD">
              <w:rPr>
                <w:color w:val="000000"/>
                <w:spacing w:val="-2"/>
                <w:lang w:val="pt-BR"/>
              </w:rPr>
              <w:t>Bộ</w:t>
            </w:r>
            <w:r w:rsidRPr="00E143CD">
              <w:rPr>
                <w:color w:val="000000" w:themeColor="text1"/>
                <w:spacing w:val="-2"/>
                <w:lang w:val="pt-BR"/>
              </w:rPr>
              <w:t xml:space="preserve"> Tài chính</w:t>
            </w:r>
            <w:r w:rsidRPr="00E143CD">
              <w:rPr>
                <w:color w:val="000000"/>
                <w:spacing w:val="-2"/>
                <w:lang w:val="pt-BR"/>
              </w:rPr>
              <w:t xml:space="preserve"> trình Chính phủ sửa đổi, bổ sung khoản 2 Điều 58 Nghị định số 137 về việc: </w:t>
            </w:r>
            <w:r w:rsidRPr="00E143CD">
              <w:rPr>
                <w:iCs/>
                <w:color w:val="000000"/>
                <w:spacing w:val="-2"/>
                <w:lang w:val="nl-NL"/>
              </w:rPr>
              <w:t>Thay thế cụm từ “Trưởng phòng Cảnh sát điều tra tội phạm về tham nhũng, kinh tế, buôn lậu” bằng cụm từ “Trưởng phòng Cảnh sát điều tra về tham nhũng, kinh tế, buôn lậu, môi trường” và bỏ cụm từ “Trưởng Công an cấp huyện”.</w:t>
            </w:r>
          </w:p>
        </w:tc>
        <w:tc>
          <w:tcPr>
            <w:tcW w:w="2410" w:type="dxa"/>
            <w:vMerge/>
          </w:tcPr>
          <w:p w:rsidR="00192B55" w:rsidRPr="00E143CD" w:rsidRDefault="00192B55" w:rsidP="00192B55">
            <w:pPr>
              <w:rPr>
                <w:color w:val="000000" w:themeColor="text1"/>
                <w:lang w:val="af-ZA"/>
              </w:rPr>
            </w:pPr>
          </w:p>
        </w:tc>
        <w:tc>
          <w:tcPr>
            <w:tcW w:w="1985" w:type="dxa"/>
            <w:vMerge/>
          </w:tcPr>
          <w:p w:rsidR="00192B55" w:rsidRPr="00E143CD" w:rsidRDefault="00192B55" w:rsidP="00192B55">
            <w:pPr>
              <w:rPr>
                <w:color w:val="000000" w:themeColor="text1"/>
                <w:lang w:val="af-ZA"/>
              </w:rPr>
            </w:pPr>
          </w:p>
        </w:tc>
      </w:tr>
    </w:tbl>
    <w:p w:rsidR="008E0CE8" w:rsidRPr="008E0CE8" w:rsidRDefault="008E0CE8" w:rsidP="008E0CE8">
      <w:pPr>
        <w:spacing w:before="120" w:after="120" w:line="350" w:lineRule="exact"/>
        <w:ind w:firstLine="709"/>
        <w:jc w:val="center"/>
        <w:rPr>
          <w:b/>
          <w:color w:val="000000" w:themeColor="text1"/>
          <w:spacing w:val="-2"/>
          <w:sz w:val="28"/>
          <w:szCs w:val="28"/>
          <w:lang w:val="af-ZA"/>
        </w:rPr>
      </w:pPr>
      <w:r w:rsidRPr="008E0CE8">
        <w:rPr>
          <w:b/>
          <w:color w:val="000000" w:themeColor="text1"/>
          <w:spacing w:val="-2"/>
          <w:sz w:val="28"/>
          <w:szCs w:val="28"/>
          <w:lang w:val="af-ZA"/>
        </w:rPr>
        <w:lastRenderedPageBreak/>
        <w:t>2. Văn bản quy phạm pháp luật có liên quan đến chính sách/dự thảo</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6095"/>
        <w:gridCol w:w="2410"/>
        <w:gridCol w:w="1985"/>
      </w:tblGrid>
      <w:tr w:rsidR="00192B55" w:rsidRPr="00E143CD" w:rsidTr="00192B55">
        <w:tc>
          <w:tcPr>
            <w:tcW w:w="4219" w:type="dxa"/>
            <w:vAlign w:val="center"/>
          </w:tcPr>
          <w:p w:rsidR="00192B55" w:rsidRPr="00E143CD" w:rsidRDefault="008E0CE8" w:rsidP="00E143CD">
            <w:pPr>
              <w:jc w:val="center"/>
              <w:rPr>
                <w:b/>
                <w:color w:val="000000" w:themeColor="text1"/>
                <w:lang w:val="af-ZA"/>
              </w:rPr>
            </w:pPr>
            <w:r w:rsidRPr="008E0CE8">
              <w:rPr>
                <w:b/>
                <w:color w:val="000000" w:themeColor="text1"/>
                <w:lang w:val="af-ZA"/>
              </w:rPr>
              <w:t>Quy định của dự thảo văn bản</w:t>
            </w:r>
          </w:p>
        </w:tc>
        <w:tc>
          <w:tcPr>
            <w:tcW w:w="6095" w:type="dxa"/>
            <w:vAlign w:val="center"/>
          </w:tcPr>
          <w:p w:rsidR="00192B55" w:rsidRPr="00E143CD" w:rsidRDefault="008E0CE8" w:rsidP="00E143CD">
            <w:pPr>
              <w:jc w:val="center"/>
              <w:rPr>
                <w:b/>
                <w:color w:val="000000" w:themeColor="text1"/>
                <w:lang w:val="af-ZA"/>
              </w:rPr>
            </w:pPr>
            <w:r w:rsidRPr="008E0CE8">
              <w:rPr>
                <w:b/>
                <w:color w:val="000000" w:themeColor="text1"/>
                <w:lang w:val="af-ZA"/>
              </w:rPr>
              <w:t>Quy định của pháp luật hiện hành có liên quan</w:t>
            </w:r>
          </w:p>
        </w:tc>
        <w:tc>
          <w:tcPr>
            <w:tcW w:w="2410" w:type="dxa"/>
            <w:vAlign w:val="center"/>
          </w:tcPr>
          <w:p w:rsidR="00192B55" w:rsidRPr="00E143CD" w:rsidRDefault="008E0CE8" w:rsidP="00E143CD">
            <w:pPr>
              <w:jc w:val="center"/>
              <w:rPr>
                <w:b/>
                <w:color w:val="000000" w:themeColor="text1"/>
                <w:lang w:val="af-ZA"/>
              </w:rPr>
            </w:pPr>
            <w:r w:rsidRPr="008E0CE8">
              <w:rPr>
                <w:b/>
                <w:color w:val="000000" w:themeColor="text1"/>
                <w:lang w:val="af-ZA"/>
              </w:rPr>
              <w:t>Đánh giá</w:t>
            </w:r>
          </w:p>
          <w:p w:rsidR="00192B55" w:rsidRPr="00E143CD" w:rsidRDefault="008E0CE8" w:rsidP="00E143CD">
            <w:pPr>
              <w:jc w:val="center"/>
              <w:rPr>
                <w:b/>
                <w:color w:val="000000" w:themeColor="text1"/>
                <w:lang w:val="af-ZA"/>
              </w:rPr>
            </w:pPr>
            <w:r w:rsidRPr="008E0CE8">
              <w:rPr>
                <w:b/>
                <w:color w:val="000000" w:themeColor="text1"/>
                <w:lang w:val="af-ZA"/>
              </w:rPr>
              <w:t>(tính hợp hiến, hợp pháp, tính thống nhất)</w:t>
            </w:r>
          </w:p>
        </w:tc>
        <w:tc>
          <w:tcPr>
            <w:tcW w:w="1985" w:type="dxa"/>
            <w:vAlign w:val="center"/>
          </w:tcPr>
          <w:p w:rsidR="00192B55" w:rsidRPr="00E143CD" w:rsidRDefault="008E0CE8" w:rsidP="00E143CD">
            <w:pPr>
              <w:jc w:val="center"/>
              <w:rPr>
                <w:b/>
                <w:color w:val="000000" w:themeColor="text1"/>
                <w:lang w:val="af-ZA"/>
              </w:rPr>
            </w:pPr>
            <w:r w:rsidRPr="008E0CE8">
              <w:rPr>
                <w:b/>
                <w:color w:val="000000" w:themeColor="text1"/>
                <w:lang w:val="af-ZA"/>
              </w:rPr>
              <w:t>Đề xuất xử lý</w:t>
            </w:r>
          </w:p>
        </w:tc>
      </w:tr>
      <w:tr w:rsidR="00192B55" w:rsidRPr="00192B55" w:rsidTr="00192B55">
        <w:tc>
          <w:tcPr>
            <w:tcW w:w="4219" w:type="dxa"/>
          </w:tcPr>
          <w:p w:rsidR="00192B55" w:rsidRPr="00E143CD" w:rsidRDefault="00192B55" w:rsidP="00192B55">
            <w:pPr>
              <w:rPr>
                <w:color w:val="000000" w:themeColor="text1"/>
                <w:lang w:val="af-ZA"/>
              </w:rPr>
            </w:pPr>
            <w:r w:rsidRPr="00473611">
              <w:rPr>
                <w:iCs/>
                <w:color w:val="000000"/>
                <w:lang w:val="pt-BR"/>
              </w:rPr>
              <w:t xml:space="preserve">Bộ Tài chính trình Chính phủ </w:t>
            </w:r>
            <w:r>
              <w:rPr>
                <w:iCs/>
                <w:color w:val="000000"/>
                <w:lang w:val="pt-BR"/>
              </w:rPr>
              <w:t>bãi bỏ</w:t>
            </w:r>
            <w:r w:rsidRPr="00473611">
              <w:rPr>
                <w:iCs/>
                <w:color w:val="000000"/>
                <w:lang w:val="pt-BR"/>
              </w:rPr>
              <w:t xml:space="preserve"> các quy định về thẩm quyền xử phạt </w:t>
            </w:r>
            <w:r>
              <w:rPr>
                <w:iCs/>
                <w:color w:val="000000"/>
                <w:lang w:val="pt-BR"/>
              </w:rPr>
              <w:t>của thanh tra</w:t>
            </w:r>
          </w:p>
        </w:tc>
        <w:tc>
          <w:tcPr>
            <w:tcW w:w="6095" w:type="dxa"/>
          </w:tcPr>
          <w:p w:rsidR="00192B55" w:rsidRPr="00081B3D"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color w:val="000000" w:themeColor="text1"/>
                <w:spacing w:val="-2"/>
                <w:lang w:val="pt-BR"/>
              </w:rPr>
            </w:pPr>
            <w:r w:rsidRPr="005C2E65">
              <w:rPr>
                <w:iCs/>
                <w:color w:val="000000"/>
                <w:spacing w:val="-2"/>
                <w:lang w:val="pt-BR"/>
              </w:rPr>
              <w:t xml:space="preserve">Theo quy định tại Luật Xử lý vi phạm hành chính, </w:t>
            </w:r>
            <w:r w:rsidR="008E0CE8" w:rsidRPr="008E0CE8">
              <w:rPr>
                <w:iCs/>
                <w:color w:val="000000"/>
                <w:spacing w:val="-2"/>
                <w:lang w:val="af-ZA"/>
              </w:rPr>
              <w:t>Nghị định số 189/2025/NĐ-CP ngày 01/7/2025 của Chính phủ quy định chi tiết Luật xử lý vi phạm hành chính về thẩm quyền xử phạt vi phạm hành chính, các chức danh thanh tra không còn thẩm quyền xử lý vi phạm hành chính.</w:t>
            </w:r>
          </w:p>
        </w:tc>
        <w:tc>
          <w:tcPr>
            <w:tcW w:w="2410" w:type="dxa"/>
          </w:tcPr>
          <w:p w:rsidR="00192B55" w:rsidRPr="00E143CD" w:rsidRDefault="008E0CE8" w:rsidP="00192B55">
            <w:pPr>
              <w:rPr>
                <w:color w:val="000000" w:themeColor="text1"/>
                <w:lang w:val="af-ZA"/>
              </w:rPr>
            </w:pPr>
            <w:r w:rsidRPr="008E0CE8">
              <w:rPr>
                <w:color w:val="000000" w:themeColor="text1"/>
                <w:lang w:val="af-ZA"/>
              </w:rPr>
              <w:t xml:space="preserve">Phù hợp Luật </w:t>
            </w:r>
            <w:r w:rsidR="00192B55">
              <w:rPr>
                <w:color w:val="000000" w:themeColor="text1"/>
                <w:lang w:val="af-ZA"/>
              </w:rPr>
              <w:t xml:space="preserve">Thanh tra, </w:t>
            </w:r>
            <w:r w:rsidR="00192B55" w:rsidRPr="005C2E65">
              <w:rPr>
                <w:iCs/>
                <w:color w:val="000000" w:themeColor="text1"/>
                <w:lang w:val="pt-BR"/>
              </w:rPr>
              <w:t>Luật Xử lý vi phạm hành chính</w:t>
            </w:r>
          </w:p>
        </w:tc>
        <w:tc>
          <w:tcPr>
            <w:tcW w:w="1985" w:type="dxa"/>
          </w:tcPr>
          <w:p w:rsidR="00192B55" w:rsidRPr="00E143CD" w:rsidRDefault="008E0CE8" w:rsidP="00192B55">
            <w:pPr>
              <w:rPr>
                <w:b/>
                <w:color w:val="000000" w:themeColor="text1"/>
                <w:lang w:val="af-ZA"/>
              </w:rPr>
            </w:pPr>
            <w:r w:rsidRPr="008E0CE8">
              <w:rPr>
                <w:color w:val="000000" w:themeColor="text1"/>
                <w:lang w:val="af-ZA"/>
              </w:rPr>
              <w:t>Trình Chính phủ chấp thuận</w:t>
            </w:r>
          </w:p>
        </w:tc>
      </w:tr>
      <w:tr w:rsidR="00192B55" w:rsidRPr="00192B55" w:rsidTr="00192B55">
        <w:tc>
          <w:tcPr>
            <w:tcW w:w="4219" w:type="dxa"/>
          </w:tcPr>
          <w:p w:rsidR="00192B55" w:rsidRPr="00081B3D"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color w:val="000000" w:themeColor="text1"/>
                <w:lang w:val="nl-NL"/>
              </w:rPr>
            </w:pPr>
            <w:r w:rsidRPr="00E143CD">
              <w:rPr>
                <w:iCs/>
                <w:color w:val="000000"/>
                <w:lang w:val="nl-NL"/>
              </w:rPr>
              <w:t>Bộ Tài chính bổ sung hình thức “đình chỉ hoạt động kinh doanh có thời hạn” để áp dụng đối với doanh nghiệp chuyển tiếp. Theo đó điều chỉnh các điều, khoản như sau: (i) Thay thế cụm từ t</w:t>
            </w:r>
            <w:r w:rsidRPr="00E143CD">
              <w:rPr>
                <w:iCs/>
                <w:color w:val="000000"/>
                <w:lang w:val="pt-BR"/>
              </w:rPr>
              <w:t xml:space="preserve">ước quyền sử dụng GCNĐĐKKD casino/TCĐTCT bằng cụm từ tước quyền sử dụng GCNĐĐKKD casino/TCĐTCT </w:t>
            </w:r>
            <w:r w:rsidRPr="00E143CD">
              <w:rPr>
                <w:iCs/>
                <w:color w:val="000000"/>
                <w:u w:val="single"/>
                <w:lang w:val="pt-BR"/>
              </w:rPr>
              <w:t>hoặc đình chỉ hoạt động kinh doanh casino/TCĐTCT</w:t>
            </w:r>
            <w:r w:rsidRPr="00E143CD">
              <w:rPr>
                <w:iCs/>
                <w:color w:val="000000"/>
                <w:lang w:val="pt-BR"/>
              </w:rPr>
              <w:t xml:space="preserve"> tại các điều khoản liên quan</w:t>
            </w:r>
            <w:r w:rsidRPr="00E143CD">
              <w:rPr>
                <w:iCs/>
                <w:color w:val="000000"/>
                <w:vertAlign w:val="superscript"/>
                <w:lang w:val="pt-BR"/>
              </w:rPr>
              <w:footnoteReference w:id="2"/>
            </w:r>
            <w:r w:rsidRPr="00E143CD">
              <w:rPr>
                <w:iCs/>
                <w:color w:val="000000"/>
                <w:lang w:val="pt-BR"/>
              </w:rPr>
              <w:t xml:space="preserve">; (ii) </w:t>
            </w:r>
            <w:r w:rsidRPr="00E143CD">
              <w:rPr>
                <w:iCs/>
                <w:color w:val="000000"/>
                <w:lang w:val="nl-NL"/>
              </w:rPr>
              <w:t xml:space="preserve">Bổ sung quy định xử phạt từ 180 - 200 triệu đồng đối với hành vi kinh doanh casino/TCĐTCT trong thời gian bị đình chỉ hoạt động kinh doanh tại các Điều 26 và Điều 40 Nghị định số 137; (iii) Bổ sung thẩm quyền xử phạt vi phạm hành chính đối với các chức danh </w:t>
            </w:r>
            <w:r w:rsidRPr="00E143CD">
              <w:rPr>
                <w:iCs/>
                <w:color w:val="000000"/>
                <w:lang w:val="nl-NL"/>
              </w:rPr>
              <w:lastRenderedPageBreak/>
              <w:t>trong việc đình chỉ hoạt động kinh doanh có thời hạn tại khoản 4 Điều 57, khoản 4 Điều 59 Nghị định số 137.</w:t>
            </w:r>
          </w:p>
        </w:tc>
        <w:tc>
          <w:tcPr>
            <w:tcW w:w="6095" w:type="dxa"/>
          </w:tcPr>
          <w:p w:rsidR="00192B55" w:rsidRPr="00081B3D" w:rsidRDefault="008E0CE8"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color w:val="000000" w:themeColor="text1"/>
                <w:spacing w:val="-2"/>
                <w:lang w:val="nl-NL"/>
              </w:rPr>
            </w:pPr>
            <w:r w:rsidRPr="008E0CE8">
              <w:rPr>
                <w:color w:val="000000" w:themeColor="text1"/>
                <w:lang w:val="nl-NL"/>
              </w:rPr>
              <w:lastRenderedPageBreak/>
              <w:t xml:space="preserve">- Tại Luật Xử lý vi phạm hành chính quy định có 02 hình thức xử lý vi phạm hành chính: tước quyền sử dụng Giấy phép/Giấy chứng nhận hoặc đình chỉ hoạt động có thời hạn (khoản 1 Điều 21). </w:t>
            </w:r>
          </w:p>
        </w:tc>
        <w:tc>
          <w:tcPr>
            <w:tcW w:w="2410" w:type="dxa"/>
          </w:tcPr>
          <w:p w:rsidR="00192B55" w:rsidRPr="00E143CD" w:rsidRDefault="008E0CE8" w:rsidP="00192B55">
            <w:pPr>
              <w:rPr>
                <w:color w:val="000000" w:themeColor="text1"/>
                <w:lang w:val="af-ZA"/>
              </w:rPr>
            </w:pPr>
            <w:r w:rsidRPr="008E0CE8">
              <w:rPr>
                <w:color w:val="000000" w:themeColor="text1"/>
                <w:lang w:val="af-ZA"/>
              </w:rPr>
              <w:t>Phù hợp Luật Xử lý vi phạm hành chính</w:t>
            </w:r>
          </w:p>
        </w:tc>
        <w:tc>
          <w:tcPr>
            <w:tcW w:w="1985" w:type="dxa"/>
          </w:tcPr>
          <w:p w:rsidR="00192B55" w:rsidRPr="00E143CD" w:rsidRDefault="008E0CE8" w:rsidP="00192B55">
            <w:pPr>
              <w:rPr>
                <w:b/>
                <w:color w:val="000000" w:themeColor="text1"/>
                <w:lang w:val="af-ZA"/>
              </w:rPr>
            </w:pPr>
            <w:r w:rsidRPr="008E0CE8">
              <w:rPr>
                <w:color w:val="000000" w:themeColor="text1"/>
                <w:lang w:val="af-ZA"/>
              </w:rPr>
              <w:t>Trình Chính phủ chấp thuận</w:t>
            </w:r>
          </w:p>
        </w:tc>
      </w:tr>
      <w:tr w:rsidR="00192B55" w:rsidRPr="00192B55" w:rsidTr="00192B55">
        <w:tc>
          <w:tcPr>
            <w:tcW w:w="4219" w:type="dxa"/>
          </w:tcPr>
          <w:p w:rsidR="00192B55" w:rsidRPr="00E143CD"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iCs/>
                <w:color w:val="000000"/>
                <w:lang w:val="nl-NL"/>
              </w:rPr>
            </w:pPr>
            <w:r w:rsidRPr="00E143CD">
              <w:rPr>
                <w:iCs/>
                <w:color w:val="000000"/>
                <w:lang w:val="nl-NL"/>
              </w:rPr>
              <w:lastRenderedPageBreak/>
              <w:t>Bộ</w:t>
            </w:r>
            <w:r>
              <w:rPr>
                <w:iCs/>
                <w:color w:val="000000"/>
                <w:lang w:val="nl-NL"/>
              </w:rPr>
              <w:t xml:space="preserve"> Tài chính</w:t>
            </w:r>
            <w:r w:rsidRPr="00E143CD">
              <w:rPr>
                <w:iCs/>
                <w:color w:val="000000"/>
                <w:lang w:val="nl-NL"/>
              </w:rPr>
              <w:t xml:space="preserve"> trình Chính phủ: (i) Bổ sung thẩm quyền của Giám đốc Sở Tài chính tại Điều 57a; (ii) Bổ sung Điều 59a về thẩm quyền của cơ quan kiểm tra gồm: Trưởng đoàn kiểm tra của Bộ, cơ quan ngang Bộ trong thời hạn kiểm tra</w:t>
            </w:r>
            <w:r w:rsidRPr="00E143CD" w:rsidDel="001A0DC1">
              <w:rPr>
                <w:iCs/>
                <w:color w:val="000000"/>
                <w:lang w:val="nl-NL"/>
              </w:rPr>
              <w:t xml:space="preserve"> </w:t>
            </w:r>
            <w:r w:rsidRPr="00E143CD">
              <w:rPr>
                <w:iCs/>
                <w:color w:val="000000"/>
                <w:lang w:val="nl-NL"/>
              </w:rPr>
              <w:t xml:space="preserve">và </w:t>
            </w:r>
            <w:r w:rsidRPr="00E143CD">
              <w:rPr>
                <w:iCs/>
                <w:color w:val="000000"/>
                <w:lang w:val="vi-VN"/>
              </w:rPr>
              <w:t>Thủ trưởng tổ chức thuộc Bộ</w:t>
            </w:r>
            <w:r w:rsidRPr="00E143CD">
              <w:rPr>
                <w:iCs/>
                <w:color w:val="000000"/>
                <w:lang w:val="nl-NL"/>
              </w:rPr>
              <w:t xml:space="preserve"> Tài chính giúp Bộ trưởng Bộ Tài chính</w:t>
            </w:r>
            <w:r w:rsidRPr="00E143CD">
              <w:rPr>
                <w:iCs/>
                <w:color w:val="000000"/>
                <w:lang w:val="vi-VN"/>
              </w:rPr>
              <w:t xml:space="preserve"> thực hiện nhiệm vụ quản lý nhà nước theo </w:t>
            </w:r>
            <w:r w:rsidRPr="00E143CD">
              <w:rPr>
                <w:iCs/>
                <w:color w:val="000000"/>
                <w:lang w:val="nl-NL"/>
              </w:rPr>
              <w:t>lĩnh vực đặt cược và trò chơi có thưởng; (iii) Bổ sung thẩm quyền lập biên bản và xử phạt VPHC đối với các chức danh được bổ sung tại Điều 57a và Điều 59a tại khoản 1 và khoản 3 Điều 60 Nghị định số 137.</w:t>
            </w:r>
          </w:p>
        </w:tc>
        <w:tc>
          <w:tcPr>
            <w:tcW w:w="6095" w:type="dxa"/>
          </w:tcPr>
          <w:p w:rsidR="00192B55" w:rsidRPr="00081B3D"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color w:val="000000" w:themeColor="text1"/>
                <w:lang w:val="nl-NL"/>
              </w:rPr>
            </w:pPr>
            <w:r>
              <w:rPr>
                <w:iCs/>
                <w:color w:val="000000" w:themeColor="text1"/>
                <w:lang w:val="nl-NL"/>
              </w:rPr>
              <w:t>K</w:t>
            </w:r>
            <w:r w:rsidRPr="00E143CD">
              <w:rPr>
                <w:iCs/>
                <w:color w:val="000000" w:themeColor="text1"/>
                <w:lang w:val="nl-NL"/>
              </w:rPr>
              <w:t>hoản 4 Điều 1 Luật sửa đổi, bổ sung một số điều Luật Xử lý vi phạm hành chính (Luật số 88/2025/QH15) bổ sung thầm quyền xử phạt vi phạm hành chính đối với Thủ trưởng tổ chức thuộc Bộ, cơ quan ngang Bộ giúp Bộ trưởng, Thủ trưởng cơ quan ngang Bộ thực hiện nhiệm vụ quản lý nhà nước theo ngành, lĩnh vực, Thủ trưởng cơ quan chuyên môn thuộc Ủy ban nhân dân cấp tỉnh, Trưởng đoàn kiểm tra của Bộ, cơ quan ngang Bộ trong thời hạn kiểm tra.</w:t>
            </w:r>
          </w:p>
        </w:tc>
        <w:tc>
          <w:tcPr>
            <w:tcW w:w="2410" w:type="dxa"/>
          </w:tcPr>
          <w:p w:rsidR="00192B55" w:rsidRPr="00E143CD" w:rsidRDefault="00192B55" w:rsidP="00192B55">
            <w:pPr>
              <w:rPr>
                <w:color w:val="000000" w:themeColor="text1"/>
                <w:lang w:val="af-ZA"/>
              </w:rPr>
            </w:pPr>
            <w:r w:rsidRPr="00E143CD">
              <w:rPr>
                <w:color w:val="000000" w:themeColor="text1"/>
                <w:lang w:val="af-ZA"/>
              </w:rPr>
              <w:t>Phù hợp Luật Xử lý vi phạm hành chính</w:t>
            </w:r>
          </w:p>
        </w:tc>
        <w:tc>
          <w:tcPr>
            <w:tcW w:w="1985" w:type="dxa"/>
          </w:tcPr>
          <w:p w:rsidR="00192B55" w:rsidRPr="00E143CD" w:rsidRDefault="00192B55" w:rsidP="00192B55">
            <w:pPr>
              <w:rPr>
                <w:color w:val="000000" w:themeColor="text1"/>
                <w:lang w:val="af-ZA"/>
              </w:rPr>
            </w:pPr>
            <w:r w:rsidRPr="00E143CD">
              <w:rPr>
                <w:color w:val="000000" w:themeColor="text1"/>
                <w:lang w:val="af-ZA"/>
              </w:rPr>
              <w:t>Trình Chính phủ chấp thuận</w:t>
            </w:r>
          </w:p>
        </w:tc>
      </w:tr>
      <w:tr w:rsidR="00192B55" w:rsidRPr="00192B55" w:rsidTr="00192B55">
        <w:tc>
          <w:tcPr>
            <w:tcW w:w="4219" w:type="dxa"/>
          </w:tcPr>
          <w:p w:rsidR="00192B55" w:rsidRPr="00E143CD"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iCs/>
                <w:color w:val="000000"/>
                <w:lang w:val="nl-NL"/>
              </w:rPr>
            </w:pPr>
            <w:r w:rsidRPr="00626EAA">
              <w:rPr>
                <w:bCs/>
                <w:iCs/>
                <w:color w:val="000000"/>
                <w:lang w:val="vi-VN"/>
              </w:rPr>
              <w:t>Bộ</w:t>
            </w:r>
            <w:r w:rsidRPr="00626EAA">
              <w:rPr>
                <w:bCs/>
                <w:iCs/>
                <w:color w:val="000000"/>
                <w:lang w:val="nl-NL"/>
              </w:rPr>
              <w:t xml:space="preserve"> Tài chính</w:t>
            </w:r>
            <w:r w:rsidRPr="00626EAA">
              <w:rPr>
                <w:bCs/>
                <w:iCs/>
                <w:color w:val="000000"/>
                <w:lang w:val="vi-VN"/>
              </w:rPr>
              <w:t xml:space="preserve"> trình Chính phủ</w:t>
            </w:r>
            <w:r w:rsidRPr="00626EAA">
              <w:rPr>
                <w:iCs/>
                <w:color w:val="000000"/>
                <w:lang w:val="nl-NL"/>
              </w:rPr>
              <w:t xml:space="preserve"> sửa đổi, bổ sung</w:t>
            </w:r>
            <w:r w:rsidRPr="00626EAA">
              <w:rPr>
                <w:iCs/>
                <w:color w:val="000000"/>
                <w:lang w:val="vi-VN"/>
              </w:rPr>
              <w:t xml:space="preserve"> </w:t>
            </w:r>
            <w:r w:rsidRPr="00626EAA">
              <w:rPr>
                <w:bCs/>
                <w:iCs/>
                <w:color w:val="000000"/>
                <w:lang w:val="vi-VN"/>
              </w:rPr>
              <w:t xml:space="preserve">quy định về xử phạt đối với các hành vi vi phạm quy định </w:t>
            </w:r>
            <w:r w:rsidR="008E0CE8" w:rsidRPr="008E0CE8">
              <w:rPr>
                <w:bCs/>
                <w:iCs/>
                <w:color w:val="000000"/>
                <w:lang w:val="af-ZA"/>
              </w:rPr>
              <w:t>phòng, chống rửa tiền (</w:t>
            </w:r>
            <w:r w:rsidRPr="00626EAA">
              <w:rPr>
                <w:bCs/>
                <w:iCs/>
                <w:color w:val="000000"/>
                <w:lang w:val="nl-NL"/>
              </w:rPr>
              <w:t>PCRT</w:t>
            </w:r>
            <w:r>
              <w:rPr>
                <w:bCs/>
                <w:iCs/>
                <w:color w:val="000000"/>
                <w:lang w:val="nl-NL"/>
              </w:rPr>
              <w:t>)</w:t>
            </w:r>
            <w:r w:rsidRPr="00626EAA">
              <w:rPr>
                <w:bCs/>
                <w:iCs/>
                <w:color w:val="000000"/>
                <w:lang w:val="vi-VN"/>
              </w:rPr>
              <w:t>,</w:t>
            </w:r>
            <w:r w:rsidR="008E0CE8" w:rsidRPr="008E0CE8">
              <w:rPr>
                <w:bCs/>
                <w:iCs/>
                <w:color w:val="000000"/>
                <w:lang w:val="af-ZA"/>
              </w:rPr>
              <w:t xml:space="preserve"> phòng, chống khủng bố</w:t>
            </w:r>
            <w:r w:rsidRPr="00626EAA">
              <w:rPr>
                <w:bCs/>
                <w:iCs/>
                <w:color w:val="000000"/>
                <w:lang w:val="vi-VN"/>
              </w:rPr>
              <w:t xml:space="preserve"> </w:t>
            </w:r>
            <w:r w:rsidR="008E0CE8" w:rsidRPr="008E0CE8">
              <w:rPr>
                <w:bCs/>
                <w:iCs/>
                <w:color w:val="000000"/>
                <w:lang w:val="af-ZA"/>
              </w:rPr>
              <w:t>(</w:t>
            </w:r>
            <w:r w:rsidRPr="00626EAA">
              <w:rPr>
                <w:bCs/>
                <w:iCs/>
                <w:color w:val="000000"/>
                <w:lang w:val="nl-NL"/>
              </w:rPr>
              <w:t>PCKB</w:t>
            </w:r>
            <w:r>
              <w:rPr>
                <w:bCs/>
                <w:iCs/>
                <w:color w:val="000000"/>
                <w:lang w:val="nl-NL"/>
              </w:rPr>
              <w:t>)</w:t>
            </w:r>
            <w:r w:rsidRPr="00626EAA">
              <w:rPr>
                <w:bCs/>
                <w:iCs/>
                <w:color w:val="000000"/>
                <w:lang w:val="nl-NL"/>
              </w:rPr>
              <w:t>,</w:t>
            </w:r>
            <w:r w:rsidRPr="00626EAA">
              <w:rPr>
                <w:bCs/>
                <w:iCs/>
                <w:color w:val="000000"/>
                <w:lang w:val="vi-VN"/>
              </w:rPr>
              <w:t xml:space="preserve"> </w:t>
            </w:r>
            <w:r w:rsidRPr="00626EAA">
              <w:rPr>
                <w:bCs/>
                <w:iCs/>
                <w:color w:val="000000"/>
                <w:lang w:val="nl-NL"/>
              </w:rPr>
              <w:t>p</w:t>
            </w:r>
            <w:r w:rsidRPr="00626EAA">
              <w:rPr>
                <w:bCs/>
                <w:iCs/>
                <w:color w:val="000000"/>
                <w:lang w:val="vi-VN"/>
              </w:rPr>
              <w:t>hòng, chống</w:t>
            </w:r>
            <w:r w:rsidR="008E0CE8" w:rsidRPr="008E0CE8">
              <w:rPr>
                <w:bCs/>
                <w:iCs/>
                <w:color w:val="000000"/>
                <w:lang w:val="af-ZA"/>
              </w:rPr>
              <w:t xml:space="preserve"> tài trợ phổ biến vũ khí hủy diệt hàng loạt</w:t>
            </w:r>
            <w:r w:rsidRPr="00626EAA">
              <w:rPr>
                <w:bCs/>
                <w:iCs/>
                <w:color w:val="000000"/>
                <w:lang w:val="vi-VN"/>
              </w:rPr>
              <w:t xml:space="preserve"> </w:t>
            </w:r>
            <w:r w:rsidR="008E0CE8" w:rsidRPr="008E0CE8">
              <w:rPr>
                <w:bCs/>
                <w:iCs/>
                <w:color w:val="000000"/>
                <w:lang w:val="af-ZA"/>
              </w:rPr>
              <w:t>(</w:t>
            </w:r>
            <w:r w:rsidRPr="00626EAA">
              <w:rPr>
                <w:iCs/>
                <w:color w:val="000000"/>
                <w:lang w:val="nl-NL"/>
              </w:rPr>
              <w:t>TTPBVKHDHL</w:t>
            </w:r>
            <w:r>
              <w:rPr>
                <w:iCs/>
                <w:color w:val="000000"/>
                <w:lang w:val="nl-NL"/>
              </w:rPr>
              <w:t>)</w:t>
            </w:r>
            <w:r w:rsidRPr="00626EAA">
              <w:rPr>
                <w:bCs/>
                <w:iCs/>
                <w:color w:val="000000"/>
                <w:lang w:val="vi-VN"/>
              </w:rPr>
              <w:t xml:space="preserve"> đối với các nhóm hành vi</w:t>
            </w:r>
            <w:r w:rsidRPr="00626EAA">
              <w:rPr>
                <w:bCs/>
                <w:iCs/>
                <w:color w:val="000000"/>
                <w:lang w:val="nl-NL"/>
              </w:rPr>
              <w:t xml:space="preserve"> vi phạm về</w:t>
            </w:r>
            <w:r w:rsidRPr="00626EAA">
              <w:rPr>
                <w:bCs/>
                <w:iCs/>
                <w:color w:val="000000"/>
                <w:lang w:val="vi-VN"/>
              </w:rPr>
              <w:t xml:space="preserve">: (i) </w:t>
            </w:r>
            <w:r w:rsidRPr="00626EAA">
              <w:rPr>
                <w:bCs/>
                <w:iCs/>
                <w:color w:val="000000"/>
                <w:lang w:val="nl-NL"/>
              </w:rPr>
              <w:t>N</w:t>
            </w:r>
            <w:r w:rsidRPr="00626EAA">
              <w:rPr>
                <w:bCs/>
                <w:iCs/>
                <w:color w:val="000000"/>
                <w:lang w:val="vi-VN"/>
              </w:rPr>
              <w:t>hận biết</w:t>
            </w:r>
            <w:r w:rsidRPr="00626EAA">
              <w:rPr>
                <w:bCs/>
                <w:iCs/>
                <w:color w:val="000000"/>
                <w:lang w:val="it-IT"/>
              </w:rPr>
              <w:t xml:space="preserve"> khách hàng, thu thập </w:t>
            </w:r>
            <w:r w:rsidRPr="00626EAA">
              <w:rPr>
                <w:bCs/>
                <w:iCs/>
                <w:color w:val="000000"/>
                <w:lang w:val="vi-VN"/>
              </w:rPr>
              <w:t>cập nhật</w:t>
            </w:r>
            <w:r w:rsidRPr="00626EAA">
              <w:rPr>
                <w:bCs/>
                <w:iCs/>
                <w:color w:val="000000"/>
                <w:lang w:val="it-IT"/>
              </w:rPr>
              <w:t xml:space="preserve">, xác minh </w:t>
            </w:r>
            <w:r w:rsidRPr="00626EAA">
              <w:rPr>
                <w:bCs/>
                <w:iCs/>
                <w:color w:val="000000"/>
                <w:lang w:val="vi-VN"/>
              </w:rPr>
              <w:t xml:space="preserve">thông tin nhận biết khách hàng; nhận biết, phân loại khách hàng theo mức độ rủi ro về </w:t>
            </w:r>
            <w:r w:rsidRPr="00626EAA">
              <w:rPr>
                <w:bCs/>
                <w:iCs/>
                <w:color w:val="000000"/>
                <w:lang w:val="nl-NL"/>
              </w:rPr>
              <w:t>PCRT</w:t>
            </w:r>
            <w:r w:rsidRPr="00626EAA">
              <w:rPr>
                <w:bCs/>
                <w:iCs/>
                <w:color w:val="000000"/>
                <w:lang w:val="vi-VN"/>
              </w:rPr>
              <w:t xml:space="preserve">, </w:t>
            </w:r>
            <w:r w:rsidRPr="00626EAA">
              <w:rPr>
                <w:bCs/>
                <w:iCs/>
                <w:color w:val="000000"/>
                <w:lang w:val="nl-NL"/>
              </w:rPr>
              <w:t>PCKB,</w:t>
            </w:r>
            <w:r w:rsidRPr="00626EAA">
              <w:rPr>
                <w:bCs/>
                <w:iCs/>
                <w:color w:val="000000"/>
                <w:lang w:val="vi-VN"/>
              </w:rPr>
              <w:t xml:space="preserve"> </w:t>
            </w:r>
            <w:r w:rsidRPr="00626EAA">
              <w:rPr>
                <w:bCs/>
                <w:iCs/>
                <w:color w:val="000000"/>
                <w:lang w:val="nl-NL"/>
              </w:rPr>
              <w:t>p</w:t>
            </w:r>
            <w:r w:rsidRPr="00626EAA">
              <w:rPr>
                <w:bCs/>
                <w:iCs/>
                <w:color w:val="000000"/>
                <w:lang w:val="vi-VN"/>
              </w:rPr>
              <w:t xml:space="preserve">hòng, chống </w:t>
            </w:r>
            <w:r w:rsidRPr="00626EAA">
              <w:rPr>
                <w:iCs/>
                <w:color w:val="000000"/>
                <w:lang w:val="nl-NL"/>
              </w:rPr>
              <w:lastRenderedPageBreak/>
              <w:t>TTPBVKHDHL</w:t>
            </w:r>
            <w:r w:rsidRPr="00626EAA">
              <w:rPr>
                <w:bCs/>
                <w:iCs/>
                <w:color w:val="000000"/>
                <w:lang w:val="vi-VN"/>
              </w:rPr>
              <w:t xml:space="preserve"> (Điều 53); (ii) </w:t>
            </w:r>
            <w:r w:rsidRPr="00626EAA">
              <w:rPr>
                <w:bCs/>
                <w:iCs/>
                <w:color w:val="000000"/>
                <w:lang w:val="nl-NL"/>
              </w:rPr>
              <w:t>T</w:t>
            </w:r>
            <w:r w:rsidRPr="00626EAA">
              <w:rPr>
                <w:bCs/>
                <w:iCs/>
                <w:color w:val="000000"/>
                <w:lang w:val="vi-VN"/>
              </w:rPr>
              <w:t xml:space="preserve">rách nhiệm xây dựng quy định  nội bộ </w:t>
            </w:r>
            <w:r w:rsidRPr="00626EAA">
              <w:rPr>
                <w:bCs/>
                <w:iCs/>
                <w:color w:val="000000"/>
                <w:lang w:val="it-IT"/>
              </w:rPr>
              <w:t>và báo cáo, cung cấp, lưu trữ thông tin, hồ sơ</w:t>
            </w:r>
            <w:r w:rsidRPr="00626EAA">
              <w:rPr>
                <w:bCs/>
                <w:iCs/>
                <w:color w:val="000000"/>
                <w:lang w:val="vi-VN"/>
              </w:rPr>
              <w:t xml:space="preserve"> về </w:t>
            </w:r>
            <w:r w:rsidRPr="00626EAA">
              <w:rPr>
                <w:bCs/>
                <w:iCs/>
                <w:color w:val="000000"/>
                <w:lang w:val="nl-NL"/>
              </w:rPr>
              <w:t>PCRT</w:t>
            </w:r>
            <w:r w:rsidRPr="00626EAA">
              <w:rPr>
                <w:bCs/>
                <w:iCs/>
                <w:color w:val="000000"/>
                <w:lang w:val="vi-VN"/>
              </w:rPr>
              <w:t xml:space="preserve">, </w:t>
            </w:r>
            <w:r w:rsidRPr="00626EAA">
              <w:rPr>
                <w:bCs/>
                <w:iCs/>
                <w:color w:val="000000"/>
                <w:lang w:val="nl-NL"/>
              </w:rPr>
              <w:t>PCKB,</w:t>
            </w:r>
            <w:r w:rsidRPr="00626EAA">
              <w:rPr>
                <w:bCs/>
                <w:iCs/>
                <w:color w:val="000000"/>
                <w:lang w:val="vi-VN"/>
              </w:rPr>
              <w:t xml:space="preserve"> </w:t>
            </w:r>
            <w:r w:rsidRPr="00626EAA">
              <w:rPr>
                <w:bCs/>
                <w:iCs/>
                <w:color w:val="000000"/>
                <w:lang w:val="nl-NL"/>
              </w:rPr>
              <w:t>p</w:t>
            </w:r>
            <w:r w:rsidRPr="00626EAA">
              <w:rPr>
                <w:bCs/>
                <w:iCs/>
                <w:color w:val="000000"/>
                <w:lang w:val="vi-VN"/>
              </w:rPr>
              <w:t xml:space="preserve">hòng, chống </w:t>
            </w:r>
            <w:r w:rsidRPr="00626EAA">
              <w:rPr>
                <w:iCs/>
                <w:color w:val="000000"/>
                <w:lang w:val="nl-NL"/>
              </w:rPr>
              <w:t>TTPBVKHDHL</w:t>
            </w:r>
            <w:r w:rsidRPr="00626EAA">
              <w:rPr>
                <w:bCs/>
                <w:iCs/>
                <w:color w:val="000000"/>
                <w:lang w:val="vi-VN"/>
              </w:rPr>
              <w:t xml:space="preserve"> (Điều 54); (iii) </w:t>
            </w:r>
            <w:r w:rsidRPr="00626EAA">
              <w:rPr>
                <w:bCs/>
                <w:iCs/>
                <w:color w:val="000000"/>
                <w:lang w:val="nl-NL"/>
              </w:rPr>
              <w:t>B</w:t>
            </w:r>
            <w:r w:rsidRPr="00626EAA">
              <w:rPr>
                <w:bCs/>
                <w:iCs/>
                <w:color w:val="000000"/>
                <w:lang w:val="vi-VN"/>
              </w:rPr>
              <w:t xml:space="preserve">áo cáo giao dịch có giá trị lớn, giao dịch đáng ngờ, giao dịch chuyển tiền điện tử, báo cáo hành vi tài trợ khủng bố, tài trợ phổ biến vũ khí hủy diệt hàng loạt (Điều 55); (iv) </w:t>
            </w:r>
            <w:r w:rsidRPr="00626EAA">
              <w:rPr>
                <w:bCs/>
                <w:iCs/>
                <w:color w:val="000000"/>
                <w:lang w:val="nl-NL"/>
              </w:rPr>
              <w:t>C</w:t>
            </w:r>
            <w:r w:rsidRPr="00626EAA">
              <w:rPr>
                <w:iCs/>
                <w:color w:val="000000"/>
                <w:lang w:val="vi-VN"/>
              </w:rPr>
              <w:t xml:space="preserve">ác hành vi bị cấm trong </w:t>
            </w:r>
            <w:r w:rsidRPr="00626EAA">
              <w:rPr>
                <w:bCs/>
                <w:iCs/>
                <w:color w:val="000000"/>
                <w:lang w:val="nl-NL"/>
              </w:rPr>
              <w:t>PCRT</w:t>
            </w:r>
            <w:r w:rsidRPr="00626EAA">
              <w:rPr>
                <w:bCs/>
                <w:iCs/>
                <w:color w:val="000000"/>
                <w:lang w:val="vi-VN"/>
              </w:rPr>
              <w:t xml:space="preserve">, </w:t>
            </w:r>
            <w:r w:rsidRPr="00626EAA">
              <w:rPr>
                <w:bCs/>
                <w:iCs/>
                <w:color w:val="000000"/>
                <w:lang w:val="nl-NL"/>
              </w:rPr>
              <w:t>PCKB,</w:t>
            </w:r>
            <w:r w:rsidRPr="00626EAA">
              <w:rPr>
                <w:bCs/>
                <w:iCs/>
                <w:color w:val="000000"/>
                <w:lang w:val="vi-VN"/>
              </w:rPr>
              <w:t xml:space="preserve"> </w:t>
            </w:r>
            <w:r w:rsidRPr="00626EAA">
              <w:rPr>
                <w:bCs/>
                <w:iCs/>
                <w:color w:val="000000"/>
                <w:lang w:val="nl-NL"/>
              </w:rPr>
              <w:t>p</w:t>
            </w:r>
            <w:r w:rsidRPr="00626EAA">
              <w:rPr>
                <w:bCs/>
                <w:iCs/>
                <w:color w:val="000000"/>
                <w:lang w:val="vi-VN"/>
              </w:rPr>
              <w:t xml:space="preserve">hòng, chống </w:t>
            </w:r>
            <w:r w:rsidRPr="00626EAA">
              <w:rPr>
                <w:iCs/>
                <w:color w:val="000000"/>
                <w:lang w:val="nl-NL"/>
              </w:rPr>
              <w:t>TTPBVKHDHL</w:t>
            </w:r>
            <w:r w:rsidRPr="00626EAA">
              <w:rPr>
                <w:iCs/>
                <w:color w:val="000000"/>
                <w:lang w:val="vi-VN"/>
              </w:rPr>
              <w:t xml:space="preserve"> </w:t>
            </w:r>
            <w:r w:rsidRPr="00626EAA">
              <w:rPr>
                <w:bCs/>
                <w:iCs/>
                <w:color w:val="000000"/>
                <w:lang w:val="vi-VN"/>
              </w:rPr>
              <w:t>(Điều 56).</w:t>
            </w:r>
          </w:p>
        </w:tc>
        <w:tc>
          <w:tcPr>
            <w:tcW w:w="6095" w:type="dxa"/>
          </w:tcPr>
          <w:p w:rsidR="00192B55"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iCs/>
                <w:color w:val="000000" w:themeColor="text1"/>
                <w:lang w:val="nl-NL"/>
              </w:rPr>
            </w:pPr>
            <w:r>
              <w:rPr>
                <w:iCs/>
                <w:color w:val="000000" w:themeColor="text1"/>
                <w:lang w:val="nl-NL"/>
              </w:rPr>
              <w:lastRenderedPageBreak/>
              <w:t>Luật Phòng, chống rửa tiền; Luật Phòng, chống khủng bố và các văn bản hướng dẫn</w:t>
            </w:r>
          </w:p>
        </w:tc>
        <w:tc>
          <w:tcPr>
            <w:tcW w:w="2410" w:type="dxa"/>
          </w:tcPr>
          <w:p w:rsidR="00192B55" w:rsidRPr="00E143CD" w:rsidRDefault="00192B55" w:rsidP="00192B55">
            <w:pPr>
              <w:rPr>
                <w:color w:val="000000" w:themeColor="text1"/>
                <w:lang w:val="af-ZA"/>
              </w:rPr>
            </w:pPr>
            <w:r w:rsidRPr="00E143CD">
              <w:rPr>
                <w:color w:val="000000" w:themeColor="text1"/>
                <w:lang w:val="af-ZA"/>
              </w:rPr>
              <w:t>Phù hợp</w:t>
            </w:r>
            <w:r>
              <w:rPr>
                <w:color w:val="000000" w:themeColor="text1"/>
                <w:lang w:val="af-ZA"/>
              </w:rPr>
              <w:t xml:space="preserve"> </w:t>
            </w:r>
            <w:r>
              <w:rPr>
                <w:iCs/>
                <w:color w:val="000000" w:themeColor="text1"/>
                <w:lang w:val="nl-NL"/>
              </w:rPr>
              <w:t>Luật Phòng, chống rửa tiền; Luật Phòng, chống khủng bố</w:t>
            </w:r>
          </w:p>
        </w:tc>
        <w:tc>
          <w:tcPr>
            <w:tcW w:w="1985" w:type="dxa"/>
          </w:tcPr>
          <w:p w:rsidR="00192B55" w:rsidRPr="00E143CD" w:rsidRDefault="00192B55" w:rsidP="00192B55">
            <w:pPr>
              <w:rPr>
                <w:color w:val="000000" w:themeColor="text1"/>
                <w:lang w:val="af-ZA"/>
              </w:rPr>
            </w:pPr>
            <w:r w:rsidRPr="00E143CD">
              <w:rPr>
                <w:color w:val="000000" w:themeColor="text1"/>
                <w:lang w:val="af-ZA"/>
              </w:rPr>
              <w:t>Trình Chính phủ chấp thuận</w:t>
            </w:r>
          </w:p>
        </w:tc>
      </w:tr>
      <w:tr w:rsidR="00192B55" w:rsidRPr="00192B55" w:rsidTr="00192B55">
        <w:tc>
          <w:tcPr>
            <w:tcW w:w="4219" w:type="dxa"/>
          </w:tcPr>
          <w:p w:rsidR="00192B55" w:rsidRPr="00E143CD"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iCs/>
                <w:color w:val="000000"/>
                <w:lang w:val="nl-NL"/>
              </w:rPr>
            </w:pPr>
            <w:r w:rsidRPr="0030178E">
              <w:rPr>
                <w:bCs/>
                <w:iCs/>
                <w:color w:val="000000"/>
                <w:lang w:val="nl-NL"/>
              </w:rPr>
              <w:lastRenderedPageBreak/>
              <w:t>Bộ Tài chính trình Chính phủ bãi bỏ nội dung dẫn chiếu điểm r khoản 2 Điều 81 Nghị định số 82/2020/NĐ-CP tại các điều 8 và Điều 25 Nghị định 137.</w:t>
            </w:r>
          </w:p>
        </w:tc>
        <w:tc>
          <w:tcPr>
            <w:tcW w:w="6095" w:type="dxa"/>
          </w:tcPr>
          <w:p w:rsidR="00192B55"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iCs/>
                <w:color w:val="000000" w:themeColor="text1"/>
                <w:lang w:val="nl-NL"/>
              </w:rPr>
            </w:pPr>
            <w:r w:rsidRPr="0030178E">
              <w:rPr>
                <w:bCs/>
                <w:iCs/>
                <w:color w:val="000000" w:themeColor="text1"/>
                <w:lang w:val="nl-NL"/>
              </w:rPr>
              <w:t>Khoản 2 Điều 8 và khoản 2 Điều 25 Nghị định số 137/2021/NĐ-CP dẫn chiếu đến điểm r khoản 2 Điều 81 Nghị định số 82/2020/NĐ-CP ngày 15/7/2020 của Chính phủ quy định xử phạt vi phạm hành chính trong lĩnh vực bổ trợ tư pháp; hành chính tư pháp; hôn nhân và gia đình; thi hành án dân sự; phá sản doanh nghiệp, hợp tác xã đã được bãi bỏ bởi Nghị định số 117/2024/NĐ-CP ngày 18/9/2020 của Chính phủ sửa đổi, bổ sung một số điểu của Nghị định số 82/2020/NĐ-CP.</w:t>
            </w:r>
          </w:p>
        </w:tc>
        <w:tc>
          <w:tcPr>
            <w:tcW w:w="2410" w:type="dxa"/>
          </w:tcPr>
          <w:p w:rsidR="00192B55" w:rsidRPr="00E143CD" w:rsidRDefault="00192B55" w:rsidP="00192B55">
            <w:pPr>
              <w:rPr>
                <w:color w:val="000000" w:themeColor="text1"/>
                <w:lang w:val="af-ZA"/>
              </w:rPr>
            </w:pPr>
            <w:r>
              <w:rPr>
                <w:color w:val="000000" w:themeColor="text1"/>
                <w:lang w:val="af-ZA"/>
              </w:rPr>
              <w:t xml:space="preserve">Thống nhất nội dung tại </w:t>
            </w:r>
            <w:r w:rsidRPr="0030178E">
              <w:rPr>
                <w:bCs/>
                <w:iCs/>
                <w:color w:val="000000" w:themeColor="text1"/>
                <w:lang w:val="nl-NL"/>
              </w:rPr>
              <w:t>Nghị định số 117/2024/NĐ-CP</w:t>
            </w:r>
          </w:p>
        </w:tc>
        <w:tc>
          <w:tcPr>
            <w:tcW w:w="1985" w:type="dxa"/>
          </w:tcPr>
          <w:p w:rsidR="00192B55" w:rsidRPr="00E143CD" w:rsidRDefault="00192B55" w:rsidP="00192B55">
            <w:pPr>
              <w:rPr>
                <w:color w:val="000000" w:themeColor="text1"/>
                <w:lang w:val="af-ZA"/>
              </w:rPr>
            </w:pPr>
            <w:r w:rsidRPr="00E143CD">
              <w:rPr>
                <w:color w:val="000000" w:themeColor="text1"/>
                <w:lang w:val="af-ZA"/>
              </w:rPr>
              <w:t>Trình Chính phủ chấp thuận</w:t>
            </w:r>
          </w:p>
        </w:tc>
      </w:tr>
      <w:tr w:rsidR="00192B55" w:rsidRPr="00192B55" w:rsidTr="00192B55">
        <w:tc>
          <w:tcPr>
            <w:tcW w:w="4219"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bCs/>
                <w:iCs/>
                <w:color w:val="000000"/>
                <w:lang w:val="nl-NL"/>
              </w:rPr>
            </w:pPr>
            <w:r w:rsidRPr="0030178E">
              <w:rPr>
                <w:bCs/>
                <w:iCs/>
                <w:color w:val="000000"/>
                <w:lang w:val="nl-NL"/>
              </w:rPr>
              <w:t xml:space="preserve">Bộ Tài chính trình Chính phủ: (i) Bổ sung quy định tại điểm c, điểm d khoản 3 Điều 40 Nghị định số 137 đối với các hành vi </w:t>
            </w:r>
            <w:r w:rsidRPr="0030178E">
              <w:rPr>
                <w:bCs/>
                <w:iCs/>
                <w:color w:val="000000"/>
                <w:lang w:val="pt-BR"/>
              </w:rPr>
              <w:t>không làm thủ tục cấp lại GCNĐDKKD sau khi tổ chức lại doanh nghiệp hành vi k</w:t>
            </w:r>
            <w:r w:rsidRPr="0030178E">
              <w:rPr>
                <w:bCs/>
                <w:iCs/>
                <w:color w:val="000000"/>
                <w:lang w:val="nl-NL"/>
              </w:rPr>
              <w:t xml:space="preserve">inh doanh TCĐTCT không đúng với nội dung được cơ quan quản lý nhà nước có thẩm quyền cấp phép kinh doanh (phạt tiền 180 - 200 </w:t>
            </w:r>
            <w:r w:rsidRPr="0030178E">
              <w:rPr>
                <w:bCs/>
                <w:iCs/>
                <w:color w:val="000000"/>
                <w:lang w:val="nl-NL"/>
              </w:rPr>
              <w:lastRenderedPageBreak/>
              <w:t xml:space="preserve">triệu đồng tương tự mức phạt của hành vi </w:t>
            </w:r>
            <w:r w:rsidRPr="0030178E">
              <w:rPr>
                <w:bCs/>
                <w:iCs/>
                <w:color w:val="000000"/>
                <w:lang w:val="pt-BR"/>
              </w:rPr>
              <w:t xml:space="preserve">kinh doanh </w:t>
            </w:r>
            <w:r w:rsidRPr="0030178E">
              <w:rPr>
                <w:bCs/>
                <w:iCs/>
                <w:color w:val="000000"/>
                <w:lang w:val="nl-NL"/>
              </w:rPr>
              <w:t>TCĐTCT</w:t>
            </w:r>
            <w:r w:rsidRPr="0030178E">
              <w:rPr>
                <w:bCs/>
                <w:iCs/>
                <w:color w:val="000000"/>
                <w:lang w:val="pt-BR"/>
              </w:rPr>
              <w:t xml:space="preserve"> khi chưa được cơ quan quản lý nhà nước có thẩm quyền cấp phép kinh doanh</w:t>
            </w:r>
            <w:r w:rsidRPr="0030178E">
              <w:rPr>
                <w:bCs/>
                <w:iCs/>
                <w:color w:val="000000"/>
                <w:lang w:val="nl-NL"/>
              </w:rPr>
              <w:t>); (ii) Bổ sung quy định tước quyền sử dụng GCNĐĐKKD hoặc đình chỉ hoạt động kinh doanh (từ 06 - 12 tháng) đối với hành vi vi phạm kinh doanh TCĐTCT không đúng với nội dung được cơ quan quản lý nhà nước có thẩm quyền cấp phép kinh doanh (khoản 4 Điều 40); (iii) Bổ sung quy định tại Điều 7 về việc chuyển hồ sơ vi phạm đến cơ quan tiến hành tố tụng hình sự có thẩm quyền để truy cứu trách nhiệm hình sự đối với hành vi vi phạm quy định về quản lý, sử dụng GCNĐĐKKD</w:t>
            </w:r>
            <w:r w:rsidRPr="0030178E">
              <w:rPr>
                <w:bCs/>
                <w:iCs/>
                <w:color w:val="000000"/>
                <w:vertAlign w:val="superscript"/>
                <w:lang w:val="nl-NL"/>
              </w:rPr>
              <w:footnoteReference w:id="3"/>
            </w:r>
            <w:r w:rsidRPr="0030178E">
              <w:rPr>
                <w:bCs/>
                <w:iCs/>
                <w:color w:val="000000"/>
                <w:lang w:val="nl-NL"/>
              </w:rPr>
              <w:t xml:space="preserve"> (khoản 2 và khoản 3 Điều 40, tương tự quy định tại khoản 2 và khoản 3 tại Điều 26 Nghị định 137).</w:t>
            </w:r>
          </w:p>
        </w:tc>
        <w:tc>
          <w:tcPr>
            <w:tcW w:w="6095"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bCs/>
                <w:iCs/>
                <w:color w:val="000000" w:themeColor="text1"/>
                <w:lang w:val="nl-NL"/>
              </w:rPr>
            </w:pPr>
            <w:r w:rsidRPr="0030178E">
              <w:rPr>
                <w:bCs/>
                <w:iCs/>
                <w:color w:val="000000" w:themeColor="text1"/>
                <w:lang w:val="nl-NL"/>
              </w:rPr>
              <w:lastRenderedPageBreak/>
              <w:t>Nghị định số 121</w:t>
            </w:r>
            <w:r>
              <w:rPr>
                <w:bCs/>
                <w:iCs/>
                <w:color w:val="000000" w:themeColor="text1"/>
                <w:lang w:val="nl-NL"/>
              </w:rPr>
              <w:t>/2021/NĐ-CP</w:t>
            </w:r>
            <w:r w:rsidRPr="0030178E">
              <w:rPr>
                <w:bCs/>
                <w:iCs/>
                <w:color w:val="000000" w:themeColor="text1"/>
                <w:lang w:val="nl-NL"/>
              </w:rPr>
              <w:t xml:space="preserve"> quy định nghiêm cấm kinh doanh TCĐTCT không đúng nội dung được cơ quan quản lý nhà nước cấp phép kinh doanh (khoản 2 Điều 4); doanh nghiệp phải làm thủ tục cấp lại GCNĐĐKKD trong vòng 15 ngày kể từ ngày hoàn thành tổ chức lại doanh nghiệp (khoản 1 Điều 24 và khoản 1 Điều 25). Nghị định số 137 chưa có hình thức xử phạt VPHC đối với hành vi vi phạm nêu trên.</w:t>
            </w:r>
          </w:p>
        </w:tc>
        <w:tc>
          <w:tcPr>
            <w:tcW w:w="2410" w:type="dxa"/>
          </w:tcPr>
          <w:p w:rsidR="00192B55" w:rsidRDefault="00192B55" w:rsidP="00192B55">
            <w:pPr>
              <w:rPr>
                <w:color w:val="000000" w:themeColor="text1"/>
                <w:lang w:val="af-ZA"/>
              </w:rPr>
            </w:pPr>
            <w:r>
              <w:rPr>
                <w:color w:val="000000" w:themeColor="text1"/>
                <w:lang w:val="af-ZA"/>
              </w:rPr>
              <w:t xml:space="preserve">Thống nhất với hành vi quy định tại </w:t>
            </w:r>
            <w:r w:rsidRPr="0030178E">
              <w:rPr>
                <w:bCs/>
                <w:iCs/>
                <w:color w:val="000000" w:themeColor="text1"/>
                <w:lang w:val="nl-NL"/>
              </w:rPr>
              <w:t>Nghị định số 121/2021/NĐ-CP</w:t>
            </w:r>
          </w:p>
        </w:tc>
        <w:tc>
          <w:tcPr>
            <w:tcW w:w="1985" w:type="dxa"/>
          </w:tcPr>
          <w:p w:rsidR="00192B55" w:rsidRPr="00E143CD" w:rsidRDefault="00192B55" w:rsidP="00192B55">
            <w:pPr>
              <w:rPr>
                <w:color w:val="000000" w:themeColor="text1"/>
                <w:lang w:val="af-ZA"/>
              </w:rPr>
            </w:pPr>
            <w:r w:rsidRPr="00E143CD">
              <w:rPr>
                <w:color w:val="000000" w:themeColor="text1"/>
                <w:lang w:val="af-ZA"/>
              </w:rPr>
              <w:t>Trình Chính phủ chấp thuận</w:t>
            </w:r>
          </w:p>
        </w:tc>
      </w:tr>
      <w:tr w:rsidR="00192B55" w:rsidRPr="00192B55" w:rsidTr="00192B55">
        <w:tc>
          <w:tcPr>
            <w:tcW w:w="4219"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bCs/>
                <w:iCs/>
                <w:color w:val="000000"/>
                <w:lang w:val="nl-NL"/>
              </w:rPr>
            </w:pPr>
            <w:r w:rsidRPr="0030178E">
              <w:rPr>
                <w:bCs/>
                <w:iCs/>
                <w:color w:val="000000"/>
                <w:lang w:val="vi-VN"/>
              </w:rPr>
              <w:lastRenderedPageBreak/>
              <w:t>Bộ Tài chính trình Chính phủ bổ sung quy định xử phạt tại điểm c khoản 1, điểm b khoản 2 Điều 27 và điểm c khoản 1, điểm b khoản 2 Điều 41 Nghị định số 137</w:t>
            </w:r>
            <w:r w:rsidR="008E0CE8" w:rsidRPr="008E0CE8">
              <w:rPr>
                <w:bCs/>
                <w:iCs/>
                <w:color w:val="000000"/>
                <w:lang w:val="af-ZA"/>
              </w:rPr>
              <w:t>/2021/NĐ-CP</w:t>
            </w:r>
            <w:r w:rsidRPr="0030178E">
              <w:rPr>
                <w:bCs/>
                <w:iCs/>
                <w:color w:val="000000"/>
                <w:lang w:val="vi-VN"/>
              </w:rPr>
              <w:t xml:space="preserve"> đối với hành vi </w:t>
            </w:r>
            <w:r w:rsidRPr="0030178E">
              <w:rPr>
                <w:bCs/>
                <w:iCs/>
                <w:color w:val="000000"/>
                <w:lang w:val="nl-NL"/>
              </w:rPr>
              <w:t>chuyển nhượng, cho thuê, cho mượn trái phép địa điểm để tổ chức hoạt động kinh doanh TCĐTCT/casino.</w:t>
            </w:r>
            <w:r w:rsidRPr="0030178E">
              <w:rPr>
                <w:bCs/>
                <w:iCs/>
                <w:color w:val="000000"/>
                <w:lang w:val="vi-VN"/>
              </w:rPr>
              <w:t xml:space="preserve"> (phạt tiền từ 180 </w:t>
            </w:r>
            <w:r w:rsidRPr="0030178E">
              <w:rPr>
                <w:bCs/>
                <w:iCs/>
                <w:color w:val="000000"/>
                <w:lang w:val="vi-VN"/>
              </w:rPr>
              <w:lastRenderedPageBreak/>
              <w:t>- 200 triệu đồng; áp dụng hình thức xử phạt bổ sung tước quyền sử dụng GCNĐĐKKD/đình chỉ hoạt động kinh doanh từ 06 - 12 tháng).</w:t>
            </w:r>
          </w:p>
        </w:tc>
        <w:tc>
          <w:tcPr>
            <w:tcW w:w="6095"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bCs/>
                <w:iCs/>
                <w:color w:val="000000" w:themeColor="text1"/>
                <w:lang w:val="nl-NL"/>
              </w:rPr>
            </w:pPr>
            <w:r w:rsidRPr="0030178E">
              <w:rPr>
                <w:bCs/>
                <w:iCs/>
                <w:color w:val="000000" w:themeColor="text1"/>
                <w:lang w:val="nl-NL"/>
              </w:rPr>
              <w:lastRenderedPageBreak/>
              <w:t>Tại khoản 9 Điều 4 Nghị định số 121</w:t>
            </w:r>
            <w:r>
              <w:rPr>
                <w:bCs/>
                <w:iCs/>
                <w:color w:val="000000" w:themeColor="text1"/>
                <w:lang w:val="nl-NL"/>
              </w:rPr>
              <w:t>/2021/NĐ-CP</w:t>
            </w:r>
            <w:r w:rsidRPr="0030178E">
              <w:rPr>
                <w:bCs/>
                <w:iCs/>
                <w:color w:val="000000" w:themeColor="text1"/>
                <w:lang w:val="nl-NL"/>
              </w:rPr>
              <w:t xml:space="preserve"> và khoản 3 Điều 4 Nghị định số 03/2017/NĐ-CP quy định nghiêm cấm chuyển nhượng, cho thuê, cho mượn trái phép địa điểm để tổ chức hoạt động kinh doanh TCĐTCT/casino.</w:t>
            </w:r>
          </w:p>
        </w:tc>
        <w:tc>
          <w:tcPr>
            <w:tcW w:w="2410" w:type="dxa"/>
          </w:tcPr>
          <w:p w:rsidR="00192B55" w:rsidRDefault="00192B55" w:rsidP="00192B55">
            <w:pPr>
              <w:rPr>
                <w:color w:val="000000" w:themeColor="text1"/>
                <w:lang w:val="af-ZA"/>
              </w:rPr>
            </w:pPr>
            <w:r>
              <w:rPr>
                <w:color w:val="000000" w:themeColor="text1"/>
                <w:lang w:val="af-ZA"/>
              </w:rPr>
              <w:t xml:space="preserve">Thống nhất với hành vi quy định tại </w:t>
            </w:r>
            <w:r w:rsidRPr="0030178E">
              <w:rPr>
                <w:bCs/>
                <w:iCs/>
                <w:color w:val="000000" w:themeColor="text1"/>
                <w:lang w:val="nl-NL"/>
              </w:rPr>
              <w:t>Nghị định số 121/2021/NĐ-CP</w:t>
            </w:r>
            <w:r>
              <w:rPr>
                <w:bCs/>
                <w:iCs/>
                <w:color w:val="000000" w:themeColor="text1"/>
                <w:lang w:val="nl-NL"/>
              </w:rPr>
              <w:t xml:space="preserve"> và Nghị định số 03/2017/NĐ-CP</w:t>
            </w:r>
          </w:p>
        </w:tc>
        <w:tc>
          <w:tcPr>
            <w:tcW w:w="1985" w:type="dxa"/>
          </w:tcPr>
          <w:p w:rsidR="00192B55" w:rsidRPr="00E143CD" w:rsidRDefault="00192B55" w:rsidP="00192B55">
            <w:pPr>
              <w:rPr>
                <w:color w:val="000000" w:themeColor="text1"/>
                <w:lang w:val="af-ZA"/>
              </w:rPr>
            </w:pPr>
            <w:r w:rsidRPr="00E143CD">
              <w:rPr>
                <w:color w:val="000000" w:themeColor="text1"/>
                <w:lang w:val="af-ZA"/>
              </w:rPr>
              <w:t>Trình Chính phủ chấp thuận</w:t>
            </w:r>
          </w:p>
        </w:tc>
      </w:tr>
      <w:tr w:rsidR="00192B55" w:rsidRPr="00192B55" w:rsidTr="00192B55">
        <w:tc>
          <w:tcPr>
            <w:tcW w:w="4219"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bCs/>
                <w:iCs/>
                <w:color w:val="000000"/>
                <w:lang w:val="vi-VN"/>
              </w:rPr>
            </w:pPr>
            <w:r w:rsidRPr="0030178E">
              <w:rPr>
                <w:bCs/>
                <w:iCs/>
                <w:color w:val="000000"/>
                <w:lang w:val="nl-NL"/>
              </w:rPr>
              <w:lastRenderedPageBreak/>
              <w:t xml:space="preserve">Bộ Tài chính </w:t>
            </w:r>
            <w:r w:rsidRPr="0030178E">
              <w:rPr>
                <w:bCs/>
                <w:iCs/>
                <w:color w:val="000000"/>
                <w:lang w:val="vi-VN"/>
              </w:rPr>
              <w:t xml:space="preserve">trình Chính phủ bổ sung Điều 27a và Điều 41a quy định xử phạt đối với các hành vi: (i) Phạt tiền từ 40-50 triệu đồng đối với hành vi thông báo đến cơ quan quản lý nhà nước về thời điểm khai trương/tạm ngừng kinh doanh/thời điểm kinh doanh trở lại không đúng theo quy định pháp luật; (ii) Phạt tiền từ 180-200 triệu đồng và tước quyền sử dụng </w:t>
            </w:r>
            <w:r w:rsidRPr="0030178E">
              <w:rPr>
                <w:bCs/>
                <w:iCs/>
                <w:color w:val="000000"/>
                <w:lang w:val="nl-NL"/>
              </w:rPr>
              <w:t>GCN</w:t>
            </w:r>
            <w:r w:rsidRPr="0030178E">
              <w:rPr>
                <w:bCs/>
                <w:iCs/>
                <w:color w:val="000000"/>
                <w:lang w:val="vi-VN"/>
              </w:rPr>
              <w:t>ĐĐKKD/đình chỉ hoạt động kinh doanh từ 06-12 tháng đối với hành vi kinh doanh trong thời gian bị cơ quan quản lý nhà nước yêu cầu tạm ngừng kinh doanh.</w:t>
            </w:r>
          </w:p>
        </w:tc>
        <w:tc>
          <w:tcPr>
            <w:tcW w:w="6095"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bCs/>
                <w:iCs/>
                <w:color w:val="000000" w:themeColor="text1"/>
                <w:lang w:val="nl-NL"/>
              </w:rPr>
            </w:pPr>
            <w:r w:rsidRPr="0030178E">
              <w:rPr>
                <w:bCs/>
                <w:iCs/>
                <w:color w:val="000000" w:themeColor="text1"/>
                <w:lang w:val="nl-NL"/>
              </w:rPr>
              <w:t>Tại Điều 6 Nghị định số 121</w:t>
            </w:r>
            <w:r>
              <w:rPr>
                <w:bCs/>
                <w:iCs/>
                <w:color w:val="000000" w:themeColor="text1"/>
                <w:lang w:val="nl-NL"/>
              </w:rPr>
              <w:t>/2021/NĐ-CP</w:t>
            </w:r>
            <w:r w:rsidRPr="0030178E">
              <w:rPr>
                <w:bCs/>
                <w:iCs/>
                <w:color w:val="000000" w:themeColor="text1"/>
                <w:lang w:val="nl-NL"/>
              </w:rPr>
              <w:t xml:space="preserve"> và Điều 6 Nghị định số 03</w:t>
            </w:r>
            <w:r>
              <w:rPr>
                <w:bCs/>
                <w:iCs/>
                <w:color w:val="000000" w:themeColor="text1"/>
                <w:lang w:val="nl-NL"/>
              </w:rPr>
              <w:t>/2017/NĐ-CP</w:t>
            </w:r>
            <w:r w:rsidRPr="0030178E">
              <w:rPr>
                <w:bCs/>
                <w:iCs/>
                <w:color w:val="000000" w:themeColor="text1"/>
                <w:lang w:val="nl-NL"/>
              </w:rPr>
              <w:t xml:space="preserve"> quy định doanh nghiệp phải thông báo đến cơ quan quản lý nhà nước về việc khai trương/tạm ngừng hoạt động kinh doanh TCĐTCT/casino, thời điểm kinh doanh trở lại để theo dõi, quản lý.</w:t>
            </w:r>
          </w:p>
        </w:tc>
        <w:tc>
          <w:tcPr>
            <w:tcW w:w="2410" w:type="dxa"/>
          </w:tcPr>
          <w:p w:rsidR="00192B55" w:rsidRDefault="00192B55" w:rsidP="00192B55">
            <w:pPr>
              <w:rPr>
                <w:color w:val="000000" w:themeColor="text1"/>
                <w:lang w:val="af-ZA"/>
              </w:rPr>
            </w:pPr>
            <w:r>
              <w:rPr>
                <w:color w:val="000000" w:themeColor="text1"/>
                <w:lang w:val="af-ZA"/>
              </w:rPr>
              <w:t xml:space="preserve">Thống nhất với hành vi quy định tại </w:t>
            </w:r>
            <w:r w:rsidRPr="0030178E">
              <w:rPr>
                <w:bCs/>
                <w:iCs/>
                <w:color w:val="000000" w:themeColor="text1"/>
                <w:lang w:val="nl-NL"/>
              </w:rPr>
              <w:t>Nghị định số 121/2021/NĐ-CP</w:t>
            </w:r>
            <w:r>
              <w:rPr>
                <w:bCs/>
                <w:iCs/>
                <w:color w:val="000000" w:themeColor="text1"/>
                <w:lang w:val="nl-NL"/>
              </w:rPr>
              <w:t xml:space="preserve"> và Nghị định số 03/2017/NĐ-CP</w:t>
            </w:r>
          </w:p>
        </w:tc>
        <w:tc>
          <w:tcPr>
            <w:tcW w:w="1985" w:type="dxa"/>
          </w:tcPr>
          <w:p w:rsidR="00192B55" w:rsidRPr="00E143CD" w:rsidRDefault="00192B55" w:rsidP="00192B55">
            <w:pPr>
              <w:rPr>
                <w:color w:val="000000" w:themeColor="text1"/>
                <w:lang w:val="af-ZA"/>
              </w:rPr>
            </w:pPr>
            <w:r w:rsidRPr="00E143CD">
              <w:rPr>
                <w:color w:val="000000" w:themeColor="text1"/>
                <w:lang w:val="af-ZA"/>
              </w:rPr>
              <w:t>Trình Chính phủ chấp thuận</w:t>
            </w:r>
          </w:p>
        </w:tc>
      </w:tr>
      <w:tr w:rsidR="00192B55" w:rsidRPr="00192B55" w:rsidTr="00192B55">
        <w:tc>
          <w:tcPr>
            <w:tcW w:w="4219"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bCs/>
                <w:iCs/>
                <w:color w:val="000000"/>
                <w:lang w:val="nl-NL"/>
              </w:rPr>
            </w:pPr>
            <w:r w:rsidRPr="0030178E">
              <w:rPr>
                <w:bCs/>
                <w:iCs/>
                <w:color w:val="000000"/>
                <w:lang w:val="nl-NL"/>
              </w:rPr>
              <w:t>Bộ Tài chính trình Chính phủ thay thế cụm từ “công bố” bằng cụm từ “niêm yết và phát hành tờ rơi” tại điểm b khoản 2 Điều 43 Nghị định số 137/2021/NĐ-CP</w:t>
            </w:r>
          </w:p>
        </w:tc>
        <w:tc>
          <w:tcPr>
            <w:tcW w:w="6095"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bCs/>
                <w:iCs/>
                <w:color w:val="000000" w:themeColor="text1"/>
                <w:lang w:val="nl-NL"/>
              </w:rPr>
            </w:pPr>
            <w:r w:rsidRPr="0030178E">
              <w:rPr>
                <w:bCs/>
                <w:iCs/>
                <w:color w:val="000000" w:themeColor="text1"/>
                <w:lang w:val="nl-NL"/>
              </w:rPr>
              <w:t>Tại khoản 2 Điều 8 Nghị định số 121</w:t>
            </w:r>
            <w:r>
              <w:rPr>
                <w:bCs/>
                <w:iCs/>
                <w:color w:val="000000" w:themeColor="text1"/>
                <w:lang w:val="nl-NL"/>
              </w:rPr>
              <w:t>/2021/NĐ-CP</w:t>
            </w:r>
            <w:r w:rsidRPr="0030178E">
              <w:rPr>
                <w:bCs/>
                <w:iCs/>
                <w:color w:val="000000" w:themeColor="text1"/>
                <w:lang w:val="nl-NL"/>
              </w:rPr>
              <w:t xml:space="preserve"> quy định doanh nghiệp phải ”niêm yết và phát hành” tờ rơi Thể lệ trò chơi tại Điểm kinh doanh. Tại điểm b khoản 2 Điều 43 Nghị định số 137</w:t>
            </w:r>
            <w:r>
              <w:rPr>
                <w:bCs/>
                <w:iCs/>
                <w:color w:val="000000" w:themeColor="text1"/>
                <w:lang w:val="nl-NL"/>
              </w:rPr>
              <w:t>/2021/NĐ-CP</w:t>
            </w:r>
            <w:r w:rsidRPr="0030178E">
              <w:rPr>
                <w:bCs/>
                <w:iCs/>
                <w:color w:val="000000" w:themeColor="text1"/>
                <w:lang w:val="nl-NL"/>
              </w:rPr>
              <w:t xml:space="preserve"> quy định phạt tiền từ 90-100 triệu đồng đối với hành vi không “công bố’ Thể lệ trò chơi tại Điểm kinh doanh.</w:t>
            </w:r>
          </w:p>
        </w:tc>
        <w:tc>
          <w:tcPr>
            <w:tcW w:w="2410" w:type="dxa"/>
          </w:tcPr>
          <w:p w:rsidR="00192B55" w:rsidRDefault="00192B55" w:rsidP="00192B55">
            <w:pPr>
              <w:rPr>
                <w:color w:val="000000" w:themeColor="text1"/>
                <w:lang w:val="af-ZA"/>
              </w:rPr>
            </w:pPr>
            <w:r w:rsidRPr="0030178E">
              <w:rPr>
                <w:color w:val="000000" w:themeColor="text1"/>
                <w:lang w:val="af-ZA"/>
              </w:rPr>
              <w:t xml:space="preserve">Thống nhất với hành vi quy định tại </w:t>
            </w:r>
            <w:r w:rsidRPr="0030178E">
              <w:rPr>
                <w:bCs/>
                <w:iCs/>
                <w:color w:val="000000" w:themeColor="text1"/>
                <w:lang w:val="nl-NL"/>
              </w:rPr>
              <w:t>Nghị định số 121/2021/NĐ-CP</w:t>
            </w:r>
          </w:p>
        </w:tc>
        <w:tc>
          <w:tcPr>
            <w:tcW w:w="1985" w:type="dxa"/>
          </w:tcPr>
          <w:p w:rsidR="00192B55" w:rsidRPr="00E143CD" w:rsidRDefault="00192B55" w:rsidP="00192B55">
            <w:pPr>
              <w:rPr>
                <w:color w:val="000000" w:themeColor="text1"/>
                <w:lang w:val="af-ZA"/>
              </w:rPr>
            </w:pPr>
            <w:r w:rsidRPr="00E143CD">
              <w:rPr>
                <w:color w:val="000000" w:themeColor="text1"/>
                <w:lang w:val="af-ZA"/>
              </w:rPr>
              <w:t>Trình Chính phủ chấp thuận</w:t>
            </w:r>
          </w:p>
        </w:tc>
      </w:tr>
      <w:tr w:rsidR="00192B55" w:rsidRPr="00192B55" w:rsidTr="00192B55">
        <w:tc>
          <w:tcPr>
            <w:tcW w:w="4219"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bCs/>
                <w:iCs/>
                <w:color w:val="000000"/>
                <w:lang w:val="nl-NL"/>
              </w:rPr>
            </w:pPr>
            <w:r w:rsidRPr="0030178E">
              <w:rPr>
                <w:bCs/>
                <w:iCs/>
                <w:color w:val="000000"/>
                <w:lang w:val="nl-NL"/>
              </w:rPr>
              <w:t xml:space="preserve">Bộ Tài chính trình Chính phủ: (i) </w:t>
            </w:r>
            <w:r w:rsidRPr="0030178E">
              <w:rPr>
                <w:bCs/>
                <w:iCs/>
                <w:color w:val="000000"/>
                <w:lang w:val="vi-VN"/>
              </w:rPr>
              <w:t>bổ sung quy định xử phạt tại Điều 30 và Điều 44 Nghị định số 137</w:t>
            </w:r>
            <w:r w:rsidR="008E0CE8" w:rsidRPr="008E0CE8">
              <w:rPr>
                <w:bCs/>
                <w:iCs/>
                <w:color w:val="000000"/>
                <w:lang w:val="af-ZA"/>
              </w:rPr>
              <w:t>/2021/NĐ-CP</w:t>
            </w:r>
            <w:r w:rsidRPr="0030178E">
              <w:rPr>
                <w:bCs/>
                <w:iCs/>
                <w:color w:val="000000"/>
                <w:lang w:val="vi-VN"/>
              </w:rPr>
              <w:t xml:space="preserve"> </w:t>
            </w:r>
            <w:r w:rsidRPr="0030178E">
              <w:rPr>
                <w:bCs/>
                <w:iCs/>
                <w:color w:val="000000"/>
                <w:lang w:val="nl-NL"/>
              </w:rPr>
              <w:t xml:space="preserve">đối với các hành vi vi phạm về sổ theo dõi để </w:t>
            </w:r>
            <w:r w:rsidRPr="0030178E">
              <w:rPr>
                <w:bCs/>
                <w:iCs/>
                <w:color w:val="000000"/>
                <w:lang w:val="nl-NL"/>
              </w:rPr>
              <w:lastRenderedPageBreak/>
              <w:t>kiểm soát các đối tượng chơi không đầy đủ các nội dung theo quy định của pháp luật; Sổ theo dõi đối tượng chơi không lưu trữ trong thời hạn tối thiểu theo quy định của pháp luật (phạt tiền từ 130-150 triệu đồng); (ii) Bổ sung tại khoản 1 Điều 7 Nghị định số 137</w:t>
            </w:r>
            <w:r>
              <w:rPr>
                <w:bCs/>
                <w:iCs/>
                <w:color w:val="000000"/>
                <w:lang w:val="nl-NL"/>
              </w:rPr>
              <w:t>/2021/NĐ-CP</w:t>
            </w:r>
            <w:r w:rsidRPr="0030178E">
              <w:rPr>
                <w:bCs/>
                <w:iCs/>
                <w:color w:val="000000"/>
                <w:lang w:val="nl-NL"/>
              </w:rPr>
              <w:t xml:space="preserve"> về việc chuyển hồ sơ đến cơ quan tố tụng hình sự trong trường hợp doanh nghiệp cho phép đối tượng người chơi ra, vào Điểm kinh doanh không đúng quy định của pháp luật và không theo dõi đầy đủ các đối tượng ra vào Điểm kinh doanh có tính chất nghiêm trọng, có dấu hiệu tội phạm cần được chuyển hồ sơ vi phạm đến cơ quan tiến hành tố tụng hình sự có thẩm quyền theo quy định tại Điều 62 Luật XLVPHC và khoản 1 Điều 7 Nghị định số 137</w:t>
            </w:r>
            <w:r>
              <w:rPr>
                <w:bCs/>
                <w:iCs/>
                <w:color w:val="000000"/>
                <w:lang w:val="nl-NL"/>
              </w:rPr>
              <w:t>/2021/NĐ-CP</w:t>
            </w:r>
            <w:r w:rsidRPr="0030178E">
              <w:rPr>
                <w:bCs/>
                <w:iCs/>
                <w:color w:val="000000"/>
                <w:lang w:val="vi-VN"/>
              </w:rPr>
              <w:t>.</w:t>
            </w:r>
          </w:p>
        </w:tc>
        <w:tc>
          <w:tcPr>
            <w:tcW w:w="6095"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bCs/>
                <w:iCs/>
                <w:color w:val="000000" w:themeColor="text1"/>
                <w:lang w:val="nl-NL"/>
              </w:rPr>
            </w:pPr>
            <w:r w:rsidRPr="0030178E">
              <w:rPr>
                <w:bCs/>
                <w:iCs/>
                <w:color w:val="000000" w:themeColor="text1"/>
                <w:lang w:val="nl-NL"/>
              </w:rPr>
              <w:lastRenderedPageBreak/>
              <w:t>Tại Điều 11 Nghị định số 121</w:t>
            </w:r>
            <w:r>
              <w:rPr>
                <w:bCs/>
                <w:iCs/>
                <w:color w:val="000000" w:themeColor="text1"/>
                <w:lang w:val="nl-NL"/>
              </w:rPr>
              <w:t>/2021/NĐ-CP</w:t>
            </w:r>
            <w:r w:rsidRPr="0030178E">
              <w:rPr>
                <w:bCs/>
                <w:iCs/>
                <w:color w:val="000000" w:themeColor="text1"/>
                <w:lang w:val="nl-NL"/>
              </w:rPr>
              <w:t xml:space="preserve"> và Điều 3 Nghị định số 03</w:t>
            </w:r>
            <w:r>
              <w:rPr>
                <w:bCs/>
                <w:iCs/>
                <w:color w:val="000000" w:themeColor="text1"/>
                <w:lang w:val="nl-NL"/>
              </w:rPr>
              <w:t>/2021/NĐ-CP</w:t>
            </w:r>
            <w:r w:rsidRPr="0030178E">
              <w:rPr>
                <w:bCs/>
                <w:iCs/>
                <w:color w:val="000000" w:themeColor="text1"/>
                <w:lang w:val="nl-NL"/>
              </w:rPr>
              <w:t xml:space="preserve"> quy định doanh nghiệp phải mở sổ theo dõi hoặc cấp thẻ điện tử để kiểm soát tất cả các đối tượng ra, vào Điểm kinh doanh. Sổ theo dõi được lập theo </w:t>
            </w:r>
            <w:r w:rsidRPr="0030178E">
              <w:rPr>
                <w:bCs/>
                <w:iCs/>
                <w:color w:val="000000" w:themeColor="text1"/>
                <w:lang w:val="nl-NL"/>
              </w:rPr>
              <w:lastRenderedPageBreak/>
              <w:t>hình thức ghi sổ hoặc thông tin điện tử. Sổ theo dõi phải được lưu trữ trong thời hạn tối thiểu 03 năm (đối với TCĐTCT) và 02 năm (đối với casino) để phục vụ công tác quản lý, giám sát, kiểm tra, thanh tra của các cơ quan quản lý nhà nước có thẩm quyền. Ngoài ra, sổ theo dõi để kiểm soát các đối tượng được phép ra, vào Điểm kinh doanh này phải bao gồm các nội dung cơ bản theo quy định của pháp luật.</w:t>
            </w:r>
          </w:p>
        </w:tc>
        <w:tc>
          <w:tcPr>
            <w:tcW w:w="2410" w:type="dxa"/>
          </w:tcPr>
          <w:p w:rsidR="00192B55" w:rsidRPr="0030178E" w:rsidRDefault="00192B55" w:rsidP="00192B55">
            <w:pPr>
              <w:rPr>
                <w:color w:val="000000" w:themeColor="text1"/>
                <w:lang w:val="af-ZA"/>
              </w:rPr>
            </w:pPr>
            <w:r w:rsidRPr="0030178E">
              <w:rPr>
                <w:color w:val="000000" w:themeColor="text1"/>
                <w:lang w:val="af-ZA"/>
              </w:rPr>
              <w:lastRenderedPageBreak/>
              <w:t xml:space="preserve">Thống nhất với hành vi quy định tại </w:t>
            </w:r>
            <w:r w:rsidRPr="0030178E">
              <w:rPr>
                <w:bCs/>
                <w:iCs/>
                <w:color w:val="000000" w:themeColor="text1"/>
                <w:lang w:val="nl-NL"/>
              </w:rPr>
              <w:t xml:space="preserve">Nghị định số 121/2021/NĐ-CP và Nghị định số </w:t>
            </w:r>
            <w:r w:rsidRPr="0030178E">
              <w:rPr>
                <w:bCs/>
                <w:iCs/>
                <w:color w:val="000000" w:themeColor="text1"/>
                <w:lang w:val="nl-NL"/>
              </w:rPr>
              <w:lastRenderedPageBreak/>
              <w:t>03/2017/NĐ-CP</w:t>
            </w:r>
          </w:p>
        </w:tc>
        <w:tc>
          <w:tcPr>
            <w:tcW w:w="1985" w:type="dxa"/>
          </w:tcPr>
          <w:p w:rsidR="00192B55" w:rsidRPr="00E143CD" w:rsidRDefault="00192B55" w:rsidP="00192B55">
            <w:pPr>
              <w:rPr>
                <w:color w:val="000000" w:themeColor="text1"/>
                <w:lang w:val="af-ZA"/>
              </w:rPr>
            </w:pPr>
          </w:p>
        </w:tc>
      </w:tr>
      <w:tr w:rsidR="00192B55" w:rsidRPr="00192B55" w:rsidTr="00192B55">
        <w:tc>
          <w:tcPr>
            <w:tcW w:w="4219"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bCs/>
                <w:iCs/>
                <w:color w:val="000000"/>
                <w:lang w:val="nl-NL"/>
              </w:rPr>
            </w:pPr>
            <w:r w:rsidRPr="00626EAA">
              <w:rPr>
                <w:bCs/>
                <w:iCs/>
                <w:color w:val="000000"/>
                <w:lang w:val="nl-NL"/>
              </w:rPr>
              <w:lastRenderedPageBreak/>
              <w:t>Bộ Tài chính trình Chính phủ thay thế cụm từ “không đăng ký đồng tiền quy ước” bằng cụm từ “không thông báo bằng văn bản về mẫu mã, số lượng, chủng loại đồng tiền quy ước” tại khoản 2 Điều 46 Nghị định số 137</w:t>
            </w:r>
            <w:r>
              <w:rPr>
                <w:bCs/>
                <w:iCs/>
                <w:color w:val="000000"/>
                <w:lang w:val="nl-NL"/>
              </w:rPr>
              <w:t>/2021/NĐ-CP</w:t>
            </w:r>
            <w:r w:rsidRPr="00626EAA">
              <w:rPr>
                <w:bCs/>
                <w:iCs/>
                <w:color w:val="000000"/>
                <w:lang w:val="nl-NL"/>
              </w:rPr>
              <w:t xml:space="preserve"> và thay thế cụm từ “đăng ký với cơ quan nhà nước”  bằng cụm từ “thông báo với cơ quan nhà nước” tại khoản 3 Điều 46 Nghị định số 137</w:t>
            </w:r>
            <w:r>
              <w:rPr>
                <w:bCs/>
                <w:iCs/>
                <w:color w:val="000000"/>
                <w:lang w:val="nl-NL"/>
              </w:rPr>
              <w:t>/2021/NĐ-CP</w:t>
            </w:r>
            <w:r w:rsidRPr="00626EAA">
              <w:rPr>
                <w:bCs/>
                <w:iCs/>
                <w:color w:val="000000"/>
                <w:lang w:val="nl-NL"/>
              </w:rPr>
              <w:t>.</w:t>
            </w:r>
          </w:p>
        </w:tc>
        <w:tc>
          <w:tcPr>
            <w:tcW w:w="6095" w:type="dxa"/>
          </w:tcPr>
          <w:p w:rsidR="00192B55" w:rsidRPr="0030178E"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bCs/>
                <w:iCs/>
                <w:color w:val="000000" w:themeColor="text1"/>
                <w:lang w:val="nl-NL"/>
              </w:rPr>
            </w:pPr>
            <w:r w:rsidRPr="00626EAA">
              <w:rPr>
                <w:bCs/>
                <w:iCs/>
                <w:color w:val="000000" w:themeColor="text1"/>
                <w:lang w:val="nl-NL"/>
              </w:rPr>
              <w:t>Điều 12 Nghị định số 121</w:t>
            </w:r>
            <w:r>
              <w:rPr>
                <w:bCs/>
                <w:iCs/>
                <w:color w:val="000000" w:themeColor="text1"/>
                <w:lang w:val="nl-NL"/>
              </w:rPr>
              <w:t>/2021/ND-CP</w:t>
            </w:r>
            <w:r w:rsidRPr="00626EAA">
              <w:rPr>
                <w:bCs/>
                <w:iCs/>
                <w:color w:val="000000" w:themeColor="text1"/>
                <w:lang w:val="nl-NL"/>
              </w:rPr>
              <w:t xml:space="preserve"> quy định doanh nghiệp kinh doanh TCĐTCT phải thông báo bằng văn bản về mẫu mã, số lượng, chủng loại </w:t>
            </w:r>
            <w:r w:rsidRPr="00626EAA">
              <w:rPr>
                <w:bCs/>
                <w:iCs/>
                <w:color w:val="000000"/>
                <w:lang w:val="nl-NL"/>
              </w:rPr>
              <w:t>đồng tiền quy ước</w:t>
            </w:r>
            <w:r w:rsidRPr="00626EAA">
              <w:rPr>
                <w:bCs/>
                <w:iCs/>
                <w:color w:val="000000" w:themeColor="text1"/>
                <w:lang w:val="nl-NL"/>
              </w:rPr>
              <w:t xml:space="preserve"> với các cơ quan quản lý nhà nước để theo dõi, quản lý. Tại khoản 2 Điều 46 Nghị định số 137</w:t>
            </w:r>
            <w:r>
              <w:rPr>
                <w:bCs/>
                <w:iCs/>
                <w:color w:val="000000" w:themeColor="text1"/>
                <w:lang w:val="nl-NL"/>
              </w:rPr>
              <w:t>/2021/NĐ-CP</w:t>
            </w:r>
            <w:r w:rsidRPr="00626EAA">
              <w:rPr>
                <w:bCs/>
                <w:iCs/>
                <w:color w:val="000000" w:themeColor="text1"/>
                <w:lang w:val="nl-NL"/>
              </w:rPr>
              <w:t xml:space="preserve"> quy định xử phạt đối với hành vi </w:t>
            </w:r>
            <w:bookmarkStart w:id="0" w:name="khoan_46_2"/>
            <w:r w:rsidRPr="00626EAA">
              <w:rPr>
                <w:bCs/>
                <w:iCs/>
                <w:color w:val="000000" w:themeColor="text1"/>
                <w:lang w:val="nl-NL"/>
              </w:rPr>
              <w:t>không đăng ký đồng tiền quy ước với cơ quan quản lý nhà nước theo quy định</w:t>
            </w:r>
            <w:bookmarkEnd w:id="0"/>
            <w:r w:rsidRPr="00626EAA">
              <w:rPr>
                <w:bCs/>
                <w:iCs/>
                <w:color w:val="000000" w:themeColor="text1"/>
                <w:lang w:val="nl-NL"/>
              </w:rPr>
              <w:t>.</w:t>
            </w:r>
          </w:p>
        </w:tc>
        <w:tc>
          <w:tcPr>
            <w:tcW w:w="2410" w:type="dxa"/>
          </w:tcPr>
          <w:p w:rsidR="00192B55" w:rsidRPr="0030178E" w:rsidRDefault="00192B55" w:rsidP="00192B55">
            <w:pPr>
              <w:rPr>
                <w:color w:val="000000" w:themeColor="text1"/>
                <w:lang w:val="af-ZA"/>
              </w:rPr>
            </w:pPr>
            <w:r w:rsidRPr="00626EAA">
              <w:rPr>
                <w:color w:val="000000" w:themeColor="text1"/>
                <w:lang w:val="af-ZA"/>
              </w:rPr>
              <w:t xml:space="preserve">Thống nhất với hành vi quy định tại </w:t>
            </w:r>
            <w:r w:rsidRPr="00626EAA">
              <w:rPr>
                <w:bCs/>
                <w:iCs/>
                <w:color w:val="000000" w:themeColor="text1"/>
                <w:lang w:val="nl-NL"/>
              </w:rPr>
              <w:t>Nghị định số 121/2021/NĐ-CP</w:t>
            </w:r>
          </w:p>
        </w:tc>
        <w:tc>
          <w:tcPr>
            <w:tcW w:w="1985" w:type="dxa"/>
          </w:tcPr>
          <w:p w:rsidR="00192B55" w:rsidRPr="00E143CD" w:rsidRDefault="00192B55" w:rsidP="00192B55">
            <w:pPr>
              <w:rPr>
                <w:color w:val="000000" w:themeColor="text1"/>
                <w:lang w:val="af-ZA"/>
              </w:rPr>
            </w:pPr>
            <w:r w:rsidRPr="00E143CD">
              <w:rPr>
                <w:color w:val="000000" w:themeColor="text1"/>
                <w:lang w:val="af-ZA"/>
              </w:rPr>
              <w:t>Trình Chính phủ chấp thuận</w:t>
            </w:r>
          </w:p>
        </w:tc>
      </w:tr>
      <w:tr w:rsidR="00192B55" w:rsidRPr="00192B55" w:rsidTr="00192B55">
        <w:tc>
          <w:tcPr>
            <w:tcW w:w="4219" w:type="dxa"/>
          </w:tcPr>
          <w:p w:rsidR="00192B55" w:rsidRPr="00626EAA"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bCs/>
                <w:iCs/>
                <w:color w:val="000000"/>
                <w:lang w:val="nl-NL"/>
              </w:rPr>
            </w:pPr>
            <w:r w:rsidRPr="00626EAA">
              <w:rPr>
                <w:bCs/>
                <w:iCs/>
                <w:color w:val="000000"/>
                <w:lang w:val="nl-NL"/>
              </w:rPr>
              <w:t xml:space="preserve">Bộ Tài chính trình Chính phủ bãi bỏ quy </w:t>
            </w:r>
            <w:r w:rsidRPr="00626EAA">
              <w:rPr>
                <w:bCs/>
                <w:iCs/>
                <w:color w:val="000000"/>
                <w:lang w:val="nl-NL"/>
              </w:rPr>
              <w:lastRenderedPageBreak/>
              <w:t>định phạt tiền đối với hành vi sử dụng đồng tiền quy ước không đáp ứng đầy đủ điều kiện kỹ thuật (khoản 1 Điều 32 và khoản 1 Điều 46 Nghị định số 137</w:t>
            </w:r>
            <w:r>
              <w:rPr>
                <w:bCs/>
                <w:iCs/>
                <w:color w:val="000000"/>
                <w:lang w:val="nl-NL"/>
              </w:rPr>
              <w:t>/2021/NĐ-CP</w:t>
            </w:r>
            <w:r w:rsidRPr="00626EAA">
              <w:rPr>
                <w:bCs/>
                <w:iCs/>
                <w:color w:val="000000"/>
                <w:lang w:val="nl-NL"/>
              </w:rPr>
              <w:t>).</w:t>
            </w:r>
          </w:p>
        </w:tc>
        <w:tc>
          <w:tcPr>
            <w:tcW w:w="6095" w:type="dxa"/>
          </w:tcPr>
          <w:p w:rsidR="00192B55" w:rsidRPr="00626EAA"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bCs/>
                <w:iCs/>
                <w:color w:val="000000" w:themeColor="text1"/>
                <w:lang w:val="nl-NL"/>
              </w:rPr>
            </w:pPr>
            <w:r w:rsidRPr="00626EAA">
              <w:rPr>
                <w:bCs/>
                <w:iCs/>
                <w:color w:val="000000" w:themeColor="text1"/>
                <w:lang w:val="nl-NL"/>
              </w:rPr>
              <w:lastRenderedPageBreak/>
              <w:t>Nghị định số 121</w:t>
            </w:r>
            <w:r>
              <w:rPr>
                <w:bCs/>
                <w:iCs/>
                <w:color w:val="000000" w:themeColor="text1"/>
                <w:lang w:val="nl-NL"/>
              </w:rPr>
              <w:t>/2021/NĐ-CP</w:t>
            </w:r>
            <w:r w:rsidRPr="00626EAA">
              <w:rPr>
                <w:bCs/>
                <w:iCs/>
                <w:color w:val="000000" w:themeColor="text1"/>
                <w:lang w:val="nl-NL"/>
              </w:rPr>
              <w:t xml:space="preserve"> và Nghị định số </w:t>
            </w:r>
            <w:r w:rsidRPr="00626EAA">
              <w:rPr>
                <w:bCs/>
                <w:iCs/>
                <w:color w:val="000000" w:themeColor="text1"/>
                <w:lang w:val="nl-NL"/>
              </w:rPr>
              <w:lastRenderedPageBreak/>
              <w:t>03</w:t>
            </w:r>
            <w:r>
              <w:rPr>
                <w:bCs/>
                <w:iCs/>
                <w:color w:val="000000" w:themeColor="text1"/>
                <w:lang w:val="nl-NL"/>
              </w:rPr>
              <w:t>/2017/NĐ-CP</w:t>
            </w:r>
            <w:r w:rsidRPr="00626EAA">
              <w:rPr>
                <w:bCs/>
                <w:iCs/>
                <w:color w:val="000000" w:themeColor="text1"/>
                <w:lang w:val="nl-NL"/>
              </w:rPr>
              <w:t xml:space="preserve"> không quy định về điều kiện kỹ thuật đối với </w:t>
            </w:r>
            <w:r w:rsidRPr="00626EAA">
              <w:rPr>
                <w:bCs/>
                <w:iCs/>
                <w:color w:val="000000"/>
                <w:lang w:val="nl-NL"/>
              </w:rPr>
              <w:t>đồng tiền quy ước</w:t>
            </w:r>
            <w:r w:rsidRPr="00626EAA">
              <w:rPr>
                <w:bCs/>
                <w:iCs/>
                <w:color w:val="000000" w:themeColor="text1"/>
                <w:lang w:val="nl-NL"/>
              </w:rPr>
              <w:t>.</w:t>
            </w:r>
          </w:p>
        </w:tc>
        <w:tc>
          <w:tcPr>
            <w:tcW w:w="2410" w:type="dxa"/>
          </w:tcPr>
          <w:p w:rsidR="00192B55" w:rsidRPr="00626EAA" w:rsidRDefault="00192B55" w:rsidP="00192B55">
            <w:pPr>
              <w:rPr>
                <w:color w:val="000000" w:themeColor="text1"/>
                <w:lang w:val="af-ZA"/>
              </w:rPr>
            </w:pPr>
            <w:r w:rsidRPr="0030178E">
              <w:rPr>
                <w:color w:val="000000" w:themeColor="text1"/>
                <w:lang w:val="af-ZA"/>
              </w:rPr>
              <w:lastRenderedPageBreak/>
              <w:t xml:space="preserve">Thống nhất với hành </w:t>
            </w:r>
            <w:r w:rsidRPr="0030178E">
              <w:rPr>
                <w:color w:val="000000" w:themeColor="text1"/>
                <w:lang w:val="af-ZA"/>
              </w:rPr>
              <w:lastRenderedPageBreak/>
              <w:t xml:space="preserve">vi quy định tại </w:t>
            </w:r>
            <w:r w:rsidRPr="0030178E">
              <w:rPr>
                <w:bCs/>
                <w:iCs/>
                <w:color w:val="000000" w:themeColor="text1"/>
                <w:lang w:val="nl-NL"/>
              </w:rPr>
              <w:t>Nghị định số 121/2021/NĐ-CP và Nghị định số 03/2017/NĐ-CP</w:t>
            </w:r>
          </w:p>
        </w:tc>
        <w:tc>
          <w:tcPr>
            <w:tcW w:w="1985" w:type="dxa"/>
          </w:tcPr>
          <w:p w:rsidR="00192B55" w:rsidRPr="00E143CD" w:rsidRDefault="00192B55" w:rsidP="00192B55">
            <w:pPr>
              <w:rPr>
                <w:color w:val="000000" w:themeColor="text1"/>
                <w:lang w:val="af-ZA"/>
              </w:rPr>
            </w:pPr>
            <w:r w:rsidRPr="00E143CD">
              <w:rPr>
                <w:color w:val="000000" w:themeColor="text1"/>
                <w:lang w:val="af-ZA"/>
              </w:rPr>
              <w:lastRenderedPageBreak/>
              <w:t xml:space="preserve">Trình Chính phủ </w:t>
            </w:r>
            <w:r w:rsidRPr="00E143CD">
              <w:rPr>
                <w:color w:val="000000" w:themeColor="text1"/>
                <w:lang w:val="af-ZA"/>
              </w:rPr>
              <w:lastRenderedPageBreak/>
              <w:t>chấp thuận</w:t>
            </w:r>
          </w:p>
        </w:tc>
      </w:tr>
      <w:tr w:rsidR="00192B55" w:rsidRPr="00192B55" w:rsidTr="00192B55">
        <w:tc>
          <w:tcPr>
            <w:tcW w:w="4219" w:type="dxa"/>
          </w:tcPr>
          <w:p w:rsidR="00192B55" w:rsidRPr="00626EAA"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rPr>
                <w:bCs/>
                <w:iCs/>
                <w:color w:val="000000"/>
                <w:lang w:val="nl-NL"/>
              </w:rPr>
            </w:pPr>
            <w:r w:rsidRPr="00626EAA">
              <w:rPr>
                <w:bCs/>
                <w:iCs/>
                <w:color w:val="000000"/>
                <w:lang w:val="nl-NL"/>
              </w:rPr>
              <w:lastRenderedPageBreak/>
              <w:t xml:space="preserve">Bộ Tài chính </w:t>
            </w:r>
            <w:r w:rsidRPr="00626EAA">
              <w:rPr>
                <w:bCs/>
                <w:iCs/>
                <w:color w:val="000000"/>
                <w:lang w:val="vi-VN"/>
              </w:rPr>
              <w:t>trình Chính phủ</w:t>
            </w:r>
            <w:r w:rsidR="008E0CE8" w:rsidRPr="008E0CE8">
              <w:rPr>
                <w:bCs/>
                <w:iCs/>
                <w:color w:val="000000"/>
                <w:lang w:val="af-ZA"/>
              </w:rPr>
              <w:t xml:space="preserve"> </w:t>
            </w:r>
            <w:r w:rsidRPr="00626EAA">
              <w:rPr>
                <w:bCs/>
                <w:iCs/>
                <w:color w:val="000000"/>
                <w:lang w:val="nl-NL"/>
              </w:rPr>
              <w:t>quy định phạt tiền từ 180-200 triệu đồng xử phạt hành vi vi phạm kinh doanh các máy/bàn trò chơi/TBTC có nội dung, hình ảnh văn hóa chưa được cơ quan quản lý nhà nước có thẩm quyền thẩm định cho phép phổ biến, lưu hành theo quy định của pháp luật</w:t>
            </w:r>
          </w:p>
        </w:tc>
        <w:tc>
          <w:tcPr>
            <w:tcW w:w="6095" w:type="dxa"/>
          </w:tcPr>
          <w:p w:rsidR="00192B55" w:rsidRPr="00626EAA" w:rsidRDefault="00192B55" w:rsidP="00192B55">
            <w:pPr>
              <w:widowControl w:val="0"/>
              <w:pBdr>
                <w:top w:val="dotted" w:sz="4" w:space="0" w:color="FFFFFF"/>
                <w:left w:val="dotted" w:sz="4" w:space="0" w:color="FFFFFF"/>
                <w:bottom w:val="dotted" w:sz="4" w:space="14" w:color="FFFFFF"/>
                <w:right w:val="dotted" w:sz="4" w:space="0" w:color="FFFFFF"/>
              </w:pBdr>
              <w:shd w:val="clear" w:color="auto" w:fill="FFFFFF"/>
              <w:snapToGrid w:val="0"/>
              <w:rPr>
                <w:bCs/>
                <w:iCs/>
                <w:color w:val="000000" w:themeColor="text1"/>
                <w:lang w:val="nl-NL"/>
              </w:rPr>
            </w:pPr>
            <w:r w:rsidRPr="00626EAA">
              <w:rPr>
                <w:bCs/>
                <w:iCs/>
                <w:color w:val="000000" w:themeColor="text1"/>
                <w:lang w:val="vi-VN"/>
              </w:rPr>
              <w:t>Khoản 14 Điều 4</w:t>
            </w:r>
            <w:r w:rsidR="008E0CE8" w:rsidRPr="008E0CE8">
              <w:rPr>
                <w:bCs/>
                <w:iCs/>
                <w:color w:val="000000" w:themeColor="text1"/>
                <w:lang w:val="nl-NL"/>
              </w:rPr>
              <w:t xml:space="preserve"> </w:t>
            </w:r>
            <w:r w:rsidRPr="00626EAA">
              <w:rPr>
                <w:bCs/>
                <w:iCs/>
                <w:color w:val="000000" w:themeColor="text1"/>
                <w:lang w:val="nl-NL"/>
              </w:rPr>
              <w:t>Nghị định số</w:t>
            </w:r>
            <w:r w:rsidRPr="00626EAA">
              <w:rPr>
                <w:bCs/>
                <w:iCs/>
                <w:color w:val="000000" w:themeColor="text1"/>
                <w:lang w:val="vi-VN"/>
              </w:rPr>
              <w:t xml:space="preserve"> </w:t>
            </w:r>
            <w:r w:rsidRPr="00626EAA">
              <w:rPr>
                <w:bCs/>
                <w:iCs/>
                <w:color w:val="000000" w:themeColor="text1"/>
                <w:lang w:val="nl-NL"/>
              </w:rPr>
              <w:t>121/2021/NĐ-CP</w:t>
            </w:r>
            <w:r w:rsidRPr="00626EAA">
              <w:rPr>
                <w:bCs/>
                <w:iCs/>
                <w:color w:val="000000" w:themeColor="text1"/>
                <w:lang w:val="vi-VN"/>
              </w:rPr>
              <w:t xml:space="preserve"> và khoản 10 Điều 4</w:t>
            </w:r>
            <w:r w:rsidR="008E0CE8" w:rsidRPr="008E0CE8">
              <w:rPr>
                <w:bCs/>
                <w:iCs/>
                <w:color w:val="000000" w:themeColor="text1"/>
                <w:lang w:val="nl-NL"/>
              </w:rPr>
              <w:t xml:space="preserve"> </w:t>
            </w:r>
            <w:r w:rsidRPr="00626EAA">
              <w:rPr>
                <w:bCs/>
                <w:iCs/>
                <w:color w:val="000000" w:themeColor="text1"/>
                <w:lang w:val="nl-NL"/>
              </w:rPr>
              <w:t>Nghị định số</w:t>
            </w:r>
            <w:r w:rsidRPr="00626EAA">
              <w:rPr>
                <w:bCs/>
                <w:iCs/>
                <w:color w:val="000000" w:themeColor="text1"/>
                <w:lang w:val="vi-VN"/>
              </w:rPr>
              <w:t xml:space="preserve"> </w:t>
            </w:r>
            <w:r w:rsidRPr="00626EAA">
              <w:rPr>
                <w:bCs/>
                <w:iCs/>
                <w:color w:val="000000" w:themeColor="text1"/>
                <w:lang w:val="nl-NL"/>
              </w:rPr>
              <w:t xml:space="preserve">03/2017/NĐ-CP </w:t>
            </w:r>
            <w:r w:rsidRPr="00626EAA">
              <w:rPr>
                <w:bCs/>
                <w:iCs/>
                <w:color w:val="000000" w:themeColor="text1"/>
                <w:lang w:val="vi-VN"/>
              </w:rPr>
              <w:t>quy định nghiêm cấm kinh doanh các máy/bàn</w:t>
            </w:r>
            <w:r w:rsidRPr="00626EAA">
              <w:rPr>
                <w:bCs/>
                <w:iCs/>
                <w:color w:val="000000" w:themeColor="text1"/>
                <w:lang w:val="nl-NL"/>
              </w:rPr>
              <w:t xml:space="preserve"> trò chơi</w:t>
            </w:r>
            <w:r w:rsidRPr="00626EAA">
              <w:rPr>
                <w:bCs/>
                <w:iCs/>
                <w:color w:val="000000" w:themeColor="text1"/>
                <w:lang w:val="vi-VN"/>
              </w:rPr>
              <w:t>/</w:t>
            </w:r>
            <w:r w:rsidRPr="00626EAA">
              <w:rPr>
                <w:bCs/>
                <w:iCs/>
                <w:color w:val="000000" w:themeColor="text1"/>
                <w:lang w:val="nl-NL"/>
              </w:rPr>
              <w:t>TBTC</w:t>
            </w:r>
            <w:r w:rsidRPr="00626EAA">
              <w:rPr>
                <w:bCs/>
                <w:iCs/>
                <w:color w:val="000000" w:themeColor="text1"/>
                <w:lang w:val="vi-VN"/>
              </w:rPr>
              <w:t xml:space="preserve"> có nội dung, hình ảnh văn hóa chưa được cơ quan quản lý nhà nước c</w:t>
            </w:r>
            <w:r w:rsidRPr="00626EAA">
              <w:rPr>
                <w:bCs/>
                <w:iCs/>
                <w:color w:val="000000" w:themeColor="text1"/>
                <w:lang w:val="nl-NL"/>
              </w:rPr>
              <w:t>ó</w:t>
            </w:r>
            <w:r w:rsidRPr="00626EAA">
              <w:rPr>
                <w:bCs/>
                <w:iCs/>
                <w:color w:val="000000" w:themeColor="text1"/>
                <w:lang w:val="vi-VN"/>
              </w:rPr>
              <w:t> thẩm quyền thẩm định cho phép phổ biến, lưu hành theo quy định của pháp luật.</w:t>
            </w:r>
          </w:p>
        </w:tc>
        <w:tc>
          <w:tcPr>
            <w:tcW w:w="2410" w:type="dxa"/>
          </w:tcPr>
          <w:p w:rsidR="00192B55" w:rsidRPr="0030178E" w:rsidRDefault="00192B55" w:rsidP="00192B55">
            <w:pPr>
              <w:rPr>
                <w:color w:val="000000" w:themeColor="text1"/>
                <w:lang w:val="af-ZA"/>
              </w:rPr>
            </w:pPr>
            <w:r w:rsidRPr="00626EAA">
              <w:rPr>
                <w:color w:val="000000" w:themeColor="text1"/>
                <w:lang w:val="af-ZA"/>
              </w:rPr>
              <w:t xml:space="preserve">Thống nhất với hành vi quy định tại </w:t>
            </w:r>
            <w:r w:rsidRPr="00626EAA">
              <w:rPr>
                <w:bCs/>
                <w:iCs/>
                <w:color w:val="000000" w:themeColor="text1"/>
                <w:lang w:val="nl-NL"/>
              </w:rPr>
              <w:t>Nghị định số 121/2021/NĐ-CP và Nghị định số 03/2017/NĐ-CP</w:t>
            </w:r>
          </w:p>
        </w:tc>
        <w:tc>
          <w:tcPr>
            <w:tcW w:w="1985" w:type="dxa"/>
          </w:tcPr>
          <w:p w:rsidR="00192B55" w:rsidRPr="00E143CD" w:rsidRDefault="00192B55" w:rsidP="00192B55">
            <w:pPr>
              <w:rPr>
                <w:color w:val="000000" w:themeColor="text1"/>
                <w:lang w:val="af-ZA"/>
              </w:rPr>
            </w:pPr>
            <w:r w:rsidRPr="00E143CD">
              <w:rPr>
                <w:color w:val="000000" w:themeColor="text1"/>
                <w:lang w:val="af-ZA"/>
              </w:rPr>
              <w:t>Trình Chính phủ chấp thuận</w:t>
            </w:r>
          </w:p>
        </w:tc>
      </w:tr>
    </w:tbl>
    <w:p w:rsidR="003E46D8" w:rsidRPr="00081B3D" w:rsidRDefault="003E46D8" w:rsidP="00402926">
      <w:pPr>
        <w:widowControl w:val="0"/>
        <w:spacing w:before="120" w:after="120" w:line="340" w:lineRule="exact"/>
        <w:ind w:firstLine="709"/>
        <w:rPr>
          <w:color w:val="auto"/>
          <w:sz w:val="28"/>
          <w:szCs w:val="28"/>
          <w:lang w:val="af-ZA"/>
        </w:rPr>
      </w:pPr>
    </w:p>
    <w:sectPr w:rsidR="003E46D8" w:rsidRPr="00081B3D" w:rsidSect="00E143CD">
      <w:pgSz w:w="16840" w:h="11907" w:orient="landscape" w:code="9"/>
      <w:pgMar w:top="1699" w:right="1138" w:bottom="1138" w:left="113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78E" w:rsidRDefault="0030178E" w:rsidP="00DE6F17">
      <w:r>
        <w:separator/>
      </w:r>
    </w:p>
  </w:endnote>
  <w:endnote w:type="continuationSeparator" w:id="0">
    <w:p w:rsidR="0030178E" w:rsidRDefault="0030178E" w:rsidP="00DE6F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78E" w:rsidRDefault="0030178E">
    <w:pPr>
      <w:pStyle w:val="Footer"/>
      <w:jc w:val="right"/>
    </w:pPr>
  </w:p>
  <w:p w:rsidR="0030178E" w:rsidRDefault="003017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78E" w:rsidRDefault="0030178E" w:rsidP="00DE6F17">
      <w:r>
        <w:separator/>
      </w:r>
    </w:p>
  </w:footnote>
  <w:footnote w:type="continuationSeparator" w:id="0">
    <w:p w:rsidR="0030178E" w:rsidRDefault="0030178E" w:rsidP="00DE6F17">
      <w:r>
        <w:continuationSeparator/>
      </w:r>
    </w:p>
  </w:footnote>
  <w:footnote w:id="1">
    <w:p w:rsidR="0030178E" w:rsidRPr="00EE505E" w:rsidRDefault="0030178E" w:rsidP="009874F5">
      <w:pPr>
        <w:pStyle w:val="FootnoteText"/>
        <w:jc w:val="both"/>
        <w:rPr>
          <w:b w:val="0"/>
        </w:rPr>
      </w:pPr>
      <w:r w:rsidRPr="00EE505E">
        <w:rPr>
          <w:rStyle w:val="FootnoteReference"/>
          <w:b w:val="0"/>
        </w:rPr>
        <w:footnoteRef/>
      </w:r>
      <w:r w:rsidRPr="00EE505E">
        <w:rPr>
          <w:b w:val="0"/>
        </w:rPr>
        <w:t xml:space="preserve"> </w:t>
      </w:r>
      <w:r w:rsidRPr="00EE505E">
        <w:rPr>
          <w:b w:val="0"/>
          <w:spacing w:val="-2"/>
          <w:lang w:val="nl-NL"/>
        </w:rPr>
        <w:t xml:space="preserve"> Khoản 1 Điều 42 Nghị định số 121/2021/NĐ-CP, khoản 1 Điều 62 Nghị định số 03/2017/NĐ-CP và khoản 1 Điều 79 Nghị định số 06/2017/NĐ-CP.</w:t>
      </w:r>
    </w:p>
  </w:footnote>
  <w:footnote w:id="2">
    <w:p w:rsidR="00192B55" w:rsidRPr="00E143CD" w:rsidRDefault="008E0CE8" w:rsidP="00E143CD">
      <w:pPr>
        <w:pStyle w:val="FootnoteText"/>
        <w:jc w:val="both"/>
        <w:rPr>
          <w:b w:val="0"/>
          <w:sz w:val="18"/>
          <w:szCs w:val="18"/>
          <w:lang w:val="nl-NL"/>
        </w:rPr>
      </w:pPr>
      <w:r w:rsidRPr="008E0CE8">
        <w:rPr>
          <w:rStyle w:val="FootnoteReference"/>
          <w:b w:val="0"/>
          <w:sz w:val="18"/>
          <w:szCs w:val="18"/>
        </w:rPr>
        <w:footnoteRef/>
      </w:r>
      <w:r w:rsidRPr="008E0CE8">
        <w:rPr>
          <w:b w:val="0"/>
          <w:sz w:val="18"/>
          <w:szCs w:val="18"/>
          <w:lang w:val="nl-NL"/>
        </w:rPr>
        <w:t xml:space="preserve"> </w:t>
      </w:r>
      <w:r w:rsidRPr="008E0CE8">
        <w:rPr>
          <w:b w:val="0"/>
          <w:sz w:val="18"/>
          <w:szCs w:val="18"/>
          <w:lang w:val="pt-BR"/>
        </w:rPr>
        <w:t>điểm a khoản 2 Điều 3; khoản 4 Điều 26; khoản 2 Điều 27; khoản 3 Điều 28; khoản 4 Điều 29; khoản 3 Điều 30; điểm b và điểm c khoản 4 Điều 33; khoản 4 Điều 34; khoản 3 Điều 35; khoản 4 Điều 36; tại khoản 4 Điều 40; khoản 2 Điều 41; khoản 3 Điều 42; khoản 4 Điều 43; khoản 3 Điều 44; điểm b và điểm c khoản 4 Điều 47; khoản 4 Điều 48; khoản 3 Điều 49; khoản 4 Điều 50</w:t>
      </w:r>
    </w:p>
  </w:footnote>
  <w:footnote w:id="3">
    <w:p w:rsidR="00192B55" w:rsidRPr="00F54537" w:rsidRDefault="00192B55" w:rsidP="0030178E">
      <w:pPr>
        <w:pStyle w:val="FootnoteText"/>
        <w:jc w:val="both"/>
        <w:rPr>
          <w:b w:val="0"/>
          <w:lang w:val="nl-NL"/>
        </w:rPr>
      </w:pPr>
      <w:r w:rsidRPr="00F54537">
        <w:rPr>
          <w:rStyle w:val="FootnoteReference"/>
        </w:rPr>
        <w:footnoteRef/>
      </w:r>
      <w:r w:rsidRPr="00F54537">
        <w:rPr>
          <w:b w:val="0"/>
          <w:lang w:val="nl-NL"/>
        </w:rPr>
        <w:t xml:space="preserve"> </w:t>
      </w:r>
      <w:r w:rsidR="008E0CE8" w:rsidRPr="008E0CE8">
        <w:rPr>
          <w:b w:val="0"/>
          <w:lang w:val="nl-NL"/>
        </w:rPr>
        <w:t>hành vi tự ý sửa chữa, tẩy xóa các tài liệu</w:t>
      </w:r>
      <w:r w:rsidRPr="00F54537">
        <w:rPr>
          <w:b w:val="0"/>
          <w:lang w:val="nl-NL"/>
        </w:rPr>
        <w:t xml:space="preserve">, </w:t>
      </w:r>
      <w:r w:rsidRPr="00F54537">
        <w:rPr>
          <w:b w:val="0"/>
          <w:lang w:val="pt-BR"/>
        </w:rPr>
        <w:t>lập, xác nhận hồ sơ, tài liệu giả mạo hoặc có thông tin sai lệch, sai sự thật hoặc che giấu sự thật</w:t>
      </w:r>
      <w:r w:rsidR="008E0CE8" w:rsidRPr="008E0CE8">
        <w:rPr>
          <w:b w:val="0"/>
          <w:lang w:val="nl-NL"/>
        </w:rPr>
        <w:t xml:space="preserve"> trong hồ sơ đề nghị cấp, cấp lại, điều chỉnh và gia hạn Giấy chứng nhận đủ điều kiện kinh doanh</w:t>
      </w:r>
      <w:r w:rsidRPr="00F54537">
        <w:rPr>
          <w:b w:val="0"/>
          <w:lang w:val="nl-NL"/>
        </w:rPr>
        <w:t xml:space="preserve">; </w:t>
      </w:r>
      <w:r w:rsidRPr="00F54537">
        <w:rPr>
          <w:b w:val="0"/>
          <w:bCs/>
          <w:iCs/>
          <w:lang w:val="pt-BR"/>
        </w:rPr>
        <w:t>hành vi cho thuê, cho mượn, chuyển nhượng Giấy chứng nhận đủ điều kiện kinh doanh; Kinh doanh khi chưa được cơ quan quản lý nhà nước có thẩm quyền cấp phép hoặc trong thời gian bị thu hồi, tước quyền sử dụng Giấy chứng nhận đủ điều kiện kinh doanh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548797265"/>
      <w:docPartObj>
        <w:docPartGallery w:val="Page Numbers (Top of Page)"/>
        <w:docPartUnique/>
      </w:docPartObj>
    </w:sdtPr>
    <w:sdtEndPr>
      <w:rPr>
        <w:noProof/>
      </w:rPr>
    </w:sdtEndPr>
    <w:sdtContent>
      <w:p w:rsidR="0030178E" w:rsidRDefault="008E0CE8">
        <w:pPr>
          <w:pStyle w:val="Header"/>
          <w:jc w:val="center"/>
        </w:pPr>
        <w:r>
          <w:fldChar w:fldCharType="begin"/>
        </w:r>
        <w:r w:rsidR="00626EAA">
          <w:instrText xml:space="preserve"> PAGE   \* MERGEFORMAT </w:instrText>
        </w:r>
        <w:r>
          <w:fldChar w:fldCharType="separate"/>
        </w:r>
        <w:r w:rsidR="003F0B06">
          <w:t>2</w:t>
        </w:r>
        <w:r>
          <w:fldChar w:fldCharType="end"/>
        </w:r>
      </w:p>
    </w:sdtContent>
  </w:sdt>
  <w:p w:rsidR="0030178E" w:rsidRDefault="003017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C6240"/>
    <w:multiLevelType w:val="hybridMultilevel"/>
    <w:tmpl w:val="1DBE643A"/>
    <w:lvl w:ilvl="0" w:tplc="9BB2770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B7654A"/>
    <w:multiLevelType w:val="hybridMultilevel"/>
    <w:tmpl w:val="126899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0F5429"/>
    <w:multiLevelType w:val="hybridMultilevel"/>
    <w:tmpl w:val="FD729DAC"/>
    <w:lvl w:ilvl="0" w:tplc="7F4CF90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95155B1"/>
    <w:multiLevelType w:val="multilevel"/>
    <w:tmpl w:val="670A6BFC"/>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CA43972"/>
    <w:multiLevelType w:val="hybridMultilevel"/>
    <w:tmpl w:val="223A8992"/>
    <w:lvl w:ilvl="0" w:tplc="1FAC6F7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nsid w:val="2EE65BD2"/>
    <w:multiLevelType w:val="hybridMultilevel"/>
    <w:tmpl w:val="8FEE4430"/>
    <w:lvl w:ilvl="0" w:tplc="03E2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B4392C"/>
    <w:multiLevelType w:val="hybridMultilevel"/>
    <w:tmpl w:val="16C864B8"/>
    <w:lvl w:ilvl="0" w:tplc="3D9AC570">
      <w:start w:val="3"/>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0C61E30"/>
    <w:multiLevelType w:val="hybridMultilevel"/>
    <w:tmpl w:val="28CA52DE"/>
    <w:lvl w:ilvl="0" w:tplc="83524C30">
      <w:start w:val="2"/>
      <w:numFmt w:val="bullet"/>
      <w:lvlText w:val="-"/>
      <w:lvlJc w:val="left"/>
      <w:pPr>
        <w:ind w:left="1080" w:hanging="360"/>
      </w:pPr>
      <w:rPr>
        <w:rFonts w:ascii="Times New Roman" w:eastAsia="Calibri" w:hAnsi="Times New Roman" w:cs="Times New Roman"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67241D"/>
    <w:multiLevelType w:val="hybridMultilevel"/>
    <w:tmpl w:val="8D825C1A"/>
    <w:lvl w:ilvl="0" w:tplc="FEFA8A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C97C08"/>
    <w:multiLevelType w:val="hybridMultilevel"/>
    <w:tmpl w:val="A1AE41D2"/>
    <w:lvl w:ilvl="0" w:tplc="612097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8784DE6"/>
    <w:multiLevelType w:val="multilevel"/>
    <w:tmpl w:val="6E960E8E"/>
    <w:lvl w:ilvl="0">
      <w:start w:val="3"/>
      <w:numFmt w:val="decimal"/>
      <w:lvlText w:val="%1"/>
      <w:lvlJc w:val="left"/>
      <w:pPr>
        <w:ind w:left="375" w:hanging="375"/>
      </w:pPr>
      <w:rPr>
        <w:rFonts w:hint="default"/>
      </w:rPr>
    </w:lvl>
    <w:lvl w:ilvl="1">
      <w:start w:val="2"/>
      <w:numFmt w:val="decimal"/>
      <w:lvlText w:val="%1.%2"/>
      <w:lvlJc w:val="left"/>
      <w:pPr>
        <w:ind w:left="1086" w:hanging="375"/>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848" w:hanging="2160"/>
      </w:pPr>
      <w:rPr>
        <w:rFonts w:hint="default"/>
      </w:rPr>
    </w:lvl>
  </w:abstractNum>
  <w:abstractNum w:abstractNumId="11">
    <w:nsid w:val="5A6409AF"/>
    <w:multiLevelType w:val="hybridMultilevel"/>
    <w:tmpl w:val="6FA22550"/>
    <w:lvl w:ilvl="0" w:tplc="B302B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2B206AD"/>
    <w:multiLevelType w:val="hybridMultilevel"/>
    <w:tmpl w:val="0794FB3A"/>
    <w:lvl w:ilvl="0" w:tplc="5920873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24619C"/>
    <w:multiLevelType w:val="hybridMultilevel"/>
    <w:tmpl w:val="245E76FE"/>
    <w:lvl w:ilvl="0" w:tplc="AC0E057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73472D"/>
    <w:multiLevelType w:val="hybridMultilevel"/>
    <w:tmpl w:val="FE60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955ED2"/>
    <w:multiLevelType w:val="hybridMultilevel"/>
    <w:tmpl w:val="9C1C8698"/>
    <w:lvl w:ilvl="0" w:tplc="02608F94">
      <w:start w:val="1"/>
      <w:numFmt w:val="decimal"/>
      <w:lvlText w:val="%1."/>
      <w:lvlJc w:val="left"/>
      <w:pPr>
        <w:tabs>
          <w:tab w:val="num" w:pos="1080"/>
        </w:tabs>
        <w:ind w:left="1080" w:hanging="360"/>
      </w:pPr>
      <w:rPr>
        <w:rFonts w:hint="default"/>
      </w:rPr>
    </w:lvl>
    <w:lvl w:ilvl="1" w:tplc="B582D710">
      <w:numFmt w:val="none"/>
      <w:lvlText w:val=""/>
      <w:lvlJc w:val="left"/>
      <w:pPr>
        <w:tabs>
          <w:tab w:val="num" w:pos="360"/>
        </w:tabs>
      </w:pPr>
    </w:lvl>
    <w:lvl w:ilvl="2" w:tplc="11C4EF36">
      <w:numFmt w:val="none"/>
      <w:lvlText w:val=""/>
      <w:lvlJc w:val="left"/>
      <w:pPr>
        <w:tabs>
          <w:tab w:val="num" w:pos="360"/>
        </w:tabs>
      </w:pPr>
    </w:lvl>
    <w:lvl w:ilvl="3" w:tplc="9DA8CE6A">
      <w:numFmt w:val="none"/>
      <w:lvlText w:val=""/>
      <w:lvlJc w:val="left"/>
      <w:pPr>
        <w:tabs>
          <w:tab w:val="num" w:pos="360"/>
        </w:tabs>
      </w:pPr>
    </w:lvl>
    <w:lvl w:ilvl="4" w:tplc="5ACE1FC2">
      <w:numFmt w:val="none"/>
      <w:lvlText w:val=""/>
      <w:lvlJc w:val="left"/>
      <w:pPr>
        <w:tabs>
          <w:tab w:val="num" w:pos="360"/>
        </w:tabs>
      </w:pPr>
    </w:lvl>
    <w:lvl w:ilvl="5" w:tplc="D2F8F078">
      <w:numFmt w:val="none"/>
      <w:lvlText w:val=""/>
      <w:lvlJc w:val="left"/>
      <w:pPr>
        <w:tabs>
          <w:tab w:val="num" w:pos="360"/>
        </w:tabs>
      </w:pPr>
    </w:lvl>
    <w:lvl w:ilvl="6" w:tplc="C27CC078">
      <w:numFmt w:val="none"/>
      <w:lvlText w:val=""/>
      <w:lvlJc w:val="left"/>
      <w:pPr>
        <w:tabs>
          <w:tab w:val="num" w:pos="360"/>
        </w:tabs>
      </w:pPr>
    </w:lvl>
    <w:lvl w:ilvl="7" w:tplc="6D12CE74">
      <w:numFmt w:val="none"/>
      <w:lvlText w:val=""/>
      <w:lvlJc w:val="left"/>
      <w:pPr>
        <w:tabs>
          <w:tab w:val="num" w:pos="360"/>
        </w:tabs>
      </w:pPr>
    </w:lvl>
    <w:lvl w:ilvl="8" w:tplc="E85A77D6">
      <w:numFmt w:val="none"/>
      <w:lvlText w:val=""/>
      <w:lvlJc w:val="left"/>
      <w:pPr>
        <w:tabs>
          <w:tab w:val="num" w:pos="360"/>
        </w:tabs>
      </w:pPr>
    </w:lvl>
  </w:abstractNum>
  <w:abstractNum w:abstractNumId="16">
    <w:nsid w:val="6ECB2340"/>
    <w:multiLevelType w:val="hybridMultilevel"/>
    <w:tmpl w:val="09C884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E52647"/>
    <w:multiLevelType w:val="hybridMultilevel"/>
    <w:tmpl w:val="E0E8E2BC"/>
    <w:lvl w:ilvl="0" w:tplc="3946B1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768D58E5"/>
    <w:multiLevelType w:val="multilevel"/>
    <w:tmpl w:val="32B6E304"/>
    <w:lvl w:ilvl="0">
      <w:start w:val="3"/>
      <w:numFmt w:val="decimal"/>
      <w:lvlText w:val="%1"/>
      <w:lvlJc w:val="left"/>
      <w:pPr>
        <w:ind w:left="375" w:hanging="375"/>
      </w:pPr>
      <w:rPr>
        <w:rFonts w:hint="default"/>
      </w:rPr>
    </w:lvl>
    <w:lvl w:ilvl="1">
      <w:start w:val="2"/>
      <w:numFmt w:val="decimal"/>
      <w:lvlText w:val="%1.%2"/>
      <w:lvlJc w:val="left"/>
      <w:pPr>
        <w:ind w:left="936" w:hanging="375"/>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648" w:hanging="2160"/>
      </w:pPr>
      <w:rPr>
        <w:rFonts w:hint="default"/>
      </w:rPr>
    </w:lvl>
  </w:abstractNum>
  <w:num w:numId="1">
    <w:abstractNumId w:val="6"/>
  </w:num>
  <w:num w:numId="2">
    <w:abstractNumId w:val="4"/>
  </w:num>
  <w:num w:numId="3">
    <w:abstractNumId w:val="8"/>
  </w:num>
  <w:num w:numId="4">
    <w:abstractNumId w:val="0"/>
  </w:num>
  <w:num w:numId="5">
    <w:abstractNumId w:val="12"/>
  </w:num>
  <w:num w:numId="6">
    <w:abstractNumId w:val="16"/>
  </w:num>
  <w:num w:numId="7">
    <w:abstractNumId w:val="15"/>
  </w:num>
  <w:num w:numId="8">
    <w:abstractNumId w:val="5"/>
  </w:num>
  <w:num w:numId="9">
    <w:abstractNumId w:val="14"/>
  </w:num>
  <w:num w:numId="10">
    <w:abstractNumId w:val="9"/>
  </w:num>
  <w:num w:numId="11">
    <w:abstractNumId w:val="1"/>
  </w:num>
  <w:num w:numId="12">
    <w:abstractNumId w:val="3"/>
  </w:num>
  <w:num w:numId="13">
    <w:abstractNumId w:val="13"/>
  </w:num>
  <w:num w:numId="14">
    <w:abstractNumId w:val="18"/>
  </w:num>
  <w:num w:numId="15">
    <w:abstractNumId w:val="10"/>
  </w:num>
  <w:num w:numId="16">
    <w:abstractNumId w:val="11"/>
  </w:num>
  <w:num w:numId="17">
    <w:abstractNumId w:val="2"/>
  </w:num>
  <w:num w:numId="18">
    <w:abstractNumId w:val="7"/>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uyen Duc Thang3">
    <w15:presenceInfo w15:providerId="AD" w15:userId="S-1-5-21-1422164584-2634861355-2679197662-27906"/>
  </w15:person>
  <w15:person w15:author="Thang Nguyen">
    <w15:presenceInfo w15:providerId="Windows Live" w15:userId="657ef1e1ba62e6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cumentProtection w:edit="trackedChanges" w:enforcement="0"/>
  <w:defaultTabStop w:val="720"/>
  <w:drawingGridHorizontalSpacing w:val="120"/>
  <w:displayHorizontalDrawingGridEvery w:val="2"/>
  <w:characterSpacingControl w:val="doNotCompress"/>
  <w:hdrShapeDefaults>
    <o:shapedefaults v:ext="edit" spidmax="2063"/>
  </w:hdrShapeDefaults>
  <w:footnotePr>
    <w:footnote w:id="-1"/>
    <w:footnote w:id="0"/>
  </w:footnotePr>
  <w:endnotePr>
    <w:endnote w:id="-1"/>
    <w:endnote w:id="0"/>
  </w:endnotePr>
  <w:compat/>
  <w:rsids>
    <w:rsidRoot w:val="00225822"/>
    <w:rsid w:val="000006C1"/>
    <w:rsid w:val="000130B4"/>
    <w:rsid w:val="00013426"/>
    <w:rsid w:val="0001403C"/>
    <w:rsid w:val="00020E3C"/>
    <w:rsid w:val="00023698"/>
    <w:rsid w:val="00033B62"/>
    <w:rsid w:val="000349C3"/>
    <w:rsid w:val="00042A90"/>
    <w:rsid w:val="00050011"/>
    <w:rsid w:val="000537D5"/>
    <w:rsid w:val="000601AA"/>
    <w:rsid w:val="000622EC"/>
    <w:rsid w:val="00064F19"/>
    <w:rsid w:val="000733B2"/>
    <w:rsid w:val="00074754"/>
    <w:rsid w:val="0007505E"/>
    <w:rsid w:val="00075730"/>
    <w:rsid w:val="00077456"/>
    <w:rsid w:val="0007770A"/>
    <w:rsid w:val="00081B3D"/>
    <w:rsid w:val="000838CE"/>
    <w:rsid w:val="0008741D"/>
    <w:rsid w:val="00092280"/>
    <w:rsid w:val="000A00FE"/>
    <w:rsid w:val="000A0213"/>
    <w:rsid w:val="000A2B19"/>
    <w:rsid w:val="000B6C5B"/>
    <w:rsid w:val="000C2A26"/>
    <w:rsid w:val="000C307A"/>
    <w:rsid w:val="000C450C"/>
    <w:rsid w:val="000C4996"/>
    <w:rsid w:val="000C778F"/>
    <w:rsid w:val="000E7E5D"/>
    <w:rsid w:val="000F2163"/>
    <w:rsid w:val="000F2C1B"/>
    <w:rsid w:val="000F7437"/>
    <w:rsid w:val="000F7E78"/>
    <w:rsid w:val="001020FF"/>
    <w:rsid w:val="00103245"/>
    <w:rsid w:val="001048BC"/>
    <w:rsid w:val="00110716"/>
    <w:rsid w:val="0011147B"/>
    <w:rsid w:val="00115EF7"/>
    <w:rsid w:val="001236A0"/>
    <w:rsid w:val="00133C54"/>
    <w:rsid w:val="0014360F"/>
    <w:rsid w:val="0014368C"/>
    <w:rsid w:val="00146F35"/>
    <w:rsid w:val="00146F3B"/>
    <w:rsid w:val="00151ADE"/>
    <w:rsid w:val="001538D2"/>
    <w:rsid w:val="00156B27"/>
    <w:rsid w:val="00160CD4"/>
    <w:rsid w:val="0017655D"/>
    <w:rsid w:val="00192B55"/>
    <w:rsid w:val="00193790"/>
    <w:rsid w:val="001A0301"/>
    <w:rsid w:val="001A35DB"/>
    <w:rsid w:val="001A369A"/>
    <w:rsid w:val="001B07E6"/>
    <w:rsid w:val="001B0E38"/>
    <w:rsid w:val="001C0355"/>
    <w:rsid w:val="001C15ED"/>
    <w:rsid w:val="001C668D"/>
    <w:rsid w:val="001D0840"/>
    <w:rsid w:val="001D6398"/>
    <w:rsid w:val="001E2551"/>
    <w:rsid w:val="001E3ACD"/>
    <w:rsid w:val="001E41B7"/>
    <w:rsid w:val="001E56CC"/>
    <w:rsid w:val="001F2E48"/>
    <w:rsid w:val="001F4CB8"/>
    <w:rsid w:val="001F587C"/>
    <w:rsid w:val="00203405"/>
    <w:rsid w:val="00203679"/>
    <w:rsid w:val="0020550C"/>
    <w:rsid w:val="002137FB"/>
    <w:rsid w:val="002201C7"/>
    <w:rsid w:val="00220B88"/>
    <w:rsid w:val="00221358"/>
    <w:rsid w:val="00225673"/>
    <w:rsid w:val="00225822"/>
    <w:rsid w:val="00226D2B"/>
    <w:rsid w:val="002319B9"/>
    <w:rsid w:val="0023484A"/>
    <w:rsid w:val="002400C5"/>
    <w:rsid w:val="00244BA8"/>
    <w:rsid w:val="0024551B"/>
    <w:rsid w:val="0025393F"/>
    <w:rsid w:val="00266B0E"/>
    <w:rsid w:val="00270A35"/>
    <w:rsid w:val="00271BD9"/>
    <w:rsid w:val="002720A4"/>
    <w:rsid w:val="0027272D"/>
    <w:rsid w:val="002817A7"/>
    <w:rsid w:val="00281ED7"/>
    <w:rsid w:val="00282D14"/>
    <w:rsid w:val="002852C5"/>
    <w:rsid w:val="002941EB"/>
    <w:rsid w:val="00295B65"/>
    <w:rsid w:val="00296DD6"/>
    <w:rsid w:val="002A3789"/>
    <w:rsid w:val="002A3DEB"/>
    <w:rsid w:val="002A5125"/>
    <w:rsid w:val="002B44D4"/>
    <w:rsid w:val="002B7521"/>
    <w:rsid w:val="002C2B9A"/>
    <w:rsid w:val="002C2E52"/>
    <w:rsid w:val="002C44A3"/>
    <w:rsid w:val="002C6965"/>
    <w:rsid w:val="002C6EE8"/>
    <w:rsid w:val="002D5550"/>
    <w:rsid w:val="002D5C06"/>
    <w:rsid w:val="002E6B7E"/>
    <w:rsid w:val="002E75DC"/>
    <w:rsid w:val="002F0354"/>
    <w:rsid w:val="002F224F"/>
    <w:rsid w:val="002F49FA"/>
    <w:rsid w:val="002F53FC"/>
    <w:rsid w:val="003014D3"/>
    <w:rsid w:val="0030178E"/>
    <w:rsid w:val="00306D24"/>
    <w:rsid w:val="00310A1E"/>
    <w:rsid w:val="0031330A"/>
    <w:rsid w:val="00321974"/>
    <w:rsid w:val="00323A4D"/>
    <w:rsid w:val="0032587D"/>
    <w:rsid w:val="003300D5"/>
    <w:rsid w:val="00331670"/>
    <w:rsid w:val="00340B20"/>
    <w:rsid w:val="003449AA"/>
    <w:rsid w:val="003557CF"/>
    <w:rsid w:val="003574B5"/>
    <w:rsid w:val="003611A8"/>
    <w:rsid w:val="00363831"/>
    <w:rsid w:val="003742BB"/>
    <w:rsid w:val="0037457B"/>
    <w:rsid w:val="00381208"/>
    <w:rsid w:val="00392175"/>
    <w:rsid w:val="00393741"/>
    <w:rsid w:val="00393B5D"/>
    <w:rsid w:val="00393D3D"/>
    <w:rsid w:val="003A0E4B"/>
    <w:rsid w:val="003A35CA"/>
    <w:rsid w:val="003A7F67"/>
    <w:rsid w:val="003B271E"/>
    <w:rsid w:val="003C159E"/>
    <w:rsid w:val="003C284C"/>
    <w:rsid w:val="003C2B70"/>
    <w:rsid w:val="003D0F7B"/>
    <w:rsid w:val="003D378B"/>
    <w:rsid w:val="003D4A6C"/>
    <w:rsid w:val="003D66E8"/>
    <w:rsid w:val="003D7392"/>
    <w:rsid w:val="003E036D"/>
    <w:rsid w:val="003E088A"/>
    <w:rsid w:val="003E40EA"/>
    <w:rsid w:val="003E46D8"/>
    <w:rsid w:val="003E4E52"/>
    <w:rsid w:val="003E5720"/>
    <w:rsid w:val="003F0B06"/>
    <w:rsid w:val="00402926"/>
    <w:rsid w:val="0040393C"/>
    <w:rsid w:val="0041235C"/>
    <w:rsid w:val="00413258"/>
    <w:rsid w:val="004135F3"/>
    <w:rsid w:val="00415127"/>
    <w:rsid w:val="004153FE"/>
    <w:rsid w:val="004210B1"/>
    <w:rsid w:val="0042377C"/>
    <w:rsid w:val="00425BE0"/>
    <w:rsid w:val="00435974"/>
    <w:rsid w:val="00436DF3"/>
    <w:rsid w:val="00463D65"/>
    <w:rsid w:val="00465A3F"/>
    <w:rsid w:val="00465C38"/>
    <w:rsid w:val="00472E83"/>
    <w:rsid w:val="00475689"/>
    <w:rsid w:val="0047588F"/>
    <w:rsid w:val="00476F8B"/>
    <w:rsid w:val="00482D89"/>
    <w:rsid w:val="00486266"/>
    <w:rsid w:val="0049141F"/>
    <w:rsid w:val="004914B4"/>
    <w:rsid w:val="004926E0"/>
    <w:rsid w:val="00496B89"/>
    <w:rsid w:val="004A0094"/>
    <w:rsid w:val="004A4790"/>
    <w:rsid w:val="004A47A3"/>
    <w:rsid w:val="004A50B4"/>
    <w:rsid w:val="004A6795"/>
    <w:rsid w:val="004A7077"/>
    <w:rsid w:val="004B2EA1"/>
    <w:rsid w:val="004B63D3"/>
    <w:rsid w:val="004B6B34"/>
    <w:rsid w:val="004C101B"/>
    <w:rsid w:val="004C47B1"/>
    <w:rsid w:val="004D3A80"/>
    <w:rsid w:val="004E094F"/>
    <w:rsid w:val="004E47D2"/>
    <w:rsid w:val="004E537D"/>
    <w:rsid w:val="004E593D"/>
    <w:rsid w:val="004E62C6"/>
    <w:rsid w:val="004F0238"/>
    <w:rsid w:val="004F1AA8"/>
    <w:rsid w:val="004F3D14"/>
    <w:rsid w:val="004F5694"/>
    <w:rsid w:val="004F5CFC"/>
    <w:rsid w:val="00502338"/>
    <w:rsid w:val="00502A37"/>
    <w:rsid w:val="00506C8A"/>
    <w:rsid w:val="005073D5"/>
    <w:rsid w:val="00516037"/>
    <w:rsid w:val="00517288"/>
    <w:rsid w:val="00521E93"/>
    <w:rsid w:val="00524CA7"/>
    <w:rsid w:val="005306D8"/>
    <w:rsid w:val="00530D42"/>
    <w:rsid w:val="00531435"/>
    <w:rsid w:val="005367A6"/>
    <w:rsid w:val="00545B03"/>
    <w:rsid w:val="00553625"/>
    <w:rsid w:val="00560FBE"/>
    <w:rsid w:val="00561342"/>
    <w:rsid w:val="00561B25"/>
    <w:rsid w:val="00564E64"/>
    <w:rsid w:val="00567AC2"/>
    <w:rsid w:val="00572331"/>
    <w:rsid w:val="0057503B"/>
    <w:rsid w:val="005808FE"/>
    <w:rsid w:val="00582912"/>
    <w:rsid w:val="0058455E"/>
    <w:rsid w:val="00586B4F"/>
    <w:rsid w:val="00590B04"/>
    <w:rsid w:val="005910E9"/>
    <w:rsid w:val="005922FD"/>
    <w:rsid w:val="00592434"/>
    <w:rsid w:val="005A0568"/>
    <w:rsid w:val="005A3A20"/>
    <w:rsid w:val="005A5B2F"/>
    <w:rsid w:val="005A5F06"/>
    <w:rsid w:val="005A6D70"/>
    <w:rsid w:val="005B1126"/>
    <w:rsid w:val="005B1390"/>
    <w:rsid w:val="005B7B4F"/>
    <w:rsid w:val="005C54E3"/>
    <w:rsid w:val="005C673A"/>
    <w:rsid w:val="005D1CA3"/>
    <w:rsid w:val="005E4AC1"/>
    <w:rsid w:val="005E667C"/>
    <w:rsid w:val="005E675B"/>
    <w:rsid w:val="005F1DC2"/>
    <w:rsid w:val="005F2E52"/>
    <w:rsid w:val="005F44C3"/>
    <w:rsid w:val="005F5BEA"/>
    <w:rsid w:val="00600AAE"/>
    <w:rsid w:val="0061415D"/>
    <w:rsid w:val="00617487"/>
    <w:rsid w:val="006213C7"/>
    <w:rsid w:val="00626EAA"/>
    <w:rsid w:val="00632C1B"/>
    <w:rsid w:val="00633DE7"/>
    <w:rsid w:val="00642608"/>
    <w:rsid w:val="006426F4"/>
    <w:rsid w:val="00643077"/>
    <w:rsid w:val="00644F78"/>
    <w:rsid w:val="00646738"/>
    <w:rsid w:val="006475F1"/>
    <w:rsid w:val="00653FCB"/>
    <w:rsid w:val="00654599"/>
    <w:rsid w:val="00654F46"/>
    <w:rsid w:val="006567CA"/>
    <w:rsid w:val="00663D9A"/>
    <w:rsid w:val="00665F97"/>
    <w:rsid w:val="006673B6"/>
    <w:rsid w:val="00670CDF"/>
    <w:rsid w:val="00670D69"/>
    <w:rsid w:val="00671A4E"/>
    <w:rsid w:val="006740B3"/>
    <w:rsid w:val="0067500F"/>
    <w:rsid w:val="006801B2"/>
    <w:rsid w:val="0068055B"/>
    <w:rsid w:val="006850EA"/>
    <w:rsid w:val="006A0AE6"/>
    <w:rsid w:val="006A5518"/>
    <w:rsid w:val="006B0D6B"/>
    <w:rsid w:val="006B2BEC"/>
    <w:rsid w:val="006B6F74"/>
    <w:rsid w:val="006C29D3"/>
    <w:rsid w:val="006C5131"/>
    <w:rsid w:val="006C584D"/>
    <w:rsid w:val="006C7E5C"/>
    <w:rsid w:val="006D1677"/>
    <w:rsid w:val="006D4BBE"/>
    <w:rsid w:val="006D555B"/>
    <w:rsid w:val="006F4ED8"/>
    <w:rsid w:val="006F73AF"/>
    <w:rsid w:val="006F7CC7"/>
    <w:rsid w:val="007057DC"/>
    <w:rsid w:val="00705CBB"/>
    <w:rsid w:val="00715381"/>
    <w:rsid w:val="00717707"/>
    <w:rsid w:val="00723418"/>
    <w:rsid w:val="0072391D"/>
    <w:rsid w:val="00724AB5"/>
    <w:rsid w:val="00726B47"/>
    <w:rsid w:val="00727BDC"/>
    <w:rsid w:val="00727E11"/>
    <w:rsid w:val="00730925"/>
    <w:rsid w:val="00734A9D"/>
    <w:rsid w:val="00737103"/>
    <w:rsid w:val="00747B9A"/>
    <w:rsid w:val="0075262D"/>
    <w:rsid w:val="00752726"/>
    <w:rsid w:val="007558C6"/>
    <w:rsid w:val="00755C26"/>
    <w:rsid w:val="007601F3"/>
    <w:rsid w:val="00761591"/>
    <w:rsid w:val="00766C97"/>
    <w:rsid w:val="00770D4C"/>
    <w:rsid w:val="00774058"/>
    <w:rsid w:val="00777E1C"/>
    <w:rsid w:val="007870F5"/>
    <w:rsid w:val="00792DE5"/>
    <w:rsid w:val="007959FE"/>
    <w:rsid w:val="00796A0C"/>
    <w:rsid w:val="007A04B3"/>
    <w:rsid w:val="007A05DA"/>
    <w:rsid w:val="007A13B8"/>
    <w:rsid w:val="007A2F6A"/>
    <w:rsid w:val="007A4D37"/>
    <w:rsid w:val="007A6D4C"/>
    <w:rsid w:val="007B54CA"/>
    <w:rsid w:val="007B64FC"/>
    <w:rsid w:val="007C0DBE"/>
    <w:rsid w:val="007C365B"/>
    <w:rsid w:val="007C4FA1"/>
    <w:rsid w:val="007D103E"/>
    <w:rsid w:val="007D2BF8"/>
    <w:rsid w:val="007D537C"/>
    <w:rsid w:val="007D6BB8"/>
    <w:rsid w:val="007D7358"/>
    <w:rsid w:val="007E1384"/>
    <w:rsid w:val="007E6336"/>
    <w:rsid w:val="007E6549"/>
    <w:rsid w:val="00802F55"/>
    <w:rsid w:val="0081773B"/>
    <w:rsid w:val="008277E4"/>
    <w:rsid w:val="00832E91"/>
    <w:rsid w:val="00834313"/>
    <w:rsid w:val="00836E20"/>
    <w:rsid w:val="00837227"/>
    <w:rsid w:val="00843719"/>
    <w:rsid w:val="0084525B"/>
    <w:rsid w:val="008461FF"/>
    <w:rsid w:val="00850EFB"/>
    <w:rsid w:val="0085180D"/>
    <w:rsid w:val="00853A9D"/>
    <w:rsid w:val="00857C7E"/>
    <w:rsid w:val="00860667"/>
    <w:rsid w:val="00861945"/>
    <w:rsid w:val="00864A2F"/>
    <w:rsid w:val="008668C2"/>
    <w:rsid w:val="008669A8"/>
    <w:rsid w:val="00870A04"/>
    <w:rsid w:val="0087546F"/>
    <w:rsid w:val="008768DE"/>
    <w:rsid w:val="00877ED3"/>
    <w:rsid w:val="00880F59"/>
    <w:rsid w:val="008820CE"/>
    <w:rsid w:val="008A7CDE"/>
    <w:rsid w:val="008B3E63"/>
    <w:rsid w:val="008B51C8"/>
    <w:rsid w:val="008B6653"/>
    <w:rsid w:val="008C06F8"/>
    <w:rsid w:val="008C145E"/>
    <w:rsid w:val="008C3976"/>
    <w:rsid w:val="008C3A68"/>
    <w:rsid w:val="008C55EA"/>
    <w:rsid w:val="008D20B6"/>
    <w:rsid w:val="008D360B"/>
    <w:rsid w:val="008E0CE8"/>
    <w:rsid w:val="008E207D"/>
    <w:rsid w:val="008F13F2"/>
    <w:rsid w:val="0090267A"/>
    <w:rsid w:val="00907CFD"/>
    <w:rsid w:val="0091649F"/>
    <w:rsid w:val="00921269"/>
    <w:rsid w:val="009271CD"/>
    <w:rsid w:val="00933D71"/>
    <w:rsid w:val="00933DA1"/>
    <w:rsid w:val="00935CB5"/>
    <w:rsid w:val="00936BAE"/>
    <w:rsid w:val="0094434F"/>
    <w:rsid w:val="009478C8"/>
    <w:rsid w:val="009518CF"/>
    <w:rsid w:val="0095409E"/>
    <w:rsid w:val="00960828"/>
    <w:rsid w:val="0096115C"/>
    <w:rsid w:val="00961192"/>
    <w:rsid w:val="00963B1A"/>
    <w:rsid w:val="00971FD1"/>
    <w:rsid w:val="0097550D"/>
    <w:rsid w:val="00981858"/>
    <w:rsid w:val="00986CF2"/>
    <w:rsid w:val="009874F5"/>
    <w:rsid w:val="00993967"/>
    <w:rsid w:val="009978F5"/>
    <w:rsid w:val="009A00F4"/>
    <w:rsid w:val="009A2A24"/>
    <w:rsid w:val="009B028C"/>
    <w:rsid w:val="009B1890"/>
    <w:rsid w:val="009B403E"/>
    <w:rsid w:val="009B49CE"/>
    <w:rsid w:val="009B4D3A"/>
    <w:rsid w:val="009D509B"/>
    <w:rsid w:val="009D7389"/>
    <w:rsid w:val="009E1000"/>
    <w:rsid w:val="009E15BF"/>
    <w:rsid w:val="009F5FE9"/>
    <w:rsid w:val="009F77F0"/>
    <w:rsid w:val="00A019B1"/>
    <w:rsid w:val="00A07163"/>
    <w:rsid w:val="00A07302"/>
    <w:rsid w:val="00A0744F"/>
    <w:rsid w:val="00A103EA"/>
    <w:rsid w:val="00A11869"/>
    <w:rsid w:val="00A24D45"/>
    <w:rsid w:val="00A30D47"/>
    <w:rsid w:val="00A33BA6"/>
    <w:rsid w:val="00A4472D"/>
    <w:rsid w:val="00A44D28"/>
    <w:rsid w:val="00A4738F"/>
    <w:rsid w:val="00A47549"/>
    <w:rsid w:val="00A510CF"/>
    <w:rsid w:val="00A524B1"/>
    <w:rsid w:val="00A53417"/>
    <w:rsid w:val="00A56C56"/>
    <w:rsid w:val="00A56E64"/>
    <w:rsid w:val="00A57B5A"/>
    <w:rsid w:val="00A61C44"/>
    <w:rsid w:val="00A646FA"/>
    <w:rsid w:val="00A701AF"/>
    <w:rsid w:val="00A811CC"/>
    <w:rsid w:val="00A827B4"/>
    <w:rsid w:val="00A91409"/>
    <w:rsid w:val="00A91EE9"/>
    <w:rsid w:val="00A9642F"/>
    <w:rsid w:val="00A977E2"/>
    <w:rsid w:val="00AA11AF"/>
    <w:rsid w:val="00AA5ACA"/>
    <w:rsid w:val="00AA748D"/>
    <w:rsid w:val="00AB32A8"/>
    <w:rsid w:val="00AB57F8"/>
    <w:rsid w:val="00AC2872"/>
    <w:rsid w:val="00AC7AA3"/>
    <w:rsid w:val="00AD750B"/>
    <w:rsid w:val="00AD7B9A"/>
    <w:rsid w:val="00AE07CD"/>
    <w:rsid w:val="00AE19E0"/>
    <w:rsid w:val="00AE4094"/>
    <w:rsid w:val="00AF0175"/>
    <w:rsid w:val="00AF2E7B"/>
    <w:rsid w:val="00AF731B"/>
    <w:rsid w:val="00B048D8"/>
    <w:rsid w:val="00B07B05"/>
    <w:rsid w:val="00B10039"/>
    <w:rsid w:val="00B12663"/>
    <w:rsid w:val="00B1300C"/>
    <w:rsid w:val="00B154C9"/>
    <w:rsid w:val="00B17170"/>
    <w:rsid w:val="00B25BDD"/>
    <w:rsid w:val="00B26292"/>
    <w:rsid w:val="00B2757D"/>
    <w:rsid w:val="00B27AAE"/>
    <w:rsid w:val="00B35A7F"/>
    <w:rsid w:val="00B37345"/>
    <w:rsid w:val="00B42048"/>
    <w:rsid w:val="00B42A82"/>
    <w:rsid w:val="00B45901"/>
    <w:rsid w:val="00B53CA4"/>
    <w:rsid w:val="00B5679F"/>
    <w:rsid w:val="00B6041A"/>
    <w:rsid w:val="00B66A61"/>
    <w:rsid w:val="00B70541"/>
    <w:rsid w:val="00B73E89"/>
    <w:rsid w:val="00B8115A"/>
    <w:rsid w:val="00B8182C"/>
    <w:rsid w:val="00B830D1"/>
    <w:rsid w:val="00B85760"/>
    <w:rsid w:val="00B86FCB"/>
    <w:rsid w:val="00B872DE"/>
    <w:rsid w:val="00B9785A"/>
    <w:rsid w:val="00BA3FE8"/>
    <w:rsid w:val="00BB2C67"/>
    <w:rsid w:val="00BB3FBD"/>
    <w:rsid w:val="00BB7914"/>
    <w:rsid w:val="00BC387F"/>
    <w:rsid w:val="00BD4672"/>
    <w:rsid w:val="00BD4858"/>
    <w:rsid w:val="00BD65D1"/>
    <w:rsid w:val="00BE1F22"/>
    <w:rsid w:val="00BE6137"/>
    <w:rsid w:val="00BF1A2C"/>
    <w:rsid w:val="00BF24F0"/>
    <w:rsid w:val="00BF445B"/>
    <w:rsid w:val="00C077B1"/>
    <w:rsid w:val="00C07DEB"/>
    <w:rsid w:val="00C1777E"/>
    <w:rsid w:val="00C23944"/>
    <w:rsid w:val="00C24AA8"/>
    <w:rsid w:val="00C268D6"/>
    <w:rsid w:val="00C3406B"/>
    <w:rsid w:val="00C37521"/>
    <w:rsid w:val="00C3789D"/>
    <w:rsid w:val="00C40DA8"/>
    <w:rsid w:val="00C42B18"/>
    <w:rsid w:val="00C4303A"/>
    <w:rsid w:val="00C43436"/>
    <w:rsid w:val="00C45CA5"/>
    <w:rsid w:val="00C50355"/>
    <w:rsid w:val="00C57E6B"/>
    <w:rsid w:val="00C6321E"/>
    <w:rsid w:val="00C726C7"/>
    <w:rsid w:val="00C751EE"/>
    <w:rsid w:val="00C75D6F"/>
    <w:rsid w:val="00C838E9"/>
    <w:rsid w:val="00C83F1B"/>
    <w:rsid w:val="00C97447"/>
    <w:rsid w:val="00CA2101"/>
    <w:rsid w:val="00CA4AF2"/>
    <w:rsid w:val="00CA52C6"/>
    <w:rsid w:val="00CA684D"/>
    <w:rsid w:val="00CB1309"/>
    <w:rsid w:val="00CB4950"/>
    <w:rsid w:val="00CB75A5"/>
    <w:rsid w:val="00CC634C"/>
    <w:rsid w:val="00CD0AA1"/>
    <w:rsid w:val="00CD264D"/>
    <w:rsid w:val="00CD2C7A"/>
    <w:rsid w:val="00CD6B0E"/>
    <w:rsid w:val="00CD795B"/>
    <w:rsid w:val="00CD7DFD"/>
    <w:rsid w:val="00CE36CD"/>
    <w:rsid w:val="00CF0827"/>
    <w:rsid w:val="00CF29E1"/>
    <w:rsid w:val="00CF2E0E"/>
    <w:rsid w:val="00CF5F91"/>
    <w:rsid w:val="00D04457"/>
    <w:rsid w:val="00D072C6"/>
    <w:rsid w:val="00D11D96"/>
    <w:rsid w:val="00D17A5A"/>
    <w:rsid w:val="00D31CAD"/>
    <w:rsid w:val="00D3327D"/>
    <w:rsid w:val="00D34AEB"/>
    <w:rsid w:val="00D35001"/>
    <w:rsid w:val="00D51AB7"/>
    <w:rsid w:val="00D65E9F"/>
    <w:rsid w:val="00D731D3"/>
    <w:rsid w:val="00D737FD"/>
    <w:rsid w:val="00D73B17"/>
    <w:rsid w:val="00D80BE5"/>
    <w:rsid w:val="00D815FD"/>
    <w:rsid w:val="00D83596"/>
    <w:rsid w:val="00D9044E"/>
    <w:rsid w:val="00D90777"/>
    <w:rsid w:val="00D9267F"/>
    <w:rsid w:val="00D96690"/>
    <w:rsid w:val="00DA4EA3"/>
    <w:rsid w:val="00DB001D"/>
    <w:rsid w:val="00DC0C6D"/>
    <w:rsid w:val="00DC757C"/>
    <w:rsid w:val="00DD19FC"/>
    <w:rsid w:val="00DD207E"/>
    <w:rsid w:val="00DD430A"/>
    <w:rsid w:val="00DD5F19"/>
    <w:rsid w:val="00DD7B59"/>
    <w:rsid w:val="00DE0224"/>
    <w:rsid w:val="00DE16D4"/>
    <w:rsid w:val="00DE6F17"/>
    <w:rsid w:val="00E02815"/>
    <w:rsid w:val="00E05488"/>
    <w:rsid w:val="00E05552"/>
    <w:rsid w:val="00E1368D"/>
    <w:rsid w:val="00E143CD"/>
    <w:rsid w:val="00E14BEC"/>
    <w:rsid w:val="00E15594"/>
    <w:rsid w:val="00E1721E"/>
    <w:rsid w:val="00E20025"/>
    <w:rsid w:val="00E2033F"/>
    <w:rsid w:val="00E24E48"/>
    <w:rsid w:val="00E302D4"/>
    <w:rsid w:val="00E3121D"/>
    <w:rsid w:val="00E319C7"/>
    <w:rsid w:val="00E33020"/>
    <w:rsid w:val="00E36897"/>
    <w:rsid w:val="00E45E21"/>
    <w:rsid w:val="00E54897"/>
    <w:rsid w:val="00E5618D"/>
    <w:rsid w:val="00E6709C"/>
    <w:rsid w:val="00E67C8A"/>
    <w:rsid w:val="00E71BD7"/>
    <w:rsid w:val="00E81DF2"/>
    <w:rsid w:val="00E82D3B"/>
    <w:rsid w:val="00E84978"/>
    <w:rsid w:val="00E84A69"/>
    <w:rsid w:val="00E86564"/>
    <w:rsid w:val="00E86AB1"/>
    <w:rsid w:val="00EA1DA2"/>
    <w:rsid w:val="00EA43FA"/>
    <w:rsid w:val="00EA6234"/>
    <w:rsid w:val="00EA7B42"/>
    <w:rsid w:val="00EB0FE5"/>
    <w:rsid w:val="00EB1C2B"/>
    <w:rsid w:val="00EB375A"/>
    <w:rsid w:val="00EB47AA"/>
    <w:rsid w:val="00EB650E"/>
    <w:rsid w:val="00EC0585"/>
    <w:rsid w:val="00EC120B"/>
    <w:rsid w:val="00EC1380"/>
    <w:rsid w:val="00EC2A54"/>
    <w:rsid w:val="00EC7078"/>
    <w:rsid w:val="00EE0097"/>
    <w:rsid w:val="00EE10E6"/>
    <w:rsid w:val="00EE1572"/>
    <w:rsid w:val="00EE177D"/>
    <w:rsid w:val="00EE378B"/>
    <w:rsid w:val="00EE417E"/>
    <w:rsid w:val="00EE505E"/>
    <w:rsid w:val="00EF2EF9"/>
    <w:rsid w:val="00EF3173"/>
    <w:rsid w:val="00EF44BB"/>
    <w:rsid w:val="00EF50EC"/>
    <w:rsid w:val="00EF6287"/>
    <w:rsid w:val="00F00FCD"/>
    <w:rsid w:val="00F07059"/>
    <w:rsid w:val="00F10328"/>
    <w:rsid w:val="00F236E3"/>
    <w:rsid w:val="00F2622D"/>
    <w:rsid w:val="00F26E25"/>
    <w:rsid w:val="00F26FD0"/>
    <w:rsid w:val="00F311F5"/>
    <w:rsid w:val="00F354BF"/>
    <w:rsid w:val="00F35B4B"/>
    <w:rsid w:val="00F4065D"/>
    <w:rsid w:val="00F420E9"/>
    <w:rsid w:val="00F43AD6"/>
    <w:rsid w:val="00F44911"/>
    <w:rsid w:val="00F463A5"/>
    <w:rsid w:val="00F5220C"/>
    <w:rsid w:val="00F6042F"/>
    <w:rsid w:val="00F70186"/>
    <w:rsid w:val="00F717DD"/>
    <w:rsid w:val="00F76449"/>
    <w:rsid w:val="00F841AD"/>
    <w:rsid w:val="00F84E4F"/>
    <w:rsid w:val="00F92386"/>
    <w:rsid w:val="00FA5CAD"/>
    <w:rsid w:val="00FA5E44"/>
    <w:rsid w:val="00FA7B6C"/>
    <w:rsid w:val="00FB50B3"/>
    <w:rsid w:val="00FC4484"/>
    <w:rsid w:val="00FC55C7"/>
    <w:rsid w:val="00FD0D3C"/>
    <w:rsid w:val="00FD15C8"/>
    <w:rsid w:val="00FD2F95"/>
    <w:rsid w:val="00FD4D69"/>
    <w:rsid w:val="00FD61D3"/>
    <w:rsid w:val="00FD6844"/>
    <w:rsid w:val="00FE6CEA"/>
    <w:rsid w:val="00FE71E5"/>
    <w:rsid w:val="00FF7A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rules v:ext="edit">
        <o:r id="V:Rule2"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22"/>
    <w:pPr>
      <w:jc w:val="both"/>
    </w:pPr>
    <w:rPr>
      <w:rFonts w:eastAsia="Calibri"/>
      <w:noProof/>
      <w:color w:val="002060"/>
      <w:sz w:val="24"/>
      <w:szCs w:val="24"/>
    </w:rPr>
  </w:style>
  <w:style w:type="paragraph" w:styleId="Heading2">
    <w:name w:val="heading 2"/>
    <w:basedOn w:val="Normal"/>
    <w:next w:val="Normal"/>
    <w:link w:val="Heading2Char"/>
    <w:unhideWhenUsed/>
    <w:qFormat/>
    <w:rsid w:val="00C3752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75689"/>
    <w:pPr>
      <w:keepNext/>
      <w:jc w:val="left"/>
      <w:outlineLvl w:val="4"/>
    </w:pPr>
    <w:rPr>
      <w:rFonts w:ascii=".VnTime" w:eastAsia="Times New Roman" w:hAnsi=".VnTime"/>
      <w:b/>
      <w:noProof w:val="0"/>
      <w:color w:val="000000"/>
      <w:sz w:val="28"/>
      <w:szCs w:val="20"/>
    </w:rPr>
  </w:style>
  <w:style w:type="paragraph" w:styleId="Heading9">
    <w:name w:val="heading 9"/>
    <w:basedOn w:val="Normal"/>
    <w:next w:val="Normal"/>
    <w:link w:val="Heading9Char"/>
    <w:qFormat/>
    <w:rsid w:val="00475689"/>
    <w:pPr>
      <w:keepNext/>
      <w:ind w:firstLine="603"/>
      <w:jc w:val="center"/>
      <w:outlineLvl w:val="8"/>
    </w:pPr>
    <w:rPr>
      <w:rFonts w:ascii=".VnTimeH" w:eastAsia="Times New Roman" w:hAnsi=".VnTimeH"/>
      <w:b/>
      <w:bCs/>
      <w:noProof w:val="0"/>
      <w:color w:val="auto"/>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5822"/>
    <w:pPr>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225822"/>
    <w:pPr>
      <w:pageBreakBefore/>
      <w:spacing w:before="100" w:beforeAutospacing="1" w:after="100" w:afterAutospacing="1"/>
      <w:jc w:val="left"/>
    </w:pPr>
    <w:rPr>
      <w:rFonts w:ascii="Tahoma" w:eastAsia="Times New Roman" w:hAnsi="Tahoma" w:cs="Tahoma"/>
      <w:noProof w:val="0"/>
      <w:color w:val="auto"/>
      <w:sz w:val="20"/>
      <w:szCs w:val="20"/>
    </w:rPr>
  </w:style>
  <w:style w:type="paragraph" w:styleId="Header">
    <w:name w:val="header"/>
    <w:basedOn w:val="Normal"/>
    <w:link w:val="HeaderChar"/>
    <w:uiPriority w:val="99"/>
    <w:rsid w:val="00DE6F17"/>
    <w:pPr>
      <w:tabs>
        <w:tab w:val="center" w:pos="4680"/>
        <w:tab w:val="right" w:pos="9360"/>
      </w:tabs>
    </w:pPr>
  </w:style>
  <w:style w:type="character" w:customStyle="1" w:styleId="HeaderChar">
    <w:name w:val="Header Char"/>
    <w:basedOn w:val="DefaultParagraphFont"/>
    <w:link w:val="Header"/>
    <w:uiPriority w:val="99"/>
    <w:rsid w:val="00DE6F17"/>
    <w:rPr>
      <w:rFonts w:eastAsia="Calibri"/>
      <w:noProof/>
      <w:color w:val="002060"/>
      <w:sz w:val="24"/>
      <w:szCs w:val="24"/>
    </w:rPr>
  </w:style>
  <w:style w:type="paragraph" w:styleId="Footer">
    <w:name w:val="footer"/>
    <w:basedOn w:val="Normal"/>
    <w:link w:val="FooterChar"/>
    <w:uiPriority w:val="99"/>
    <w:rsid w:val="00DE6F17"/>
    <w:pPr>
      <w:tabs>
        <w:tab w:val="center" w:pos="4680"/>
        <w:tab w:val="right" w:pos="9360"/>
      </w:tabs>
    </w:pPr>
  </w:style>
  <w:style w:type="character" w:customStyle="1" w:styleId="FooterChar">
    <w:name w:val="Footer Char"/>
    <w:basedOn w:val="DefaultParagraphFont"/>
    <w:link w:val="Footer"/>
    <w:uiPriority w:val="99"/>
    <w:rsid w:val="00DE6F17"/>
    <w:rPr>
      <w:rFonts w:eastAsia="Calibri"/>
      <w:noProof/>
      <w:color w:val="002060"/>
      <w:sz w:val="24"/>
      <w:szCs w:val="24"/>
    </w:rPr>
  </w:style>
  <w:style w:type="character" w:styleId="Strong">
    <w:name w:val="Strong"/>
    <w:basedOn w:val="DefaultParagraphFont"/>
    <w:uiPriority w:val="22"/>
    <w:qFormat/>
    <w:rsid w:val="00665F97"/>
    <w:rPr>
      <w:b/>
      <w:bCs/>
    </w:rPr>
  </w:style>
  <w:style w:type="paragraph" w:styleId="BodyText">
    <w:name w:val="Body Text"/>
    <w:aliases w:val=" Char,Body Text Char Char,Body Text Char Char Char Char Char Char Char Char Char Char Char Char Char Char Char Char Char"/>
    <w:basedOn w:val="Normal"/>
    <w:link w:val="BodyTextChar"/>
    <w:rsid w:val="00665F97"/>
    <w:rPr>
      <w:rFonts w:ascii=".VnTime" w:eastAsia="Times New Roman" w:hAnsi=".VnTime"/>
      <w:noProof w:val="0"/>
      <w:color w:val="auto"/>
      <w:sz w:val="28"/>
      <w:szCs w:val="20"/>
    </w:rPr>
  </w:style>
  <w:style w:type="character" w:customStyle="1" w:styleId="BodyTextChar">
    <w:name w:val="Body Text Char"/>
    <w:aliases w:val=" Char Char,Body Text Char Char Char,Body Text Char Char Char Char Char Char Char Char Char Char Char Char Char Char Char Char Char Char"/>
    <w:basedOn w:val="DefaultParagraphFont"/>
    <w:link w:val="BodyText"/>
    <w:rsid w:val="00665F97"/>
    <w:rPr>
      <w:rFonts w:ascii=".VnTime" w:hAnsi=".VnTime"/>
      <w:sz w:val="28"/>
    </w:rPr>
  </w:style>
  <w:style w:type="paragraph" w:styleId="BodyTextIndent2">
    <w:name w:val="Body Text Indent 2"/>
    <w:basedOn w:val="Normal"/>
    <w:link w:val="BodyTextIndent2Char"/>
    <w:unhideWhenUsed/>
    <w:rsid w:val="001B0E38"/>
    <w:pPr>
      <w:spacing w:before="120" w:after="120" w:line="480" w:lineRule="auto"/>
      <w:ind w:left="360"/>
      <w:jc w:val="left"/>
    </w:pPr>
    <w:rPr>
      <w:rFonts w:ascii="Calibri" w:hAnsi="Calibri"/>
      <w:noProof w:val="0"/>
      <w:color w:val="auto"/>
      <w:sz w:val="22"/>
      <w:szCs w:val="22"/>
    </w:rPr>
  </w:style>
  <w:style w:type="character" w:customStyle="1" w:styleId="BodyTextIndent2Char">
    <w:name w:val="Body Text Indent 2 Char"/>
    <w:basedOn w:val="DefaultParagraphFont"/>
    <w:link w:val="BodyTextIndent2"/>
    <w:rsid w:val="001B0E38"/>
    <w:rPr>
      <w:rFonts w:ascii="Calibri" w:eastAsia="Calibri" w:hAnsi="Calibri"/>
      <w:sz w:val="22"/>
      <w:szCs w:val="22"/>
    </w:rPr>
  </w:style>
  <w:style w:type="paragraph" w:styleId="ListParagraph">
    <w:name w:val="List Paragraph"/>
    <w:basedOn w:val="Normal"/>
    <w:link w:val="ListParagraphChar"/>
    <w:uiPriority w:val="34"/>
    <w:qFormat/>
    <w:rsid w:val="001B0E38"/>
    <w:pPr>
      <w:spacing w:after="200" w:line="276" w:lineRule="auto"/>
      <w:ind w:left="720"/>
      <w:contextualSpacing/>
      <w:jc w:val="left"/>
    </w:pPr>
    <w:rPr>
      <w:rFonts w:ascii="Calibri" w:hAnsi="Calibri"/>
      <w:noProof w:val="0"/>
      <w:color w:val="auto"/>
      <w:sz w:val="22"/>
      <w:szCs w:val="22"/>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
    <w:basedOn w:val="Normal"/>
    <w:link w:val="NormalWebChar"/>
    <w:uiPriority w:val="99"/>
    <w:qFormat/>
    <w:rsid w:val="001B0E38"/>
    <w:pPr>
      <w:spacing w:before="100" w:beforeAutospacing="1" w:after="100" w:afterAutospacing="1"/>
      <w:jc w:val="left"/>
    </w:pPr>
    <w:rPr>
      <w:rFonts w:eastAsia="Times New Roman"/>
      <w:noProof w:val="0"/>
      <w:color w:val="auto"/>
    </w:rPr>
  </w:style>
  <w:style w:type="character" w:customStyle="1" w:styleId="normal-h1">
    <w:name w:val="normal-h1"/>
    <w:basedOn w:val="DefaultParagraphFont"/>
    <w:rsid w:val="00340B20"/>
    <w:rPr>
      <w:rFonts w:ascii="Times New Roman" w:hAnsi="Times New Roman" w:cs="Times New Roman" w:hint="default"/>
      <w:sz w:val="24"/>
      <w:szCs w:val="24"/>
    </w:rPr>
  </w:style>
  <w:style w:type="paragraph" w:styleId="BodyTextIndent">
    <w:name w:val="Body Text Indent"/>
    <w:basedOn w:val="Normal"/>
    <w:link w:val="BodyTextIndentChar"/>
    <w:rsid w:val="00747B9A"/>
    <w:pPr>
      <w:spacing w:before="100" w:after="100"/>
      <w:ind w:firstLine="720"/>
    </w:pPr>
    <w:rPr>
      <w:rFonts w:ascii=".VnTime" w:eastAsia="Times New Roman" w:hAnsi=".VnTime"/>
      <w:noProof w:val="0"/>
      <w:color w:val="auto"/>
      <w:sz w:val="28"/>
      <w:szCs w:val="28"/>
    </w:rPr>
  </w:style>
  <w:style w:type="character" w:customStyle="1" w:styleId="BodyTextIndentChar">
    <w:name w:val="Body Text Indent Char"/>
    <w:basedOn w:val="DefaultParagraphFont"/>
    <w:link w:val="BodyTextIndent"/>
    <w:rsid w:val="00747B9A"/>
    <w:rPr>
      <w:rFonts w:ascii=".VnTime" w:hAnsi=".VnTime"/>
      <w:sz w:val="28"/>
      <w:szCs w:val="28"/>
    </w:rPr>
  </w:style>
  <w:style w:type="paragraph" w:styleId="BodyText2">
    <w:name w:val="Body Text 2"/>
    <w:basedOn w:val="Normal"/>
    <w:link w:val="BodyText2Char"/>
    <w:rsid w:val="00747B9A"/>
    <w:pPr>
      <w:spacing w:after="120" w:line="480" w:lineRule="auto"/>
      <w:jc w:val="left"/>
    </w:pPr>
    <w:rPr>
      <w:rFonts w:ascii=".VnTime" w:eastAsia="Times New Roman" w:hAnsi=".VnTime"/>
      <w:noProof w:val="0"/>
      <w:color w:val="auto"/>
      <w:sz w:val="28"/>
      <w:szCs w:val="20"/>
    </w:rPr>
  </w:style>
  <w:style w:type="character" w:customStyle="1" w:styleId="BodyText2Char">
    <w:name w:val="Body Text 2 Char"/>
    <w:basedOn w:val="DefaultParagraphFont"/>
    <w:link w:val="BodyText2"/>
    <w:rsid w:val="00747B9A"/>
    <w:rPr>
      <w:rFonts w:ascii=".VnTime" w:hAnsi=".VnTime"/>
      <w:sz w:val="28"/>
    </w:rPr>
  </w:style>
  <w:style w:type="character" w:customStyle="1" w:styleId="Heading5Char">
    <w:name w:val="Heading 5 Char"/>
    <w:basedOn w:val="DefaultParagraphFont"/>
    <w:link w:val="Heading5"/>
    <w:rsid w:val="00475689"/>
    <w:rPr>
      <w:rFonts w:ascii=".VnTime" w:hAnsi=".VnTime"/>
      <w:b/>
      <w:color w:val="000000"/>
      <w:sz w:val="28"/>
    </w:rPr>
  </w:style>
  <w:style w:type="character" w:customStyle="1" w:styleId="Heading9Char">
    <w:name w:val="Heading 9 Char"/>
    <w:basedOn w:val="DefaultParagraphFont"/>
    <w:link w:val="Heading9"/>
    <w:rsid w:val="00475689"/>
    <w:rPr>
      <w:rFonts w:ascii=".VnTimeH" w:hAnsi=".VnTimeH"/>
      <w:b/>
      <w:bCs/>
      <w:sz w:val="26"/>
      <w:szCs w:val="28"/>
    </w:rPr>
  </w:style>
  <w:style w:type="character" w:styleId="PageNumber">
    <w:name w:val="page number"/>
    <w:basedOn w:val="DefaultParagraphFont"/>
    <w:rsid w:val="00475689"/>
  </w:style>
  <w:style w:type="paragraph" w:customStyle="1" w:styleId="normal-p">
    <w:name w:val="normal-p"/>
    <w:basedOn w:val="Normal"/>
    <w:rsid w:val="00475689"/>
    <w:pPr>
      <w:jc w:val="left"/>
    </w:pPr>
    <w:rPr>
      <w:rFonts w:eastAsia="Arial Unicode MS"/>
      <w:noProof w:val="0"/>
      <w:color w:val="auto"/>
      <w:sz w:val="20"/>
      <w:szCs w:val="20"/>
    </w:rPr>
  </w:style>
  <w:style w:type="paragraph" w:styleId="CommentText">
    <w:name w:val="annotation text"/>
    <w:basedOn w:val="Normal"/>
    <w:link w:val="CommentTextChar"/>
    <w:uiPriority w:val="99"/>
    <w:unhideWhenUsed/>
    <w:rsid w:val="00475689"/>
    <w:pPr>
      <w:jc w:val="left"/>
    </w:pPr>
    <w:rPr>
      <w:rFonts w:ascii=".VnTime" w:eastAsia="Times New Roman" w:hAnsi=".VnTime"/>
      <w:noProof w:val="0"/>
      <w:color w:val="auto"/>
      <w:sz w:val="20"/>
      <w:szCs w:val="20"/>
    </w:rPr>
  </w:style>
  <w:style w:type="character" w:customStyle="1" w:styleId="CommentTextChar">
    <w:name w:val="Comment Text Char"/>
    <w:basedOn w:val="DefaultParagraphFont"/>
    <w:link w:val="CommentText"/>
    <w:uiPriority w:val="99"/>
    <w:rsid w:val="00475689"/>
    <w:rPr>
      <w:rFonts w:ascii=".VnTime" w:hAnsi=".VnTime"/>
    </w:rPr>
  </w:style>
  <w:style w:type="character" w:styleId="CommentReference">
    <w:name w:val="annotation reference"/>
    <w:basedOn w:val="DefaultParagraphFont"/>
    <w:uiPriority w:val="99"/>
    <w:unhideWhenUsed/>
    <w:rsid w:val="00475689"/>
    <w:rPr>
      <w:sz w:val="16"/>
      <w:szCs w:val="16"/>
    </w:rPr>
  </w:style>
  <w:style w:type="paragraph" w:styleId="BalloonText">
    <w:name w:val="Balloon Text"/>
    <w:basedOn w:val="Normal"/>
    <w:link w:val="BalloonTextChar"/>
    <w:uiPriority w:val="99"/>
    <w:unhideWhenUsed/>
    <w:rsid w:val="00475689"/>
    <w:pPr>
      <w:jc w:val="left"/>
    </w:pPr>
    <w:rPr>
      <w:rFonts w:ascii="Tahoma" w:hAnsi="Tahoma" w:cs="Tahoma"/>
      <w:noProof w:val="0"/>
      <w:color w:val="auto"/>
      <w:sz w:val="16"/>
      <w:szCs w:val="16"/>
    </w:rPr>
  </w:style>
  <w:style w:type="character" w:customStyle="1" w:styleId="BalloonTextChar">
    <w:name w:val="Balloon Text Char"/>
    <w:basedOn w:val="DefaultParagraphFont"/>
    <w:link w:val="BalloonText"/>
    <w:uiPriority w:val="99"/>
    <w:rsid w:val="00475689"/>
    <w:rPr>
      <w:rFonts w:ascii="Tahoma" w:eastAsia="Calibri" w:hAnsi="Tahoma" w:cs="Tahoma"/>
      <w:sz w:val="16"/>
      <w:szCs w:val="16"/>
    </w:rPr>
  </w:style>
  <w:style w:type="paragraph" w:styleId="Title">
    <w:name w:val="Title"/>
    <w:basedOn w:val="Normal"/>
    <w:link w:val="TitleChar"/>
    <w:qFormat/>
    <w:rsid w:val="00CD7DFD"/>
    <w:pPr>
      <w:autoSpaceDE w:val="0"/>
      <w:autoSpaceDN w:val="0"/>
      <w:adjustRightInd w:val="0"/>
      <w:spacing w:before="120" w:after="320"/>
      <w:jc w:val="center"/>
    </w:pPr>
    <w:rPr>
      <w:rFonts w:ascii=".VnTimeH" w:eastAsia="MS Mincho" w:hAnsi=".VnTimeH"/>
      <w:b/>
      <w:bCs/>
      <w:noProof w:val="0"/>
      <w:color w:val="auto"/>
      <w:sz w:val="32"/>
      <w:szCs w:val="32"/>
    </w:rPr>
  </w:style>
  <w:style w:type="character" w:customStyle="1" w:styleId="TitleChar">
    <w:name w:val="Title Char"/>
    <w:basedOn w:val="DefaultParagraphFont"/>
    <w:link w:val="Title"/>
    <w:rsid w:val="00CD7DFD"/>
    <w:rPr>
      <w:rFonts w:ascii=".VnTimeH" w:eastAsia="MS Mincho" w:hAnsi=".VnTimeH"/>
      <w:b/>
      <w:bCs/>
      <w:sz w:val="32"/>
      <w:szCs w:val="32"/>
    </w:rPr>
  </w:style>
  <w:style w:type="character" w:customStyle="1" w:styleId="Heading2Char">
    <w:name w:val="Heading 2 Char"/>
    <w:basedOn w:val="DefaultParagraphFont"/>
    <w:link w:val="Heading2"/>
    <w:rsid w:val="00C37521"/>
    <w:rPr>
      <w:rFonts w:asciiTheme="majorHAnsi" w:eastAsiaTheme="majorEastAsia" w:hAnsiTheme="majorHAnsi" w:cstheme="majorBidi"/>
      <w:b/>
      <w:bCs/>
      <w:noProof/>
      <w:color w:val="4F81BD" w:themeColor="accent1"/>
      <w:sz w:val="26"/>
      <w:szCs w:val="26"/>
    </w:rPr>
  </w:style>
  <w:style w:type="paragraph" w:customStyle="1" w:styleId="n-dieund">
    <w:name w:val="n-dieund"/>
    <w:basedOn w:val="Normal"/>
    <w:rsid w:val="00D96690"/>
    <w:pPr>
      <w:autoSpaceDE w:val="0"/>
      <w:autoSpaceDN w:val="0"/>
      <w:spacing w:after="120"/>
      <w:ind w:firstLine="709"/>
    </w:pPr>
    <w:rPr>
      <w:rFonts w:ascii=".VnTime" w:eastAsia="Times New Roman" w:hAnsi=".VnTime" w:cs=".VnTime"/>
      <w:noProof w:val="0"/>
      <w:color w:val="auto"/>
      <w:sz w:val="28"/>
      <w:szCs w:val="28"/>
    </w:rPr>
  </w:style>
  <w:style w:type="character" w:customStyle="1" w:styleId="ListParagraphChar">
    <w:name w:val="List Paragraph Char"/>
    <w:link w:val="ListParagraph"/>
    <w:uiPriority w:val="34"/>
    <w:locked/>
    <w:rsid w:val="003C284C"/>
    <w:rPr>
      <w:rFonts w:ascii="Calibri" w:eastAsia="Calibri" w:hAnsi="Calibri"/>
      <w:sz w:val="22"/>
      <w:szCs w:val="22"/>
    </w:rPr>
  </w:style>
  <w:style w:type="character" w:customStyle="1" w:styleId="NormalWebChar">
    <w:name w:val="Normal (Web) Char"/>
    <w:aliases w:val="Char Char Char Char Char Char Char Char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D815FD"/>
    <w:rPr>
      <w:sz w:val="24"/>
      <w:szCs w:val="24"/>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qFormat/>
    <w:rsid w:val="000C4996"/>
    <w:pPr>
      <w:jc w:val="left"/>
    </w:pPr>
    <w:rPr>
      <w:rFonts w:eastAsia="Times New Roman"/>
      <w:b/>
      <w:noProof w:val="0"/>
      <w:color w:val="auto"/>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rsid w:val="000C4996"/>
    <w:rPr>
      <w:b/>
    </w:rPr>
  </w:style>
  <w:style w:type="character" w:styleId="FootnoteReference">
    <w:name w:val="footnote reference"/>
    <w:aliases w:val="Footnote,Footnote Text1,ftref,BVI fnr,footnote ref,Footnote dich,SUPERS,(NECG) Footnote Reference,16 Point,Superscript 6 Point,Footnote + Arial,10 pt,fr,BearingPoint,Footnote Reference Number,Footnote Reference_LVL6,Ref,f"/>
    <w:basedOn w:val="DefaultParagraphFont"/>
    <w:uiPriority w:val="99"/>
    <w:qFormat/>
    <w:rsid w:val="000C4996"/>
    <w:rPr>
      <w:vertAlign w:val="superscript"/>
    </w:rPr>
  </w:style>
  <w:style w:type="paragraph" w:styleId="Revision">
    <w:name w:val="Revision"/>
    <w:hidden/>
    <w:uiPriority w:val="99"/>
    <w:semiHidden/>
    <w:rsid w:val="001020FF"/>
    <w:rPr>
      <w:rFonts w:eastAsia="Calibri"/>
      <w:noProof/>
      <w:color w:val="002060"/>
      <w:sz w:val="24"/>
      <w:szCs w:val="24"/>
    </w:rPr>
  </w:style>
</w:styles>
</file>

<file path=word/webSettings.xml><?xml version="1.0" encoding="utf-8"?>
<w:webSettings xmlns:r="http://schemas.openxmlformats.org/officeDocument/2006/relationships" xmlns:w="http://schemas.openxmlformats.org/wordprocessingml/2006/main">
  <w:divs>
    <w:div w:id="163784318">
      <w:bodyDiv w:val="1"/>
      <w:marLeft w:val="0"/>
      <w:marRight w:val="0"/>
      <w:marTop w:val="0"/>
      <w:marBottom w:val="0"/>
      <w:divBdr>
        <w:top w:val="none" w:sz="0" w:space="0" w:color="auto"/>
        <w:left w:val="none" w:sz="0" w:space="0" w:color="auto"/>
        <w:bottom w:val="none" w:sz="0" w:space="0" w:color="auto"/>
        <w:right w:val="none" w:sz="0" w:space="0" w:color="auto"/>
      </w:divBdr>
    </w:div>
    <w:div w:id="820318490">
      <w:bodyDiv w:val="1"/>
      <w:marLeft w:val="0"/>
      <w:marRight w:val="0"/>
      <w:marTop w:val="0"/>
      <w:marBottom w:val="0"/>
      <w:divBdr>
        <w:top w:val="none" w:sz="0" w:space="0" w:color="auto"/>
        <w:left w:val="none" w:sz="0" w:space="0" w:color="auto"/>
        <w:bottom w:val="none" w:sz="0" w:space="0" w:color="auto"/>
        <w:right w:val="none" w:sz="0" w:space="0" w:color="auto"/>
      </w:divBdr>
    </w:div>
    <w:div w:id="1541549733">
      <w:bodyDiv w:val="1"/>
      <w:marLeft w:val="0"/>
      <w:marRight w:val="0"/>
      <w:marTop w:val="0"/>
      <w:marBottom w:val="0"/>
      <w:divBdr>
        <w:top w:val="none" w:sz="0" w:space="0" w:color="auto"/>
        <w:left w:val="none" w:sz="0" w:space="0" w:color="auto"/>
        <w:bottom w:val="none" w:sz="0" w:space="0" w:color="auto"/>
        <w:right w:val="none" w:sz="0" w:space="0" w:color="auto"/>
      </w:divBdr>
    </w:div>
    <w:div w:id="1863476927">
      <w:bodyDiv w:val="1"/>
      <w:marLeft w:val="0"/>
      <w:marRight w:val="0"/>
      <w:marTop w:val="0"/>
      <w:marBottom w:val="0"/>
      <w:divBdr>
        <w:top w:val="none" w:sz="0" w:space="0" w:color="auto"/>
        <w:left w:val="none" w:sz="0" w:space="0" w:color="auto"/>
        <w:bottom w:val="none" w:sz="0" w:space="0" w:color="auto"/>
        <w:right w:val="none" w:sz="0" w:space="0" w:color="auto"/>
      </w:divBdr>
    </w:div>
    <w:div w:id="20896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C0213AE-CF2B-4D19-B691-620135D8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15</Pages>
  <Words>5726</Words>
  <Characters>21729</Characters>
  <Application>Microsoft Office Word</Application>
  <DocSecurity>0</DocSecurity>
  <Lines>181</Lines>
  <Paragraphs>54</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27401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COMPUTER</dc:creator>
  <cp:lastModifiedBy>Nguyen Thi Quynh Trang1</cp:lastModifiedBy>
  <cp:revision>92</cp:revision>
  <cp:lastPrinted>2024-11-08T10:26:00Z</cp:lastPrinted>
  <dcterms:created xsi:type="dcterms:W3CDTF">2020-09-28T07:21:00Z</dcterms:created>
  <dcterms:modified xsi:type="dcterms:W3CDTF">2026-03-20T08:48:00Z</dcterms:modified>
</cp:coreProperties>
</file>