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6" w:type="pct"/>
        <w:tblInd w:w="-709" w:type="dxa"/>
        <w:tblLook w:val="0000" w:firstRow="0" w:lastRow="0" w:firstColumn="0" w:lastColumn="0" w:noHBand="0" w:noVBand="0"/>
      </w:tblPr>
      <w:tblGrid>
        <w:gridCol w:w="4679"/>
        <w:gridCol w:w="5529"/>
      </w:tblGrid>
      <w:tr w:rsidR="008D2933" w:rsidRPr="008D2933" w14:paraId="7236C1E6" w14:textId="77777777" w:rsidTr="00527126">
        <w:trPr>
          <w:trHeight w:val="841"/>
        </w:trPr>
        <w:tc>
          <w:tcPr>
            <w:tcW w:w="2292" w:type="pct"/>
          </w:tcPr>
          <w:p w14:paraId="6DD53A59" w14:textId="77777777" w:rsidR="00F3180F" w:rsidRPr="008D2933" w:rsidRDefault="00F3180F" w:rsidP="00F3180F">
            <w:pPr>
              <w:spacing w:after="0" w:line="240" w:lineRule="auto"/>
              <w:jc w:val="center"/>
              <w:rPr>
                <w:rFonts w:cs="Times New Roman"/>
                <w:b/>
                <w:sz w:val="26"/>
                <w:szCs w:val="24"/>
              </w:rPr>
            </w:pPr>
            <w:r w:rsidRPr="008D2933">
              <w:rPr>
                <w:rFonts w:cs="Times New Roman"/>
                <w:b/>
                <w:sz w:val="26"/>
                <w:szCs w:val="24"/>
              </w:rPr>
              <w:t>BỘ KHOA HỌC VÀ CÔNG NGHỆ</w:t>
            </w:r>
          </w:p>
          <w:p w14:paraId="282C6C22" w14:textId="77777777" w:rsidR="00F3180F" w:rsidRPr="008D2933" w:rsidRDefault="00527126" w:rsidP="00F3180F">
            <w:pPr>
              <w:spacing w:after="0" w:line="240" w:lineRule="auto"/>
              <w:ind w:left="40" w:hanging="40"/>
              <w:jc w:val="center"/>
              <w:rPr>
                <w:rFonts w:cs="Times New Roman"/>
                <w:spacing w:val="-3"/>
                <w:kern w:val="24"/>
                <w:lang w:val="vi-VN"/>
              </w:rPr>
            </w:pPr>
            <w:r w:rsidRPr="008D2933">
              <w:rPr>
                <w:rFonts w:cs="Times New Roman"/>
                <w:noProof/>
              </w:rPr>
              <mc:AlternateContent>
                <mc:Choice Requires="wps">
                  <w:drawing>
                    <wp:anchor distT="0" distB="0" distL="114300" distR="114300" simplePos="0" relativeHeight="251660288" behindDoc="0" locked="0" layoutInCell="1" allowOverlap="1" wp14:anchorId="1C424E4C" wp14:editId="36C27CD2">
                      <wp:simplePos x="0" y="0"/>
                      <wp:positionH relativeFrom="column">
                        <wp:posOffset>857885</wp:posOffset>
                      </wp:positionH>
                      <wp:positionV relativeFrom="paragraph">
                        <wp:posOffset>81075</wp:posOffset>
                      </wp:positionV>
                      <wp:extent cx="969010" cy="0"/>
                      <wp:effectExtent l="12065" t="5080" r="9525" b="1397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AEA4A" id="_x0000_t32" coordsize="21600,21600" o:spt="32" o:oned="t" path="m,l21600,21600e" filled="f">
                      <v:path arrowok="t" fillok="f" o:connecttype="none"/>
                      <o:lock v:ext="edit" shapetype="t"/>
                    </v:shapetype>
                    <v:shape id="Straight Arrow Connector 3" o:spid="_x0000_s1026" type="#_x0000_t32" style="position:absolute;margin-left:67.55pt;margin-top:6.4pt;width:7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wIwIAAEkEAAAOAAAAZHJzL2Uyb0RvYy54bWysVE2P2jAQvVfqf7B8Z5MASy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" strokeweight=".5pt"/>
                  </w:pict>
                </mc:Fallback>
              </mc:AlternateContent>
            </w:r>
          </w:p>
        </w:tc>
        <w:tc>
          <w:tcPr>
            <w:tcW w:w="2708" w:type="pct"/>
          </w:tcPr>
          <w:p w14:paraId="4B3D1B4F" w14:textId="77777777" w:rsidR="00F3180F" w:rsidRPr="008D2933" w:rsidRDefault="00F3180F" w:rsidP="00F3180F">
            <w:pPr>
              <w:spacing w:after="0" w:line="240" w:lineRule="auto"/>
              <w:jc w:val="center"/>
              <w:rPr>
                <w:rFonts w:cs="Times New Roman"/>
                <w:b/>
                <w:bCs/>
                <w:spacing w:val="-4"/>
                <w:sz w:val="26"/>
                <w:szCs w:val="26"/>
                <w:lang w:val="vi-VN"/>
              </w:rPr>
            </w:pPr>
            <w:r w:rsidRPr="008D2933">
              <w:rPr>
                <w:rFonts w:cs="Times New Roman"/>
                <w:b/>
                <w:bCs/>
                <w:spacing w:val="-4"/>
                <w:sz w:val="26"/>
                <w:szCs w:val="26"/>
                <w:lang w:val="vi-VN"/>
              </w:rPr>
              <w:t>CỘNG HOÀ XÃ HỘI CHỦ NGHĨA VIỆT NAM</w:t>
            </w:r>
          </w:p>
          <w:p w14:paraId="024D8011" w14:textId="77777777" w:rsidR="00F3180F" w:rsidRPr="008D2933" w:rsidRDefault="00527126" w:rsidP="00527126">
            <w:pPr>
              <w:spacing w:after="0" w:line="240" w:lineRule="auto"/>
              <w:jc w:val="center"/>
              <w:rPr>
                <w:rFonts w:cs="Times New Roman"/>
                <w:szCs w:val="28"/>
                <w:lang w:val="vi-VN"/>
              </w:rPr>
            </w:pPr>
            <w:r w:rsidRPr="008D2933">
              <w:rPr>
                <w:rFonts w:cs="Times New Roman"/>
                <w:noProof/>
                <w:szCs w:val="28"/>
              </w:rPr>
              <mc:AlternateContent>
                <mc:Choice Requires="wps">
                  <w:drawing>
                    <wp:anchor distT="4294967288" distB="4294967288" distL="114300" distR="114300" simplePos="0" relativeHeight="251659264" behindDoc="0" locked="0" layoutInCell="1" allowOverlap="1" wp14:anchorId="5E3B5B81" wp14:editId="26324E30">
                      <wp:simplePos x="0" y="0"/>
                      <wp:positionH relativeFrom="column">
                        <wp:posOffset>643343</wp:posOffset>
                      </wp:positionH>
                      <wp:positionV relativeFrom="paragraph">
                        <wp:posOffset>275986</wp:posOffset>
                      </wp:positionV>
                      <wp:extent cx="2087792"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B07E" id="Straight Connector 2"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0.65pt,21.75pt" to="215.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ln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6f3paAEl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"/>
                  </w:pict>
                </mc:Fallback>
              </mc:AlternateContent>
            </w:r>
            <w:r w:rsidR="00F3180F" w:rsidRPr="008D2933">
              <w:rPr>
                <w:rFonts w:cs="Times New Roman"/>
                <w:b/>
                <w:bCs/>
                <w:szCs w:val="26"/>
              </w:rPr>
              <w:t>Độc lập - Tự do - Hạnh phúc</w:t>
            </w:r>
          </w:p>
        </w:tc>
      </w:tr>
      <w:tr w:rsidR="008D2933" w:rsidRPr="00E9776E" w14:paraId="0805301E" w14:textId="77777777" w:rsidTr="00527126">
        <w:trPr>
          <w:trHeight w:val="413"/>
        </w:trPr>
        <w:tc>
          <w:tcPr>
            <w:tcW w:w="2292" w:type="pct"/>
          </w:tcPr>
          <w:p w14:paraId="39B97777" w14:textId="77777777" w:rsidR="00F3180F" w:rsidRPr="008D2933" w:rsidRDefault="00F3180F" w:rsidP="00E0392D">
            <w:pPr>
              <w:spacing w:after="0" w:line="240" w:lineRule="auto"/>
              <w:jc w:val="center"/>
              <w:rPr>
                <w:rFonts w:cs="Times New Roman"/>
                <w:b/>
                <w:sz w:val="26"/>
                <w:szCs w:val="24"/>
              </w:rPr>
            </w:pPr>
          </w:p>
        </w:tc>
        <w:tc>
          <w:tcPr>
            <w:tcW w:w="2708" w:type="pct"/>
          </w:tcPr>
          <w:p w14:paraId="1B28D1CC" w14:textId="77777777" w:rsidR="00F3180F" w:rsidRPr="00E9776E" w:rsidRDefault="00F3180F" w:rsidP="00F3180F">
            <w:pPr>
              <w:spacing w:after="0" w:line="240" w:lineRule="auto"/>
              <w:jc w:val="center"/>
              <w:rPr>
                <w:rFonts w:cs="Times New Roman"/>
                <w:b/>
                <w:bCs/>
                <w:spacing w:val="-4"/>
                <w:sz w:val="26"/>
                <w:szCs w:val="26"/>
                <w:lang w:val="vi-VN"/>
              </w:rPr>
            </w:pPr>
            <w:r w:rsidRPr="008D2933">
              <w:rPr>
                <w:rFonts w:cs="Times New Roman"/>
                <w:i/>
                <w:szCs w:val="28"/>
                <w:lang w:val="vi-VN"/>
              </w:rPr>
              <w:t xml:space="preserve">        </w:t>
            </w:r>
            <w:r w:rsidRPr="00E9776E">
              <w:rPr>
                <w:rFonts w:cs="Times New Roman"/>
                <w:i/>
                <w:szCs w:val="28"/>
                <w:lang w:val="vi-VN"/>
              </w:rPr>
              <w:t>Hà Nội, ngày      tháng      năm 20</w:t>
            </w:r>
            <w:r w:rsidRPr="008D2933">
              <w:rPr>
                <w:rFonts w:cs="Times New Roman"/>
                <w:i/>
                <w:szCs w:val="28"/>
                <w:lang w:val="vi-VN"/>
              </w:rPr>
              <w:t>26</w:t>
            </w:r>
          </w:p>
        </w:tc>
      </w:tr>
    </w:tbl>
    <w:p w14:paraId="4A139A6E" w14:textId="77777777" w:rsidR="00F3180F" w:rsidRPr="008D2933" w:rsidRDefault="00F3180F" w:rsidP="00F3180F">
      <w:pPr>
        <w:widowControl w:val="0"/>
        <w:adjustRightInd w:val="0"/>
        <w:spacing w:before="120" w:after="120" w:line="340" w:lineRule="exact"/>
        <w:jc w:val="center"/>
        <w:rPr>
          <w:rFonts w:cs="Times New Roman"/>
          <w:b/>
          <w:szCs w:val="28"/>
          <w:lang w:val="es-ES"/>
        </w:rPr>
      </w:pPr>
      <w:r w:rsidRPr="008D2933">
        <w:rPr>
          <w:rFonts w:cs="Times New Roman"/>
          <w:b/>
          <w:szCs w:val="28"/>
          <w:lang w:val="es-ES"/>
        </w:rPr>
        <w:t>BÁO CÁO</w:t>
      </w:r>
    </w:p>
    <w:p w14:paraId="6D185C41" w14:textId="77777777" w:rsidR="00F3180F" w:rsidRPr="008D2933" w:rsidRDefault="00527126" w:rsidP="00F3180F">
      <w:pPr>
        <w:widowControl w:val="0"/>
        <w:adjustRightInd w:val="0"/>
        <w:spacing w:before="120" w:line="340" w:lineRule="exact"/>
        <w:jc w:val="center"/>
        <w:rPr>
          <w:rFonts w:cs="Times New Roman"/>
          <w:b/>
          <w:bCs/>
          <w:szCs w:val="28"/>
          <w:lang w:val="es-ES"/>
        </w:rPr>
      </w:pPr>
      <w:r w:rsidRPr="008D2933">
        <w:rPr>
          <w:rFonts w:cs="Times New Roman"/>
          <w:noProof/>
          <w:szCs w:val="28"/>
        </w:rPr>
        <mc:AlternateContent>
          <mc:Choice Requires="wps">
            <w:drawing>
              <wp:anchor distT="4294967288" distB="4294967288" distL="114300" distR="114300" simplePos="0" relativeHeight="251661312" behindDoc="0" locked="0" layoutInCell="1" allowOverlap="1" wp14:anchorId="72EE579C" wp14:editId="3CA3E326">
                <wp:simplePos x="0" y="0"/>
                <wp:positionH relativeFrom="column">
                  <wp:posOffset>2092472</wp:posOffset>
                </wp:positionH>
                <wp:positionV relativeFrom="paragraph">
                  <wp:posOffset>739063</wp:posOffset>
                </wp:positionV>
                <wp:extent cx="1981200" cy="0"/>
                <wp:effectExtent l="0" t="0" r="0" b="0"/>
                <wp:wrapNone/>
                <wp:docPr id="1959407965" name="Straight Connector 1959407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9E769" id="Straight Connector 1959407965"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64.75pt,58.2pt" to="320.7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"/>
            </w:pict>
          </mc:Fallback>
        </mc:AlternateContent>
      </w:r>
      <w:r w:rsidR="00F3180F" w:rsidRPr="008D2933">
        <w:rPr>
          <w:rFonts w:cs="Times New Roman"/>
          <w:b/>
          <w:szCs w:val="28"/>
          <w:lang w:val="es-ES"/>
        </w:rPr>
        <w:t xml:space="preserve">Tình hình triển khai Quyết định </w:t>
      </w:r>
      <w:r w:rsidR="00F3180F" w:rsidRPr="00E9776E">
        <w:rPr>
          <w:rStyle w:val="Strong"/>
          <w:rFonts w:cs="Times New Roman"/>
          <w:szCs w:val="28"/>
          <w:lang w:val="vi-VN"/>
        </w:rPr>
        <w:t>số 38/2020/QĐ-TTg</w:t>
      </w:r>
      <w:r w:rsidR="00F3180F" w:rsidRPr="008D2933">
        <w:rPr>
          <w:rFonts w:cs="Times New Roman"/>
          <w:szCs w:val="28"/>
          <w:lang w:val="vi-VN"/>
        </w:rPr>
        <w:t xml:space="preserve"> </w:t>
      </w:r>
      <w:r w:rsidR="00F3180F" w:rsidRPr="00E9776E">
        <w:rPr>
          <w:rStyle w:val="Strong"/>
          <w:rFonts w:cs="Times New Roman"/>
          <w:szCs w:val="28"/>
          <w:lang w:val="vi-VN"/>
        </w:rPr>
        <w:t>ngày 30/12/2020</w:t>
      </w:r>
      <w:r w:rsidR="00F3180F" w:rsidRPr="00E9776E">
        <w:rPr>
          <w:rFonts w:cs="Times New Roman"/>
          <w:szCs w:val="28"/>
          <w:lang w:val="vi-VN"/>
        </w:rPr>
        <w:t xml:space="preserve"> </w:t>
      </w:r>
      <w:r w:rsidR="00F3180F" w:rsidRPr="00E9776E">
        <w:rPr>
          <w:rFonts w:cs="Times New Roman"/>
          <w:b/>
          <w:bCs/>
          <w:szCs w:val="28"/>
          <w:lang w:val="vi-VN"/>
        </w:rPr>
        <w:t>quy định Danh mục công nghệ cao được ưu tiên đầu tư phát triển và Danh mụ</w:t>
      </w:r>
      <w:r w:rsidR="001363D4" w:rsidRPr="00E9776E">
        <w:rPr>
          <w:rFonts w:cs="Times New Roman"/>
          <w:b/>
          <w:bCs/>
          <w:szCs w:val="28"/>
          <w:lang w:val="vi-VN"/>
        </w:rPr>
        <w:t xml:space="preserve">c </w:t>
      </w:r>
      <w:r w:rsidR="00F3180F" w:rsidRPr="00E9776E">
        <w:rPr>
          <w:rFonts w:cs="Times New Roman"/>
          <w:b/>
          <w:bCs/>
          <w:szCs w:val="28"/>
          <w:lang w:val="vi-VN"/>
        </w:rPr>
        <w:t>sản phẩm công nghệ cao được khuyến khích phát triển</w:t>
      </w:r>
    </w:p>
    <w:p w14:paraId="5A9811D6" w14:textId="77777777" w:rsidR="00F3180F" w:rsidRPr="008D2933" w:rsidRDefault="00F3180F" w:rsidP="00F3180F">
      <w:pPr>
        <w:tabs>
          <w:tab w:val="left" w:pos="3783"/>
        </w:tabs>
        <w:rPr>
          <w:rFonts w:cs="Times New Roman"/>
          <w:szCs w:val="28"/>
          <w:lang w:val="vi-VN"/>
        </w:rPr>
      </w:pPr>
    </w:p>
    <w:p w14:paraId="16F1320F" w14:textId="77777777" w:rsidR="00C96E81" w:rsidRPr="008D2933" w:rsidRDefault="00C96E81" w:rsidP="00871CC0">
      <w:pPr>
        <w:pStyle w:val="NormalWeb"/>
        <w:widowControl w:val="0"/>
        <w:spacing w:before="120" w:beforeAutospacing="0" w:after="120" w:afterAutospacing="0"/>
        <w:ind w:firstLine="544"/>
        <w:jc w:val="both"/>
        <w:rPr>
          <w:rFonts w:eastAsiaTheme="minorHAnsi"/>
          <w:sz w:val="28"/>
          <w:szCs w:val="28"/>
          <w:lang w:val="es-ES"/>
        </w:rPr>
      </w:pPr>
      <w:r w:rsidRPr="008D2933">
        <w:rPr>
          <w:rFonts w:eastAsiaTheme="minorHAnsi"/>
          <w:sz w:val="28"/>
          <w:szCs w:val="28"/>
          <w:lang w:val="es-ES"/>
        </w:rPr>
        <w:t>Luật Công nghệ cao số 133/2025/QH15 được Quốc hội khóa XV thông qua ngày 10/12/2025, có hiệu lực từ ngày 01/7/2026, quy định Nhà nước áp dụng mức ưu đãi cao nhất theo pháp luật về đầu tư, thuế, đất đai và các chính sách liên quan đối với hoạt động công nghệ cao và công nghệ chiến lược. Luật giao Bộ Khoa học và Công nghệ</w:t>
      </w:r>
      <w:r w:rsidR="00E0392D">
        <w:rPr>
          <w:rFonts w:eastAsiaTheme="minorHAnsi"/>
          <w:sz w:val="28"/>
          <w:szCs w:val="28"/>
          <w:lang w:val="es-ES"/>
        </w:rPr>
        <w:t xml:space="preserve"> (KH&amp;CN)</w:t>
      </w:r>
      <w:r w:rsidRPr="008D2933">
        <w:rPr>
          <w:rFonts w:eastAsiaTheme="minorHAnsi"/>
          <w:sz w:val="28"/>
          <w:szCs w:val="28"/>
          <w:lang w:val="es-ES"/>
        </w:rPr>
        <w:t xml:space="preserve"> chủ trì rà soát, đánh giá định kỳ và trình Thủ tướng Chính phủ ban hành, cập nhật các Danh mục công nghệ cao ưu tiên đầu tư phát triển, sản phẩm công nghệ cao được khuyến khích phát triển, công nghệ chiến lược và sản phẩm công nghệ chiến lược.</w:t>
      </w:r>
    </w:p>
    <w:p w14:paraId="3E1A31D5" w14:textId="77777777" w:rsidR="00C96E81" w:rsidRPr="008D2933" w:rsidRDefault="00C96E81" w:rsidP="00871CC0">
      <w:pPr>
        <w:pStyle w:val="NormalWeb"/>
        <w:widowControl w:val="0"/>
        <w:spacing w:before="120" w:beforeAutospacing="0" w:after="120" w:afterAutospacing="0"/>
        <w:ind w:firstLine="544"/>
        <w:jc w:val="both"/>
        <w:rPr>
          <w:rFonts w:eastAsiaTheme="minorHAnsi"/>
          <w:sz w:val="28"/>
          <w:szCs w:val="28"/>
          <w:lang w:val="es-ES"/>
        </w:rPr>
      </w:pPr>
      <w:r w:rsidRPr="008D2933">
        <w:rPr>
          <w:rFonts w:eastAsiaTheme="minorHAnsi"/>
          <w:sz w:val="28"/>
          <w:szCs w:val="28"/>
          <w:lang w:val="es-ES"/>
        </w:rPr>
        <w:t xml:space="preserve">Thực hiện Luật và Quyết định số 2835/QĐ-TTg ngày 31/12/2025 của Thủ tướng Chính phủ về phân công xây dựng văn bản quy định chi tiết, Bộ </w:t>
      </w:r>
      <w:r w:rsidR="00E0392D">
        <w:rPr>
          <w:rFonts w:eastAsiaTheme="minorHAnsi"/>
          <w:sz w:val="28"/>
          <w:szCs w:val="28"/>
          <w:lang w:val="es-ES"/>
        </w:rPr>
        <w:t>KH&amp;CN</w:t>
      </w:r>
      <w:r w:rsidR="00E0392D" w:rsidRPr="008D2933">
        <w:rPr>
          <w:rFonts w:eastAsiaTheme="minorHAnsi"/>
          <w:sz w:val="28"/>
          <w:szCs w:val="28"/>
          <w:lang w:val="es-ES"/>
        </w:rPr>
        <w:t xml:space="preserve"> </w:t>
      </w:r>
      <w:r w:rsidRPr="008D2933">
        <w:rPr>
          <w:rFonts w:eastAsiaTheme="minorHAnsi"/>
          <w:sz w:val="28"/>
          <w:szCs w:val="28"/>
          <w:lang w:val="es-ES"/>
        </w:rPr>
        <w:t>được giao ban hành các Danh mục nêu trên trong tháng 4/2026. Trước đó, Quyết định số 38/2020/QĐ-TTg ngày 30/12/2020 đã quy định 99 công nghệ cao và 107 sản phẩm công nghệ cao thuộc các lĩnh vực trọng điểm làm cơ sở thực hiện chính sách ưu đãi. Sau 5 năm triển khai, trong bối cảnh Cách mạng công nghiệp lần thứ tư và sự phát triển nhanh của các công nghệ mới, một số nội dung của Danh mục này cần được rà soát, cập nhật để phù hợp với xu thế công nghệ và yêu cầu phát triển của Việt Nam.</w:t>
      </w:r>
    </w:p>
    <w:p w14:paraId="0DF67DB1" w14:textId="77777777" w:rsidR="00C96E81" w:rsidRPr="00E0392D" w:rsidRDefault="00C96E81" w:rsidP="00871CC0">
      <w:pPr>
        <w:pStyle w:val="NormalWeb"/>
        <w:widowControl w:val="0"/>
        <w:spacing w:before="120" w:beforeAutospacing="0" w:after="120" w:afterAutospacing="0"/>
        <w:ind w:firstLine="544"/>
        <w:jc w:val="both"/>
        <w:rPr>
          <w:rFonts w:eastAsiaTheme="minorHAnsi"/>
          <w:spacing w:val="-4"/>
          <w:sz w:val="28"/>
          <w:szCs w:val="28"/>
          <w:lang w:val="es-ES"/>
        </w:rPr>
      </w:pPr>
      <w:r w:rsidRPr="00E0392D">
        <w:rPr>
          <w:rFonts w:eastAsiaTheme="minorHAnsi"/>
          <w:spacing w:val="-4"/>
          <w:sz w:val="28"/>
          <w:szCs w:val="28"/>
          <w:lang w:val="es-ES"/>
        </w:rPr>
        <w:t xml:space="preserve">Bên cạnh đó, Quyết định số 1131/QĐ-TTg ngày 12/6/2025 đã ban hành Danh mục công nghệ chiến lược và sản phẩm công nghệ chiến lược gồm 11 nhóm công nghệ và 33 sản phẩm, định hướng ưu tiên đầu tư dài hạn nhằm nâng cao năng lực tự chủ, bảo đảm an ninh </w:t>
      </w:r>
      <w:r w:rsidR="00E0392D">
        <w:rPr>
          <w:rFonts w:eastAsiaTheme="minorHAnsi"/>
          <w:spacing w:val="-4"/>
          <w:sz w:val="28"/>
          <w:szCs w:val="28"/>
          <w:lang w:val="es-ES"/>
        </w:rPr>
        <w:t>-</w:t>
      </w:r>
      <w:r w:rsidRPr="00E0392D">
        <w:rPr>
          <w:rFonts w:eastAsiaTheme="minorHAnsi"/>
          <w:spacing w:val="-4"/>
          <w:sz w:val="28"/>
          <w:szCs w:val="28"/>
          <w:lang w:val="es-ES"/>
        </w:rPr>
        <w:t xml:space="preserve"> quốc phòng và tham gia sâu hơn vào chuỗi giá trị toàn cầu.</w:t>
      </w:r>
    </w:p>
    <w:p w14:paraId="4440A373" w14:textId="77777777" w:rsidR="00F3180F" w:rsidRPr="008D2933" w:rsidRDefault="00C96E81" w:rsidP="00871CC0">
      <w:pPr>
        <w:pStyle w:val="NormalWeb"/>
        <w:widowControl w:val="0"/>
        <w:spacing w:before="120" w:beforeAutospacing="0" w:after="120" w:afterAutospacing="0"/>
        <w:ind w:firstLine="544"/>
        <w:jc w:val="both"/>
        <w:rPr>
          <w:sz w:val="28"/>
          <w:szCs w:val="28"/>
          <w:lang w:val="vi-VN"/>
        </w:rPr>
      </w:pPr>
      <w:r w:rsidRPr="008D2933">
        <w:rPr>
          <w:rFonts w:eastAsiaTheme="minorHAnsi"/>
          <w:sz w:val="28"/>
          <w:szCs w:val="28"/>
          <w:lang w:val="es-ES"/>
        </w:rPr>
        <w:t xml:space="preserve">Trên cơ sở các quy định nêu trên, </w:t>
      </w:r>
      <w:r w:rsidR="00E0392D">
        <w:rPr>
          <w:rFonts w:eastAsiaTheme="minorHAnsi"/>
          <w:sz w:val="28"/>
          <w:szCs w:val="28"/>
          <w:lang w:val="es-ES"/>
        </w:rPr>
        <w:t xml:space="preserve">thực hiện nhiệm vụ được giao </w:t>
      </w:r>
      <w:r w:rsidRPr="008D2933">
        <w:rPr>
          <w:rFonts w:eastAsiaTheme="minorHAnsi"/>
          <w:sz w:val="28"/>
          <w:szCs w:val="28"/>
          <w:lang w:val="es-ES"/>
        </w:rPr>
        <w:t xml:space="preserve">Bộ </w:t>
      </w:r>
      <w:r w:rsidR="00E0392D">
        <w:rPr>
          <w:rFonts w:eastAsiaTheme="minorHAnsi"/>
          <w:sz w:val="28"/>
          <w:szCs w:val="28"/>
          <w:lang w:val="es-ES"/>
        </w:rPr>
        <w:t>KH&amp;CN</w:t>
      </w:r>
      <w:r w:rsidR="00E0392D" w:rsidRPr="008D2933">
        <w:rPr>
          <w:rFonts w:eastAsiaTheme="minorHAnsi"/>
          <w:sz w:val="28"/>
          <w:szCs w:val="28"/>
          <w:lang w:val="es-ES"/>
        </w:rPr>
        <w:t xml:space="preserve"> </w:t>
      </w:r>
      <w:r w:rsidRPr="008D2933">
        <w:rPr>
          <w:rFonts w:eastAsiaTheme="minorHAnsi"/>
          <w:sz w:val="28"/>
          <w:szCs w:val="28"/>
          <w:lang w:val="es-ES"/>
        </w:rPr>
        <w:t>tiến hành tổng kết việc thực hiện Quyết định số 38/2020/QĐ-TTg, đồng thời xây dựng, tích hợp và cập nhật các Danh mục theo yêu cầu của Luật Công nghệ</w:t>
      </w:r>
      <w:r w:rsidR="00E0392D">
        <w:rPr>
          <w:rFonts w:eastAsiaTheme="minorHAnsi"/>
          <w:sz w:val="28"/>
          <w:szCs w:val="28"/>
          <w:lang w:val="es-ES"/>
        </w:rPr>
        <w:t xml:space="preserve"> cao năm 2025, kết quả </w:t>
      </w:r>
      <w:r w:rsidRPr="008D2933">
        <w:rPr>
          <w:rFonts w:eastAsiaTheme="minorHAnsi"/>
          <w:sz w:val="28"/>
          <w:szCs w:val="28"/>
          <w:lang w:val="es-ES"/>
        </w:rPr>
        <w:t>như sau:</w:t>
      </w:r>
    </w:p>
    <w:p w14:paraId="7ECB5CCC" w14:textId="77777777" w:rsidR="00C0733E" w:rsidRPr="008D2933" w:rsidRDefault="00C0733E" w:rsidP="00C61B60">
      <w:pPr>
        <w:widowControl w:val="0"/>
        <w:spacing w:before="120" w:after="120" w:line="240" w:lineRule="auto"/>
        <w:ind w:firstLine="544"/>
        <w:rPr>
          <w:rFonts w:eastAsia="Times New Roman" w:cs="Times New Roman"/>
          <w:b/>
          <w:szCs w:val="28"/>
          <w:lang w:val="vi-VN"/>
        </w:rPr>
      </w:pPr>
      <w:r w:rsidRPr="008D2933">
        <w:rPr>
          <w:rFonts w:eastAsia="Times New Roman" w:cs="Times New Roman"/>
          <w:b/>
          <w:szCs w:val="28"/>
          <w:lang w:val="vi-VN"/>
        </w:rPr>
        <w:t>I. TÌNH HÌNH TRIỂN KHAI VÀ KẾT QUẢ ĐẠT ĐƯỢC</w:t>
      </w:r>
    </w:p>
    <w:p w14:paraId="5AB3FF22" w14:textId="77777777" w:rsidR="00C0733E" w:rsidRPr="008D2933" w:rsidRDefault="00C0733E" w:rsidP="00C61B60">
      <w:pPr>
        <w:widowControl w:val="0"/>
        <w:spacing w:before="120" w:after="120" w:line="240" w:lineRule="auto"/>
        <w:ind w:firstLine="544"/>
        <w:jc w:val="both"/>
        <w:rPr>
          <w:rFonts w:eastAsia="Times New Roman" w:cs="Times New Roman"/>
          <w:b/>
          <w:szCs w:val="28"/>
          <w:lang w:val="vi-VN"/>
        </w:rPr>
      </w:pPr>
      <w:r w:rsidRPr="008D2933">
        <w:rPr>
          <w:rFonts w:eastAsia="Times New Roman" w:cs="Times New Roman"/>
          <w:b/>
          <w:szCs w:val="28"/>
          <w:lang w:val="vi-VN"/>
        </w:rPr>
        <w:t>1. Tình hình xây dựng các văn bản quy phạm pháp luật về quản lý Nhà nước của các Bộ, ngành có liên quan đến Quyết định số 38/2020/QĐ-TTg ngày 30/12/2020 của Thủ tướng Chính phủ</w:t>
      </w:r>
    </w:p>
    <w:p w14:paraId="464FB376" w14:textId="77777777" w:rsidR="0044464E" w:rsidRPr="008D2933" w:rsidRDefault="0044464E" w:rsidP="00846299">
      <w:pPr>
        <w:widowControl w:val="0"/>
        <w:spacing w:before="120" w:after="120" w:line="340" w:lineRule="exact"/>
        <w:ind w:firstLine="544"/>
        <w:jc w:val="both"/>
        <w:rPr>
          <w:rFonts w:eastAsia="Times New Roman" w:cs="Times New Roman"/>
          <w:szCs w:val="28"/>
        </w:rPr>
      </w:pPr>
      <w:r w:rsidRPr="008D2933">
        <w:rPr>
          <w:rFonts w:eastAsia="Times New Roman" w:cs="Times New Roman"/>
          <w:szCs w:val="28"/>
          <w:lang w:val="vi-VN"/>
        </w:rPr>
        <w:t xml:space="preserve">Việc xây dựng và hoàn thiện một hành lang pháp lý đồng bộ, thống nhất là yếu tố nền tảng, có vai trò then chốt trong việc thúc đẩy phát triển công nghệ cao (CNC) tại Việt Nam. Đây là tiền đề để cụ thể hóa các chủ trương, định hướng của </w:t>
      </w:r>
      <w:r w:rsidRPr="008D2933">
        <w:rPr>
          <w:rFonts w:eastAsia="Times New Roman" w:cs="Times New Roman"/>
          <w:szCs w:val="28"/>
          <w:lang w:val="vi-VN"/>
        </w:rPr>
        <w:lastRenderedPageBreak/>
        <w:t>Đảng và Nhà nước, tạo môi trường thuận lợi cho hoạt động nghiên cứu, ứng dụng, chuyển giao và sản xuất sản phẩm CNC. Trong giai đoạn từ năm 2020 đến nay, bám sát tinh thần của Quyết định số 38/2020/QĐ-TTg, các cơ quan Trung ương và chính quyền địa phương đã tích cực ban hành nhiều văn bản quy phạm pháp luật, chương trình và đề án quan trọng, từng bước hình thành khung chính sách tương đối toàn diện để quản lý và hỗ trợ phát triển lĩnh vực này.</w:t>
      </w:r>
      <w:r w:rsidRPr="00E9776E">
        <w:rPr>
          <w:rFonts w:eastAsia="Times New Roman" w:cs="Times New Roman"/>
          <w:szCs w:val="28"/>
          <w:lang w:val="vi-VN"/>
        </w:rPr>
        <w:t xml:space="preserve"> </w:t>
      </w:r>
      <w:r w:rsidRPr="008D2933">
        <w:rPr>
          <w:rFonts w:eastAsia="Times New Roman" w:cs="Times New Roman"/>
          <w:szCs w:val="28"/>
        </w:rPr>
        <w:t>Cụ thể như sau:</w:t>
      </w:r>
    </w:p>
    <w:p w14:paraId="7AA49639" w14:textId="58E2E3EF" w:rsidR="00C0733E" w:rsidRPr="008D2933" w:rsidRDefault="00C0733E" w:rsidP="00846299">
      <w:pPr>
        <w:widowControl w:val="0"/>
        <w:numPr>
          <w:ilvl w:val="0"/>
          <w:numId w:val="1"/>
        </w:numPr>
        <w:tabs>
          <w:tab w:val="clear" w:pos="720"/>
          <w:tab w:val="num" w:pos="426"/>
          <w:tab w:val="left" w:pos="851"/>
        </w:tabs>
        <w:spacing w:before="120" w:after="120" w:line="340" w:lineRule="exact"/>
        <w:ind w:left="0" w:firstLine="567"/>
        <w:jc w:val="both"/>
        <w:rPr>
          <w:rFonts w:eastAsia="Times New Roman" w:cs="Times New Roman"/>
          <w:b/>
          <w:i/>
          <w:szCs w:val="28"/>
          <w:lang w:val="vi-VN"/>
        </w:rPr>
      </w:pPr>
      <w:r w:rsidRPr="008D2933">
        <w:rPr>
          <w:rFonts w:eastAsia="Times New Roman" w:cs="Times New Roman"/>
          <w:b/>
          <w:i/>
          <w:szCs w:val="28"/>
          <w:lang w:val="vi-VN"/>
        </w:rPr>
        <w:t>Tại các Bộ, ngành:</w:t>
      </w:r>
    </w:p>
    <w:p w14:paraId="1723F92D" w14:textId="77777777" w:rsidR="00C0733E" w:rsidRPr="008D2933" w:rsidRDefault="00C0733E" w:rsidP="00846299">
      <w:pPr>
        <w:widowControl w:val="0"/>
        <w:tabs>
          <w:tab w:val="left" w:pos="851"/>
        </w:tabs>
        <w:spacing w:before="120" w:after="120" w:line="340" w:lineRule="exact"/>
        <w:ind w:firstLine="567"/>
        <w:jc w:val="both"/>
        <w:rPr>
          <w:rFonts w:eastAsia="Times New Roman" w:cs="Times New Roman"/>
          <w:szCs w:val="28"/>
          <w:lang w:val="vi-VN"/>
        </w:rPr>
      </w:pPr>
      <w:r w:rsidRPr="00E9776E">
        <w:rPr>
          <w:rFonts w:eastAsia="Times New Roman" w:cs="Times New Roman"/>
          <w:szCs w:val="28"/>
          <w:lang w:val="vi-VN"/>
        </w:rPr>
        <w:t xml:space="preserve">+ </w:t>
      </w:r>
      <w:r w:rsidRPr="008D2933">
        <w:rPr>
          <w:rFonts w:eastAsia="Times New Roman" w:cs="Times New Roman"/>
          <w:szCs w:val="28"/>
          <w:lang w:val="vi-VN"/>
        </w:rPr>
        <w:t xml:space="preserve">Quốc hội đã ban hành và sửa đổi nhiều </w:t>
      </w:r>
      <w:r w:rsidR="00C61B60" w:rsidRPr="00E9776E">
        <w:rPr>
          <w:rFonts w:eastAsia="Times New Roman" w:cs="Times New Roman"/>
          <w:szCs w:val="28"/>
          <w:lang w:val="vi-VN"/>
        </w:rPr>
        <w:t>bộ</w:t>
      </w:r>
      <w:r w:rsidRPr="008D2933">
        <w:rPr>
          <w:rFonts w:eastAsia="Times New Roman" w:cs="Times New Roman"/>
          <w:szCs w:val="28"/>
          <w:lang w:val="vi-VN"/>
        </w:rPr>
        <w:t xml:space="preserve"> luật quan trọng làm nền tảng pháp lý như: Luật Công nghệ cao số 133/2025/QH15, Luật </w:t>
      </w:r>
      <w:r w:rsidR="00C61B60">
        <w:rPr>
          <w:szCs w:val="28"/>
          <w:lang w:val="es-ES"/>
        </w:rPr>
        <w:t>KH&amp;CN</w:t>
      </w:r>
      <w:r w:rsidRPr="008D2933">
        <w:rPr>
          <w:rFonts w:eastAsia="Times New Roman" w:cs="Times New Roman"/>
          <w:szCs w:val="28"/>
          <w:lang w:val="vi-VN"/>
        </w:rPr>
        <w:t xml:space="preserve"> 2013, Luật Năng lượng nguyên tử số 94/2025/QH15, Luật Công nghiệp công nghệ số năm 2025, và Luật sửa đổi, bổ sung Luật Sở hữu trí tuệ các năm 2022, 2025.</w:t>
      </w:r>
    </w:p>
    <w:p w14:paraId="5A1AFF8C" w14:textId="77777777" w:rsidR="00C0733E" w:rsidRPr="008D2933" w:rsidRDefault="00C0733E" w:rsidP="00846299">
      <w:pPr>
        <w:widowControl w:val="0"/>
        <w:tabs>
          <w:tab w:val="left" w:pos="851"/>
        </w:tabs>
        <w:spacing w:before="120" w:after="120" w:line="340" w:lineRule="exact"/>
        <w:ind w:firstLine="567"/>
        <w:jc w:val="both"/>
        <w:rPr>
          <w:rFonts w:eastAsia="Times New Roman" w:cs="Times New Roman"/>
          <w:szCs w:val="28"/>
          <w:lang w:val="vi-VN"/>
        </w:rPr>
      </w:pPr>
      <w:r w:rsidRPr="00E9776E">
        <w:rPr>
          <w:rFonts w:eastAsia="Times New Roman" w:cs="Times New Roman"/>
          <w:szCs w:val="28"/>
          <w:lang w:val="vi-VN"/>
        </w:rPr>
        <w:t xml:space="preserve">+ </w:t>
      </w:r>
      <w:r w:rsidRPr="008D2933">
        <w:rPr>
          <w:rFonts w:eastAsia="Times New Roman" w:cs="Times New Roman"/>
          <w:szCs w:val="28"/>
          <w:lang w:val="vi-VN"/>
        </w:rPr>
        <w:t>Chính phủ và các Bộ ngành ban hành nhiều Nghị định, Thông tư hướng dẫn chi tiết như: Nghị định số 133/2025/NĐ-CP về phân quyền, phân cấp quản lý nhà nước của Bộ KH&amp;CN; Nghị định số 331/2025/NĐ-CP về phát triển, ứng dụng năng lượng nguyên tử; Nghị định số 354/2025/NĐ-CP về khu công nghệ số tập trung; Thông tư số 31/2025/TT-BKHCN ban hành Danh mục sản phẩm, dịch vụ công nghệ số trọng điểm.</w:t>
      </w:r>
    </w:p>
    <w:p w14:paraId="58CA93A5" w14:textId="77777777" w:rsidR="00E412CA" w:rsidRPr="008D2933" w:rsidRDefault="00E412CA" w:rsidP="00846299">
      <w:pPr>
        <w:widowControl w:val="0"/>
        <w:tabs>
          <w:tab w:val="left" w:pos="851"/>
        </w:tabs>
        <w:spacing w:before="120" w:after="120" w:line="340" w:lineRule="exact"/>
        <w:ind w:firstLine="567"/>
        <w:jc w:val="both"/>
        <w:rPr>
          <w:rFonts w:eastAsia="Times New Roman" w:cs="Times New Roman"/>
          <w:szCs w:val="28"/>
          <w:lang w:val="vi-VN"/>
        </w:rPr>
      </w:pPr>
      <w:r w:rsidRPr="00E9776E">
        <w:rPr>
          <w:lang w:val="vi-VN"/>
        </w:rPr>
        <w:t xml:space="preserve">Việc đồng bộ hóa các luật chuyên ngành đã tạo cơ sở pháp lý vững chắc cho hoạt động </w:t>
      </w:r>
      <w:r w:rsidR="007645EE" w:rsidRPr="00E9776E">
        <w:rPr>
          <w:lang w:val="vi-VN"/>
        </w:rPr>
        <w:t>nghiên cứu và phát triển (</w:t>
      </w:r>
      <w:r w:rsidRPr="00E9776E">
        <w:rPr>
          <w:lang w:val="vi-VN"/>
        </w:rPr>
        <w:t>R&amp;D</w:t>
      </w:r>
      <w:r w:rsidR="007645EE" w:rsidRPr="00E9776E">
        <w:rPr>
          <w:lang w:val="vi-VN"/>
        </w:rPr>
        <w:t>)</w:t>
      </w:r>
      <w:r w:rsidRPr="00E9776E">
        <w:rPr>
          <w:lang w:val="vi-VN"/>
        </w:rPr>
        <w:t>, nội địa hóa công nghệ lõi, hình thành doanh nghiệp công nghệ cao và doanh nghiệp công nghệ chiến lược.</w:t>
      </w:r>
    </w:p>
    <w:p w14:paraId="6E8F0F75" w14:textId="454BE1AC" w:rsidR="00E412CA" w:rsidRPr="00E9776E" w:rsidRDefault="00E412CA" w:rsidP="00846299">
      <w:pPr>
        <w:widowControl w:val="0"/>
        <w:tabs>
          <w:tab w:val="left" w:pos="851"/>
        </w:tabs>
        <w:spacing w:before="120" w:after="120" w:line="340" w:lineRule="exact"/>
        <w:ind w:firstLine="567"/>
        <w:jc w:val="both"/>
        <w:rPr>
          <w:rFonts w:eastAsia="Times New Roman" w:cs="Times New Roman"/>
          <w:spacing w:val="2"/>
          <w:szCs w:val="28"/>
          <w:lang w:val="vi-VN"/>
        </w:rPr>
      </w:pPr>
      <w:r w:rsidRPr="00E9776E">
        <w:rPr>
          <w:spacing w:val="2"/>
          <w:lang w:val="vi-VN"/>
        </w:rPr>
        <w:t xml:space="preserve">Bên cạnh đó, Bộ Xây dựng ban hành lộ trình áp dụng mô hình thông tin công trình (BIM); Bộ Nội vụ ban hành các văn bản liên quan đến quản lý nhân lực </w:t>
      </w:r>
      <w:r w:rsidR="00A91849" w:rsidRPr="00E9776E">
        <w:rPr>
          <w:lang w:val="vi-VN"/>
        </w:rPr>
        <w:t>công nghệ cao</w:t>
      </w:r>
      <w:r w:rsidRPr="00E9776E">
        <w:rPr>
          <w:spacing w:val="2"/>
          <w:lang w:val="vi-VN"/>
        </w:rPr>
        <w:t xml:space="preserve"> và kế hoạch chuyển đổi số trong khu vực công. Các văn bản này góp phần cụ thể hóa cơ chế ưu đãi, phân cấp thẩm quyền và nâng cao hiệu lực thực thi chính sách </w:t>
      </w:r>
      <w:r w:rsidR="00A91849" w:rsidRPr="00E9776E">
        <w:rPr>
          <w:lang w:val="vi-VN"/>
        </w:rPr>
        <w:t>công nghệ cao</w:t>
      </w:r>
      <w:r w:rsidRPr="00E9776E">
        <w:rPr>
          <w:spacing w:val="2"/>
          <w:lang w:val="vi-VN"/>
        </w:rPr>
        <w:t>.</w:t>
      </w:r>
      <w:r w:rsidR="00E9776E" w:rsidRPr="00E9776E">
        <w:rPr>
          <w:spacing w:val="2"/>
          <w:lang w:val="vi-VN"/>
        </w:rPr>
        <w:t xml:space="preserve"> </w:t>
      </w:r>
      <w:r w:rsidR="00E9776E" w:rsidRPr="00E9776E">
        <w:rPr>
          <w:spacing w:val="2"/>
          <w:lang w:val="vi-VN"/>
        </w:rPr>
        <w:t>Bộ Công Thương đã ban hành Chiến lược Phát triển dữ liệu, Quy hoạch tổng thể hạ tầng trung tâm dữ liệu và Chương trình hỗ trợ sản xuất thông minh và chuyển đổi số trong công nghiệp - thương mại đến năm 2035. các văn bản này đã tạo hành lang pháp lý chuyên ngành để thúc đẩy ứng dụng công nghệ cao trong lĩnh vực lưu thông và sản xuất.</w:t>
      </w:r>
    </w:p>
    <w:p w14:paraId="0150F8A3" w14:textId="34AFD749" w:rsidR="00E412CA" w:rsidRPr="008D2933" w:rsidRDefault="00C0733E" w:rsidP="00846299">
      <w:pPr>
        <w:widowControl w:val="0"/>
        <w:numPr>
          <w:ilvl w:val="0"/>
          <w:numId w:val="1"/>
        </w:numPr>
        <w:tabs>
          <w:tab w:val="clear" w:pos="720"/>
          <w:tab w:val="num" w:pos="426"/>
          <w:tab w:val="left" w:pos="851"/>
        </w:tabs>
        <w:spacing w:before="120" w:after="120" w:line="340" w:lineRule="exact"/>
        <w:ind w:left="0" w:firstLine="567"/>
        <w:jc w:val="both"/>
        <w:rPr>
          <w:rFonts w:eastAsia="Times New Roman" w:cs="Times New Roman"/>
          <w:szCs w:val="28"/>
          <w:lang w:val="vi-VN"/>
        </w:rPr>
      </w:pPr>
      <w:r w:rsidRPr="008D2933">
        <w:rPr>
          <w:rFonts w:eastAsia="Times New Roman" w:cs="Times New Roman"/>
          <w:b/>
          <w:i/>
          <w:szCs w:val="28"/>
          <w:lang w:val="vi-VN"/>
        </w:rPr>
        <w:t>Tại địa phương:</w:t>
      </w:r>
      <w:r w:rsidRPr="008D2933">
        <w:rPr>
          <w:rFonts w:eastAsia="Times New Roman" w:cs="Times New Roman"/>
          <w:szCs w:val="28"/>
          <w:lang w:val="vi-VN"/>
        </w:rPr>
        <w:t xml:space="preserve"> </w:t>
      </w:r>
      <w:r w:rsidR="00E412CA" w:rsidRPr="00E9776E">
        <w:rPr>
          <w:rFonts w:eastAsia="Times New Roman" w:cs="Times New Roman"/>
          <w:szCs w:val="28"/>
          <w:lang w:val="vi-VN"/>
        </w:rPr>
        <w:t>T</w:t>
      </w:r>
      <w:r w:rsidR="00E412CA" w:rsidRPr="008D2933">
        <w:rPr>
          <w:rFonts w:eastAsia="Times New Roman" w:cs="Times New Roman"/>
          <w:szCs w:val="28"/>
          <w:lang w:val="vi-VN"/>
        </w:rPr>
        <w:t xml:space="preserve">rên cơ sở Danh mục ban hành theo </w:t>
      </w:r>
      <w:r w:rsidR="007645EE" w:rsidRPr="00E9776E">
        <w:rPr>
          <w:rFonts w:eastAsia="Times New Roman" w:cs="Times New Roman"/>
          <w:szCs w:val="28"/>
          <w:lang w:val="vi-VN"/>
        </w:rPr>
        <w:t xml:space="preserve">Quyết định số </w:t>
      </w:r>
      <w:r w:rsidR="00E412CA" w:rsidRPr="008D2933">
        <w:rPr>
          <w:rFonts w:eastAsia="Times New Roman" w:cs="Times New Roman"/>
          <w:szCs w:val="28"/>
          <w:lang w:val="vi-VN"/>
        </w:rPr>
        <w:t>38</w:t>
      </w:r>
      <w:r w:rsidR="003B4C01" w:rsidRPr="00E9776E">
        <w:rPr>
          <w:rFonts w:eastAsia="Times New Roman" w:cs="Times New Roman"/>
          <w:szCs w:val="28"/>
          <w:lang w:val="vi-VN"/>
        </w:rPr>
        <w:t>/</w:t>
      </w:r>
      <w:r w:rsidR="00E412CA" w:rsidRPr="008D2933">
        <w:rPr>
          <w:rFonts w:eastAsia="Times New Roman" w:cs="Times New Roman"/>
          <w:szCs w:val="28"/>
          <w:lang w:val="vi-VN"/>
        </w:rPr>
        <w:t>2020</w:t>
      </w:r>
      <w:r w:rsidR="003B4C01" w:rsidRPr="00E9776E">
        <w:rPr>
          <w:rFonts w:eastAsia="Times New Roman" w:cs="Times New Roman"/>
          <w:szCs w:val="28"/>
          <w:lang w:val="vi-VN"/>
        </w:rPr>
        <w:t>/</w:t>
      </w:r>
      <w:r w:rsidR="00E412CA" w:rsidRPr="008D2933">
        <w:rPr>
          <w:rFonts w:eastAsia="Times New Roman" w:cs="Times New Roman"/>
          <w:szCs w:val="28"/>
          <w:lang w:val="vi-VN"/>
        </w:rPr>
        <w:t xml:space="preserve">QD-TTg, các Hội đồng nhân dân (HĐND) và Ủy ban nhân dân (UBND) cấp tỉnh đã chủ động lồng ghép mục tiêu phát triển </w:t>
      </w:r>
      <w:r w:rsidR="00A91849" w:rsidRPr="00E9776E">
        <w:rPr>
          <w:lang w:val="vi-VN"/>
        </w:rPr>
        <w:t>công nghệ cao</w:t>
      </w:r>
      <w:r w:rsidR="00E412CA" w:rsidRPr="008D2933">
        <w:rPr>
          <w:rFonts w:eastAsia="Times New Roman" w:cs="Times New Roman"/>
          <w:szCs w:val="28"/>
          <w:lang w:val="vi-VN"/>
        </w:rPr>
        <w:t xml:space="preserve"> vào quy hoạch tỉnh, kế hoạch phát triển kinh tế </w:t>
      </w:r>
      <w:r w:rsidR="007645EE" w:rsidRPr="00E9776E">
        <w:rPr>
          <w:rFonts w:eastAsia="Times New Roman" w:cs="Times New Roman"/>
          <w:szCs w:val="28"/>
          <w:lang w:val="vi-VN"/>
        </w:rPr>
        <w:t>-</w:t>
      </w:r>
      <w:r w:rsidR="00E412CA" w:rsidRPr="008D2933">
        <w:rPr>
          <w:rFonts w:eastAsia="Times New Roman" w:cs="Times New Roman"/>
          <w:szCs w:val="28"/>
          <w:lang w:val="vi-VN"/>
        </w:rPr>
        <w:t xml:space="preserve"> xã hội trung hạn và hằng năm; ban hành cơ chế hỗ trợ đặc thù về đất đai, hạ tầng, tín dụng và đào tạo nhân lực.</w:t>
      </w:r>
    </w:p>
    <w:p w14:paraId="1A5F45E1" w14:textId="77777777" w:rsidR="00E412CA" w:rsidRPr="008D2933" w:rsidRDefault="00E412CA" w:rsidP="00846299">
      <w:pPr>
        <w:widowControl w:val="0"/>
        <w:tabs>
          <w:tab w:val="left" w:pos="851"/>
        </w:tabs>
        <w:spacing w:before="120" w:after="120" w:line="340" w:lineRule="exact"/>
        <w:ind w:firstLine="567"/>
        <w:jc w:val="both"/>
        <w:rPr>
          <w:rFonts w:eastAsia="Times New Roman" w:cs="Times New Roman"/>
          <w:szCs w:val="28"/>
          <w:lang w:val="vi-VN"/>
        </w:rPr>
      </w:pPr>
      <w:r w:rsidRPr="008D2933">
        <w:rPr>
          <w:rFonts w:eastAsia="Times New Roman" w:cs="Times New Roman"/>
          <w:szCs w:val="28"/>
          <w:lang w:val="vi-VN"/>
        </w:rPr>
        <w:t>Một số địa phương tiêu biểu:</w:t>
      </w:r>
      <w:r w:rsidRPr="00E9776E">
        <w:rPr>
          <w:rFonts w:eastAsia="Times New Roman" w:cs="Times New Roman"/>
          <w:szCs w:val="28"/>
          <w:lang w:val="vi-VN"/>
        </w:rPr>
        <w:t xml:space="preserve"> </w:t>
      </w:r>
      <w:r w:rsidRPr="008D2933">
        <w:rPr>
          <w:rFonts w:eastAsia="Times New Roman" w:cs="Times New Roman"/>
          <w:szCs w:val="28"/>
          <w:lang w:val="vi-VN"/>
        </w:rPr>
        <w:t>Nghệ An ban hành Nghị quyết số 17-NQ/TU về phát triển khoa học, công nghệ và đổi mới sáng tạo</w:t>
      </w:r>
      <w:r w:rsidRPr="00E9776E">
        <w:rPr>
          <w:rFonts w:eastAsia="Times New Roman" w:cs="Times New Roman"/>
          <w:szCs w:val="28"/>
          <w:lang w:val="vi-VN"/>
        </w:rPr>
        <w:t xml:space="preserve">; </w:t>
      </w:r>
      <w:r w:rsidRPr="008D2933">
        <w:rPr>
          <w:rFonts w:eastAsia="Times New Roman" w:cs="Times New Roman"/>
          <w:szCs w:val="28"/>
          <w:lang w:val="vi-VN"/>
        </w:rPr>
        <w:t>Thanh Hóa ban hành Nghị quyết số 20/2021/NQ-HĐND hỗ trợ ứng dụng CNC trong y tế, nông nghiệp và bảo quản sau thu hoạch</w:t>
      </w:r>
      <w:r w:rsidRPr="00E9776E">
        <w:rPr>
          <w:rFonts w:eastAsia="Times New Roman" w:cs="Times New Roman"/>
          <w:szCs w:val="28"/>
          <w:lang w:val="vi-VN"/>
        </w:rPr>
        <w:t xml:space="preserve">; </w:t>
      </w:r>
      <w:r w:rsidRPr="008D2933">
        <w:rPr>
          <w:rFonts w:eastAsia="Times New Roman" w:cs="Times New Roman"/>
          <w:szCs w:val="28"/>
          <w:lang w:val="vi-VN"/>
        </w:rPr>
        <w:t>Hải Phòng xây dựng Kế hoạch thực hiện Chương trình đổi mới công nghệ gắn với phát triển Khu công nghệ cao</w:t>
      </w:r>
      <w:r w:rsidRPr="00E9776E">
        <w:rPr>
          <w:rFonts w:eastAsia="Times New Roman" w:cs="Times New Roman"/>
          <w:szCs w:val="28"/>
          <w:lang w:val="vi-VN"/>
        </w:rPr>
        <w:t xml:space="preserve">; </w:t>
      </w:r>
      <w:r w:rsidRPr="008D2933">
        <w:rPr>
          <w:rFonts w:eastAsia="Times New Roman" w:cs="Times New Roman"/>
          <w:szCs w:val="28"/>
          <w:lang w:val="vi-VN"/>
        </w:rPr>
        <w:t xml:space="preserve">Đồng Tháp triển khai các kế hoạch thực hiện Chương trình quốc gia phát triển </w:t>
      </w:r>
      <w:r w:rsidR="00A91849" w:rsidRPr="00E9776E">
        <w:rPr>
          <w:lang w:val="vi-VN"/>
        </w:rPr>
        <w:t>công nghệ cao</w:t>
      </w:r>
      <w:r w:rsidRPr="008D2933">
        <w:rPr>
          <w:rFonts w:eastAsia="Times New Roman" w:cs="Times New Roman"/>
          <w:szCs w:val="28"/>
          <w:lang w:val="vi-VN"/>
        </w:rPr>
        <w:t xml:space="preserve"> gắn với </w:t>
      </w:r>
      <w:r w:rsidRPr="008D2933">
        <w:rPr>
          <w:rFonts w:eastAsia="Times New Roman" w:cs="Times New Roman"/>
          <w:szCs w:val="28"/>
          <w:lang w:val="vi-VN"/>
        </w:rPr>
        <w:lastRenderedPageBreak/>
        <w:t>tái cơ cấu nông nghiệp.</w:t>
      </w:r>
    </w:p>
    <w:p w14:paraId="54089936" w14:textId="77777777" w:rsidR="00E412CA" w:rsidRPr="008D2933" w:rsidRDefault="00E412CA" w:rsidP="00846299">
      <w:pPr>
        <w:widowControl w:val="0"/>
        <w:tabs>
          <w:tab w:val="left" w:pos="851"/>
        </w:tabs>
        <w:spacing w:before="120" w:after="120" w:line="340" w:lineRule="exact"/>
        <w:ind w:firstLine="567"/>
        <w:jc w:val="both"/>
        <w:rPr>
          <w:rFonts w:eastAsia="Times New Roman" w:cs="Times New Roman"/>
          <w:szCs w:val="28"/>
          <w:lang w:val="vi-VN"/>
        </w:rPr>
      </w:pPr>
      <w:r w:rsidRPr="008D2933">
        <w:rPr>
          <w:rFonts w:eastAsia="Times New Roman" w:cs="Times New Roman"/>
          <w:szCs w:val="28"/>
          <w:lang w:val="vi-VN"/>
        </w:rPr>
        <w:t xml:space="preserve">Việc chủ động thể chế hóa ở cấp địa phương đã góp phần đưa Danh mục </w:t>
      </w:r>
      <w:r w:rsidR="00A91849" w:rsidRPr="00E9776E">
        <w:rPr>
          <w:lang w:val="vi-VN"/>
        </w:rPr>
        <w:t>công nghệ cao</w:t>
      </w:r>
      <w:r w:rsidRPr="008D2933">
        <w:rPr>
          <w:rFonts w:eastAsia="Times New Roman" w:cs="Times New Roman"/>
          <w:szCs w:val="28"/>
          <w:lang w:val="vi-VN"/>
        </w:rPr>
        <w:t xml:space="preserve"> từ công cụ định hướng ở cấp trung ương trở thành công cụ điều hành thực tiễn, tạo sự lan tỏa chính sách xuống cơ sở.</w:t>
      </w:r>
    </w:p>
    <w:p w14:paraId="68EA951A" w14:textId="77777777" w:rsidR="00C0733E" w:rsidRPr="00E9776E" w:rsidRDefault="00C0733E" w:rsidP="00871CC0">
      <w:pPr>
        <w:widowControl w:val="0"/>
        <w:tabs>
          <w:tab w:val="num" w:pos="426"/>
          <w:tab w:val="left" w:pos="851"/>
        </w:tabs>
        <w:spacing w:before="120" w:after="120" w:line="240" w:lineRule="auto"/>
        <w:ind w:firstLine="567"/>
        <w:jc w:val="both"/>
        <w:rPr>
          <w:rFonts w:eastAsia="Times New Roman" w:cs="Times New Roman"/>
          <w:b/>
          <w:spacing w:val="4"/>
          <w:szCs w:val="28"/>
          <w:lang w:val="vi-VN"/>
        </w:rPr>
      </w:pPr>
      <w:r w:rsidRPr="00A91849">
        <w:rPr>
          <w:rFonts w:eastAsia="Times New Roman" w:cs="Times New Roman"/>
          <w:b/>
          <w:spacing w:val="4"/>
          <w:szCs w:val="28"/>
          <w:lang w:val="vi-VN"/>
        </w:rPr>
        <w:t xml:space="preserve">2. Tình hình phát triển </w:t>
      </w:r>
      <w:r w:rsidR="00A91849" w:rsidRPr="00E9776E">
        <w:rPr>
          <w:b/>
          <w:spacing w:val="4"/>
          <w:lang w:val="vi-VN"/>
        </w:rPr>
        <w:t>công nghệ cao</w:t>
      </w:r>
      <w:r w:rsidRPr="00A91849">
        <w:rPr>
          <w:rFonts w:eastAsia="Times New Roman" w:cs="Times New Roman"/>
          <w:b/>
          <w:spacing w:val="4"/>
          <w:szCs w:val="28"/>
          <w:lang w:val="vi-VN"/>
        </w:rPr>
        <w:t xml:space="preserve"> và phát triển sản phẩm </w:t>
      </w:r>
      <w:r w:rsidR="00A91849" w:rsidRPr="00E9776E">
        <w:rPr>
          <w:b/>
          <w:spacing w:val="4"/>
          <w:lang w:val="vi-VN"/>
        </w:rPr>
        <w:t>công nghệ cao</w:t>
      </w:r>
    </w:p>
    <w:p w14:paraId="0A66FEEF" w14:textId="77777777" w:rsidR="00B47BB7" w:rsidRPr="00E9776E" w:rsidRDefault="00691E53" w:rsidP="00871CC0">
      <w:pPr>
        <w:widowControl w:val="0"/>
        <w:spacing w:before="120" w:after="120" w:line="240" w:lineRule="auto"/>
        <w:ind w:firstLine="567"/>
        <w:jc w:val="both"/>
        <w:rPr>
          <w:lang w:val="vi-VN"/>
        </w:rPr>
      </w:pPr>
      <w:r w:rsidRPr="00E9776E">
        <w:rPr>
          <w:lang w:val="vi-VN"/>
        </w:rPr>
        <w:t xml:space="preserve">Qua tổng kết thi hành Luật </w:t>
      </w:r>
      <w:r w:rsidR="00A91849" w:rsidRPr="00E9776E">
        <w:rPr>
          <w:lang w:val="vi-VN"/>
        </w:rPr>
        <w:t>công nghệ cao</w:t>
      </w:r>
      <w:r w:rsidRPr="00E9776E">
        <w:rPr>
          <w:lang w:val="vi-VN"/>
        </w:rPr>
        <w:t xml:space="preserve"> năm 2008 cho thấy việc triển khai các danh mục công nghệ cao và sản phẩm công nghệ cao đã góp phần định hướng hoạt động nghiên cứu, phát triển và ứng dụng công nghệ trong nhiều lĩnh vực của nền kinh tế. Thông qua Chương trình quốc gia phát triển công nghệ cao, đã triển khai 49 nhiệm vụ nghiên cứu và phát triển trong lĩnh vực dân sự với tổng kinh phí khoảng 2.000 tỷ đồng, trong đó ngân sách nhà nước hỗ trợ khoảng 450 tỷ đồng (chiếm khoảng 22%), phần còn lại là vốn đối ứng của doanh nghiệp và tổ chức </w:t>
      </w:r>
      <w:r w:rsidR="00846299">
        <w:rPr>
          <w:szCs w:val="28"/>
          <w:lang w:val="es-ES"/>
        </w:rPr>
        <w:t>KH&amp;CN</w:t>
      </w:r>
      <w:r w:rsidRPr="00E9776E">
        <w:rPr>
          <w:lang w:val="vi-VN"/>
        </w:rPr>
        <w:t xml:space="preserve">. Các nhiệm vụ đã góp phần làm chủ và phát triển một số công nghệ cao thuộc danh mục ưu tiên, đồng thời tạo ra nhiều sản phẩm có giá trị ứng dụng thực tiễn trong các lĩnh vực như y sinh học, vật liệu, tự động hóa, nông nghiệp công nghệ cao và hạ tầng số. </w:t>
      </w:r>
    </w:p>
    <w:p w14:paraId="2C4ECD4C" w14:textId="77777777" w:rsidR="00371AF5" w:rsidRPr="00E9776E" w:rsidRDefault="00371AF5" w:rsidP="004F58D1">
      <w:pPr>
        <w:spacing w:before="120" w:after="120" w:line="240" w:lineRule="auto"/>
        <w:ind w:firstLine="567"/>
        <w:jc w:val="both"/>
        <w:rPr>
          <w:lang w:val="vi-VN"/>
        </w:rPr>
      </w:pPr>
      <w:r w:rsidRPr="00E9776E">
        <w:rPr>
          <w:lang w:val="vi-VN"/>
        </w:rPr>
        <w:t>Việc triển khai Danh mục công nghệ cao theo Quyết định số 38/2020/QĐ-TTg trong giai đoạn vừa qua đã đóng vai trò quan trọng, tạo hành lang pháp lý và định hướng then chốt cho hoạt động nghiên cứu, phát triển (R&amp;D) và sản xuất sản phẩm công nghệ cao tại Việt Nam. Qua quá trình rà soát thực tiễn thi hành phục vụ việc xây dựng Danh mục mới, kết quả đạt được như sau:</w:t>
      </w:r>
    </w:p>
    <w:p w14:paraId="6626B878" w14:textId="77777777" w:rsidR="00371AF5" w:rsidRPr="00E9776E" w:rsidRDefault="004F58D1" w:rsidP="004F58D1">
      <w:pPr>
        <w:spacing w:before="120" w:after="120" w:line="240" w:lineRule="auto"/>
        <w:ind w:firstLine="567"/>
        <w:jc w:val="both"/>
        <w:rPr>
          <w:lang w:val="vi-VN"/>
        </w:rPr>
      </w:pPr>
      <w:r w:rsidRPr="00E9776E">
        <w:rPr>
          <w:lang w:val="vi-VN"/>
        </w:rPr>
        <w:t>i)</w:t>
      </w:r>
      <w:r w:rsidR="00371AF5" w:rsidRPr="00E9776E">
        <w:rPr>
          <w:lang w:val="vi-VN"/>
        </w:rPr>
        <w:t xml:space="preserve"> Về tính kế thừa và định hướng công nghệ: Trong tổng số 99 công nghệ cao được quy định tại Quyết định số 38/2020/QĐ-TTg, qua đánh giá mức độ phù hợp với xu thế thế giới và yêu cầu phát triển thực tế của quốc gia, Vụ Công nghệ đã đề xuất kế thừa và giữ lại 67 công nghệ (tỷ lệ 67,6%) để tiếp tục đưa vào Danh mục ưu tiên đầu tư phát triển trong giai đoạn tới. Việc sàng lọc này đảm bảo tính tập trung, tập trung nguồn lực vào các công nghệ có khả năng tạo đột phá và giá trị gia tăng cao.</w:t>
      </w:r>
    </w:p>
    <w:p w14:paraId="767FC7F4" w14:textId="77777777" w:rsidR="00371AF5" w:rsidRPr="00E9776E" w:rsidRDefault="004F58D1" w:rsidP="004F58D1">
      <w:pPr>
        <w:spacing w:before="120" w:after="120" w:line="240" w:lineRule="auto"/>
        <w:ind w:firstLine="567"/>
        <w:jc w:val="both"/>
        <w:rPr>
          <w:lang w:val="vi-VN"/>
        </w:rPr>
      </w:pPr>
      <w:r w:rsidRPr="00E9776E">
        <w:rPr>
          <w:lang w:val="vi-VN"/>
        </w:rPr>
        <w:t>ii)</w:t>
      </w:r>
      <w:r w:rsidR="00371AF5" w:rsidRPr="00E9776E">
        <w:rPr>
          <w:lang w:val="vi-VN"/>
        </w:rPr>
        <w:t xml:space="preserve"> Về kết quả triển khai thực tế tại doanh nghiệp: Dựa trên số liệu tổng hợp từ các Doanh nghiệp công nghệ cao (DNCNC) tiêu biểu và các đơn vị nghiên cứu, hiện có 32 loại công nghệ thuộc danh mục (chiếm tỷ lệ 47,7% trên tổng số 67 công nghệ đề xuất giữ lại) đã được các doanh nghiệp đưa vào triển khai sản xuất và thương mại hóa thành công. Một số nhóm công nghệ đã khẳng định được năng lực làm chủ của Việt Nam và có sự tham gia mạnh mẽ của cả khối FDI lẫn doanh nghiệp nội địa, điển hình như:</w:t>
      </w:r>
    </w:p>
    <w:p w14:paraId="1F26DF38" w14:textId="77777777" w:rsidR="00371AF5" w:rsidRPr="00E9776E" w:rsidRDefault="00371AF5" w:rsidP="004F58D1">
      <w:pPr>
        <w:numPr>
          <w:ilvl w:val="0"/>
          <w:numId w:val="21"/>
        </w:numPr>
        <w:spacing w:before="120" w:after="120" w:line="240" w:lineRule="auto"/>
        <w:ind w:left="0" w:firstLine="567"/>
        <w:jc w:val="both"/>
        <w:rPr>
          <w:lang w:val="vi-VN"/>
        </w:rPr>
      </w:pPr>
      <w:r w:rsidRPr="00E9776E">
        <w:rPr>
          <w:lang w:val="vi-VN"/>
        </w:rPr>
        <w:t>Lĩnh vực CNTT và Viễn thông: Các công nghệ Trí tuệ nhân tạo (AI), IoT, Dữ liệu lớn và Công nghệ mạng thế hệ sau đang được các đơn vị như VNPT Technology, Samsung, và G-Innovations thực hiện hiệu quả.</w:t>
      </w:r>
    </w:p>
    <w:p w14:paraId="314E1952" w14:textId="77777777" w:rsidR="00371AF5" w:rsidRPr="00E9776E" w:rsidRDefault="00371AF5" w:rsidP="004F58D1">
      <w:pPr>
        <w:numPr>
          <w:ilvl w:val="0"/>
          <w:numId w:val="21"/>
        </w:numPr>
        <w:spacing w:before="120" w:after="120" w:line="240" w:lineRule="auto"/>
        <w:ind w:left="0" w:firstLine="567"/>
        <w:jc w:val="both"/>
        <w:rPr>
          <w:lang w:val="vi-VN"/>
        </w:rPr>
      </w:pPr>
      <w:r w:rsidRPr="00E9776E">
        <w:rPr>
          <w:lang w:val="vi-VN"/>
        </w:rPr>
        <w:t>Lĩnh vực Công nghiệp chế tạo: Công nghệ thiết kế, chế tạo vi mạch tích hợp (IC), linh kiện bán dẫn, và các hệ thống sản xuất thông minh (IMS) đang là thế mạnh của các tập đoàn như Samsung, Amkor và Nidec Tosok.</w:t>
      </w:r>
    </w:p>
    <w:p w14:paraId="1C2E3E8D" w14:textId="77777777" w:rsidR="00371AF5" w:rsidRPr="00E9776E" w:rsidRDefault="00371AF5" w:rsidP="004F58D1">
      <w:pPr>
        <w:numPr>
          <w:ilvl w:val="0"/>
          <w:numId w:val="21"/>
        </w:numPr>
        <w:spacing w:before="120" w:after="120" w:line="240" w:lineRule="auto"/>
        <w:ind w:left="0" w:firstLine="567"/>
        <w:jc w:val="both"/>
        <w:rPr>
          <w:lang w:val="vi-VN"/>
        </w:rPr>
      </w:pPr>
      <w:r w:rsidRPr="00E9776E">
        <w:rPr>
          <w:lang w:val="vi-VN"/>
        </w:rPr>
        <w:lastRenderedPageBreak/>
        <w:t>Lĩnh vực Vật liệu: Công nghệ lắng đọng pha hơi (PVD, CVD) và chế tạo Pin Lithium hiệu năng cao đã được First Solar và Samsung SDI triển khai với quy mô vốn đầu tư hàng tỷ USD</w:t>
      </w:r>
      <w:r w:rsidR="004F58D1" w:rsidRPr="00E9776E">
        <w:rPr>
          <w:lang w:val="vi-VN"/>
        </w:rPr>
        <w:t>.</w:t>
      </w:r>
    </w:p>
    <w:p w14:paraId="3C91DEC4" w14:textId="77777777" w:rsidR="003B4C01" w:rsidRPr="00E9776E" w:rsidRDefault="003B4C01" w:rsidP="004F58D1">
      <w:pPr>
        <w:widowControl w:val="0"/>
        <w:spacing w:before="120" w:after="120" w:line="240" w:lineRule="auto"/>
        <w:ind w:firstLine="567"/>
        <w:jc w:val="both"/>
        <w:rPr>
          <w:lang w:val="vi-VN"/>
        </w:rPr>
      </w:pPr>
      <w:r w:rsidRPr="00E9776E">
        <w:rPr>
          <w:lang w:val="vi-VN"/>
        </w:rPr>
        <w:t>Các thông tin, số liệu sử dụng trong báo cáo chủ yếu được tổng hợp từ báo cáo của một số Bộ, ngành quản lý lĩnh vực chuyên sâu và Ủy ban nhân dân các tỉnh, thành phố trực thuộc Trung ương. Nhiều cơ quan (như Bộ Xây dựng, Bộ Nội vụ, Cục Sở hữu trí tuệ, tỉnh Tuyên Quang…)</w:t>
      </w:r>
      <w:r w:rsidR="001363D4" w:rsidRPr="00E9776E">
        <w:rPr>
          <w:lang w:val="vi-VN"/>
        </w:rPr>
        <w:t>. Tuy nhiên, hiện nay</w:t>
      </w:r>
      <w:r w:rsidRPr="00E9776E">
        <w:rPr>
          <w:lang w:val="vi-VN"/>
        </w:rPr>
        <w:t xml:space="preserve"> </w:t>
      </w:r>
      <w:r w:rsidR="001363D4" w:rsidRPr="00E9776E">
        <w:rPr>
          <w:lang w:val="vi-VN"/>
        </w:rPr>
        <w:t xml:space="preserve">chưa có thệ thống hoặc </w:t>
      </w:r>
      <w:r w:rsidRPr="00E9776E">
        <w:rPr>
          <w:lang w:val="vi-VN"/>
        </w:rPr>
        <w:t xml:space="preserve">chỉ tiêu thống kê riêng để tổng hợp số liệu vĩ mô cấp quốc gia về giá trị sản xuất, xuất khẩu hay tỷ trọng đóng góp của sản phẩm công nghệ cao trong toàn bộ nền kinh tế. </w:t>
      </w:r>
      <w:r w:rsidR="004F58D1" w:rsidRPr="00E9776E">
        <w:rPr>
          <w:lang w:val="vi-VN"/>
        </w:rPr>
        <w:t>Đ</w:t>
      </w:r>
      <w:r w:rsidRPr="00E9776E">
        <w:rPr>
          <w:lang w:val="vi-VN"/>
        </w:rPr>
        <w:t>ồng thời, việc phân loại doanh nghiệp, sản phẩm theo tiêu chí của Luật Công nghệ cao số 133/2025/QH15 mới bắt đầu được triển khai từ năm 2025–2026. Do đó, chưa có cơ sở dữ liệu tập trung, thống nhất để phản ánh đầy đủ tỷ trọng, quy mô và mức độ lan tỏa của khu vực công nghệ cao trong phạm vi toàn quốc.</w:t>
      </w:r>
    </w:p>
    <w:p w14:paraId="431BC74B" w14:textId="77777777" w:rsidR="003B4C01" w:rsidRPr="00E9776E" w:rsidRDefault="003B4C01" w:rsidP="004F58D1">
      <w:pPr>
        <w:widowControl w:val="0"/>
        <w:spacing w:before="120" w:after="120" w:line="240" w:lineRule="auto"/>
        <w:ind w:firstLine="567"/>
        <w:jc w:val="both"/>
        <w:rPr>
          <w:rFonts w:eastAsia="Times New Roman" w:cs="Times New Roman"/>
          <w:szCs w:val="28"/>
          <w:lang w:val="vi-VN"/>
        </w:rPr>
      </w:pPr>
      <w:r w:rsidRPr="00E9776E">
        <w:rPr>
          <w:lang w:val="vi-VN"/>
        </w:rPr>
        <w:t>Vì vậy, các số liệu nêu trong báo cáo mang tính đại diện, được trích dẫn từ một số địa phương, Khu công nghệ cao (KCNC) và lĩnh vực tiêu biểu, qua đó</w:t>
      </w:r>
      <w:r w:rsidRPr="00E9776E">
        <w:rPr>
          <w:rFonts w:eastAsia="Times New Roman" w:cs="Times New Roman"/>
          <w:szCs w:val="28"/>
          <w:lang w:val="vi-VN"/>
        </w:rPr>
        <w:t xml:space="preserve"> phản ánh xu hướng phát triển chung của công nghệ cao và sản phẩm công nghệ cao trong giai đoạn 2020 đến nay. Các số liệu này không thay thế cho thống kê chính thức ở cấp độ toàn nền kinh tế, nhưng có giá trị tham khảo trong việc đánh giá mức độ triển khai Danh mục và hiệu quả bước đầu của chính sách ưu tiên phát triển công nghệ cao.</w:t>
      </w:r>
    </w:p>
    <w:p w14:paraId="1BB95AAB" w14:textId="77777777" w:rsidR="003B4C01" w:rsidRPr="00E9776E" w:rsidRDefault="003B4C01" w:rsidP="004F58D1">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Trên cơ sở đó, báo cáo tập trung đánh giá theo các nhóm chỉ tiêu sau:</w:t>
      </w:r>
    </w:p>
    <w:p w14:paraId="30D82478" w14:textId="77777777" w:rsidR="003B4C01" w:rsidRPr="00E9776E" w:rsidRDefault="003B4C01" w:rsidP="004F58D1">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(1) Tỷ trọng giá trị sản phẩm công nghệ cao và sản phẩm ứng dụng công nghệ cao trong tổng giá trị sản xuất công nghiệp;</w:t>
      </w:r>
    </w:p>
    <w:p w14:paraId="6EFBDAF8" w14:textId="77777777" w:rsidR="003B4C01" w:rsidRPr="00E9776E" w:rsidRDefault="003B4C01" w:rsidP="004F58D1">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(2) </w:t>
      </w:r>
      <w:r w:rsidR="004E2F20" w:rsidRPr="00E9776E">
        <w:rPr>
          <w:rFonts w:eastAsia="Times New Roman" w:cs="Times New Roman"/>
          <w:szCs w:val="28"/>
          <w:lang w:val="vi-VN"/>
        </w:rPr>
        <w:t>Kết quả triển khai Danh mục công nghệ cao được ưu tiên đầu tư phát triển và sản phẩm công nghệ cao được khuyến khích phát triển (từ năm 2020 đến nay)</w:t>
      </w:r>
      <w:r w:rsidRPr="00E9776E">
        <w:rPr>
          <w:rFonts w:eastAsia="Times New Roman" w:cs="Times New Roman"/>
          <w:szCs w:val="28"/>
          <w:lang w:val="vi-VN"/>
        </w:rPr>
        <w:t>;</w:t>
      </w:r>
    </w:p>
    <w:p w14:paraId="4F0C51F5" w14:textId="77777777" w:rsidR="00C0733E" w:rsidRPr="008D2933" w:rsidRDefault="00C0733E" w:rsidP="004F58D1">
      <w:pPr>
        <w:widowControl w:val="0"/>
        <w:tabs>
          <w:tab w:val="num" w:pos="426"/>
          <w:tab w:val="left" w:pos="851"/>
        </w:tabs>
        <w:spacing w:before="120" w:after="120" w:line="240" w:lineRule="auto"/>
        <w:ind w:firstLine="567"/>
        <w:jc w:val="both"/>
        <w:rPr>
          <w:rFonts w:eastAsia="Times New Roman" w:cs="Times New Roman"/>
          <w:b/>
          <w:szCs w:val="28"/>
          <w:lang w:val="vi-VN"/>
        </w:rPr>
      </w:pPr>
      <w:r w:rsidRPr="008D2933">
        <w:rPr>
          <w:rFonts w:eastAsia="Times New Roman" w:cs="Times New Roman"/>
          <w:b/>
          <w:szCs w:val="28"/>
          <w:lang w:val="vi-VN"/>
        </w:rPr>
        <w:t>2.1. Tỷ trọng giá trị sản phẩm công nghệ cao và sản phẩm ứng dụng công nghệ cao trong tổng giá trị sản xuất công nghiệp của Việt Nam giai đoạn 2020 đến nay</w:t>
      </w:r>
    </w:p>
    <w:p w14:paraId="26B0F334" w14:textId="77777777" w:rsidR="00812C2D" w:rsidRPr="008D2933" w:rsidRDefault="00812C2D" w:rsidP="004F58D1">
      <w:pPr>
        <w:widowControl w:val="0"/>
        <w:tabs>
          <w:tab w:val="num" w:pos="426"/>
          <w:tab w:val="left" w:pos="851"/>
        </w:tabs>
        <w:spacing w:before="120" w:after="120" w:line="240" w:lineRule="auto"/>
        <w:jc w:val="both"/>
        <w:rPr>
          <w:rFonts w:eastAsia="Times New Roman" w:cs="Times New Roman"/>
          <w:b/>
          <w:szCs w:val="28"/>
          <w:lang w:val="vi-VN"/>
        </w:rPr>
      </w:pPr>
      <w:r w:rsidRPr="008D2933">
        <w:rPr>
          <w:rFonts w:eastAsia="Times New Roman" w:cs="Times New Roman"/>
          <w:b/>
          <w:szCs w:val="28"/>
          <w:lang w:val="vi-VN"/>
        </w:rPr>
        <w:tab/>
        <w:t>2.1.</w:t>
      </w:r>
      <w:r w:rsidRPr="00E9776E">
        <w:rPr>
          <w:rFonts w:eastAsia="Times New Roman" w:cs="Times New Roman"/>
          <w:b/>
          <w:szCs w:val="28"/>
          <w:lang w:val="vi-VN"/>
        </w:rPr>
        <w:t>1</w:t>
      </w:r>
      <w:r w:rsidRPr="008D2933">
        <w:rPr>
          <w:rFonts w:eastAsia="Times New Roman" w:cs="Times New Roman"/>
          <w:b/>
          <w:szCs w:val="28"/>
          <w:lang w:val="vi-VN"/>
        </w:rPr>
        <w:t>. Giá trị sản phẩm công nghệ cao và ứng dụng công nghệ cao trong từng năm từ 2020 đến nay</w:t>
      </w:r>
    </w:p>
    <w:p w14:paraId="6D6EEB81" w14:textId="77777777" w:rsidR="00F63DC5" w:rsidRPr="00E9776E" w:rsidRDefault="00F63DC5" w:rsidP="004F58D1">
      <w:pPr>
        <w:widowControl w:val="0"/>
        <w:tabs>
          <w:tab w:val="left" w:pos="567"/>
          <w:tab w:val="num" w:pos="1440"/>
        </w:tabs>
        <w:spacing w:before="120" w:after="120" w:line="240" w:lineRule="auto"/>
        <w:jc w:val="both"/>
        <w:rPr>
          <w:lang w:val="vi-VN"/>
        </w:rPr>
      </w:pPr>
      <w:r w:rsidRPr="00E9776E">
        <w:rPr>
          <w:lang w:val="vi-VN"/>
        </w:rPr>
        <w:tab/>
        <w:t>Qua tổng hợp báo cáo của các bộ, ngành và địa phương cho thấy: Phần lớn số liệu do các địa phương tổng hợp trên cơ sở báo cáo doanh nghiệp hoặc số liệu của khu công nghệ cao. Do vậy, số liệu dưới đây mang tính đại diện từ các địa phương có báo cáo cụ thể.</w:t>
      </w:r>
    </w:p>
    <w:p w14:paraId="534D96FE" w14:textId="77777777" w:rsidR="00F63DC5" w:rsidRPr="008D2933" w:rsidRDefault="00C96E81" w:rsidP="00F63DC5">
      <w:pPr>
        <w:tabs>
          <w:tab w:val="left" w:pos="851"/>
          <w:tab w:val="num" w:pos="1440"/>
        </w:tabs>
        <w:spacing w:before="120" w:after="120" w:line="240" w:lineRule="auto"/>
        <w:jc w:val="both"/>
        <w:rPr>
          <w:rFonts w:eastAsia="Times New Roman" w:cs="Times New Roman"/>
          <w:b/>
          <w:szCs w:val="28"/>
          <w:lang w:val="vi-VN"/>
        </w:rPr>
      </w:pPr>
      <w:r w:rsidRPr="00E9776E">
        <w:rPr>
          <w:b/>
          <w:lang w:val="vi-VN"/>
        </w:rPr>
        <w:tab/>
      </w:r>
      <w:r w:rsidR="00F63DC5" w:rsidRPr="00E9776E">
        <w:rPr>
          <w:b/>
          <w:lang w:val="vi-VN"/>
        </w:rPr>
        <w:t>Bảng</w:t>
      </w:r>
      <w:r w:rsidRPr="00E9776E">
        <w:rPr>
          <w:b/>
          <w:lang w:val="vi-VN"/>
        </w:rPr>
        <w:t xml:space="preserve"> 1</w:t>
      </w:r>
      <w:r w:rsidR="00F63DC5" w:rsidRPr="00E9776E">
        <w:rPr>
          <w:b/>
          <w:lang w:val="vi-VN"/>
        </w:rPr>
        <w:t xml:space="preserve">: Tổng hợp </w:t>
      </w:r>
      <w:r w:rsidR="004E2F20" w:rsidRPr="00E9776E">
        <w:rPr>
          <w:rFonts w:eastAsia="Times New Roman" w:cs="Times New Roman"/>
          <w:b/>
          <w:szCs w:val="28"/>
          <w:lang w:val="vi-VN"/>
        </w:rPr>
        <w:t>g</w:t>
      </w:r>
      <w:r w:rsidR="004E2F20" w:rsidRPr="008D2933">
        <w:rPr>
          <w:rFonts w:eastAsia="Times New Roman" w:cs="Times New Roman"/>
          <w:b/>
          <w:szCs w:val="28"/>
          <w:lang w:val="vi-VN"/>
        </w:rPr>
        <w:t xml:space="preserve">iá trị sản phẩm công nghệ cao và ứng dụng công nghệ cao </w:t>
      </w:r>
      <w:r w:rsidR="004E2F20" w:rsidRPr="00E9776E">
        <w:rPr>
          <w:rFonts w:eastAsia="Times New Roman" w:cs="Times New Roman"/>
          <w:b/>
          <w:szCs w:val="28"/>
          <w:lang w:val="vi-VN"/>
        </w:rPr>
        <w:t xml:space="preserve">của một số địa phương </w:t>
      </w:r>
      <w:r w:rsidR="004E2F20" w:rsidRPr="008D2933">
        <w:rPr>
          <w:rFonts w:eastAsia="Times New Roman" w:cs="Times New Roman"/>
          <w:b/>
          <w:szCs w:val="28"/>
          <w:lang w:val="vi-VN"/>
        </w:rPr>
        <w:t>trong từng năm từ 2020 đến nay</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8"/>
        <w:gridCol w:w="2421"/>
        <w:gridCol w:w="1276"/>
        <w:gridCol w:w="1417"/>
        <w:gridCol w:w="1418"/>
        <w:gridCol w:w="1843"/>
      </w:tblGrid>
      <w:tr w:rsidR="008D2933" w:rsidRPr="008D2933" w14:paraId="22B3EA2B" w14:textId="77777777" w:rsidTr="00061A61">
        <w:trPr>
          <w:tblCellSpacing w:w="15" w:type="dxa"/>
        </w:trPr>
        <w:tc>
          <w:tcPr>
            <w:tcW w:w="0" w:type="auto"/>
            <w:vAlign w:val="center"/>
            <w:hideMark/>
          </w:tcPr>
          <w:p w14:paraId="62A67419" w14:textId="77777777" w:rsidR="00812C2D" w:rsidRPr="008D2933" w:rsidRDefault="00812C2D" w:rsidP="00871CC0">
            <w:pPr>
              <w:spacing w:after="0" w:line="240" w:lineRule="auto"/>
              <w:jc w:val="center"/>
              <w:rPr>
                <w:rFonts w:eastAsia="Times New Roman" w:cs="Times New Roman"/>
                <w:b/>
                <w:bCs/>
                <w:sz w:val="24"/>
                <w:szCs w:val="24"/>
              </w:rPr>
            </w:pPr>
            <w:r w:rsidRPr="008D2933">
              <w:rPr>
                <w:rFonts w:eastAsia="Times New Roman" w:cs="Times New Roman"/>
                <w:b/>
                <w:bCs/>
                <w:sz w:val="24"/>
                <w:szCs w:val="24"/>
              </w:rPr>
              <w:t>Địa phương</w:t>
            </w:r>
          </w:p>
        </w:tc>
        <w:tc>
          <w:tcPr>
            <w:tcW w:w="2391" w:type="dxa"/>
            <w:vAlign w:val="center"/>
            <w:hideMark/>
          </w:tcPr>
          <w:p w14:paraId="26C0DD84" w14:textId="77777777" w:rsidR="00812C2D" w:rsidRPr="008D2933" w:rsidRDefault="00812C2D" w:rsidP="00812C2D">
            <w:pPr>
              <w:spacing w:after="0" w:line="240" w:lineRule="auto"/>
              <w:rPr>
                <w:rFonts w:eastAsia="Times New Roman" w:cs="Times New Roman"/>
                <w:b/>
                <w:bCs/>
                <w:sz w:val="24"/>
                <w:szCs w:val="24"/>
              </w:rPr>
            </w:pPr>
            <w:r w:rsidRPr="008D2933">
              <w:rPr>
                <w:rFonts w:eastAsia="Times New Roman" w:cs="Times New Roman"/>
                <w:b/>
                <w:bCs/>
                <w:sz w:val="24"/>
                <w:szCs w:val="24"/>
              </w:rPr>
              <w:t>Giá trị sản phẩm CNC theo năm</w:t>
            </w:r>
          </w:p>
        </w:tc>
        <w:tc>
          <w:tcPr>
            <w:tcW w:w="1246" w:type="dxa"/>
            <w:vAlign w:val="center"/>
            <w:hideMark/>
          </w:tcPr>
          <w:p w14:paraId="4FFEE326" w14:textId="77777777" w:rsidR="00812C2D" w:rsidRPr="008D2933" w:rsidRDefault="00812C2D" w:rsidP="00871CC0">
            <w:pPr>
              <w:spacing w:after="0" w:line="240" w:lineRule="auto"/>
              <w:jc w:val="center"/>
              <w:rPr>
                <w:rFonts w:eastAsia="Times New Roman" w:cs="Times New Roman"/>
                <w:b/>
                <w:bCs/>
                <w:sz w:val="24"/>
                <w:szCs w:val="24"/>
              </w:rPr>
            </w:pPr>
            <w:r w:rsidRPr="008D2933">
              <w:rPr>
                <w:rFonts w:eastAsia="Times New Roman" w:cs="Times New Roman"/>
                <w:b/>
                <w:bCs/>
                <w:sz w:val="24"/>
                <w:szCs w:val="24"/>
              </w:rPr>
              <w:t>Tỷ trọng trong SXCN</w:t>
            </w:r>
          </w:p>
        </w:tc>
        <w:tc>
          <w:tcPr>
            <w:tcW w:w="1387" w:type="dxa"/>
            <w:vAlign w:val="center"/>
            <w:hideMark/>
          </w:tcPr>
          <w:p w14:paraId="005D0C9D" w14:textId="77777777" w:rsidR="00812C2D" w:rsidRPr="008D2933" w:rsidRDefault="00812C2D" w:rsidP="00871CC0">
            <w:pPr>
              <w:spacing w:after="0" w:line="240" w:lineRule="auto"/>
              <w:jc w:val="center"/>
              <w:rPr>
                <w:rFonts w:eastAsia="Times New Roman" w:cs="Times New Roman"/>
                <w:b/>
                <w:bCs/>
                <w:sz w:val="24"/>
                <w:szCs w:val="24"/>
              </w:rPr>
            </w:pPr>
            <w:r w:rsidRPr="008D2933">
              <w:rPr>
                <w:rFonts w:eastAsia="Times New Roman" w:cs="Times New Roman"/>
                <w:b/>
                <w:bCs/>
                <w:sz w:val="24"/>
                <w:szCs w:val="24"/>
              </w:rPr>
              <w:t>Xuất khẩu CNC / Tổng xuất khẩu</w:t>
            </w:r>
          </w:p>
        </w:tc>
        <w:tc>
          <w:tcPr>
            <w:tcW w:w="1388" w:type="dxa"/>
            <w:vAlign w:val="center"/>
            <w:hideMark/>
          </w:tcPr>
          <w:p w14:paraId="0CB9946B" w14:textId="77777777" w:rsidR="00812C2D" w:rsidRPr="008D2933" w:rsidRDefault="00812C2D" w:rsidP="00871CC0">
            <w:pPr>
              <w:spacing w:after="0" w:line="240" w:lineRule="auto"/>
              <w:jc w:val="center"/>
              <w:rPr>
                <w:rFonts w:eastAsia="Times New Roman" w:cs="Times New Roman"/>
                <w:b/>
                <w:bCs/>
                <w:sz w:val="24"/>
                <w:szCs w:val="24"/>
              </w:rPr>
            </w:pPr>
            <w:r w:rsidRPr="008D2933">
              <w:rPr>
                <w:rFonts w:eastAsia="Times New Roman" w:cs="Times New Roman"/>
                <w:b/>
                <w:bCs/>
                <w:sz w:val="24"/>
                <w:szCs w:val="24"/>
              </w:rPr>
              <w:t>Doanh nghiệp được chứng nhận</w:t>
            </w:r>
          </w:p>
        </w:tc>
        <w:tc>
          <w:tcPr>
            <w:tcW w:w="1798" w:type="dxa"/>
            <w:vAlign w:val="center"/>
            <w:hideMark/>
          </w:tcPr>
          <w:p w14:paraId="467F74E2" w14:textId="77777777" w:rsidR="00812C2D" w:rsidRPr="008D2933" w:rsidRDefault="00812C2D" w:rsidP="00871CC0">
            <w:pPr>
              <w:spacing w:after="0" w:line="240" w:lineRule="auto"/>
              <w:jc w:val="center"/>
              <w:rPr>
                <w:rFonts w:eastAsia="Times New Roman" w:cs="Times New Roman"/>
                <w:b/>
                <w:bCs/>
                <w:sz w:val="24"/>
                <w:szCs w:val="24"/>
              </w:rPr>
            </w:pPr>
            <w:r w:rsidRPr="008D2933">
              <w:rPr>
                <w:rFonts w:eastAsia="Times New Roman" w:cs="Times New Roman"/>
                <w:b/>
                <w:bCs/>
                <w:sz w:val="24"/>
                <w:szCs w:val="24"/>
              </w:rPr>
              <w:t>Đặc điểm nổi bật</w:t>
            </w:r>
          </w:p>
        </w:tc>
      </w:tr>
      <w:tr w:rsidR="008D2933" w:rsidRPr="008D2933" w14:paraId="47C16203" w14:textId="77777777" w:rsidTr="00061A61">
        <w:trPr>
          <w:tblCellSpacing w:w="15" w:type="dxa"/>
        </w:trPr>
        <w:tc>
          <w:tcPr>
            <w:tcW w:w="0" w:type="auto"/>
            <w:vAlign w:val="center"/>
            <w:hideMark/>
          </w:tcPr>
          <w:p w14:paraId="6B2B49A3"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lastRenderedPageBreak/>
              <w:t>TP.HCM (Khu CNC)</w:t>
            </w:r>
          </w:p>
        </w:tc>
        <w:tc>
          <w:tcPr>
            <w:tcW w:w="2391" w:type="dxa"/>
            <w:vAlign w:val="center"/>
            <w:hideMark/>
          </w:tcPr>
          <w:p w14:paraId="76B4E022" w14:textId="77777777" w:rsidR="00061A61"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2020: 20.690 tr USD</w:t>
            </w:r>
          </w:p>
          <w:p w14:paraId="1407642D" w14:textId="77777777" w:rsidR="00061A61"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2021: 21.300 tr USD</w:t>
            </w:r>
          </w:p>
          <w:p w14:paraId="7A9AD482" w14:textId="77777777" w:rsidR="00061A61"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2022: 22.433 tr USD</w:t>
            </w:r>
          </w:p>
          <w:p w14:paraId="20D767FB" w14:textId="77777777" w:rsidR="00061A61"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2023: 19.872 tr USD</w:t>
            </w:r>
          </w:p>
          <w:p w14:paraId="02BCB944" w14:textId="77777777" w:rsidR="00061A61"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2024: 21.245 tr USD</w:t>
            </w:r>
          </w:p>
          <w:p w14:paraId="1D1C1835"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2025: 22.202 tr USD,</w:t>
            </w:r>
          </w:p>
        </w:tc>
        <w:tc>
          <w:tcPr>
            <w:tcW w:w="1246" w:type="dxa"/>
            <w:vAlign w:val="center"/>
            <w:hideMark/>
          </w:tcPr>
          <w:p w14:paraId="59D96D1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Rất cao (khu CNC chuyên biệt)</w:t>
            </w:r>
          </w:p>
        </w:tc>
        <w:tc>
          <w:tcPr>
            <w:tcW w:w="1387" w:type="dxa"/>
            <w:vAlign w:val="center"/>
            <w:hideMark/>
          </w:tcPr>
          <w:p w14:paraId="0539FE6B" w14:textId="77777777" w:rsidR="00061A61" w:rsidRDefault="00812C2D" w:rsidP="00061A61">
            <w:pPr>
              <w:spacing w:after="0" w:line="240" w:lineRule="auto"/>
              <w:jc w:val="center"/>
              <w:rPr>
                <w:rFonts w:eastAsia="Times New Roman" w:cs="Times New Roman"/>
                <w:sz w:val="24"/>
                <w:szCs w:val="24"/>
              </w:rPr>
            </w:pPr>
            <w:r w:rsidRPr="008D2933">
              <w:rPr>
                <w:rFonts w:eastAsia="Times New Roman" w:cs="Times New Roman"/>
                <w:sz w:val="24"/>
                <w:szCs w:val="24"/>
              </w:rPr>
              <w:t>2020: 19.080 tr</w:t>
            </w:r>
            <w:r w:rsidR="00061A61">
              <w:rPr>
                <w:rFonts w:eastAsia="Times New Roman" w:cs="Times New Roman"/>
                <w:sz w:val="24"/>
                <w:szCs w:val="24"/>
              </w:rPr>
              <w:t xml:space="preserve"> </w:t>
            </w:r>
            <w:r w:rsidRPr="008D2933">
              <w:rPr>
                <w:rFonts w:eastAsia="Times New Roman" w:cs="Times New Roman"/>
                <w:sz w:val="24"/>
                <w:szCs w:val="24"/>
              </w:rPr>
              <w:t>USD...</w:t>
            </w:r>
          </w:p>
          <w:p w14:paraId="1CE20F29" w14:textId="77777777" w:rsidR="00812C2D" w:rsidRPr="008D2933" w:rsidRDefault="00812C2D" w:rsidP="00061A61">
            <w:pPr>
              <w:spacing w:after="0" w:line="240" w:lineRule="auto"/>
              <w:jc w:val="center"/>
              <w:rPr>
                <w:rFonts w:eastAsia="Times New Roman" w:cs="Times New Roman"/>
                <w:sz w:val="24"/>
                <w:szCs w:val="24"/>
              </w:rPr>
            </w:pPr>
            <w:r w:rsidRPr="008D2933">
              <w:rPr>
                <w:rFonts w:eastAsia="Times New Roman" w:cs="Times New Roman"/>
                <w:sz w:val="24"/>
                <w:szCs w:val="24"/>
              </w:rPr>
              <w:t>2025: 20.532 tr USD</w:t>
            </w:r>
          </w:p>
        </w:tc>
        <w:tc>
          <w:tcPr>
            <w:tcW w:w="1388" w:type="dxa"/>
            <w:vAlign w:val="center"/>
            <w:hideMark/>
          </w:tcPr>
          <w:p w14:paraId="276C6BE4"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Có (Nhiều DN FDI lớn)</w:t>
            </w:r>
          </w:p>
        </w:tc>
        <w:tc>
          <w:tcPr>
            <w:tcW w:w="1798" w:type="dxa"/>
            <w:vAlign w:val="center"/>
            <w:hideMark/>
          </w:tcPr>
          <w:p w14:paraId="0573D50F"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Trung tâm CNC lớn nhất, tập trung điện tử – vi mạch, FDI chi phối tuyệt đối. Doanh thu bám sát xuất khẩu,.</w:t>
            </w:r>
          </w:p>
        </w:tc>
      </w:tr>
      <w:tr w:rsidR="008D2933" w:rsidRPr="008D2933" w14:paraId="755A96AB" w14:textId="77777777" w:rsidTr="00061A61">
        <w:trPr>
          <w:tblCellSpacing w:w="15" w:type="dxa"/>
        </w:trPr>
        <w:tc>
          <w:tcPr>
            <w:tcW w:w="0" w:type="auto"/>
            <w:vAlign w:val="center"/>
            <w:hideMark/>
          </w:tcPr>
          <w:p w14:paraId="60D9E474"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Đà Nẵng (Khu CNC)</w:t>
            </w:r>
          </w:p>
        </w:tc>
        <w:tc>
          <w:tcPr>
            <w:tcW w:w="2391" w:type="dxa"/>
            <w:vAlign w:val="center"/>
            <w:hideMark/>
          </w:tcPr>
          <w:p w14:paraId="221E2E67" w14:textId="77777777" w:rsidR="00061A61" w:rsidRDefault="00812C2D" w:rsidP="00812C2D">
            <w:pPr>
              <w:spacing w:after="0" w:line="240" w:lineRule="auto"/>
              <w:rPr>
                <w:rFonts w:eastAsia="Times New Roman" w:cs="Times New Roman"/>
                <w:sz w:val="24"/>
                <w:szCs w:val="24"/>
              </w:rPr>
            </w:pPr>
            <w:r w:rsidRPr="008D2933">
              <w:rPr>
                <w:rFonts w:eastAsia="Times New Roman" w:cs="Times New Roman"/>
                <w:b/>
                <w:bCs/>
                <w:sz w:val="24"/>
                <w:szCs w:val="24"/>
              </w:rPr>
              <w:t>FDI:</w:t>
            </w:r>
            <w:r w:rsidRPr="008D2933">
              <w:rPr>
                <w:rFonts w:eastAsia="Times New Roman" w:cs="Times New Roman"/>
                <w:sz w:val="24"/>
                <w:szCs w:val="24"/>
              </w:rPr>
              <w:t xml:space="preserve"> Tăng từ 14,45 tr USD (2020) lên 76,95 tr USD (2024).</w:t>
            </w:r>
          </w:p>
          <w:p w14:paraId="7AE6ED59"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b/>
                <w:bCs/>
                <w:sz w:val="24"/>
                <w:szCs w:val="24"/>
              </w:rPr>
              <w:t>Trong nước:</w:t>
            </w:r>
            <w:r w:rsidRPr="008D2933">
              <w:rPr>
                <w:rFonts w:eastAsia="Times New Roman" w:cs="Times New Roman"/>
                <w:sz w:val="24"/>
                <w:szCs w:val="24"/>
              </w:rPr>
              <w:t xml:space="preserve"> Biến động từ 486 tỷ VNĐ (2020) xuống 37,1 tỷ VNĐ (2024).</w:t>
            </w:r>
          </w:p>
        </w:tc>
        <w:tc>
          <w:tcPr>
            <w:tcW w:w="1246" w:type="dxa"/>
            <w:vAlign w:val="center"/>
            <w:hideMark/>
          </w:tcPr>
          <w:p w14:paraId="082C5790"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Chưa có số liệu tổng</w:t>
            </w:r>
          </w:p>
        </w:tc>
        <w:tc>
          <w:tcPr>
            <w:tcW w:w="1387" w:type="dxa"/>
            <w:vAlign w:val="center"/>
            <w:hideMark/>
          </w:tcPr>
          <w:p w14:paraId="2827D5E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8" w:type="dxa"/>
            <w:vAlign w:val="center"/>
            <w:hideMark/>
          </w:tcPr>
          <w:p w14:paraId="1B45C74D"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Lũy kế 29 DN trong Khu CNC</w:t>
            </w:r>
          </w:p>
        </w:tc>
        <w:tc>
          <w:tcPr>
            <w:tcW w:w="1798" w:type="dxa"/>
            <w:vAlign w:val="center"/>
            <w:hideMark/>
          </w:tcPr>
          <w:p w14:paraId="5EFB9A48"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Khối FDI tăng trưởng mạnh (gấp 5 lần sau 4 năm), khối trong nước thiếu ổn định.</w:t>
            </w:r>
          </w:p>
        </w:tc>
      </w:tr>
      <w:tr w:rsidR="008D2933" w:rsidRPr="008D2933" w14:paraId="311B838A" w14:textId="77777777" w:rsidTr="00061A61">
        <w:trPr>
          <w:tblCellSpacing w:w="15" w:type="dxa"/>
        </w:trPr>
        <w:tc>
          <w:tcPr>
            <w:tcW w:w="0" w:type="auto"/>
            <w:vAlign w:val="center"/>
            <w:hideMark/>
          </w:tcPr>
          <w:p w14:paraId="2F530825"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Hải Phòng</w:t>
            </w:r>
          </w:p>
        </w:tc>
        <w:tc>
          <w:tcPr>
            <w:tcW w:w="2391" w:type="dxa"/>
            <w:vAlign w:val="center"/>
            <w:hideMark/>
          </w:tcPr>
          <w:p w14:paraId="1F6C4E2F"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Chưa công bố giá trị tuyệt đối</w:t>
            </w:r>
          </w:p>
        </w:tc>
        <w:tc>
          <w:tcPr>
            <w:tcW w:w="1246" w:type="dxa"/>
            <w:vAlign w:val="center"/>
            <w:hideMark/>
          </w:tcPr>
          <w:p w14:paraId="1900134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66%</w:t>
            </w:r>
            <w:r w:rsidRPr="008D2933">
              <w:rPr>
                <w:rFonts w:eastAsia="Times New Roman" w:cs="Times New Roman"/>
                <w:sz w:val="24"/>
                <w:szCs w:val="24"/>
              </w:rPr>
              <w:t xml:space="preserve"> trong ngành chế biến, chế tạo (ước 2024)</w:t>
            </w:r>
          </w:p>
        </w:tc>
        <w:tc>
          <w:tcPr>
            <w:tcW w:w="1387" w:type="dxa"/>
            <w:vAlign w:val="center"/>
            <w:hideMark/>
          </w:tcPr>
          <w:p w14:paraId="32F05918"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8" w:type="dxa"/>
            <w:vAlign w:val="center"/>
            <w:hideMark/>
          </w:tcPr>
          <w:p w14:paraId="4996C070"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03 DN (LG Innotek, LG Display, LG Electronics)</w:t>
            </w:r>
          </w:p>
        </w:tc>
        <w:tc>
          <w:tcPr>
            <w:tcW w:w="1798" w:type="dxa"/>
            <w:vAlign w:val="center"/>
            <w:hideMark/>
          </w:tcPr>
          <w:p w14:paraId="376176E8"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Vượt mục tiêu sớm, chuyển dịch mạnh sang điện tử - tin học,.</w:t>
            </w:r>
          </w:p>
        </w:tc>
      </w:tr>
      <w:tr w:rsidR="008D2933" w:rsidRPr="008D2933" w14:paraId="6A0ECC55" w14:textId="77777777" w:rsidTr="00061A61">
        <w:trPr>
          <w:tblCellSpacing w:w="15" w:type="dxa"/>
        </w:trPr>
        <w:tc>
          <w:tcPr>
            <w:tcW w:w="0" w:type="auto"/>
            <w:vAlign w:val="center"/>
            <w:hideMark/>
          </w:tcPr>
          <w:p w14:paraId="07921622"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Nghệ An</w:t>
            </w:r>
          </w:p>
        </w:tc>
        <w:tc>
          <w:tcPr>
            <w:tcW w:w="2391" w:type="dxa"/>
            <w:vAlign w:val="center"/>
            <w:hideMark/>
          </w:tcPr>
          <w:p w14:paraId="0A67D765"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Chưa công bố giá trị tuyệt đối</w:t>
            </w:r>
          </w:p>
        </w:tc>
        <w:tc>
          <w:tcPr>
            <w:tcW w:w="1246" w:type="dxa"/>
            <w:vAlign w:val="center"/>
            <w:hideMark/>
          </w:tcPr>
          <w:p w14:paraId="4CBEE44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Mục tiêu đạt tối thiểu 45% (năm 2030)</w:t>
            </w:r>
          </w:p>
        </w:tc>
        <w:tc>
          <w:tcPr>
            <w:tcW w:w="1387" w:type="dxa"/>
            <w:vAlign w:val="center"/>
            <w:hideMark/>
          </w:tcPr>
          <w:p w14:paraId="52486689"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Đóng góp chủ đạo vào tổng 4,4 tỷ USD xuất khẩu (2025)</w:t>
            </w:r>
          </w:p>
        </w:tc>
        <w:tc>
          <w:tcPr>
            <w:tcW w:w="1388" w:type="dxa"/>
            <w:vAlign w:val="center"/>
            <w:hideMark/>
          </w:tcPr>
          <w:p w14:paraId="3E92817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Có (Thu hút Goertek, Foxconn...)</w:t>
            </w:r>
          </w:p>
        </w:tc>
        <w:tc>
          <w:tcPr>
            <w:tcW w:w="1798" w:type="dxa"/>
            <w:vAlign w:val="center"/>
            <w:hideMark/>
          </w:tcPr>
          <w:p w14:paraId="157CA69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Nổi lên như trung tâm mới, thu hút hàng loạt "đại bàng" công nghệ FDI.</w:t>
            </w:r>
          </w:p>
        </w:tc>
      </w:tr>
      <w:tr w:rsidR="008D2933" w:rsidRPr="008D2933" w14:paraId="40F54CBD" w14:textId="77777777" w:rsidTr="00061A61">
        <w:trPr>
          <w:tblCellSpacing w:w="15" w:type="dxa"/>
        </w:trPr>
        <w:tc>
          <w:tcPr>
            <w:tcW w:w="0" w:type="auto"/>
            <w:vAlign w:val="center"/>
            <w:hideMark/>
          </w:tcPr>
          <w:p w14:paraId="54C1D9E8"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Quảng Ninh</w:t>
            </w:r>
          </w:p>
        </w:tc>
        <w:tc>
          <w:tcPr>
            <w:tcW w:w="2391" w:type="dxa"/>
            <w:vAlign w:val="center"/>
            <w:hideMark/>
          </w:tcPr>
          <w:p w14:paraId="2BD16AE1"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Chưa công bố giá trị tuyệt đối</w:t>
            </w:r>
          </w:p>
        </w:tc>
        <w:tc>
          <w:tcPr>
            <w:tcW w:w="1246" w:type="dxa"/>
            <w:vAlign w:val="center"/>
            <w:hideMark/>
          </w:tcPr>
          <w:p w14:paraId="1BFE0C29"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45,24% (2020). Mục tiêu ≥55% năm 2030</w:t>
            </w:r>
          </w:p>
        </w:tc>
        <w:tc>
          <w:tcPr>
            <w:tcW w:w="1387" w:type="dxa"/>
            <w:vAlign w:val="center"/>
            <w:hideMark/>
          </w:tcPr>
          <w:p w14:paraId="7C25533D"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8" w:type="dxa"/>
            <w:vAlign w:val="center"/>
            <w:hideMark/>
          </w:tcPr>
          <w:p w14:paraId="3EF73CE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01 DN nông nghiệp CNC (Việt Úc)</w:t>
            </w:r>
          </w:p>
        </w:tc>
        <w:tc>
          <w:tcPr>
            <w:tcW w:w="1798" w:type="dxa"/>
            <w:vAlign w:val="center"/>
            <w:hideMark/>
          </w:tcPr>
          <w:p w14:paraId="2DE8399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TFP &gt;50% từ 2023; CNC lan sang nông nghiệp (sản xuất 8 tỷ tôm giống/năm),.</w:t>
            </w:r>
          </w:p>
        </w:tc>
      </w:tr>
      <w:tr w:rsidR="008D2933" w:rsidRPr="008D2933" w14:paraId="6160FCED" w14:textId="77777777" w:rsidTr="00061A61">
        <w:trPr>
          <w:tblCellSpacing w:w="15" w:type="dxa"/>
        </w:trPr>
        <w:tc>
          <w:tcPr>
            <w:tcW w:w="0" w:type="auto"/>
            <w:vAlign w:val="center"/>
            <w:hideMark/>
          </w:tcPr>
          <w:p w14:paraId="1D8DB91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Quảng Ngãi</w:t>
            </w:r>
          </w:p>
        </w:tc>
        <w:tc>
          <w:tcPr>
            <w:tcW w:w="2391" w:type="dxa"/>
            <w:vAlign w:val="center"/>
            <w:hideMark/>
          </w:tcPr>
          <w:p w14:paraId="610182D0"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SXCN chung 2025 ước đạt 185.401 tỷ VNĐ</w:t>
            </w:r>
          </w:p>
        </w:tc>
        <w:tc>
          <w:tcPr>
            <w:tcW w:w="1246" w:type="dxa"/>
            <w:vAlign w:val="center"/>
            <w:hideMark/>
          </w:tcPr>
          <w:p w14:paraId="120443E6"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7" w:type="dxa"/>
            <w:vAlign w:val="center"/>
            <w:hideMark/>
          </w:tcPr>
          <w:p w14:paraId="48AD9C54"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8" w:type="dxa"/>
            <w:vAlign w:val="center"/>
            <w:hideMark/>
          </w:tcPr>
          <w:p w14:paraId="4753312F"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06 DN</w:t>
            </w:r>
            <w:r w:rsidRPr="008D2933">
              <w:rPr>
                <w:rFonts w:eastAsia="Times New Roman" w:cs="Times New Roman"/>
                <w:sz w:val="24"/>
                <w:szCs w:val="24"/>
              </w:rPr>
              <w:t xml:space="preserve"> nông nghiệp CNC (Tổng vốn 91,3 tỷ VNĐ)</w:t>
            </w:r>
          </w:p>
        </w:tc>
        <w:tc>
          <w:tcPr>
            <w:tcW w:w="1798" w:type="dxa"/>
            <w:vAlign w:val="center"/>
            <w:hideMark/>
          </w:tcPr>
          <w:p w14:paraId="5D92BCC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có DN sản xuất CNC, chỉ có DN ứng dụng CNC trong bảo quản, chế biến nông sản, nhân cấy mô,.</w:t>
            </w:r>
          </w:p>
        </w:tc>
      </w:tr>
      <w:tr w:rsidR="008D2933" w:rsidRPr="008D2933" w14:paraId="78A8AB29" w14:textId="77777777" w:rsidTr="00061A61">
        <w:trPr>
          <w:tblCellSpacing w:w="15" w:type="dxa"/>
        </w:trPr>
        <w:tc>
          <w:tcPr>
            <w:tcW w:w="0" w:type="auto"/>
            <w:vAlign w:val="center"/>
            <w:hideMark/>
          </w:tcPr>
          <w:p w14:paraId="60D3F9BF"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Thanh Hóa</w:t>
            </w:r>
          </w:p>
        </w:tc>
        <w:tc>
          <w:tcPr>
            <w:tcW w:w="2391" w:type="dxa"/>
            <w:vAlign w:val="center"/>
            <w:hideMark/>
          </w:tcPr>
          <w:p w14:paraId="3F20F292"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Chưa có giá trị cụ thể</w:t>
            </w:r>
          </w:p>
        </w:tc>
        <w:tc>
          <w:tcPr>
            <w:tcW w:w="1246" w:type="dxa"/>
            <w:vAlign w:val="center"/>
            <w:hideMark/>
          </w:tcPr>
          <w:p w14:paraId="6E06B13D"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Ứng dụng CNC theo Nghị quyết 20</w:t>
            </w:r>
          </w:p>
        </w:tc>
        <w:tc>
          <w:tcPr>
            <w:tcW w:w="1387" w:type="dxa"/>
            <w:vAlign w:val="center"/>
            <w:hideMark/>
          </w:tcPr>
          <w:p w14:paraId="11CA6813"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8" w:type="dxa"/>
            <w:vAlign w:val="center"/>
            <w:hideMark/>
          </w:tcPr>
          <w:p w14:paraId="1D075E92"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02 DN</w:t>
            </w:r>
            <w:r w:rsidRPr="008D2933">
              <w:rPr>
                <w:rFonts w:eastAsia="Times New Roman" w:cs="Times New Roman"/>
                <w:sz w:val="24"/>
                <w:szCs w:val="24"/>
              </w:rPr>
              <w:t xml:space="preserve"> nông nghiệp CNC (Bò sữa Thống Nhất, DABACO)</w:t>
            </w:r>
          </w:p>
        </w:tc>
        <w:tc>
          <w:tcPr>
            <w:tcW w:w="1798" w:type="dxa"/>
            <w:vAlign w:val="center"/>
            <w:hideMark/>
          </w:tcPr>
          <w:p w14:paraId="3EC3CD52"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Ứng dụng CNC quy mô lớn (40.000 ha tưới tiết kiệm), tập trung y tế, nông nghiệp.</w:t>
            </w:r>
          </w:p>
        </w:tc>
      </w:tr>
      <w:tr w:rsidR="008D2933" w:rsidRPr="008D2933" w14:paraId="4A1F77EF" w14:textId="77777777" w:rsidTr="00061A61">
        <w:trPr>
          <w:tblCellSpacing w:w="15" w:type="dxa"/>
        </w:trPr>
        <w:tc>
          <w:tcPr>
            <w:tcW w:w="0" w:type="auto"/>
            <w:vAlign w:val="center"/>
            <w:hideMark/>
          </w:tcPr>
          <w:p w14:paraId="79BB451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An Giang</w:t>
            </w:r>
          </w:p>
        </w:tc>
        <w:tc>
          <w:tcPr>
            <w:tcW w:w="2391" w:type="dxa"/>
            <w:vAlign w:val="center"/>
            <w:hideMark/>
          </w:tcPr>
          <w:p w14:paraId="2055A313"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SXCN chung tăng từ 73.456 tỷ VNĐ (2020) lên 104.006 tỷ VNĐ (2025)</w:t>
            </w:r>
          </w:p>
        </w:tc>
        <w:tc>
          <w:tcPr>
            <w:tcW w:w="1246" w:type="dxa"/>
            <w:vAlign w:val="center"/>
            <w:hideMark/>
          </w:tcPr>
          <w:p w14:paraId="105DDA29"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có ngành sản xuất CNC theo nghĩa hẹp</w:t>
            </w:r>
          </w:p>
        </w:tc>
        <w:tc>
          <w:tcPr>
            <w:tcW w:w="1387" w:type="dxa"/>
            <w:vAlign w:val="center"/>
            <w:hideMark/>
          </w:tcPr>
          <w:p w14:paraId="7B870A9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tách riêng</w:t>
            </w:r>
          </w:p>
        </w:tc>
        <w:tc>
          <w:tcPr>
            <w:tcW w:w="1388" w:type="dxa"/>
            <w:vAlign w:val="center"/>
            <w:hideMark/>
          </w:tcPr>
          <w:p w14:paraId="06AE4FCD"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Chưa có</w:t>
            </w:r>
          </w:p>
        </w:tc>
        <w:tc>
          <w:tcPr>
            <w:tcW w:w="1798" w:type="dxa"/>
            <w:vAlign w:val="center"/>
            <w:hideMark/>
          </w:tcPr>
          <w:p w14:paraId="68381235"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Tăng trưởng công nghiệp đến từ ứng dụng công nghệ chế biến nông/thủy sản.</w:t>
            </w:r>
          </w:p>
        </w:tc>
      </w:tr>
      <w:tr w:rsidR="008D2933" w:rsidRPr="008D2933" w14:paraId="5889F9E5" w14:textId="77777777" w:rsidTr="00061A61">
        <w:trPr>
          <w:tblCellSpacing w:w="15" w:type="dxa"/>
        </w:trPr>
        <w:tc>
          <w:tcPr>
            <w:tcW w:w="0" w:type="auto"/>
            <w:vAlign w:val="center"/>
            <w:hideMark/>
          </w:tcPr>
          <w:p w14:paraId="3448EF4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Điện Biên</w:t>
            </w:r>
          </w:p>
        </w:tc>
        <w:tc>
          <w:tcPr>
            <w:tcW w:w="2391" w:type="dxa"/>
            <w:vAlign w:val="center"/>
            <w:hideMark/>
          </w:tcPr>
          <w:p w14:paraId="6D0F6BE0"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Tổng SXCN 2021-2025: 17.780 tỷ VNĐ</w:t>
            </w:r>
          </w:p>
        </w:tc>
        <w:tc>
          <w:tcPr>
            <w:tcW w:w="1246" w:type="dxa"/>
            <w:vAlign w:val="center"/>
            <w:hideMark/>
          </w:tcPr>
          <w:p w14:paraId="03AA535C"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0,5 - 1,0%</w:t>
            </w:r>
          </w:p>
        </w:tc>
        <w:tc>
          <w:tcPr>
            <w:tcW w:w="1387" w:type="dxa"/>
            <w:vAlign w:val="center"/>
            <w:hideMark/>
          </w:tcPr>
          <w:p w14:paraId="384CA1F3"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Dưới 1%</w:t>
            </w:r>
          </w:p>
        </w:tc>
        <w:tc>
          <w:tcPr>
            <w:tcW w:w="1388" w:type="dxa"/>
            <w:vAlign w:val="center"/>
            <w:hideMark/>
          </w:tcPr>
          <w:p w14:paraId="6EEDC396"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Chưa có</w:t>
            </w:r>
          </w:p>
        </w:tc>
        <w:tc>
          <w:tcPr>
            <w:tcW w:w="1798" w:type="dxa"/>
            <w:vAlign w:val="center"/>
            <w:hideMark/>
          </w:tcPr>
          <w:p w14:paraId="3275494E"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 xml:space="preserve">Tỷ trọng cực thấp, chủ yếu ứng dụng trong nông </w:t>
            </w:r>
            <w:r w:rsidRPr="008D2933">
              <w:rPr>
                <w:rFonts w:eastAsia="Times New Roman" w:cs="Times New Roman"/>
                <w:sz w:val="24"/>
                <w:szCs w:val="24"/>
              </w:rPr>
              <w:lastRenderedPageBreak/>
              <w:t>nghiệp quy mô nhỏ.</w:t>
            </w:r>
          </w:p>
        </w:tc>
      </w:tr>
      <w:tr w:rsidR="008D2933" w:rsidRPr="008D2933" w14:paraId="3E0E78F0" w14:textId="77777777" w:rsidTr="00061A61">
        <w:trPr>
          <w:tblCellSpacing w:w="15" w:type="dxa"/>
        </w:trPr>
        <w:tc>
          <w:tcPr>
            <w:tcW w:w="0" w:type="auto"/>
            <w:vAlign w:val="center"/>
            <w:hideMark/>
          </w:tcPr>
          <w:p w14:paraId="4044A7C0"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lastRenderedPageBreak/>
              <w:t>Lào Cai</w:t>
            </w:r>
          </w:p>
        </w:tc>
        <w:tc>
          <w:tcPr>
            <w:tcW w:w="2391" w:type="dxa"/>
            <w:vAlign w:val="center"/>
            <w:hideMark/>
          </w:tcPr>
          <w:p w14:paraId="24E43742"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Không có số liệu</w:t>
            </w:r>
          </w:p>
        </w:tc>
        <w:tc>
          <w:tcPr>
            <w:tcW w:w="1246" w:type="dxa"/>
            <w:vAlign w:val="center"/>
            <w:hideMark/>
          </w:tcPr>
          <w:p w14:paraId="6228B5E4"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Tỷ trọng thấp</w:t>
            </w:r>
          </w:p>
        </w:tc>
        <w:tc>
          <w:tcPr>
            <w:tcW w:w="1387" w:type="dxa"/>
            <w:vAlign w:val="center"/>
            <w:hideMark/>
          </w:tcPr>
          <w:p w14:paraId="4ED6E0A4"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3–5% (ước tính)</w:t>
            </w:r>
          </w:p>
        </w:tc>
        <w:tc>
          <w:tcPr>
            <w:tcW w:w="1388" w:type="dxa"/>
            <w:vAlign w:val="center"/>
            <w:hideMark/>
          </w:tcPr>
          <w:p w14:paraId="2474D43D"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Chưa có</w:t>
            </w:r>
          </w:p>
        </w:tc>
        <w:tc>
          <w:tcPr>
            <w:tcW w:w="1798" w:type="dxa"/>
            <w:vAlign w:val="center"/>
            <w:hideMark/>
          </w:tcPr>
          <w:p w14:paraId="30FEE7C7"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Ứng dụng CNC ~520 ha nông nghiệp (nhà màng, tưới nhỏ giọt).</w:t>
            </w:r>
          </w:p>
        </w:tc>
      </w:tr>
      <w:tr w:rsidR="008D2933" w:rsidRPr="008D2933" w14:paraId="4B18D92F" w14:textId="77777777" w:rsidTr="00061A61">
        <w:trPr>
          <w:tblCellSpacing w:w="15" w:type="dxa"/>
        </w:trPr>
        <w:tc>
          <w:tcPr>
            <w:tcW w:w="0" w:type="auto"/>
            <w:vAlign w:val="center"/>
            <w:hideMark/>
          </w:tcPr>
          <w:p w14:paraId="4C425924"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Lai Châu</w:t>
            </w:r>
          </w:p>
        </w:tc>
        <w:tc>
          <w:tcPr>
            <w:tcW w:w="2391" w:type="dxa"/>
            <w:vAlign w:val="center"/>
            <w:hideMark/>
          </w:tcPr>
          <w:p w14:paraId="28629EA2" w14:textId="77777777" w:rsidR="00812C2D" w:rsidRPr="008D2933" w:rsidRDefault="00812C2D" w:rsidP="00812C2D">
            <w:pPr>
              <w:spacing w:after="0" w:line="240" w:lineRule="auto"/>
              <w:rPr>
                <w:rFonts w:eastAsia="Times New Roman" w:cs="Times New Roman"/>
                <w:sz w:val="24"/>
                <w:szCs w:val="24"/>
              </w:rPr>
            </w:pPr>
            <w:r w:rsidRPr="008D2933">
              <w:rPr>
                <w:rFonts w:eastAsia="Times New Roman" w:cs="Times New Roman"/>
                <w:sz w:val="24"/>
                <w:szCs w:val="24"/>
              </w:rPr>
              <w:t>Không phát sinh</w:t>
            </w:r>
          </w:p>
        </w:tc>
        <w:tc>
          <w:tcPr>
            <w:tcW w:w="1246" w:type="dxa"/>
            <w:vAlign w:val="center"/>
            <w:hideMark/>
          </w:tcPr>
          <w:p w14:paraId="6A6C7D8C"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đáng kể</w:t>
            </w:r>
          </w:p>
        </w:tc>
        <w:tc>
          <w:tcPr>
            <w:tcW w:w="1387" w:type="dxa"/>
            <w:vAlign w:val="center"/>
            <w:hideMark/>
          </w:tcPr>
          <w:p w14:paraId="5F1955C0"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Không có</w:t>
            </w:r>
          </w:p>
        </w:tc>
        <w:tc>
          <w:tcPr>
            <w:tcW w:w="1388" w:type="dxa"/>
            <w:vAlign w:val="center"/>
            <w:hideMark/>
          </w:tcPr>
          <w:p w14:paraId="69FB842F"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b/>
                <w:bCs/>
                <w:sz w:val="24"/>
                <w:szCs w:val="24"/>
              </w:rPr>
              <w:t>Chưa có</w:t>
            </w:r>
          </w:p>
        </w:tc>
        <w:tc>
          <w:tcPr>
            <w:tcW w:w="1798" w:type="dxa"/>
            <w:vAlign w:val="center"/>
            <w:hideMark/>
          </w:tcPr>
          <w:p w14:paraId="710AEC51" w14:textId="77777777" w:rsidR="00812C2D" w:rsidRPr="008D2933" w:rsidRDefault="00812C2D" w:rsidP="00871CC0">
            <w:pPr>
              <w:spacing w:after="0" w:line="240" w:lineRule="auto"/>
              <w:jc w:val="center"/>
              <w:rPr>
                <w:rFonts w:eastAsia="Times New Roman" w:cs="Times New Roman"/>
                <w:sz w:val="24"/>
                <w:szCs w:val="24"/>
              </w:rPr>
            </w:pPr>
            <w:r w:rsidRPr="008D2933">
              <w:rPr>
                <w:rFonts w:eastAsia="Times New Roman" w:cs="Times New Roman"/>
                <w:sz w:val="24"/>
                <w:szCs w:val="24"/>
              </w:rPr>
              <w:t>Chưa hình thành hoạt động CNC.</w:t>
            </w:r>
          </w:p>
        </w:tc>
      </w:tr>
    </w:tbl>
    <w:p w14:paraId="1350C05C" w14:textId="77777777" w:rsidR="00812C2D" w:rsidRPr="008D2933" w:rsidRDefault="00812C2D" w:rsidP="00AA59AF">
      <w:pPr>
        <w:spacing w:before="120" w:after="120" w:line="240" w:lineRule="auto"/>
        <w:ind w:firstLine="567"/>
        <w:jc w:val="both"/>
        <w:rPr>
          <w:rFonts w:eastAsia="Times New Roman" w:cs="Times New Roman"/>
          <w:szCs w:val="28"/>
        </w:rPr>
      </w:pPr>
      <w:r w:rsidRPr="008D2933">
        <w:rPr>
          <w:rFonts w:eastAsia="Times New Roman" w:cs="Times New Roman"/>
          <w:szCs w:val="28"/>
        </w:rPr>
        <w:t>Dựa trên các báo cáo, có thể rút ra 4 nghịch lý và đặc điểm lõi trong bức tranh phát triển công nghệ cao tại Việt Nam:</w:t>
      </w:r>
    </w:p>
    <w:p w14:paraId="1BF04C8F" w14:textId="77777777" w:rsidR="00812C2D" w:rsidRPr="008D2933" w:rsidRDefault="00812C2D" w:rsidP="00AA59AF">
      <w:pPr>
        <w:spacing w:before="120" w:after="120" w:line="240" w:lineRule="auto"/>
        <w:ind w:firstLine="567"/>
        <w:jc w:val="both"/>
        <w:rPr>
          <w:rFonts w:eastAsia="Times New Roman" w:cs="Times New Roman"/>
          <w:i/>
          <w:szCs w:val="28"/>
        </w:rPr>
      </w:pPr>
      <w:r w:rsidRPr="008D2933">
        <w:rPr>
          <w:rFonts w:eastAsia="Times New Roman" w:cs="Times New Roman"/>
          <w:b/>
          <w:bCs/>
          <w:i/>
          <w:szCs w:val="28"/>
        </w:rPr>
        <w:t>Thứ nhất: Sự phân hóa giữa các vùng miền</w:t>
      </w:r>
    </w:p>
    <w:p w14:paraId="6CB5DA32" w14:textId="77777777" w:rsidR="00812C2D" w:rsidRPr="008D2933" w:rsidRDefault="00812C2D" w:rsidP="00F6764F">
      <w:pPr>
        <w:numPr>
          <w:ilvl w:val="0"/>
          <w:numId w:val="4"/>
        </w:numPr>
        <w:spacing w:before="120" w:after="120" w:line="240" w:lineRule="auto"/>
        <w:ind w:left="0" w:firstLine="567"/>
        <w:jc w:val="both"/>
        <w:rPr>
          <w:rFonts w:eastAsia="Times New Roman" w:cs="Times New Roman"/>
          <w:szCs w:val="28"/>
        </w:rPr>
      </w:pPr>
      <w:r w:rsidRPr="008D2933">
        <w:rPr>
          <w:rFonts w:eastAsia="Times New Roman" w:cs="Times New Roman"/>
          <w:bCs/>
          <w:szCs w:val="28"/>
        </w:rPr>
        <w:t>Nhóm công nghiệp điện tử - bán dẫn (TP.HCM, Hải Phòng, Nghệ An, Bắc Ninh)</w:t>
      </w:r>
      <w:r w:rsidR="00061A61">
        <w:rPr>
          <w:rFonts w:eastAsia="Times New Roman" w:cs="Times New Roman"/>
          <w:bCs/>
          <w:szCs w:val="28"/>
        </w:rPr>
        <w:t xml:space="preserve"> t</w:t>
      </w:r>
      <w:r w:rsidRPr="008D2933">
        <w:rPr>
          <w:rFonts w:eastAsia="Times New Roman" w:cs="Times New Roman"/>
          <w:szCs w:val="28"/>
        </w:rPr>
        <w:t xml:space="preserve">ạo ra giá trị </w:t>
      </w:r>
      <w:r w:rsidR="00061A61">
        <w:rPr>
          <w:rFonts w:eastAsia="Times New Roman" w:cs="Times New Roman"/>
          <w:szCs w:val="28"/>
        </w:rPr>
        <w:t>lớn</w:t>
      </w:r>
      <w:r w:rsidRPr="008D2933">
        <w:rPr>
          <w:rFonts w:eastAsia="Times New Roman" w:cs="Times New Roman"/>
          <w:szCs w:val="28"/>
        </w:rPr>
        <w:t xml:space="preserve">. Chỉ riêng KCNC TP.HCM đã tạo ra hơn </w:t>
      </w:r>
      <w:r w:rsidRPr="008D2933">
        <w:rPr>
          <w:rFonts w:eastAsia="Times New Roman" w:cs="Times New Roman"/>
          <w:bCs/>
          <w:szCs w:val="28"/>
        </w:rPr>
        <w:t>22,2 tỷ USD</w:t>
      </w:r>
      <w:r w:rsidRPr="008D2933">
        <w:rPr>
          <w:rFonts w:eastAsia="Times New Roman" w:cs="Times New Roman"/>
          <w:szCs w:val="28"/>
        </w:rPr>
        <w:t xml:space="preserve"> (năm 2025). Hải Phòng đạt tỷ trọng CNC lên tới </w:t>
      </w:r>
      <w:r w:rsidRPr="008D2933">
        <w:rPr>
          <w:rFonts w:eastAsia="Times New Roman" w:cs="Times New Roman"/>
          <w:bCs/>
          <w:szCs w:val="28"/>
        </w:rPr>
        <w:t>66%</w:t>
      </w:r>
      <w:r w:rsidRPr="008D2933">
        <w:rPr>
          <w:rFonts w:eastAsia="Times New Roman" w:cs="Times New Roman"/>
          <w:szCs w:val="28"/>
        </w:rPr>
        <w:t xml:space="preserve"> trong ngành chế biến chế tạo. Nghệ An vươn lên với kim ngạch xuất khẩu 4,4 tỷ USD chủ yếu nhờ linh kiện điện tử.</w:t>
      </w:r>
    </w:p>
    <w:p w14:paraId="17809E9C" w14:textId="77777777" w:rsidR="00812C2D" w:rsidRPr="008D2933" w:rsidRDefault="00812C2D" w:rsidP="00F6764F">
      <w:pPr>
        <w:numPr>
          <w:ilvl w:val="0"/>
          <w:numId w:val="4"/>
        </w:numPr>
        <w:spacing w:before="120" w:after="120" w:line="240" w:lineRule="auto"/>
        <w:ind w:left="0" w:firstLine="567"/>
        <w:jc w:val="both"/>
        <w:rPr>
          <w:rFonts w:eastAsia="Times New Roman" w:cs="Times New Roman"/>
          <w:szCs w:val="28"/>
        </w:rPr>
      </w:pPr>
      <w:r w:rsidRPr="008D2933">
        <w:rPr>
          <w:rFonts w:eastAsia="Times New Roman" w:cs="Times New Roman"/>
          <w:bCs/>
          <w:szCs w:val="28"/>
        </w:rPr>
        <w:t xml:space="preserve">Nhóm </w:t>
      </w:r>
      <w:r w:rsidR="00061A61">
        <w:rPr>
          <w:rFonts w:eastAsia="Times New Roman" w:cs="Times New Roman"/>
          <w:bCs/>
          <w:szCs w:val="28"/>
        </w:rPr>
        <w:t>chưa tạo giá trị hạn chế</w:t>
      </w:r>
      <w:r w:rsidRPr="008D2933">
        <w:rPr>
          <w:rFonts w:eastAsia="Times New Roman" w:cs="Times New Roman"/>
          <w:bCs/>
          <w:szCs w:val="28"/>
        </w:rPr>
        <w:t xml:space="preserve"> (Điện Biên, Lào Cai, Lai Châu):</w:t>
      </w:r>
      <w:r w:rsidRPr="008D2933">
        <w:rPr>
          <w:rFonts w:eastAsia="Times New Roman" w:cs="Times New Roman"/>
          <w:szCs w:val="28"/>
        </w:rPr>
        <w:t xml:space="preserve"> Điện Biên chỉ đạt </w:t>
      </w:r>
      <w:r w:rsidRPr="008D2933">
        <w:rPr>
          <w:rFonts w:eastAsia="Times New Roman" w:cs="Times New Roman"/>
          <w:bCs/>
          <w:szCs w:val="28"/>
        </w:rPr>
        <w:t>0,5 - 1%</w:t>
      </w:r>
      <w:r w:rsidRPr="008D2933">
        <w:rPr>
          <w:rFonts w:eastAsia="Times New Roman" w:cs="Times New Roman"/>
          <w:szCs w:val="28"/>
        </w:rPr>
        <w:t xml:space="preserve"> tỷ trọng CNC, Lào Cai 3-5%, còn Lai Châu bằng 0. Khoảng cách này cho thấy việc phát triển công nghệ cao hiện nay phụ thuộc hoàn toàn vào hạ tầng logistics (cảng biển, sân bay) để tham gia chuỗi cung ứng toàn cầu, điều mà các tỉnh miền núi không có.</w:t>
      </w:r>
    </w:p>
    <w:p w14:paraId="3C51969F" w14:textId="77777777" w:rsidR="00812C2D" w:rsidRPr="008D2933" w:rsidRDefault="00812C2D" w:rsidP="00AA59AF">
      <w:pPr>
        <w:spacing w:before="120" w:after="120" w:line="240" w:lineRule="auto"/>
        <w:ind w:firstLine="567"/>
        <w:jc w:val="both"/>
        <w:rPr>
          <w:rFonts w:eastAsia="Times New Roman" w:cs="Times New Roman"/>
          <w:i/>
          <w:szCs w:val="28"/>
        </w:rPr>
      </w:pPr>
      <w:r w:rsidRPr="008D2933">
        <w:rPr>
          <w:rFonts w:eastAsia="Times New Roman" w:cs="Times New Roman"/>
          <w:b/>
          <w:bCs/>
          <w:i/>
          <w:szCs w:val="28"/>
        </w:rPr>
        <w:t>Thứ hai: "Sản xuất CNC" thuộc về FDI, "Ứng dụng CNC" thuộc về doanh nghiệp nội</w:t>
      </w:r>
    </w:p>
    <w:p w14:paraId="210C2456" w14:textId="7690F643" w:rsidR="00812C2D" w:rsidRPr="008D2933" w:rsidRDefault="00812C2D" w:rsidP="00F6764F">
      <w:pPr>
        <w:numPr>
          <w:ilvl w:val="0"/>
          <w:numId w:val="5"/>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Các con số tỷ USD tại TP.HCM hay Hải Phòng đều </w:t>
      </w:r>
      <w:r w:rsidR="00D0672E">
        <w:rPr>
          <w:rFonts w:eastAsia="Times New Roman" w:cs="Times New Roman"/>
          <w:szCs w:val="28"/>
        </w:rPr>
        <w:t>phần lớn từ</w:t>
      </w:r>
      <w:r w:rsidRPr="008D2933">
        <w:rPr>
          <w:rFonts w:eastAsia="Times New Roman" w:cs="Times New Roman"/>
          <w:szCs w:val="28"/>
        </w:rPr>
        <w:t xml:space="preserve"> các tập đoàn FDI (Samsung, LG, Goertek, Amkor...),,. Tại KCNC Đà Nẵng, doanh thu FDI tăng vọt từ 14,45 triệu USD lên 76,95 triệu USD, trong khi khối doanh nghiệp trong nước lại sụt giảm từ 486 tỷ VNĐ (2020) xuống chỉ còn 37,1 tỷ VNĐ (2024).</w:t>
      </w:r>
    </w:p>
    <w:p w14:paraId="69DAB129" w14:textId="77777777" w:rsidR="00812C2D" w:rsidRPr="008D2933" w:rsidRDefault="00812C2D" w:rsidP="00F6764F">
      <w:pPr>
        <w:widowControl w:val="0"/>
        <w:numPr>
          <w:ilvl w:val="0"/>
          <w:numId w:val="5"/>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Doanh nghiệp nội địa quy mô nhỏ chủ yếu tham gia vào </w:t>
      </w:r>
      <w:r w:rsidRPr="008D2933">
        <w:rPr>
          <w:rFonts w:eastAsia="Times New Roman" w:cs="Times New Roman"/>
          <w:bCs/>
          <w:szCs w:val="28"/>
        </w:rPr>
        <w:t>"Ứng dụng CNC"</w:t>
      </w:r>
      <w:r w:rsidRPr="008D2933">
        <w:rPr>
          <w:rFonts w:eastAsia="Times New Roman" w:cs="Times New Roman"/>
          <w:szCs w:val="28"/>
        </w:rPr>
        <w:t xml:space="preserve"> trong nông nghiệp. Điển hình như Quảng Ngãi có 6 doanh nghiệp, Thanh Hóa có 2 doanh nghiệp, Quảng Ninh có 1 doanh nghiệp được cấp chứng nhận, nhưng tất cả đều là </w:t>
      </w:r>
      <w:r w:rsidRPr="008D2933">
        <w:rPr>
          <w:rFonts w:eastAsia="Times New Roman" w:cs="Times New Roman"/>
          <w:bCs/>
          <w:szCs w:val="28"/>
        </w:rPr>
        <w:t>Doanh nghiệp Nông nghiệp ứng dụng CNC</w:t>
      </w:r>
      <w:r w:rsidRPr="008D2933">
        <w:rPr>
          <w:rFonts w:eastAsia="Times New Roman" w:cs="Times New Roman"/>
          <w:szCs w:val="28"/>
        </w:rPr>
        <w:t xml:space="preserve"> (nuôi tôm, bò sữa, sấy lạnh dược liệu...).</w:t>
      </w:r>
    </w:p>
    <w:p w14:paraId="05CB5B66" w14:textId="77777777" w:rsidR="00812C2D" w:rsidRPr="008D2933" w:rsidRDefault="00812C2D" w:rsidP="00CA4AC2">
      <w:pPr>
        <w:widowControl w:val="0"/>
        <w:spacing w:before="120" w:after="120" w:line="240" w:lineRule="auto"/>
        <w:ind w:firstLine="567"/>
        <w:jc w:val="both"/>
        <w:rPr>
          <w:rFonts w:eastAsia="Times New Roman" w:cs="Times New Roman"/>
          <w:i/>
          <w:szCs w:val="28"/>
        </w:rPr>
      </w:pPr>
      <w:r w:rsidRPr="008D2933">
        <w:rPr>
          <w:rFonts w:eastAsia="Times New Roman" w:cs="Times New Roman"/>
          <w:b/>
          <w:bCs/>
          <w:i/>
          <w:szCs w:val="28"/>
        </w:rPr>
        <w:t>Thứ ba: Nghịch lý giữa thực tế tăng trưởng và số liệu thống kê</w:t>
      </w:r>
    </w:p>
    <w:p w14:paraId="657E01F0" w14:textId="77777777" w:rsidR="00812C2D" w:rsidRPr="008D2933" w:rsidRDefault="00812C2D" w:rsidP="00F6764F">
      <w:pPr>
        <w:widowControl w:val="0"/>
        <w:numPr>
          <w:ilvl w:val="0"/>
          <w:numId w:val="6"/>
        </w:numPr>
        <w:spacing w:before="120" w:after="120" w:line="240" w:lineRule="auto"/>
        <w:ind w:left="0" w:firstLine="567"/>
        <w:jc w:val="both"/>
        <w:rPr>
          <w:rFonts w:eastAsia="Times New Roman" w:cs="Times New Roman"/>
          <w:szCs w:val="28"/>
        </w:rPr>
      </w:pPr>
      <w:r w:rsidRPr="008D2933">
        <w:rPr>
          <w:rFonts w:eastAsia="Times New Roman" w:cs="Times New Roman"/>
          <w:szCs w:val="28"/>
        </w:rPr>
        <w:t>Các tỉnh như An Giang, Quảng Ngãi có giá trị sản xuất công nghiệp tăng trưởng rất tốt (An Giang đạt 104.000 tỷ VNĐ năm 2025, Quảng Ngãi ước đạt 185.401 tỷ VNĐ). Tuy nhiên, họ báo cáo "không có ngành sản xuất CNC",.</w:t>
      </w:r>
    </w:p>
    <w:p w14:paraId="2E1D42A2" w14:textId="77777777" w:rsidR="00812C2D" w:rsidRPr="008D2933" w:rsidRDefault="00812C2D" w:rsidP="00F6764F">
      <w:pPr>
        <w:widowControl w:val="0"/>
        <w:numPr>
          <w:ilvl w:val="0"/>
          <w:numId w:val="6"/>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Lý do là vì giá trị gia tăng đến từ việc đưa máy móc tự động hóa, công nghệ sinh học vào dây chuyền </w:t>
      </w:r>
      <w:r w:rsidRPr="008D2933">
        <w:rPr>
          <w:rFonts w:eastAsia="Times New Roman" w:cs="Times New Roman"/>
          <w:bCs/>
          <w:szCs w:val="28"/>
        </w:rPr>
        <w:t>chế biến sâu nông/thủy sản</w:t>
      </w:r>
      <w:r w:rsidRPr="008D2933">
        <w:rPr>
          <w:rFonts w:eastAsia="Times New Roman" w:cs="Times New Roman"/>
          <w:szCs w:val="28"/>
        </w:rPr>
        <w:t>. Theo quy định cứng của Luật Công nghệ cao, sản phẩm của họ (phi lê cá, nông sản sấy) không được xếp vào "Sản phẩm công nghệ cao" như vi mạch hay máy tính, dẫn đến không thể bóc tách thống kê con số CNC riêng biệt.</w:t>
      </w:r>
    </w:p>
    <w:p w14:paraId="339210A7" w14:textId="77777777" w:rsidR="00812C2D" w:rsidRPr="008D2933" w:rsidRDefault="00812C2D" w:rsidP="00CA4AC2">
      <w:pPr>
        <w:widowControl w:val="0"/>
        <w:spacing w:before="120" w:after="120" w:line="240" w:lineRule="auto"/>
        <w:ind w:firstLine="567"/>
        <w:jc w:val="both"/>
        <w:rPr>
          <w:rFonts w:eastAsia="Times New Roman" w:cs="Times New Roman"/>
          <w:i/>
          <w:szCs w:val="28"/>
        </w:rPr>
      </w:pPr>
      <w:r w:rsidRPr="008D2933">
        <w:rPr>
          <w:rFonts w:eastAsia="Times New Roman" w:cs="Times New Roman"/>
          <w:b/>
          <w:bCs/>
          <w:i/>
          <w:szCs w:val="28"/>
        </w:rPr>
        <w:lastRenderedPageBreak/>
        <w:t>Thứ tư: Rào cản từ tiêu chí cấp Giấy chứng nhận</w:t>
      </w:r>
    </w:p>
    <w:p w14:paraId="05959B4E" w14:textId="77777777" w:rsidR="00812C2D" w:rsidRPr="008D2933" w:rsidRDefault="00812C2D" w:rsidP="00F6764F">
      <w:pPr>
        <w:widowControl w:val="0"/>
        <w:numPr>
          <w:ilvl w:val="0"/>
          <w:numId w:val="7"/>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Ngoại trừ các tỉnh thu hút FDI, hầu hết các tỉnh đều báo cáo </w:t>
      </w:r>
      <w:r w:rsidR="00223C6A">
        <w:rPr>
          <w:rFonts w:eastAsia="Times New Roman" w:cs="Times New Roman"/>
          <w:bCs/>
          <w:szCs w:val="28"/>
        </w:rPr>
        <w:t>chưa cấp</w:t>
      </w:r>
      <w:r w:rsidRPr="008D2933">
        <w:rPr>
          <w:rFonts w:eastAsia="Times New Roman" w:cs="Times New Roman"/>
          <w:bCs/>
          <w:szCs w:val="28"/>
        </w:rPr>
        <w:t xml:space="preserve"> Giấy chứng nhận Doanh nghiệp CNC</w:t>
      </w:r>
      <w:r w:rsidRPr="008D2933">
        <w:rPr>
          <w:rFonts w:eastAsia="Times New Roman" w:cs="Times New Roman"/>
          <w:szCs w:val="28"/>
        </w:rPr>
        <w:t xml:space="preserve"> (Cần Thơ, Lào Cai, Đắk Lắk, An Giang...),,,.</w:t>
      </w:r>
    </w:p>
    <w:p w14:paraId="5773C17F" w14:textId="77777777" w:rsidR="00812C2D" w:rsidRPr="008D2933" w:rsidRDefault="00812C2D" w:rsidP="00F6764F">
      <w:pPr>
        <w:widowControl w:val="0"/>
        <w:numPr>
          <w:ilvl w:val="0"/>
          <w:numId w:val="7"/>
        </w:numPr>
        <w:spacing w:before="120" w:after="120" w:line="240" w:lineRule="auto"/>
        <w:ind w:left="0" w:firstLine="567"/>
        <w:jc w:val="both"/>
        <w:rPr>
          <w:rFonts w:eastAsia="Times New Roman" w:cs="Times New Roman"/>
          <w:szCs w:val="28"/>
        </w:rPr>
      </w:pPr>
      <w:r w:rsidRPr="008D2933">
        <w:rPr>
          <w:rFonts w:eastAsia="Times New Roman" w:cs="Times New Roman"/>
          <w:szCs w:val="28"/>
        </w:rPr>
        <w:t>Nguyên nhân cốt lõi được các địa phương chỉ ra là tiêu chí của Luật quá khắt khe đối với doanh nghiệp địa phương: yêu cầu tỷ lệ trích lập doanh thu cho R&amp;D (≥ 1%), tỷ lệ lao động chuyên môn cao, khiến các doanh nghiệp vừa và nhỏ không thể đáp ứng, dù họ có ứng dụng công nghệ thực tế.</w:t>
      </w:r>
    </w:p>
    <w:p w14:paraId="0ED30DE4" w14:textId="77777777" w:rsidR="00C0733E" w:rsidRPr="008D2933" w:rsidRDefault="00C0733E" w:rsidP="00CA4AC2">
      <w:pPr>
        <w:widowControl w:val="0"/>
        <w:tabs>
          <w:tab w:val="num" w:pos="426"/>
          <w:tab w:val="left" w:pos="851"/>
        </w:tabs>
        <w:spacing w:before="120" w:after="120" w:line="240" w:lineRule="auto"/>
        <w:ind w:firstLine="567"/>
        <w:jc w:val="both"/>
        <w:rPr>
          <w:rFonts w:eastAsia="Times New Roman" w:cs="Times New Roman"/>
          <w:b/>
          <w:szCs w:val="28"/>
          <w:lang w:val="vi-VN"/>
        </w:rPr>
      </w:pPr>
      <w:r w:rsidRPr="008D2933">
        <w:rPr>
          <w:rFonts w:eastAsia="Times New Roman" w:cs="Times New Roman"/>
          <w:b/>
          <w:szCs w:val="28"/>
          <w:lang w:val="vi-VN"/>
        </w:rPr>
        <w:t>2.1.</w:t>
      </w:r>
      <w:r w:rsidR="00AA59AF" w:rsidRPr="008D2933">
        <w:rPr>
          <w:rFonts w:eastAsia="Times New Roman" w:cs="Times New Roman"/>
          <w:b/>
          <w:szCs w:val="28"/>
        </w:rPr>
        <w:t>2</w:t>
      </w:r>
      <w:r w:rsidRPr="008D2933">
        <w:rPr>
          <w:rFonts w:eastAsia="Times New Roman" w:cs="Times New Roman"/>
          <w:b/>
          <w:szCs w:val="28"/>
          <w:lang w:val="vi-VN"/>
        </w:rPr>
        <w:t xml:space="preserve">. </w:t>
      </w:r>
      <w:r w:rsidR="00AA59AF" w:rsidRPr="008D2933">
        <w:rPr>
          <w:rFonts w:eastAsia="Times New Roman" w:cs="Times New Roman"/>
          <w:b/>
          <w:szCs w:val="28"/>
        </w:rPr>
        <w:t>Tỷ lệ g</w:t>
      </w:r>
      <w:r w:rsidRPr="008D2933">
        <w:rPr>
          <w:rFonts w:eastAsia="Times New Roman" w:cs="Times New Roman"/>
          <w:b/>
          <w:szCs w:val="28"/>
          <w:lang w:val="vi-VN"/>
        </w:rPr>
        <w:t>iá trị sản phẩm công nghệ cao so với tổng giá trị xuất khẩu của Việt Nam giai đoạn từ 2020 đến nay</w:t>
      </w:r>
    </w:p>
    <w:p w14:paraId="51C894C1" w14:textId="0B1D5D41" w:rsidR="00AA59AF" w:rsidRPr="00E9776E" w:rsidRDefault="00AA59AF"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Qua tổng hợp từ các báo cáo, hiện Việt Nam chưa có một hệ thống thống kê quốc gia chính thức bóc tách chính xác tỷ lệ phần trăm giá trị xuất khẩu sản phẩm công nghệ cao (CNC) theo Danh mục của Quyết định 38/2020/QĐ-TTg.</w:t>
      </w:r>
    </w:p>
    <w:p w14:paraId="16FFA168" w14:textId="375A9D2A" w:rsidR="00AA59AF" w:rsidRPr="008D2933" w:rsidRDefault="00AA59A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Tuy nhiên, nếu xét ở nhóm hàng hóa đại diện lớn nhất là Công nghệ thông tin và Truyền thông (ICT), tỷ trọng hàng hóa ICT trong tổng kim ngạch xuất khẩu của Việt Nam đã tăng lên mức gần 40% vào năm 2020. Đây là một con số vĩ mô cho thấy xuất khẩu của Việt Nam đang phụ thuộc rất lớn vào các sản phẩm điện tử, công nghệ.</w:t>
      </w:r>
      <w:r w:rsidR="00E9776E">
        <w:rPr>
          <w:rFonts w:eastAsia="Times New Roman" w:cs="Times New Roman"/>
          <w:szCs w:val="28"/>
        </w:rPr>
        <w:t xml:space="preserve"> </w:t>
      </w:r>
      <w:r w:rsidR="00E9776E" w:rsidRPr="00E9776E">
        <w:rPr>
          <w:rFonts w:eastAsia="Times New Roman" w:cs="Times New Roman"/>
          <w:szCs w:val="28"/>
        </w:rPr>
        <w:t>Việc ứng dụng công nghệ thông tin và hạ tầng dữ liệu đã tạo đột phá trong quản lý xuất nhập khẩu. Điển hình là việc triển khai Cơ chế một cửa quốc gia và ASEAN, xử lý hơn 640.000 hồ sơ điện tử trong 11 tháng đầu năm 2025. Đặc biệt, thủ tục Cấp Giấy chứng nhận xuất xứ hàng hóa (C/O) mẫu D điện tử (với 314.491 bộ hồ sơ) đã trở thành chứng từ điện tử đầu tiên của Việt Nam trao đổi quốc tế, trực tiếp nâng cao năng lực xuất khẩu trực tuyến cho doanh nghiệp.</w:t>
      </w:r>
    </w:p>
    <w:p w14:paraId="67DFDED5" w14:textId="48DF8260" w:rsidR="00AA59AF" w:rsidRPr="008D2933" w:rsidRDefault="00AA59A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Khi phân tích sâu </w:t>
      </w:r>
      <w:r w:rsidR="00E9776E">
        <w:rPr>
          <w:rFonts w:eastAsia="Times New Roman" w:cs="Times New Roman"/>
          <w:szCs w:val="28"/>
        </w:rPr>
        <w:t>tại</w:t>
      </w:r>
      <w:r w:rsidRPr="008D2933">
        <w:rPr>
          <w:rFonts w:eastAsia="Times New Roman" w:cs="Times New Roman"/>
          <w:szCs w:val="28"/>
        </w:rPr>
        <w:t xml:space="preserve"> địa phương và các khu kinh tế, tỷ trọng giá trị sản phẩm CNC trong xuất khẩu có sự phân hóa sâu sắc thành 3 nhóm:</w:t>
      </w:r>
    </w:p>
    <w:p w14:paraId="1274793C" w14:textId="77777777" w:rsidR="00AA59AF" w:rsidRPr="008D2933" w:rsidRDefault="00367AAD"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w:t>
      </w:r>
      <w:r w:rsidR="00AA59AF" w:rsidRPr="008D2933">
        <w:rPr>
          <w:rFonts w:eastAsia="Times New Roman" w:cs="Times New Roman"/>
          <w:szCs w:val="28"/>
        </w:rPr>
        <w:t>1</w:t>
      </w:r>
      <w:r w:rsidRPr="008D2933">
        <w:rPr>
          <w:rFonts w:eastAsia="Times New Roman" w:cs="Times New Roman"/>
          <w:szCs w:val="28"/>
        </w:rPr>
        <w:t>)</w:t>
      </w:r>
      <w:r w:rsidR="00AA59AF" w:rsidRPr="008D2933">
        <w:rPr>
          <w:rFonts w:eastAsia="Times New Roman" w:cs="Times New Roman"/>
          <w:szCs w:val="28"/>
        </w:rPr>
        <w:t xml:space="preserve"> Nhóm dẫn dắt xuất khẩu (Tỷ trọng áp đảo, phụ thuộc vào FDI điện tử - bán dẫn)</w:t>
      </w:r>
      <w:r w:rsidR="007D63EA">
        <w:rPr>
          <w:rFonts w:eastAsia="Times New Roman" w:cs="Times New Roman"/>
          <w:szCs w:val="28"/>
        </w:rPr>
        <w:t>.</w:t>
      </w:r>
      <w:r w:rsidR="00AA59AF" w:rsidRPr="008D2933">
        <w:rPr>
          <w:rFonts w:eastAsia="Times New Roman" w:cs="Times New Roman"/>
          <w:szCs w:val="28"/>
        </w:rPr>
        <w:t xml:space="preserve"> Ở nhóm này, sản phẩm CNC đóng vai trò là trụ cột quyết định toàn bộ kim ngạch xuất khẩu của địa phương:</w:t>
      </w:r>
    </w:p>
    <w:p w14:paraId="195B9CD6" w14:textId="77777777" w:rsidR="00AA59AF" w:rsidRPr="008D2933" w:rsidRDefault="00AA59AF" w:rsidP="00F6764F">
      <w:pPr>
        <w:widowControl w:val="0"/>
        <w:numPr>
          <w:ilvl w:val="0"/>
          <w:numId w:val="8"/>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Khu Công nghệ cao Thành phố Hồ Chí Minh: Kim ngạch xuất khẩu của các doanh nghiệp tại đây luôn chiếm tỷ trọng lớn trong tổng kim ngạch xuất khẩu của Thành phố. Quy mô xuất khẩu duy trì ở mức </w:t>
      </w:r>
      <w:r w:rsidR="007D63EA">
        <w:rPr>
          <w:rFonts w:eastAsia="Times New Roman" w:cs="Times New Roman"/>
          <w:szCs w:val="28"/>
        </w:rPr>
        <w:t>rất cao</w:t>
      </w:r>
      <w:r w:rsidRPr="008D2933">
        <w:rPr>
          <w:rFonts w:eastAsia="Times New Roman" w:cs="Times New Roman"/>
          <w:szCs w:val="28"/>
        </w:rPr>
        <w:t>: 19.080 triệu USD (2020); 20.900 triệu USD (2021); giảm nhẹ trong năm 2022-2023 nhưng đã phục hồi, ước đạt 20.532 triệu USD vào năm 2025.</w:t>
      </w:r>
    </w:p>
    <w:p w14:paraId="6A9C6D65" w14:textId="77777777" w:rsidR="00AA59AF" w:rsidRPr="008D2933" w:rsidRDefault="00F550B0" w:rsidP="00F6764F">
      <w:pPr>
        <w:widowControl w:val="0"/>
        <w:numPr>
          <w:ilvl w:val="0"/>
          <w:numId w:val="8"/>
        </w:numPr>
        <w:spacing w:before="120" w:after="120" w:line="240" w:lineRule="auto"/>
        <w:ind w:left="0" w:firstLine="567"/>
        <w:jc w:val="both"/>
        <w:rPr>
          <w:rFonts w:eastAsia="Times New Roman" w:cs="Times New Roman"/>
          <w:szCs w:val="28"/>
        </w:rPr>
      </w:pPr>
      <w:r>
        <w:rPr>
          <w:rFonts w:eastAsia="Times New Roman" w:cs="Times New Roman"/>
          <w:szCs w:val="28"/>
        </w:rPr>
        <w:t xml:space="preserve">Tình </w:t>
      </w:r>
      <w:r w:rsidR="00AA59AF" w:rsidRPr="008D2933">
        <w:rPr>
          <w:rFonts w:eastAsia="Times New Roman" w:cs="Times New Roman"/>
          <w:szCs w:val="28"/>
        </w:rPr>
        <w:t>Nghệ An: Tổng kim ngạch xuất khẩu năm 2025 ước đạt 4,4 tỷ USD (tăng 38,72%), trong đó sự đóng góp chủ đạo đến từ nhóm hàng điện tử, linh kiện bán dẫn của các doanh nghiệp FDI công nghệ cao.</w:t>
      </w:r>
    </w:p>
    <w:p w14:paraId="0E1DA99D" w14:textId="77777777" w:rsidR="00AA59AF" w:rsidRPr="008D2933" w:rsidRDefault="00367AAD"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w:t>
      </w:r>
      <w:r w:rsidR="00AA59AF" w:rsidRPr="008D2933">
        <w:rPr>
          <w:rFonts w:eastAsia="Times New Roman" w:cs="Times New Roman"/>
          <w:szCs w:val="28"/>
        </w:rPr>
        <w:t>2</w:t>
      </w:r>
      <w:r w:rsidRPr="008D2933">
        <w:rPr>
          <w:rFonts w:eastAsia="Times New Roman" w:cs="Times New Roman"/>
          <w:szCs w:val="28"/>
        </w:rPr>
        <w:t>)</w:t>
      </w:r>
      <w:r w:rsidR="00AA59AF" w:rsidRPr="008D2933">
        <w:rPr>
          <w:rFonts w:eastAsia="Times New Roman" w:cs="Times New Roman"/>
          <w:szCs w:val="28"/>
        </w:rPr>
        <w:t xml:space="preserve"> Nhóm chuyển đổi (CNC ứng dụng làm bệ phóng cho xuất khẩu nông sản) Ở nhóm này, không có sản phẩm xuất khẩu là phần cứng CNC (như chip, máy tính), nhưng tỷ trọng xuất khẩu tăng mạnh nhờ "yếu tố ứng dụng CNC":</w:t>
      </w:r>
    </w:p>
    <w:p w14:paraId="2300B16C" w14:textId="77777777" w:rsidR="00AA59AF" w:rsidRPr="008D2933" w:rsidRDefault="00367AAD"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S</w:t>
      </w:r>
      <w:r w:rsidR="00AA59AF" w:rsidRPr="008D2933">
        <w:rPr>
          <w:rFonts w:eastAsia="Times New Roman" w:cs="Times New Roman"/>
          <w:szCs w:val="28"/>
        </w:rPr>
        <w:t xml:space="preserve">ơn La: Giá trị xuất khẩu năm 2025 ước đạt 215 triệu USD, trong đó riêng hàng hóa nông sản chiếm tới 97% (đạt 208 triệu USD). Báo cáo nhấn mạnh việc </w:t>
      </w:r>
      <w:r w:rsidR="00AA59AF" w:rsidRPr="008D2933">
        <w:rPr>
          <w:rFonts w:eastAsia="Times New Roman" w:cs="Times New Roman"/>
          <w:szCs w:val="28"/>
        </w:rPr>
        <w:lastRenderedPageBreak/>
        <w:t>đẩy mạnh ứng dụng CNC trong bảo quản, chế biến sâu (cà phê, chè, sữa) đóng vai trò trọng tâm giúp nâng cao giá trị gia tăng và khả năn</w:t>
      </w:r>
      <w:r w:rsidR="008D00F9" w:rsidRPr="008D2933">
        <w:rPr>
          <w:rFonts w:eastAsia="Times New Roman" w:cs="Times New Roman"/>
          <w:szCs w:val="28"/>
        </w:rPr>
        <w:t>g cạnh tranh xuất khẩu của tỉnh</w:t>
      </w:r>
      <w:r w:rsidR="00AA59AF" w:rsidRPr="008D2933">
        <w:rPr>
          <w:rFonts w:eastAsia="Times New Roman" w:cs="Times New Roman"/>
          <w:szCs w:val="28"/>
        </w:rPr>
        <w:t>.</w:t>
      </w:r>
    </w:p>
    <w:p w14:paraId="6CA3375A" w14:textId="77777777" w:rsidR="00AA59AF" w:rsidRPr="008D2933" w:rsidRDefault="00367AAD"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w:t>
      </w:r>
      <w:r w:rsidR="00AA59AF" w:rsidRPr="008D2933">
        <w:rPr>
          <w:rFonts w:eastAsia="Times New Roman" w:cs="Times New Roman"/>
          <w:szCs w:val="28"/>
        </w:rPr>
        <w:t>3</w:t>
      </w:r>
      <w:r w:rsidRPr="008D2933">
        <w:rPr>
          <w:rFonts w:eastAsia="Times New Roman" w:cs="Times New Roman"/>
          <w:szCs w:val="28"/>
        </w:rPr>
        <w:t>)</w:t>
      </w:r>
      <w:r w:rsidR="00AA59AF" w:rsidRPr="008D2933">
        <w:rPr>
          <w:rFonts w:eastAsia="Times New Roman" w:cs="Times New Roman"/>
          <w:szCs w:val="28"/>
        </w:rPr>
        <w:t xml:space="preserve"> Nhóm vùng trũng (Tỷ trọng xuất khẩu CNC gần như bằng 0) Các tỉnh miền núi, biên giới chưa hình thành được ngành sản xuất sản phẩm CNC để tham gia vào chuỗi xuất khẩu</w:t>
      </w:r>
      <w:r w:rsidR="007D63EA">
        <w:rPr>
          <w:rFonts w:eastAsia="Times New Roman" w:cs="Times New Roman"/>
          <w:szCs w:val="28"/>
        </w:rPr>
        <w:t>, một số ví dụ như</w:t>
      </w:r>
      <w:r w:rsidR="00AA59AF" w:rsidRPr="008D2933">
        <w:rPr>
          <w:rFonts w:eastAsia="Times New Roman" w:cs="Times New Roman"/>
          <w:szCs w:val="28"/>
        </w:rPr>
        <w:t>:</w:t>
      </w:r>
    </w:p>
    <w:p w14:paraId="4C8F5D99" w14:textId="77777777" w:rsidR="00AA59AF" w:rsidRPr="008D2933" w:rsidRDefault="00AA59AF" w:rsidP="00F6764F">
      <w:pPr>
        <w:widowControl w:val="0"/>
        <w:numPr>
          <w:ilvl w:val="0"/>
          <w:numId w:val="9"/>
        </w:numPr>
        <w:spacing w:before="120" w:after="120" w:line="240" w:lineRule="auto"/>
        <w:ind w:left="0" w:firstLine="567"/>
        <w:jc w:val="both"/>
        <w:rPr>
          <w:rFonts w:eastAsia="Times New Roman" w:cs="Times New Roman"/>
          <w:szCs w:val="28"/>
        </w:rPr>
      </w:pPr>
      <w:r w:rsidRPr="008D2933">
        <w:rPr>
          <w:rFonts w:eastAsia="Times New Roman" w:cs="Times New Roman"/>
          <w:szCs w:val="28"/>
        </w:rPr>
        <w:t>Lào Cai: Xuất khẩu chủ yếu là khoáng sản và nông sản, trong đó sản phẩm có ứng dụng CNC (như nông sản hữu cơ) ước tính chỉ chiếm khoảng 3 - 5% tổng giá trị xuất khẩu.</w:t>
      </w:r>
    </w:p>
    <w:p w14:paraId="3306919F" w14:textId="77777777" w:rsidR="00AA59AF" w:rsidRPr="008D2933" w:rsidRDefault="00AA59AF" w:rsidP="00F6764F">
      <w:pPr>
        <w:widowControl w:val="0"/>
        <w:numPr>
          <w:ilvl w:val="0"/>
          <w:numId w:val="9"/>
        </w:numPr>
        <w:spacing w:before="120" w:after="120" w:line="240" w:lineRule="auto"/>
        <w:ind w:left="0" w:firstLine="567"/>
        <w:jc w:val="both"/>
        <w:rPr>
          <w:rFonts w:eastAsia="Times New Roman" w:cs="Times New Roman"/>
          <w:szCs w:val="28"/>
        </w:rPr>
      </w:pPr>
      <w:r w:rsidRPr="008D2933">
        <w:rPr>
          <w:rFonts w:eastAsia="Times New Roman" w:cs="Times New Roman"/>
          <w:szCs w:val="28"/>
        </w:rPr>
        <w:t>Điện Biên: Chưa hình thành các sản phẩm CNC tham gia xuất khẩu theo tiêu chí của Luật. Tỷ trọng yếu tố công nghệ cao trong kim ngạch xuất khẩu được ước tính là dưới 1%, chưa đáng kể.</w:t>
      </w:r>
    </w:p>
    <w:p w14:paraId="1E0D4ED7" w14:textId="77777777" w:rsidR="00AA59AF" w:rsidRPr="008D2933" w:rsidRDefault="00AA59A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Đánh giá tổng quan: Bức tranh xuất khẩu sản phẩm công nghệ cao của Việt Nam chủ yếu được định hình bởi sự dịch chuyển sản xuất thiết bị đầu cuối thông minh và vi mạch của các tập đoàn đa quốc gia vào các trung tâm kinh tế lớn. Đối với các địa phương còn lại, tỷ trọng này chủ yếu đến từ việc tăng hàm lượng công nghệ trong chế biến nông sản xuất khẩu</w:t>
      </w:r>
      <w:r w:rsidR="008D00F9" w:rsidRPr="008D2933">
        <w:rPr>
          <w:rFonts w:eastAsia="Times New Roman" w:cs="Times New Roman"/>
          <w:szCs w:val="28"/>
        </w:rPr>
        <w:t>.</w:t>
      </w:r>
    </w:p>
    <w:p w14:paraId="7F964BEB" w14:textId="41996E79" w:rsidR="00C0733E" w:rsidRPr="008D2933" w:rsidRDefault="00E9776E" w:rsidP="00E9776E">
      <w:pPr>
        <w:widowControl w:val="0"/>
        <w:tabs>
          <w:tab w:val="left" w:pos="567"/>
        </w:tabs>
        <w:spacing w:before="120" w:after="120" w:line="240" w:lineRule="auto"/>
        <w:jc w:val="both"/>
        <w:rPr>
          <w:rFonts w:eastAsia="Times New Roman" w:cs="Times New Roman"/>
          <w:b/>
          <w:szCs w:val="28"/>
          <w:lang w:val="vi-VN"/>
        </w:rPr>
      </w:pPr>
      <w:r>
        <w:rPr>
          <w:rFonts w:eastAsia="Times New Roman" w:cs="Times New Roman"/>
          <w:b/>
          <w:szCs w:val="28"/>
        </w:rPr>
        <w:tab/>
      </w:r>
      <w:r w:rsidR="00AA59AF" w:rsidRPr="008D2933">
        <w:rPr>
          <w:rFonts w:eastAsia="Times New Roman" w:cs="Times New Roman"/>
          <w:b/>
          <w:szCs w:val="28"/>
          <w:lang w:val="vi-VN"/>
        </w:rPr>
        <w:t xml:space="preserve"> </w:t>
      </w:r>
      <w:r w:rsidR="00C0733E" w:rsidRPr="008D2933">
        <w:rPr>
          <w:rFonts w:eastAsia="Times New Roman" w:cs="Times New Roman"/>
          <w:b/>
          <w:szCs w:val="28"/>
          <w:lang w:val="vi-VN"/>
        </w:rPr>
        <w:t xml:space="preserve">2.1.4. Giá trị đóng góp của </w:t>
      </w:r>
      <w:r w:rsidR="00846299" w:rsidRPr="00846299">
        <w:rPr>
          <w:b/>
          <w:szCs w:val="28"/>
          <w:lang w:val="es-ES"/>
        </w:rPr>
        <w:t>KH&amp;CN</w:t>
      </w:r>
      <w:r w:rsidR="00846299" w:rsidRPr="008D2933">
        <w:rPr>
          <w:rFonts w:eastAsia="Times New Roman" w:cs="Times New Roman"/>
          <w:b/>
          <w:szCs w:val="28"/>
          <w:lang w:val="vi-VN"/>
        </w:rPr>
        <w:t xml:space="preserve"> </w:t>
      </w:r>
      <w:r w:rsidR="00C0733E" w:rsidRPr="008D2933">
        <w:rPr>
          <w:rFonts w:eastAsia="Times New Roman" w:cs="Times New Roman"/>
          <w:b/>
          <w:szCs w:val="28"/>
          <w:lang w:val="vi-VN"/>
        </w:rPr>
        <w:t>vào GDP của Việt Nam giai đoạn từ 2020 đến nay</w:t>
      </w:r>
    </w:p>
    <w:p w14:paraId="43EB70F4" w14:textId="77777777" w:rsidR="006A6343" w:rsidRPr="00E9776E" w:rsidRDefault="006A6343"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Dựa trên sự tổng hợp từ các báo cáo của các Bộ, ngành và địa phương, việc đánh giá Giá trị đóng góp của KH&amp;CN vào GDP/GRDP giai đoạn từ 2020 đến nay bộc lộ một số đặc điểm và thực trạng đáng chú ý sau:</w:t>
      </w:r>
    </w:p>
    <w:p w14:paraId="3A5920C6" w14:textId="77777777" w:rsidR="006A6343" w:rsidRPr="00E9776E" w:rsidRDefault="006A6343"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(1) </w:t>
      </w:r>
      <w:r w:rsidR="004F58D1" w:rsidRPr="00E9776E">
        <w:rPr>
          <w:rFonts w:eastAsia="Times New Roman" w:cs="Times New Roman"/>
          <w:szCs w:val="28"/>
          <w:lang w:val="vi-VN"/>
        </w:rPr>
        <w:t>C</w:t>
      </w:r>
      <w:r w:rsidRPr="00E9776E">
        <w:rPr>
          <w:rFonts w:eastAsia="Times New Roman" w:cs="Times New Roman"/>
          <w:szCs w:val="28"/>
          <w:lang w:val="vi-VN"/>
        </w:rPr>
        <w:t>hưa có số liệu thống kê vĩ mô thống nhất về tỷ lệ phần trăm đóng góp trực tiếp của KH&amp;CN vào GDP trên phạm vi toàn quốc trong các báo cáo được cung cấp.</w:t>
      </w:r>
    </w:p>
    <w:p w14:paraId="084B277F" w14:textId="77777777" w:rsidR="006A6343" w:rsidRPr="00E9776E" w:rsidRDefault="006A6343" w:rsidP="00F6764F">
      <w:pPr>
        <w:widowControl w:val="0"/>
        <w:numPr>
          <w:ilvl w:val="0"/>
          <w:numId w:val="9"/>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Nhiều cơ quan quản lý nhà nước như Bộ Xây dựng xác n</w:t>
      </w:r>
      <w:r w:rsidR="00C10DFF" w:rsidRPr="00E9776E">
        <w:rPr>
          <w:rFonts w:eastAsia="Times New Roman" w:cs="Times New Roman"/>
          <w:szCs w:val="28"/>
          <w:lang w:val="vi-VN"/>
        </w:rPr>
        <w:t>hận</w:t>
      </w:r>
      <w:r w:rsidRPr="00E9776E">
        <w:rPr>
          <w:rFonts w:eastAsia="Times New Roman" w:cs="Times New Roman"/>
          <w:szCs w:val="28"/>
          <w:lang w:val="vi-VN"/>
        </w:rPr>
        <w:t xml:space="preserve"> không có chức năng tổng hợp số liệu này và đề nghị Bộ KH&amp;CN cung cấp số liệu chính thức.</w:t>
      </w:r>
    </w:p>
    <w:p w14:paraId="4636E544" w14:textId="324456A3" w:rsidR="006A6343" w:rsidRPr="00E9776E" w:rsidRDefault="006A6343" w:rsidP="00F6764F">
      <w:pPr>
        <w:widowControl w:val="0"/>
        <w:numPr>
          <w:ilvl w:val="0"/>
          <w:numId w:val="9"/>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Ở địa phương, nhiều tỉnh (như Lào Cai) cũng thừa nhận hệ thống báo cáo chưa đồng bộ nên không có thống kê riêng biệt, đầy đủ về đóng góp trực tiếp của KH&amp;CN vào GRDP.</w:t>
      </w:r>
    </w:p>
    <w:p w14:paraId="43062909" w14:textId="77777777" w:rsidR="006A6343" w:rsidRPr="00E9776E" w:rsidRDefault="006A6343"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(2) Để đo lường sự đóng góp của KH&amp;CN vào tăng trưởng kinh tế, các địa phương có nền tảng công nghiệp và dịch vụ phát triển thường sử dụng TFP. Qua lăng kính này, sự đóng góp của KH&amp;CN có sự phân hóa mạnh mẽ:</w:t>
      </w:r>
    </w:p>
    <w:p w14:paraId="5E61151C" w14:textId="77777777" w:rsidR="006A6343" w:rsidRPr="00E9776E" w:rsidRDefault="006A6343" w:rsidP="00F6764F">
      <w:pPr>
        <w:widowControl w:val="0"/>
        <w:numPr>
          <w:ilvl w:val="0"/>
          <w:numId w:val="9"/>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Nhóm các tỉnh công nghiệp phát triển (Đóng góp của KH&amp;CN ở mức rất cao, định hình mô hình tăng trưởng chiều sâu):</w:t>
      </w:r>
    </w:p>
    <w:p w14:paraId="4D73C104" w14:textId="00B87BB1" w:rsidR="006A6343" w:rsidRPr="00E9776E" w:rsidRDefault="00D0672E" w:rsidP="00D0672E">
      <w:pPr>
        <w:widowControl w:val="0"/>
        <w:spacing w:before="120" w:after="120" w:line="240" w:lineRule="auto"/>
        <w:ind w:firstLine="567"/>
        <w:jc w:val="both"/>
        <w:rPr>
          <w:rFonts w:eastAsia="Times New Roman" w:cs="Times New Roman"/>
          <w:szCs w:val="28"/>
          <w:lang w:val="vi-VN"/>
        </w:rPr>
      </w:pPr>
      <w:r w:rsidRPr="00D0672E">
        <w:rPr>
          <w:rFonts w:eastAsia="Times New Roman" w:cs="Times New Roman"/>
          <w:szCs w:val="28"/>
          <w:lang w:val="vi-VN"/>
        </w:rPr>
        <w:t xml:space="preserve">+ </w:t>
      </w:r>
      <w:r w:rsidR="006A6343" w:rsidRPr="00E9776E">
        <w:rPr>
          <w:rFonts w:eastAsia="Times New Roman" w:cs="Times New Roman"/>
          <w:szCs w:val="28"/>
          <w:lang w:val="vi-VN"/>
        </w:rPr>
        <w:t xml:space="preserve">Quảng Ninh: </w:t>
      </w:r>
      <w:r w:rsidR="009A34B4" w:rsidRPr="00E9776E">
        <w:rPr>
          <w:rFonts w:eastAsia="Times New Roman" w:cs="Times New Roman"/>
          <w:szCs w:val="28"/>
          <w:lang w:val="vi-VN"/>
        </w:rPr>
        <w:t xml:space="preserve">là </w:t>
      </w:r>
      <w:r w:rsidR="006A6343" w:rsidRPr="00E9776E">
        <w:rPr>
          <w:rFonts w:eastAsia="Times New Roman" w:cs="Times New Roman"/>
          <w:szCs w:val="28"/>
          <w:lang w:val="vi-VN"/>
        </w:rPr>
        <w:t>địa phương tiêu biểu cho việc chuyển đổi thành công mô hình tăng trưởng. Tỷ lệ đóng góp của TFP vào GRDP của tỉnh đã tăng liên tục từ 43,48% (năm 2021) lên 50,01% (năm 2023), và tiếp tục duy trì trên mức 50% trong các năm 2024, 2025. Chỉ số Đổi mới sáng tạo cấp địa phương (PII) của Quảng Ninh năm 2025 cũng xếp thứ 3 toàn quốc.</w:t>
      </w:r>
    </w:p>
    <w:p w14:paraId="6CC09B3B" w14:textId="50BC2C2B" w:rsidR="006A6343" w:rsidRPr="00E9776E" w:rsidRDefault="00D0672E" w:rsidP="00D0672E">
      <w:pPr>
        <w:widowControl w:val="0"/>
        <w:spacing w:before="120" w:after="120" w:line="240" w:lineRule="auto"/>
        <w:ind w:firstLine="567"/>
        <w:jc w:val="both"/>
        <w:rPr>
          <w:rFonts w:eastAsia="Times New Roman" w:cs="Times New Roman"/>
          <w:szCs w:val="28"/>
          <w:lang w:val="vi-VN"/>
        </w:rPr>
      </w:pPr>
      <w:r w:rsidRPr="00D0672E">
        <w:rPr>
          <w:rFonts w:eastAsia="Times New Roman" w:cs="Times New Roman"/>
          <w:szCs w:val="28"/>
          <w:lang w:val="vi-VN"/>
        </w:rPr>
        <w:lastRenderedPageBreak/>
        <w:t xml:space="preserve">+ </w:t>
      </w:r>
      <w:r w:rsidR="006A6343" w:rsidRPr="00E9776E">
        <w:rPr>
          <w:rFonts w:eastAsia="Times New Roman" w:cs="Times New Roman"/>
          <w:szCs w:val="28"/>
          <w:lang w:val="vi-VN"/>
        </w:rPr>
        <w:t>Nghệ An: Với sự bứt phá trong thu hút FDI công nghệ cao, tỉnh cũng đặt mục tiêu đóng góp của TFP vào tăng trưởng kinh tế đạt mức 50%.</w:t>
      </w:r>
    </w:p>
    <w:p w14:paraId="66AA9ACC" w14:textId="6275AEE5" w:rsidR="006A6343" w:rsidRPr="00D0672E" w:rsidRDefault="006A6343" w:rsidP="00D0672E">
      <w:pPr>
        <w:widowControl w:val="0"/>
        <w:numPr>
          <w:ilvl w:val="0"/>
          <w:numId w:val="9"/>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Nhóm các tỉnh miền núi, biên giới (Đóng góp của KH&amp;CN còn khiêm tốn):</w:t>
      </w:r>
      <w:r w:rsidR="00D0672E" w:rsidRPr="00D0672E">
        <w:rPr>
          <w:rFonts w:eastAsia="Times New Roman" w:cs="Times New Roman"/>
          <w:szCs w:val="28"/>
          <w:lang w:val="vi-VN"/>
        </w:rPr>
        <w:t xml:space="preserve"> </w:t>
      </w:r>
      <w:r w:rsidRPr="00D0672E">
        <w:rPr>
          <w:rFonts w:eastAsia="Times New Roman" w:cs="Times New Roman"/>
          <w:szCs w:val="28"/>
          <w:lang w:val="vi-VN"/>
        </w:rPr>
        <w:t>Trái ngược với nhóm dẫn đầu, sự đóng góp của KH&amp;CN vào GRDP tại các tỉnh miền núi còn khá thấp do quy mô kinh tế nhỏ và hạ tầng công nghệ hạn chế. Tại Điện Biên, tỷ lệ đóng góp của KH&amp;CN, đổi mới sáng tạo và chuyển đổi số vào GRDP của tỉnh chỉ ước đạt khoảng gần 7%.</w:t>
      </w:r>
    </w:p>
    <w:p w14:paraId="3A0162AB" w14:textId="77777777" w:rsidR="006A6343" w:rsidRPr="00E9776E" w:rsidRDefault="006A6343"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(3) Cơ chế đóng góp của KH&amp;CN vào nền kinh tế địa phương </w:t>
      </w:r>
      <w:r w:rsidR="00DB2A56" w:rsidRPr="00E9776E">
        <w:rPr>
          <w:rFonts w:eastAsia="Times New Roman" w:cs="Times New Roman"/>
          <w:szCs w:val="28"/>
          <w:lang w:val="vi-VN"/>
        </w:rPr>
        <w:t>m</w:t>
      </w:r>
      <w:r w:rsidRPr="00E9776E">
        <w:rPr>
          <w:rFonts w:eastAsia="Times New Roman" w:cs="Times New Roman"/>
          <w:szCs w:val="28"/>
          <w:lang w:val="vi-VN"/>
        </w:rPr>
        <w:t xml:space="preserve">ặc dù thiếu con số tổng hợp, các báo cáo đã chỉ ra rõ cách thức mà KH&amp;CN đang </w:t>
      </w:r>
      <w:r w:rsidR="00DB2A56" w:rsidRPr="00E9776E">
        <w:rPr>
          <w:rFonts w:eastAsia="Times New Roman" w:cs="Times New Roman"/>
          <w:szCs w:val="28"/>
          <w:lang w:val="vi-VN"/>
        </w:rPr>
        <w:t>tạo</w:t>
      </w:r>
      <w:r w:rsidRPr="00E9776E">
        <w:rPr>
          <w:rFonts w:eastAsia="Times New Roman" w:cs="Times New Roman"/>
          <w:szCs w:val="28"/>
          <w:lang w:val="vi-VN"/>
        </w:rPr>
        <w:t xml:space="preserve"> giá trị vào GRDP, đặc biệt tại các tỉnh lấy nông nghiệp làm trọng tâm:</w:t>
      </w:r>
    </w:p>
    <w:p w14:paraId="62331CCD" w14:textId="77777777" w:rsidR="006A6343" w:rsidRPr="00E9776E" w:rsidRDefault="006A6343" w:rsidP="00F6764F">
      <w:pPr>
        <w:widowControl w:val="0"/>
        <w:numPr>
          <w:ilvl w:val="0"/>
          <w:numId w:val="9"/>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Tăng năng suất và giá trị thu hoạch: Tại Sơn La, việc ứng dụng KH&amp;CN (đặc biệt là nông nghiệp ứng dụng CNC) đã giúp giá trị thu hoạch trên 1 héc-ta đất trồng trọt năm 2025 ước đạt 73 triệu đồng (tăng 43,7% so với 2020), và thu nhập mặt nước nuôi trồng thủy sản tăng 30,8%.</w:t>
      </w:r>
    </w:p>
    <w:p w14:paraId="5DE4C6C7" w14:textId="77777777" w:rsidR="006A6343" w:rsidRPr="00E9776E" w:rsidRDefault="006A6343" w:rsidP="00F6764F">
      <w:pPr>
        <w:widowControl w:val="0"/>
        <w:numPr>
          <w:ilvl w:val="0"/>
          <w:numId w:val="9"/>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Giảm chi phí và tối ưu hóa: Đóng góp của KH&amp;CN không chỉ nằm ở việc tạo ra sản phẩm mới mà còn thông qua việc giảm chi phí quản lý, giao dịch nhờ chuyển đổi số và gia tăng năng suất lao động trong cả khu vực công và doanh nghiệp tư nhân (như báo cáo của Điện Biên).</w:t>
      </w:r>
    </w:p>
    <w:p w14:paraId="2CAAA61F" w14:textId="77777777" w:rsidR="006A6343" w:rsidRPr="00E9776E" w:rsidRDefault="006A6343"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Phân tích cho thấy đóng góp của KH&amp;CN vào GDP/GRDP đang đóng vai trò then chốt (với tỷ lệ TFP chiếm tới 50% ở các tỉnh dẫn đầu),. Tuy nhiên, để có bức tranh toàn cảnh cấp quốc gia, Việt Nam đang rất thiếu một hệ thống chỉ tiêu thống kê và đo lường đồng bộ từ cấp cơ sở lên Trung ương đối với các hàm lượng giá trị vô hình này.</w:t>
      </w:r>
    </w:p>
    <w:p w14:paraId="29B3C755" w14:textId="77777777" w:rsidR="0051789A" w:rsidRPr="008D2933" w:rsidRDefault="00871CC0" w:rsidP="00871CC0">
      <w:pPr>
        <w:widowControl w:val="0"/>
        <w:tabs>
          <w:tab w:val="left" w:pos="567"/>
        </w:tabs>
        <w:spacing w:before="120" w:after="120" w:line="240" w:lineRule="auto"/>
        <w:jc w:val="both"/>
        <w:rPr>
          <w:rFonts w:eastAsia="Times New Roman" w:cs="Times New Roman"/>
          <w:b/>
          <w:szCs w:val="28"/>
          <w:lang w:val="vi-VN"/>
        </w:rPr>
      </w:pPr>
      <w:r w:rsidRPr="008D2933">
        <w:rPr>
          <w:rFonts w:eastAsia="Times New Roman" w:cs="Times New Roman"/>
          <w:b/>
          <w:szCs w:val="28"/>
          <w:lang w:val="vi-VN"/>
        </w:rPr>
        <w:tab/>
      </w:r>
      <w:r w:rsidR="0051789A" w:rsidRPr="008D2933">
        <w:rPr>
          <w:rFonts w:eastAsia="Times New Roman" w:cs="Times New Roman"/>
          <w:b/>
          <w:szCs w:val="28"/>
          <w:lang w:val="vi-VN"/>
        </w:rPr>
        <w:t>2.2. Kết quả triển khai Danh mục công nghệ cao được ưu tiên đầu tư phát triển và sản phẩm công nghệ cao được khuyến khích phát triển (từ năm 2020 đến nay)</w:t>
      </w:r>
    </w:p>
    <w:p w14:paraId="70F2DA13" w14:textId="77777777" w:rsidR="006A3E2C" w:rsidRPr="00E9776E" w:rsidRDefault="006A3E2C" w:rsidP="00CA4AC2">
      <w:pPr>
        <w:widowControl w:val="0"/>
        <w:spacing w:before="120" w:after="120" w:line="240" w:lineRule="auto"/>
        <w:ind w:firstLine="547"/>
        <w:jc w:val="both"/>
        <w:rPr>
          <w:rFonts w:eastAsia="Times New Roman" w:cs="Times New Roman"/>
          <w:spacing w:val="-4"/>
          <w:szCs w:val="28"/>
          <w:lang w:val="vi-VN"/>
        </w:rPr>
      </w:pPr>
      <w:r w:rsidRPr="00E9776E">
        <w:rPr>
          <w:rFonts w:eastAsia="Times New Roman" w:cs="Times New Roman"/>
          <w:spacing w:val="-4"/>
          <w:szCs w:val="28"/>
          <w:lang w:val="vi-VN"/>
        </w:rPr>
        <w:t>Kết quả triển khai Danh mục CNC trên thực tế được thể hiện rõ nét qua ba khía cạnh chính: (1) việc quy hoạch và phát triển hạ tầng kỹ thuật tập trung thông qua các Khu công nghệ cao; (2) công tác công nhận, cấp giấy chứng nhận cho các doanh nghiệp đủ tiêu chí; và (3) những thành tựu cụ thể trong hoạt động nghiên cứu, phát triển và ứng dụng CNC tại các viện nghiên cứu, trường đại học và doanh nghiệp.</w:t>
      </w:r>
    </w:p>
    <w:p w14:paraId="2FA4EEB5" w14:textId="77777777" w:rsidR="0051789A" w:rsidRPr="008D2933" w:rsidRDefault="0051789A" w:rsidP="00CA4AC2">
      <w:pPr>
        <w:widowControl w:val="0"/>
        <w:tabs>
          <w:tab w:val="left" w:pos="851"/>
        </w:tabs>
        <w:spacing w:before="120" w:after="120" w:line="240" w:lineRule="auto"/>
        <w:ind w:firstLine="567"/>
        <w:jc w:val="both"/>
        <w:rPr>
          <w:rFonts w:eastAsia="Times New Roman" w:cs="Times New Roman"/>
          <w:b/>
          <w:szCs w:val="28"/>
          <w:lang w:val="vi-VN"/>
        </w:rPr>
      </w:pPr>
      <w:r w:rsidRPr="008D2933">
        <w:rPr>
          <w:rFonts w:eastAsia="Times New Roman" w:cs="Times New Roman"/>
          <w:b/>
          <w:szCs w:val="28"/>
          <w:lang w:val="vi-VN"/>
        </w:rPr>
        <w:t>2.2.1. Tại các Khu Công nghệ cao - Tổng vốn đầu tư và doanh thu của các doanh nghiệp/tổ chức trong các khu CNC theo từng năm:</w:t>
      </w:r>
    </w:p>
    <w:p w14:paraId="65666D7E" w14:textId="77777777" w:rsidR="00B71DAB" w:rsidRPr="00E9776E" w:rsidRDefault="00C90B4B" w:rsidP="00CA4AC2">
      <w:pPr>
        <w:widowControl w:val="0"/>
        <w:tabs>
          <w:tab w:val="left" w:pos="851"/>
        </w:tabs>
        <w:spacing w:before="120" w:after="120" w:line="240" w:lineRule="auto"/>
        <w:ind w:firstLine="567"/>
        <w:jc w:val="both"/>
        <w:rPr>
          <w:rFonts w:eastAsia="Times New Roman" w:cs="Times New Roman"/>
          <w:szCs w:val="28"/>
          <w:lang w:val="sv-SE"/>
        </w:rPr>
      </w:pPr>
      <w:r w:rsidRPr="00E9776E">
        <w:rPr>
          <w:rFonts w:eastAsia="Times New Roman" w:cs="Times New Roman"/>
          <w:bCs/>
          <w:szCs w:val="28"/>
          <w:lang w:val="sv-SE"/>
        </w:rPr>
        <w:t>i)</w:t>
      </w:r>
      <w:r w:rsidR="00B71DAB" w:rsidRPr="00E9776E">
        <w:rPr>
          <w:rFonts w:eastAsia="Times New Roman" w:cs="Times New Roman"/>
          <w:bCs/>
          <w:szCs w:val="28"/>
          <w:lang w:val="sv-SE"/>
        </w:rPr>
        <w:t xml:space="preserve"> Khu Công nghệ cao TP. Hồ Chí Minh (Đầu tàu tỷ USD và sự chững lại của chu kỳ kinh tế)</w:t>
      </w:r>
      <w:r w:rsidR="00B71DAB" w:rsidRPr="00E9776E">
        <w:rPr>
          <w:rFonts w:eastAsia="Times New Roman" w:cs="Times New Roman"/>
          <w:szCs w:val="28"/>
          <w:lang w:val="sv-SE"/>
        </w:rPr>
        <w:t xml:space="preserve"> KCNC TP.HCM hiện là hạt nhân đóng góp lớn nhất vào bức tranh công nghệ cao cả nước. Tính lũy kế đến nay, khu vực này thu hút 166 dự án còn hiệu lực với tổng vốn đầu tư 259.350 tỷ VNĐ (tương đương 12,863 tỷ USD).</w:t>
      </w:r>
    </w:p>
    <w:p w14:paraId="25836F83" w14:textId="77777777" w:rsidR="00B71DAB" w:rsidRPr="00E9776E" w:rsidRDefault="00B71DAB" w:rsidP="00F6764F">
      <w:pPr>
        <w:widowControl w:val="0"/>
        <w:numPr>
          <w:ilvl w:val="1"/>
          <w:numId w:val="10"/>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Sự áp đảo của vốn FDI so với doanh nghiệp nội địa:</w:t>
      </w:r>
      <w:r w:rsidR="00C90B4B" w:rsidRPr="00E9776E">
        <w:rPr>
          <w:rFonts w:eastAsia="Times New Roman" w:cs="Times New Roman"/>
          <w:bCs/>
          <w:szCs w:val="28"/>
          <w:lang w:val="sv-SE"/>
        </w:rPr>
        <w:t xml:space="preserve"> </w:t>
      </w:r>
      <w:r w:rsidRPr="00E9776E">
        <w:rPr>
          <w:rFonts w:eastAsia="Times New Roman" w:cs="Times New Roman"/>
          <w:szCs w:val="28"/>
          <w:lang w:val="sv-SE"/>
        </w:rPr>
        <w:t>Về số lượng dự án, khối trong nước chiếm ưu thế với 110 dự án (so với 56 dự án FDI).</w:t>
      </w:r>
      <w:r w:rsidR="00C90B4B" w:rsidRPr="00E9776E">
        <w:rPr>
          <w:rFonts w:eastAsia="Times New Roman" w:cs="Times New Roman"/>
          <w:szCs w:val="28"/>
          <w:lang w:val="sv-SE"/>
        </w:rPr>
        <w:t xml:space="preserve"> </w:t>
      </w:r>
      <w:r w:rsidRPr="00E9776E">
        <w:rPr>
          <w:rFonts w:eastAsia="Times New Roman" w:cs="Times New Roman"/>
          <w:szCs w:val="28"/>
          <w:lang w:val="sv-SE"/>
        </w:rPr>
        <w:t xml:space="preserve">Tuy nhiên, về quy mô vốn, 56 dự án FDI chiếm tới </w:t>
      </w:r>
      <w:r w:rsidRPr="00E9776E">
        <w:rPr>
          <w:rFonts w:eastAsia="Times New Roman" w:cs="Times New Roman"/>
          <w:bCs/>
          <w:szCs w:val="28"/>
          <w:lang w:val="sv-SE"/>
        </w:rPr>
        <w:t>10,442 tỷ USD</w:t>
      </w:r>
      <w:r w:rsidRPr="00E9776E">
        <w:rPr>
          <w:rFonts w:eastAsia="Times New Roman" w:cs="Times New Roman"/>
          <w:szCs w:val="28"/>
          <w:lang w:val="sv-SE"/>
        </w:rPr>
        <w:t xml:space="preserve"> (chiếm hơn 81% tổng vốn), trong khi 110 dự án trong nước chỉ đóng góp khoảng </w:t>
      </w:r>
      <w:r w:rsidRPr="00E9776E">
        <w:rPr>
          <w:rFonts w:eastAsia="Times New Roman" w:cs="Times New Roman"/>
          <w:bCs/>
          <w:szCs w:val="28"/>
          <w:lang w:val="sv-SE"/>
        </w:rPr>
        <w:t>2,42 tỷ USD</w:t>
      </w:r>
      <w:r w:rsidRPr="00E9776E">
        <w:rPr>
          <w:rFonts w:eastAsia="Times New Roman" w:cs="Times New Roman"/>
          <w:szCs w:val="28"/>
          <w:lang w:val="sv-SE"/>
        </w:rPr>
        <w:t xml:space="preserve">. Điều này cho </w:t>
      </w:r>
      <w:r w:rsidRPr="00E9776E">
        <w:rPr>
          <w:rFonts w:eastAsia="Times New Roman" w:cs="Times New Roman"/>
          <w:szCs w:val="28"/>
          <w:lang w:val="sv-SE"/>
        </w:rPr>
        <w:lastRenderedPageBreak/>
        <w:t>thấy các dự án nội địa chủ yếu ở quy mô vừa và nhỏ, trong khi các "đại bàng" quốc tế nắm giữ các tổ hợp sản xuất thâm dụng vốn lớn.</w:t>
      </w:r>
    </w:p>
    <w:p w14:paraId="3E59CE48" w14:textId="77777777" w:rsidR="00B71DAB" w:rsidRPr="00E9776E" w:rsidRDefault="00B71DAB" w:rsidP="00F6764F">
      <w:pPr>
        <w:widowControl w:val="0"/>
        <w:numPr>
          <w:ilvl w:val="1"/>
          <w:numId w:val="10"/>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Vốn đầu tư tăng đều nhưng doanh thu chững lại:</w:t>
      </w:r>
      <w:r w:rsidR="00C90B4B" w:rsidRPr="00E9776E">
        <w:rPr>
          <w:rFonts w:eastAsia="Times New Roman" w:cs="Times New Roman"/>
          <w:bCs/>
          <w:szCs w:val="28"/>
          <w:lang w:val="sv-SE"/>
        </w:rPr>
        <w:t xml:space="preserve"> </w:t>
      </w:r>
      <w:r w:rsidRPr="00E9776E">
        <w:rPr>
          <w:rFonts w:eastAsia="Times New Roman" w:cs="Times New Roman"/>
          <w:bCs/>
          <w:szCs w:val="28"/>
          <w:lang w:val="sv-SE"/>
        </w:rPr>
        <w:t>Vốn đầu tư lũy kế</w:t>
      </w:r>
      <w:r w:rsidRPr="00E9776E">
        <w:rPr>
          <w:rFonts w:eastAsia="Times New Roman" w:cs="Times New Roman"/>
          <w:szCs w:val="28"/>
          <w:lang w:val="sv-SE"/>
        </w:rPr>
        <w:t xml:space="preserve"> tăng trưởng liên tục qua các năm: 7,6 tỷ USD (2020) lên 12,125 tỷ USD (2022) và đạt 12,836 tỷ USD (năm 2025).</w:t>
      </w:r>
    </w:p>
    <w:p w14:paraId="164B63E5" w14:textId="77777777" w:rsidR="00B71DAB" w:rsidRPr="00E9776E" w:rsidRDefault="00B71DAB" w:rsidP="00F6764F">
      <w:pPr>
        <w:widowControl w:val="0"/>
        <w:numPr>
          <w:ilvl w:val="1"/>
          <w:numId w:val="10"/>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Doanh thu thuần</w:t>
      </w:r>
      <w:r w:rsidRPr="00E9776E">
        <w:rPr>
          <w:rFonts w:eastAsia="Times New Roman" w:cs="Times New Roman"/>
          <w:szCs w:val="28"/>
          <w:lang w:val="sv-SE"/>
        </w:rPr>
        <w:t xml:space="preserve"> lại có biểu đồ hình sin: Tăng từ 8.041 triệu USD (2020) lên đạt đỉnh 10.993,34 triệu USD (2022), nhưng sau đó </w:t>
      </w:r>
      <w:r w:rsidRPr="00E9776E">
        <w:rPr>
          <w:rFonts w:eastAsia="Times New Roman" w:cs="Times New Roman"/>
          <w:bCs/>
          <w:szCs w:val="28"/>
          <w:lang w:val="sv-SE"/>
        </w:rPr>
        <w:t>sụt giảm và đi ngang</w:t>
      </w:r>
      <w:r w:rsidRPr="00E9776E">
        <w:rPr>
          <w:rFonts w:eastAsia="Times New Roman" w:cs="Times New Roman"/>
          <w:szCs w:val="28"/>
          <w:lang w:val="sv-SE"/>
        </w:rPr>
        <w:t xml:space="preserve"> ở mức 9.553 triệu USD (2023) và 9.493 triệu USD (2025). Sự chững lại này phản ánh sức ảnh hưởng của đứt gãy chuỗi cung ứng toàn cầu và sự suy giảm nhu cầu điện tử tiêu dùng thế giới trong các năm gần đây.</w:t>
      </w:r>
    </w:p>
    <w:p w14:paraId="65440375" w14:textId="77777777" w:rsidR="00B71DAB" w:rsidRPr="00E9776E" w:rsidRDefault="00B71DAB" w:rsidP="00F6764F">
      <w:pPr>
        <w:widowControl w:val="0"/>
        <w:numPr>
          <w:ilvl w:val="0"/>
          <w:numId w:val="10"/>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Dấu hiệu tích cực về thu hút dự án theo Quyết định 38/2020/QĐ-TTg:</w:t>
      </w:r>
      <w:r w:rsidRPr="00E9776E">
        <w:rPr>
          <w:rFonts w:eastAsia="Times New Roman" w:cs="Times New Roman"/>
          <w:szCs w:val="28"/>
          <w:lang w:val="sv-SE"/>
        </w:rPr>
        <w:t xml:space="preserve"> Số lượng dự án mới thuộc danh mục ưu tiên công nghệ cao tăng dần theo từng năm: 03 dự án (năm 2021); 03 dự án (năm 2022); 03 dự án (năm 2023); 04 dự án (năm 2024) và </w:t>
      </w:r>
      <w:r w:rsidRPr="00E9776E">
        <w:rPr>
          <w:rFonts w:eastAsia="Times New Roman" w:cs="Times New Roman"/>
          <w:bCs/>
          <w:szCs w:val="28"/>
          <w:lang w:val="sv-SE"/>
        </w:rPr>
        <w:t>07 dự án</w:t>
      </w:r>
      <w:r w:rsidRPr="00E9776E">
        <w:rPr>
          <w:rFonts w:eastAsia="Times New Roman" w:cs="Times New Roman"/>
          <w:szCs w:val="28"/>
          <w:lang w:val="sv-SE"/>
        </w:rPr>
        <w:t xml:space="preserve"> (năm 2025).</w:t>
      </w:r>
    </w:p>
    <w:p w14:paraId="7D459357" w14:textId="77777777" w:rsidR="00B71DAB" w:rsidRPr="00E9776E" w:rsidRDefault="00C90B4B" w:rsidP="00CA4AC2">
      <w:pPr>
        <w:widowControl w:val="0"/>
        <w:tabs>
          <w:tab w:val="left" w:pos="851"/>
        </w:tabs>
        <w:spacing w:before="120" w:after="120" w:line="240" w:lineRule="auto"/>
        <w:ind w:firstLine="567"/>
        <w:jc w:val="both"/>
        <w:rPr>
          <w:rFonts w:eastAsia="Times New Roman" w:cs="Times New Roman"/>
          <w:spacing w:val="-6"/>
          <w:szCs w:val="28"/>
          <w:lang w:val="sv-SE"/>
        </w:rPr>
      </w:pPr>
      <w:r w:rsidRPr="00E9776E">
        <w:rPr>
          <w:rFonts w:eastAsia="Times New Roman" w:cs="Times New Roman"/>
          <w:bCs/>
          <w:spacing w:val="-6"/>
          <w:szCs w:val="28"/>
          <w:lang w:val="sv-SE"/>
        </w:rPr>
        <w:t>ii)</w:t>
      </w:r>
      <w:r w:rsidR="00B71DAB" w:rsidRPr="00E9776E">
        <w:rPr>
          <w:rFonts w:eastAsia="Times New Roman" w:cs="Times New Roman"/>
          <w:bCs/>
          <w:spacing w:val="-6"/>
          <w:szCs w:val="28"/>
          <w:lang w:val="sv-SE"/>
        </w:rPr>
        <w:t xml:space="preserve"> Khu Công nghệ cao Đà Nẵng (Sự bứt tốc của FDI và tính bấp bênh của doanh nghiệp nội)</w:t>
      </w:r>
      <w:r w:rsidR="00B71DAB" w:rsidRPr="00E9776E">
        <w:rPr>
          <w:rFonts w:eastAsia="Times New Roman" w:cs="Times New Roman"/>
          <w:spacing w:val="-6"/>
          <w:szCs w:val="28"/>
          <w:lang w:val="sv-SE"/>
        </w:rPr>
        <w:t xml:space="preserve"> Dù có quy mô nhỏ hơn (lũy kế 29 doanh nghiệp đến cuối 2025), KCNC Đà Nẵng lại phơi bày rõ nhất mặt trái của các doanh nghiệp công nghệ nội địa.</w:t>
      </w:r>
    </w:p>
    <w:p w14:paraId="713269C3" w14:textId="77777777" w:rsidR="00B71DAB" w:rsidRPr="00E9776E" w:rsidRDefault="00B71DAB" w:rsidP="00F6764F">
      <w:pPr>
        <w:widowControl w:val="0"/>
        <w:numPr>
          <w:ilvl w:val="0"/>
          <w:numId w:val="11"/>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Tổng vốn đầu tư:</w:t>
      </w:r>
      <w:r w:rsidRPr="00E9776E">
        <w:rPr>
          <w:rFonts w:eastAsia="Times New Roman" w:cs="Times New Roman"/>
          <w:szCs w:val="28"/>
          <w:lang w:val="sv-SE"/>
        </w:rPr>
        <w:t xml:space="preserve"> Tăng trưởng đều ở cả hai khối. Khối trong nước tăng từ 6.291 tỷ VNĐ (2020) lên 10.576 tỷ VNĐ (2025); khối FDI tăng từ 400,1 triệu USD (2020) lên 770,5 triệu USD (2025).</w:t>
      </w:r>
    </w:p>
    <w:p w14:paraId="3610531B" w14:textId="77777777" w:rsidR="00B71DAB" w:rsidRPr="00E9776E" w:rsidRDefault="00B71DAB" w:rsidP="00F6764F">
      <w:pPr>
        <w:widowControl w:val="0"/>
        <w:numPr>
          <w:ilvl w:val="1"/>
          <w:numId w:val="11"/>
        </w:numPr>
        <w:tabs>
          <w:tab w:val="left" w:pos="851"/>
        </w:tabs>
        <w:spacing w:before="120" w:after="120" w:line="240" w:lineRule="auto"/>
        <w:ind w:left="0" w:firstLine="567"/>
        <w:jc w:val="both"/>
        <w:rPr>
          <w:rFonts w:eastAsia="Times New Roman" w:cs="Times New Roman"/>
          <w:spacing w:val="-2"/>
          <w:szCs w:val="28"/>
          <w:lang w:val="sv-SE"/>
        </w:rPr>
      </w:pPr>
      <w:r w:rsidRPr="00E9776E">
        <w:rPr>
          <w:rFonts w:eastAsia="Times New Roman" w:cs="Times New Roman"/>
          <w:bCs/>
          <w:spacing w:val="-2"/>
          <w:szCs w:val="28"/>
          <w:lang w:val="sv-SE"/>
        </w:rPr>
        <w:t>Nghịch lý doanh thu:</w:t>
      </w:r>
      <w:r w:rsidR="00C90B4B" w:rsidRPr="00E9776E">
        <w:rPr>
          <w:rFonts w:eastAsia="Times New Roman" w:cs="Times New Roman"/>
          <w:bCs/>
          <w:spacing w:val="-2"/>
          <w:szCs w:val="28"/>
          <w:lang w:val="sv-SE"/>
        </w:rPr>
        <w:t xml:space="preserve"> </w:t>
      </w:r>
      <w:r w:rsidRPr="00E9776E">
        <w:rPr>
          <w:rFonts w:eastAsia="Times New Roman" w:cs="Times New Roman"/>
          <w:bCs/>
          <w:spacing w:val="-2"/>
          <w:szCs w:val="28"/>
          <w:lang w:val="sv-SE"/>
        </w:rPr>
        <w:t>Khối FDI bứt tốc cực mạnh:</w:t>
      </w:r>
      <w:r w:rsidRPr="00E9776E">
        <w:rPr>
          <w:rFonts w:eastAsia="Times New Roman" w:cs="Times New Roman"/>
          <w:spacing w:val="-2"/>
          <w:szCs w:val="28"/>
          <w:lang w:val="sv-SE"/>
        </w:rPr>
        <w:t xml:space="preserve"> Doanh thu FDI tăng gấp </w:t>
      </w:r>
      <w:r w:rsidRPr="00E9776E">
        <w:rPr>
          <w:rFonts w:eastAsia="Times New Roman" w:cs="Times New Roman"/>
          <w:bCs/>
          <w:spacing w:val="-2"/>
          <w:szCs w:val="28"/>
          <w:lang w:val="sv-SE"/>
        </w:rPr>
        <w:t>hơn 5 lần</w:t>
      </w:r>
      <w:r w:rsidRPr="00E9776E">
        <w:rPr>
          <w:rFonts w:eastAsia="Times New Roman" w:cs="Times New Roman"/>
          <w:spacing w:val="-2"/>
          <w:szCs w:val="28"/>
          <w:lang w:val="sv-SE"/>
        </w:rPr>
        <w:t xml:space="preserve"> chỉ sau 4 năm, từ 14,45 triệu USD (năm 2020) nhảy vọt lên 76,95 triệu USD (năm 2024), cho thấy các dự án quốc tế đã bắt đầu đi vào giai đoạn sản xuất ổn định và mở rộng.</w:t>
      </w:r>
      <w:r w:rsidR="00C90B4B" w:rsidRPr="00E9776E">
        <w:rPr>
          <w:rFonts w:eastAsia="Times New Roman" w:cs="Times New Roman"/>
          <w:spacing w:val="-2"/>
          <w:szCs w:val="28"/>
          <w:lang w:val="sv-SE"/>
        </w:rPr>
        <w:t xml:space="preserve"> </w:t>
      </w:r>
      <w:r w:rsidRPr="00E9776E">
        <w:rPr>
          <w:rFonts w:eastAsia="Times New Roman" w:cs="Times New Roman"/>
          <w:bCs/>
          <w:spacing w:val="-2"/>
          <w:szCs w:val="28"/>
          <w:lang w:val="sv-SE"/>
        </w:rPr>
        <w:t>Khối trong nước lao dốc:</w:t>
      </w:r>
      <w:r w:rsidRPr="00E9776E">
        <w:rPr>
          <w:rFonts w:eastAsia="Times New Roman" w:cs="Times New Roman"/>
          <w:spacing w:val="-2"/>
          <w:szCs w:val="28"/>
          <w:lang w:val="sv-SE"/>
        </w:rPr>
        <w:t xml:space="preserve"> Dù vốn đầu tư liên tục tăng, doanh thu của khối nội địa lại sụt giảm nghiêm trọng. Từ mức đỉnh 1.110 tỷ VNĐ (năm 2022), doanh thu khối này xuống chỉ còn </w:t>
      </w:r>
      <w:r w:rsidRPr="00E9776E">
        <w:rPr>
          <w:rFonts w:eastAsia="Times New Roman" w:cs="Times New Roman"/>
          <w:bCs/>
          <w:spacing w:val="-2"/>
          <w:szCs w:val="28"/>
          <w:lang w:val="sv-SE"/>
        </w:rPr>
        <w:t>28,2 tỷ VNĐ</w:t>
      </w:r>
      <w:r w:rsidRPr="00E9776E">
        <w:rPr>
          <w:rFonts w:eastAsia="Times New Roman" w:cs="Times New Roman"/>
          <w:spacing w:val="-2"/>
          <w:szCs w:val="28"/>
          <w:lang w:val="sv-SE"/>
        </w:rPr>
        <w:t xml:space="preserve"> (năm 2023) và phục hồi nhẹ lên 37,1 tỷ VNĐ (năm 2024). Sự sụt giảm đột ngột này minh chứng cho sức chống chịu yếu kém của các doanh nghiệp CNC nội địa trước các cú sốc thị trường.</w:t>
      </w:r>
    </w:p>
    <w:p w14:paraId="2B50F0A0" w14:textId="77777777" w:rsidR="00B71DAB" w:rsidRPr="00E9776E" w:rsidRDefault="00C90B4B" w:rsidP="00CA4AC2">
      <w:pPr>
        <w:widowControl w:val="0"/>
        <w:tabs>
          <w:tab w:val="left" w:pos="851"/>
        </w:tabs>
        <w:spacing w:before="120" w:after="120" w:line="240" w:lineRule="auto"/>
        <w:ind w:firstLine="567"/>
        <w:jc w:val="both"/>
        <w:rPr>
          <w:rFonts w:eastAsia="Times New Roman" w:cs="Times New Roman"/>
          <w:szCs w:val="28"/>
          <w:lang w:val="sv-SE"/>
        </w:rPr>
      </w:pPr>
      <w:r w:rsidRPr="00E9776E">
        <w:rPr>
          <w:rFonts w:eastAsia="Times New Roman" w:cs="Times New Roman"/>
          <w:bCs/>
          <w:szCs w:val="28"/>
          <w:lang w:val="sv-SE"/>
        </w:rPr>
        <w:t>iii)</w:t>
      </w:r>
      <w:r w:rsidR="00B71DAB" w:rsidRPr="00E9776E">
        <w:rPr>
          <w:rFonts w:eastAsia="Times New Roman" w:cs="Times New Roman"/>
          <w:bCs/>
          <w:szCs w:val="28"/>
          <w:lang w:val="sv-SE"/>
        </w:rPr>
        <w:t xml:space="preserve"> Khối các Khu Nông nghiệp ứng dụng CNC và các Khu đang hình thành</w:t>
      </w:r>
      <w:r w:rsidR="00B71DAB" w:rsidRPr="00E9776E">
        <w:rPr>
          <w:rFonts w:eastAsia="Times New Roman" w:cs="Times New Roman"/>
          <w:szCs w:val="28"/>
          <w:lang w:val="sv-SE"/>
        </w:rPr>
        <w:t xml:space="preserve"> Bên cạnh các KCNC chuyên về công nghiệp, hoạt động đầu tư vào nông nghiệp CNC và mở rộng hạ tầng mới cũng được ghi nhận:</w:t>
      </w:r>
    </w:p>
    <w:p w14:paraId="5B2BFE58" w14:textId="77777777" w:rsidR="00B71DAB" w:rsidRPr="00E9776E" w:rsidRDefault="00B71DAB" w:rsidP="00F6764F">
      <w:pPr>
        <w:widowControl w:val="0"/>
        <w:numPr>
          <w:ilvl w:val="0"/>
          <w:numId w:val="12"/>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Khu Nông nghiệp ứng dụng CNC Quảng Ninh:</w:t>
      </w:r>
      <w:r w:rsidRPr="00E9776E">
        <w:rPr>
          <w:rFonts w:eastAsia="Times New Roman" w:cs="Times New Roman"/>
          <w:szCs w:val="28"/>
          <w:lang w:val="sv-SE"/>
        </w:rPr>
        <w:t xml:space="preserve"> Nhờ nguồn vốn mồi ngân sách trên 250 tỷ đồng đầu tư vào hạ tầng thiết yếu, khu vực này (rộng 106 ha) đã đạt </w:t>
      </w:r>
      <w:r w:rsidRPr="00E9776E">
        <w:rPr>
          <w:rFonts w:eastAsia="Times New Roman" w:cs="Times New Roman"/>
          <w:bCs/>
          <w:szCs w:val="28"/>
          <w:lang w:val="sv-SE"/>
        </w:rPr>
        <w:t>tỷ lệ lấp đầy gần 84%</w:t>
      </w:r>
      <w:r w:rsidRPr="00E9776E">
        <w:rPr>
          <w:rFonts w:eastAsia="Times New Roman" w:cs="Times New Roman"/>
          <w:szCs w:val="28"/>
          <w:lang w:val="sv-SE"/>
        </w:rPr>
        <w:t>.</w:t>
      </w:r>
    </w:p>
    <w:p w14:paraId="41C9561A" w14:textId="77777777" w:rsidR="00B71DAB" w:rsidRPr="00E9776E" w:rsidRDefault="00B71DAB" w:rsidP="00F6764F">
      <w:pPr>
        <w:widowControl w:val="0"/>
        <w:numPr>
          <w:ilvl w:val="0"/>
          <w:numId w:val="12"/>
        </w:numPr>
        <w:tabs>
          <w:tab w:val="left" w:pos="851"/>
        </w:tabs>
        <w:spacing w:before="120" w:after="120" w:line="240" w:lineRule="auto"/>
        <w:ind w:left="0" w:firstLine="567"/>
        <w:jc w:val="both"/>
        <w:rPr>
          <w:rFonts w:eastAsia="Times New Roman" w:cs="Times New Roman"/>
          <w:szCs w:val="28"/>
          <w:lang w:val="sv-SE"/>
        </w:rPr>
      </w:pPr>
      <w:r w:rsidRPr="00E9776E">
        <w:rPr>
          <w:rFonts w:eastAsia="Times New Roman" w:cs="Times New Roman"/>
          <w:bCs/>
          <w:szCs w:val="28"/>
          <w:lang w:val="sv-SE"/>
        </w:rPr>
        <w:t>Khoảng trống hạ tầng ở các địa phương khác:</w:t>
      </w:r>
      <w:r w:rsidRPr="00E9776E">
        <w:rPr>
          <w:rFonts w:eastAsia="Times New Roman" w:cs="Times New Roman"/>
          <w:szCs w:val="28"/>
          <w:lang w:val="sv-SE"/>
        </w:rPr>
        <w:t xml:space="preserve"> Phần lớn các tỉnh thành chưa có KCNC. Một số địa phương đang trong giai đoạn đầu xúc tiến thành lập hoặc lập quy hoạch như: </w:t>
      </w:r>
      <w:r w:rsidRPr="00E9776E">
        <w:rPr>
          <w:rFonts w:eastAsia="Times New Roman" w:cs="Times New Roman"/>
          <w:bCs/>
          <w:szCs w:val="28"/>
          <w:lang w:val="sv-SE"/>
        </w:rPr>
        <w:t>Khu CNC Hà Nam</w:t>
      </w:r>
      <w:r w:rsidRPr="00E9776E">
        <w:rPr>
          <w:rFonts w:eastAsia="Times New Roman" w:cs="Times New Roman"/>
          <w:szCs w:val="28"/>
          <w:lang w:val="sv-SE"/>
        </w:rPr>
        <w:t xml:space="preserve"> (mới thành lập tháng 12/2024, quy mô 663,19ha, đang lập quy hoạch); </w:t>
      </w:r>
      <w:r w:rsidRPr="00E9776E">
        <w:rPr>
          <w:rFonts w:eastAsia="Times New Roman" w:cs="Times New Roman"/>
          <w:bCs/>
          <w:szCs w:val="28"/>
          <w:lang w:val="sv-SE"/>
        </w:rPr>
        <w:t>Khu CNC Hưng Yên</w:t>
      </w:r>
      <w:r w:rsidRPr="00E9776E">
        <w:rPr>
          <w:rFonts w:eastAsia="Times New Roman" w:cs="Times New Roman"/>
          <w:szCs w:val="28"/>
          <w:lang w:val="sv-SE"/>
        </w:rPr>
        <w:t xml:space="preserve"> (đang đề xuất 496,1ha); và </w:t>
      </w:r>
      <w:r w:rsidRPr="00E9776E">
        <w:rPr>
          <w:rFonts w:eastAsia="Times New Roman" w:cs="Times New Roman"/>
          <w:bCs/>
          <w:szCs w:val="28"/>
          <w:lang w:val="sv-SE"/>
        </w:rPr>
        <w:t>Khu CNC Cần Thơ</w:t>
      </w:r>
      <w:r w:rsidRPr="00E9776E">
        <w:rPr>
          <w:rFonts w:eastAsia="Times New Roman" w:cs="Times New Roman"/>
          <w:szCs w:val="28"/>
          <w:lang w:val="sv-SE"/>
        </w:rPr>
        <w:t xml:space="preserve"> (đang chờ phê duyệt).</w:t>
      </w:r>
    </w:p>
    <w:p w14:paraId="63F8FF01" w14:textId="77777777" w:rsidR="00B71DAB" w:rsidRPr="00E9776E" w:rsidRDefault="00B71DAB" w:rsidP="00CA4AC2">
      <w:pPr>
        <w:widowControl w:val="0"/>
        <w:tabs>
          <w:tab w:val="left" w:pos="851"/>
        </w:tabs>
        <w:spacing w:before="120" w:after="120" w:line="240" w:lineRule="auto"/>
        <w:ind w:firstLine="567"/>
        <w:jc w:val="both"/>
        <w:rPr>
          <w:rFonts w:eastAsia="Times New Roman" w:cs="Times New Roman"/>
          <w:szCs w:val="28"/>
          <w:lang w:val="sv-SE"/>
        </w:rPr>
      </w:pPr>
      <w:r w:rsidRPr="00E9776E">
        <w:rPr>
          <w:rFonts w:eastAsia="Times New Roman" w:cs="Times New Roman"/>
          <w:szCs w:val="28"/>
          <w:lang w:val="sv-SE"/>
        </w:rPr>
        <w:t xml:space="preserve">Số liệu đầu tư và doanh thu tại các Khu CNC chỉ ra rằng hệ sinh thái công nghệ cao của Việt Nam đang được </w:t>
      </w:r>
      <w:r w:rsidR="00F110A8" w:rsidRPr="00E9776E">
        <w:rPr>
          <w:rFonts w:eastAsia="Times New Roman" w:cs="Times New Roman"/>
          <w:szCs w:val="28"/>
          <w:lang w:val="sv-SE"/>
        </w:rPr>
        <w:t>đầu tư</w:t>
      </w:r>
      <w:r w:rsidRPr="00E9776E">
        <w:rPr>
          <w:rFonts w:eastAsia="Times New Roman" w:cs="Times New Roman"/>
          <w:szCs w:val="28"/>
          <w:lang w:val="sv-SE"/>
        </w:rPr>
        <w:t xml:space="preserve"> chủ yếu bằng nguồn lực FDI. Các doanh </w:t>
      </w:r>
      <w:r w:rsidRPr="00E9776E">
        <w:rPr>
          <w:rFonts w:eastAsia="Times New Roman" w:cs="Times New Roman"/>
          <w:szCs w:val="28"/>
          <w:lang w:val="sv-SE"/>
        </w:rPr>
        <w:lastRenderedPageBreak/>
        <w:t xml:space="preserve">nghiệp trong nước tuy </w:t>
      </w:r>
      <w:r w:rsidR="00F110A8" w:rsidRPr="00E9776E">
        <w:rPr>
          <w:rFonts w:eastAsia="Times New Roman" w:cs="Times New Roman"/>
          <w:szCs w:val="28"/>
          <w:lang w:val="sv-SE"/>
        </w:rPr>
        <w:t>có s</w:t>
      </w:r>
      <w:r w:rsidRPr="00E9776E">
        <w:rPr>
          <w:rFonts w:eastAsia="Times New Roman" w:cs="Times New Roman"/>
          <w:szCs w:val="28"/>
          <w:lang w:val="sv-SE"/>
        </w:rPr>
        <w:t xml:space="preserve">ố lượng dự án </w:t>
      </w:r>
      <w:r w:rsidR="00F110A8" w:rsidRPr="00E9776E">
        <w:rPr>
          <w:rFonts w:eastAsia="Times New Roman" w:cs="Times New Roman"/>
          <w:szCs w:val="28"/>
          <w:lang w:val="sv-SE"/>
        </w:rPr>
        <w:t xml:space="preserve">nhiều </w:t>
      </w:r>
      <w:r w:rsidRPr="00E9776E">
        <w:rPr>
          <w:rFonts w:eastAsia="Times New Roman" w:cs="Times New Roman"/>
          <w:szCs w:val="28"/>
          <w:lang w:val="sv-SE"/>
        </w:rPr>
        <w:t xml:space="preserve">nhưng quy mô vốn nhỏ, năng lực tạo doanh thu thấp và dễ bị tổn thương. Việc mở rộng mạng lưới các Khu CNC mới (Hà Nam, Hưng Yên, Cần Thơ) là cần thiết, nhưng thách thức lớn nhất sẽ là làm sao thu hút được các </w:t>
      </w:r>
      <w:r w:rsidR="00F110A8" w:rsidRPr="00E9776E">
        <w:rPr>
          <w:rFonts w:eastAsia="Times New Roman" w:cs="Times New Roman"/>
          <w:szCs w:val="28"/>
          <w:lang w:val="sv-SE"/>
        </w:rPr>
        <w:t>tập đoàn</w:t>
      </w:r>
      <w:r w:rsidRPr="00E9776E">
        <w:rPr>
          <w:rFonts w:eastAsia="Times New Roman" w:cs="Times New Roman"/>
          <w:szCs w:val="28"/>
          <w:lang w:val="sv-SE"/>
        </w:rPr>
        <w:t xml:space="preserve"> công nghệ </w:t>
      </w:r>
      <w:r w:rsidR="00F110A8" w:rsidRPr="00E9776E">
        <w:rPr>
          <w:rFonts w:eastAsia="Times New Roman" w:cs="Times New Roman"/>
          <w:szCs w:val="28"/>
          <w:lang w:val="sv-SE"/>
        </w:rPr>
        <w:t xml:space="preserve">lớn </w:t>
      </w:r>
      <w:r w:rsidRPr="00E9776E">
        <w:rPr>
          <w:rFonts w:eastAsia="Times New Roman" w:cs="Times New Roman"/>
          <w:szCs w:val="28"/>
          <w:lang w:val="sv-SE"/>
        </w:rPr>
        <w:t>trong khi vẫn phải nâng cao sức đề kháng cho doanh nghiệp nội địa.</w:t>
      </w:r>
    </w:p>
    <w:p w14:paraId="625BC837" w14:textId="77777777" w:rsidR="0051789A" w:rsidRPr="008D2933" w:rsidRDefault="0051789A" w:rsidP="00CA4AC2">
      <w:pPr>
        <w:widowControl w:val="0"/>
        <w:tabs>
          <w:tab w:val="left" w:pos="851"/>
        </w:tabs>
        <w:spacing w:before="120" w:after="120" w:line="240" w:lineRule="auto"/>
        <w:ind w:firstLine="567"/>
        <w:jc w:val="both"/>
        <w:rPr>
          <w:rFonts w:eastAsia="Times New Roman" w:cs="Times New Roman"/>
          <w:b/>
          <w:szCs w:val="28"/>
          <w:lang w:val="vi-VN"/>
        </w:rPr>
      </w:pPr>
      <w:r w:rsidRPr="008D2933">
        <w:rPr>
          <w:rFonts w:eastAsia="Times New Roman" w:cs="Times New Roman"/>
          <w:b/>
          <w:szCs w:val="28"/>
          <w:lang w:val="vi-VN"/>
        </w:rPr>
        <w:t xml:space="preserve">2.2.2. Tình hình cấp giấy chứng nhận - Thống kê số lượng hồ sơ đề nghị cấp Giấy chứng nhận: </w:t>
      </w:r>
    </w:p>
    <w:p w14:paraId="761CD3AC"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a)</w:t>
      </w:r>
      <w:r w:rsidR="0004293C" w:rsidRPr="00E9776E">
        <w:rPr>
          <w:rFonts w:eastAsia="Times New Roman" w:cs="Times New Roman"/>
          <w:szCs w:val="28"/>
          <w:lang w:val="vi-VN"/>
        </w:rPr>
        <w:t xml:space="preserve"> Thống kê số lượng hồ sơ của các doanh nghiệp/tổ chức đề nghị cấp Giấy chứng nhận hoạt động công nghệ cao, Giấy chứng nhận hoạt động ứng dụng công nghệ cao, Giấy chứng nhận doanh nghiệp nông nghiệp ứng dụng công nghệ cao, theo lĩnh vực: Qua tổng hợp báo cáo từ các Bộ, ngành và địa phương, hiện nay hệ thống thống kê quốc gia chưa có số liệu tổng hợp vĩ mô phân loại chi tiết số lượng hồ sơ nộp vào theo đúng 4 lĩnh vực (Công nghệ thông tin, Công nghệ sinh học, Công nghệ vật liệu mới, Công nghệ tự động hóa) trên phạm vi toàn quốc. Tuy nhiên, tình hình tiếp nhận hồ sơ tại các địa phương cho thấy sự phân hóa như sau:</w:t>
      </w:r>
    </w:p>
    <w:p w14:paraId="4AF16AB0"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P</w:t>
      </w:r>
      <w:r w:rsidR="0004293C" w:rsidRPr="00E9776E">
        <w:rPr>
          <w:rFonts w:eastAsia="Times New Roman" w:cs="Times New Roman"/>
          <w:szCs w:val="28"/>
          <w:lang w:val="vi-VN"/>
        </w:rPr>
        <w:t>hần lớn các địa phương báo cáo chưa tiếp nhận/không phát sinh (0 hồ sơ) đề nghị cấp các loại Giấy chứng nhận nêu trên, bao gồm: Hải Phòng, Lào Cai, Lai Châu, Đắk Lắk, Cần Thơ, Hưng Yên, Quảng Trị, An Giang. Nguyên nhân chủ yếu do doanh nghiệp địa phương quy mô nhỏ, không đáp ứng được các tiêu chí khắt khe về tỷ lệ R&amp;D và nhân lực chuyên môn.</w:t>
      </w:r>
    </w:p>
    <w:p w14:paraId="2A96CFDC" w14:textId="77777777" w:rsidR="0004293C" w:rsidRPr="00E9776E" w:rsidRDefault="0004293C" w:rsidP="00F6764F">
      <w:pPr>
        <w:widowControl w:val="0"/>
        <w:numPr>
          <w:ilvl w:val="0"/>
          <w:numId w:val="13"/>
        </w:numPr>
        <w:spacing w:before="120" w:after="120" w:line="240" w:lineRule="auto"/>
        <w:ind w:left="0" w:firstLine="567"/>
        <w:jc w:val="both"/>
        <w:rPr>
          <w:rFonts w:eastAsia="Times New Roman" w:cs="Times New Roman"/>
          <w:szCs w:val="28"/>
          <w:lang w:val="vi-VN"/>
        </w:rPr>
      </w:pPr>
      <w:r w:rsidRPr="00E9776E">
        <w:rPr>
          <w:rFonts w:eastAsia="Times New Roman" w:cs="Times New Roman"/>
          <w:szCs w:val="28"/>
          <w:lang w:val="vi-VN"/>
        </w:rPr>
        <w:t>Tại các tỉnh có thế mạnh thu hút FDI công nghiệp, hồ sơ bắt đầu phát sinh sau khi có quy định phân cấp (từ 01/7/2025): Tỉnh Bắc Ninh đang tiếp nhận và thẩm định 02 hồ sơ của doanh nghiệp FDI (Công ty TNHH Fuhong Precision Component và Công ty TNHH Công nghệ chính xác FUYU) thuộc lĩnh vực điện - điện tử. Tỉnh Phú Thọ đã tiếp nhận và giải quyết thành công 01 hồ sơ (Công ty TNHH Công nghệ Namuga).</w:t>
      </w:r>
    </w:p>
    <w:p w14:paraId="76B0F04D"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b)</w:t>
      </w:r>
      <w:r w:rsidR="0004293C" w:rsidRPr="00E9776E">
        <w:rPr>
          <w:rFonts w:eastAsia="Times New Roman" w:cs="Times New Roman"/>
          <w:szCs w:val="28"/>
          <w:lang w:val="vi-VN"/>
        </w:rPr>
        <w:t xml:space="preserve"> Thống kê các doanh nghiệp/tổ chức trong nước và nước ngoài đã được cấp Giấy chứng nhận hoạt động công nghệ cao, Giấy chứng nhận hoạt động ứng dụng công nghệ cao, Giấy chứng nhận doanh nghiệp nông nghiệp ứng dụng công nghệ cao, theo lĩnh vực: Theo số liệu thống kê từ Cục Đổi mới Sáng tạo (từ năm 2020 đến tháng 12/2025), ở cấp độ quốc gia đã cấp 37 Giấy chứng nhận (gồm 33 Giấy chứng nhận doanh nghiệp công nghệ cao và 04 Giấy chứng nhận hoạt động ứng dụng công nghệ cao) với tổng vốn đầu tư đạt 30.996.466.834 USD. Trong đó bao gồm 29 doanh nghiệp FDI và 08 doanh nghiệp trong nước (VN).</w:t>
      </w:r>
    </w:p>
    <w:p w14:paraId="7CFFC1D0" w14:textId="77777777" w:rsidR="0004293C" w:rsidRPr="00E9776E" w:rsidRDefault="0004293C"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Bên cạnh đó, các địa phương cũng chủ động cấp Giấy chứng nhận doanh nghiệp nông nghiệp ứng dụng công nghệ cao cho các tổ chức trên địa bàn. Chi tiết theo từng lĩnh vực như sau:</w:t>
      </w:r>
    </w:p>
    <w:p w14:paraId="7ABB54E6"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w:t>
      </w:r>
      <w:r w:rsidR="0004293C" w:rsidRPr="00E9776E">
        <w:rPr>
          <w:rFonts w:eastAsia="Times New Roman" w:cs="Times New Roman"/>
          <w:szCs w:val="28"/>
          <w:lang w:val="vi-VN"/>
        </w:rPr>
        <w:t xml:space="preserve"> Công nghệ thông tin (Điện - Điện tử): Lĩnh vực này chiếm ưu thế tuyệt đối với 27/37 doanh nghiệp do Cục Đổi mới sáng tạo cấp.</w:t>
      </w:r>
    </w:p>
    <w:p w14:paraId="7FB503FF"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 xml:space="preserve">Doanh nghiệp nước ngoài (FDI): Gồm 23 doanh nghiệp với quy mô vốn tỷ USD, chi phối chuỗi cung ứng toàn cầu. Tiêu biểu: Công ty TNHH Samsung Electronics VN (2,5 tỷ USD); Công ty TNHH Samsung Electronics VN Thái </w:t>
      </w:r>
      <w:r w:rsidR="0004293C" w:rsidRPr="00E9776E">
        <w:rPr>
          <w:rFonts w:eastAsia="Times New Roman" w:cs="Times New Roman"/>
          <w:szCs w:val="28"/>
          <w:lang w:val="vi-VN"/>
        </w:rPr>
        <w:lastRenderedPageBreak/>
        <w:t>Nguyên (5 tỷ USD); Công ty TNHH Samsung Display VN (6,5 tỷ USD); Công ty TNHH LG Innotek VN Hải Phòng (hơn 2,05 tỷ USD); Công ty TNHH LG Display VN Hải Phòng (4,65 tỷ USD); Công ty TNHH Amkor VN (1,6 tỷ USD)....</w:t>
      </w:r>
    </w:p>
    <w:p w14:paraId="5E6744FF"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Doanh nghiệp trong nước (VN): Gồm 04 doanh nghiệp với quy mô vốn khiêm tốn hơn. Cụ thể: Công ty CP Hệ thống Kỹ thuật ứng dụng (hơn 1,32 triệu USD); Công ty CP G-Innovations VN (hơn 434 nghìn USD); Công ty CP Dịch vụ - Dữ liệu CNTT VINA (hơn 7,8 triệu USD); Công ty CP Công nghệ Công nghiệp Bưu chính Viễn thông - VNPT Tech (hơn 9,5 triệu USD).</w:t>
      </w:r>
    </w:p>
    <w:p w14:paraId="3ACED21D"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w:t>
      </w:r>
      <w:r w:rsidR="0004293C" w:rsidRPr="00E9776E">
        <w:rPr>
          <w:rFonts w:eastAsia="Times New Roman" w:cs="Times New Roman"/>
          <w:szCs w:val="28"/>
          <w:lang w:val="vi-VN"/>
        </w:rPr>
        <w:t xml:space="preserve"> Công nghệ vật liệu mới: Có 06/37 doanh nghiệp được cấp chứng nhận ở cấp quốc gia.</w:t>
      </w:r>
    </w:p>
    <w:p w14:paraId="2B5F7675" w14:textId="77777777" w:rsidR="0004293C" w:rsidRPr="00E9776E" w:rsidRDefault="0014128B" w:rsidP="00CA4AC2">
      <w:pPr>
        <w:widowControl w:val="0"/>
        <w:spacing w:before="120" w:after="120" w:line="240" w:lineRule="auto"/>
        <w:ind w:firstLine="567"/>
        <w:jc w:val="both"/>
        <w:rPr>
          <w:rFonts w:eastAsia="Times New Roman" w:cs="Times New Roman"/>
          <w:spacing w:val="-4"/>
          <w:szCs w:val="28"/>
          <w:lang w:val="vi-VN"/>
        </w:rPr>
      </w:pPr>
      <w:r w:rsidRPr="00E9776E">
        <w:rPr>
          <w:rFonts w:eastAsia="Times New Roman" w:cs="Times New Roman"/>
          <w:spacing w:val="-4"/>
          <w:szCs w:val="28"/>
          <w:lang w:val="vi-VN"/>
        </w:rPr>
        <w:t xml:space="preserve">+ </w:t>
      </w:r>
      <w:r w:rsidR="0004293C" w:rsidRPr="00E9776E">
        <w:rPr>
          <w:rFonts w:eastAsia="Times New Roman" w:cs="Times New Roman"/>
          <w:spacing w:val="-4"/>
          <w:szCs w:val="28"/>
          <w:lang w:val="vi-VN"/>
        </w:rPr>
        <w:t>Doanh nghiệp nước ngoài (FDI): Gồm 04 doanh nghiệp. Cụ thể: Công ty TNHH Sản xuất First Solar VN (hơn 1,06 tỷ USD); Công ty TNHH Vật liệu hợp kim Bedra VN (80 triệu USD); Công ty TNHH Khoa học Kỹ thuật Năng lượng Mặt trời Boviet (100 triệu USD); Công ty TNHH Samsung SDI VN (160 triệu USD).</w:t>
      </w:r>
    </w:p>
    <w:p w14:paraId="08502AC4"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Doanh nghiệp trong nước (VN): Gồm 02 doanh nghiệp. Cụ thể: Công ty TNHH Vonfram Masan (54 triệu USD); Công ty CP nhựa tái chế Duy Tân (27 triệu USD).</w:t>
      </w:r>
    </w:p>
    <w:p w14:paraId="068566E4"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w:t>
      </w:r>
      <w:r w:rsidR="0004293C" w:rsidRPr="00E9776E">
        <w:rPr>
          <w:rFonts w:eastAsia="Times New Roman" w:cs="Times New Roman"/>
          <w:szCs w:val="28"/>
          <w:lang w:val="vi-VN"/>
        </w:rPr>
        <w:t xml:space="preserve"> Công nghệ tự động hóa (Cơ khí): Có 04/37 doanh nghiệp được cấp chứng nhận ở cấp quốc gia.</w:t>
      </w:r>
    </w:p>
    <w:p w14:paraId="46C8E975"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Doanh nghiệp nước ngoài (FDI): Gồm 02 doanh nghiệp. Cụ thể: Công ty TNHH Hyundai Kefico VN (130 triệu USD); Công ty TNHH Jukwang Precision VN (hơn 47,9 triệu USD).</w:t>
      </w:r>
    </w:p>
    <w:p w14:paraId="24B102ED"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Doanh nghiệp trong nước (VN): Gồm 02 doanh nghiệp hoạt động trong ngách khuôn mẫu chính xác. Cụ thể: Công ty TNHH Lập Phúc (hơn 6,6 triệu USD); Công ty TNHH Khuôn chính xác Duy Tân (hơn 8,6 triệu USD).</w:t>
      </w:r>
    </w:p>
    <w:p w14:paraId="35C9F446"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w:t>
      </w:r>
      <w:r w:rsidR="0004293C" w:rsidRPr="00E9776E">
        <w:rPr>
          <w:rFonts w:eastAsia="Times New Roman" w:cs="Times New Roman"/>
          <w:szCs w:val="28"/>
          <w:lang w:val="vi-VN"/>
        </w:rPr>
        <w:t xml:space="preserve"> Công nghệ sinh học (và Nông nghiệp ứng dụng công nghệ cao): Lĩnh vực này không nằm trong danh sách 37 doanh nghiệp do Cục Đổi mới sáng tạo thống kê. Tuy nhiên, qua báo cáo của các địa phương, việc cấp Giấy chứng nhận doanh nghiệp nông nghiệp ứng dụng công nghệ cao (tích hợp công nghệ sinh học, vi sinh, nuôi cấy mô) diễn ra khá sôi động và 100% là các doanh nghiệp trong nước, tiêu biểu như:</w:t>
      </w:r>
    </w:p>
    <w:p w14:paraId="1FACE16C"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Tại Quảng Ngãi: Cấp cho 06 doanh nghiệp trong nước với tổng vốn đầu tư 91,3 tỷ VNĐ. Các doanh nghiệp gồm: Công ty TNHH công nghệ sinh học R&amp;D (2 tỷ VNĐ); Công ty TNHH chế biến nông lâm sản Nghĩa Phát (56 tỷ VNĐ); Công ty TNHH Việt Khang Nông (15,5 tỷ VNĐ); Công ty TNHH Thảo Dược Tây Nguyên (4,8 tỷ VNĐ); Công ty TNHH APANAX (4 tỷ VNĐ); Công ty TNHH Yến sào Kon Tum (9 tỷ VNĐ).</w:t>
      </w:r>
    </w:p>
    <w:p w14:paraId="4650A45B"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Tại Tuyên Quang: Đã cấp cho 02 doanh nghiệp trong nước là Công ty TNHH DABACO Tuyên Quang và Chi nhánh Công ty TNHH MTV Bò sữa Việt Nam - Trang trại Bò sữa Tuyên Quang.</w:t>
      </w:r>
    </w:p>
    <w:p w14:paraId="1EBE12C6" w14:textId="77777777" w:rsidR="0004293C" w:rsidRPr="00E9776E" w:rsidRDefault="0014128B" w:rsidP="00CA4AC2">
      <w:pPr>
        <w:widowControl w:val="0"/>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 xml:space="preserve">Tại Thanh Hóa: Đã cấp cho 02 doanh nghiệp trong nước là Công ty TNHH </w:t>
      </w:r>
      <w:r w:rsidR="0004293C" w:rsidRPr="00E9776E">
        <w:rPr>
          <w:rFonts w:eastAsia="Times New Roman" w:cs="Times New Roman"/>
          <w:szCs w:val="28"/>
          <w:lang w:val="vi-VN"/>
        </w:rPr>
        <w:lastRenderedPageBreak/>
        <w:t>MTV Bò sữa Thống Nhất Thanh Hóa và Công ty TNHH DABACO Thanh Hóa.</w:t>
      </w:r>
    </w:p>
    <w:p w14:paraId="7CE2F5FD" w14:textId="77777777" w:rsidR="0004293C" w:rsidRPr="00E9776E" w:rsidRDefault="0014128B" w:rsidP="0014128B">
      <w:pPr>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Tại Gia Lai: Đã cấp cho 03 doanh nghiệp trong nước gồm Công ty TNHH MTV Hương Đất An Phú; Công ty CP chè Bầu Cạn; Công ty TNHH Vĩnh Hiệp.</w:t>
      </w:r>
    </w:p>
    <w:p w14:paraId="2A03F6BA" w14:textId="77777777" w:rsidR="0004293C" w:rsidRPr="00E9776E" w:rsidRDefault="0014128B" w:rsidP="0014128B">
      <w:pPr>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 </w:t>
      </w:r>
      <w:r w:rsidR="0004293C" w:rsidRPr="00E9776E">
        <w:rPr>
          <w:rFonts w:eastAsia="Times New Roman" w:cs="Times New Roman"/>
          <w:szCs w:val="28"/>
          <w:lang w:val="vi-VN"/>
        </w:rPr>
        <w:t>Tại Quảng Ninh: Cấp cho 01 doanh nghiệp trong nước là Công ty TNHH Việt Úc - Quảng Ninh.</w:t>
      </w:r>
    </w:p>
    <w:p w14:paraId="751D154F" w14:textId="77777777" w:rsidR="00C90B4B" w:rsidRPr="00E9776E" w:rsidRDefault="0004293C" w:rsidP="00C90B4B">
      <w:pPr>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Qua số liệu và phân tích nêu trên cho thấy,</w:t>
      </w:r>
      <w:r w:rsidR="00C90B4B" w:rsidRPr="00E9776E">
        <w:rPr>
          <w:rFonts w:eastAsia="Times New Roman" w:cs="Times New Roman"/>
          <w:szCs w:val="28"/>
          <w:lang w:val="vi-VN"/>
        </w:rPr>
        <w:t xml:space="preserve"> </w:t>
      </w:r>
      <w:r w:rsidRPr="00E9776E">
        <w:rPr>
          <w:rFonts w:eastAsia="Times New Roman" w:cs="Times New Roman"/>
          <w:szCs w:val="28"/>
          <w:lang w:val="vi-VN"/>
        </w:rPr>
        <w:t>t</w:t>
      </w:r>
      <w:r w:rsidR="00C90B4B" w:rsidRPr="00E9776E">
        <w:rPr>
          <w:rFonts w:eastAsia="Times New Roman" w:cs="Times New Roman"/>
          <w:szCs w:val="28"/>
          <w:lang w:val="vi-VN"/>
        </w:rPr>
        <w:t xml:space="preserve">ình hình cấp Giấy chứng nhận Doanh nghiệp CNC phản ánh thực trạng Việt Nam đang thu hút rất tốt các </w:t>
      </w:r>
      <w:r w:rsidR="00F110A8" w:rsidRPr="00E9776E">
        <w:rPr>
          <w:rFonts w:eastAsia="Times New Roman" w:cs="Times New Roman"/>
          <w:szCs w:val="28"/>
          <w:lang w:val="vi-VN"/>
        </w:rPr>
        <w:t>tập đoàn FDI công nghệ lớn</w:t>
      </w:r>
      <w:r w:rsidR="00C90B4B" w:rsidRPr="00E9776E">
        <w:rPr>
          <w:rFonts w:eastAsia="Times New Roman" w:cs="Times New Roman"/>
          <w:szCs w:val="28"/>
          <w:lang w:val="vi-VN"/>
        </w:rPr>
        <w:t xml:space="preserve"> vào lĩnh vực điện tử, bán dẫn quy mô lớn. Tuy nhiên, để thúc đẩy hệ sinh thái nội địa, hệ thống chính sách và thủ tục cần được may đo linh hoạt hơn, phù hợp với năng lực của các doanh nghiệp vừa và nhỏ, cũng như các doanh nghiệp spin-off từ trường đại học.</w:t>
      </w:r>
    </w:p>
    <w:p w14:paraId="77C76C6F" w14:textId="77777777" w:rsidR="0051789A" w:rsidRPr="008D2933" w:rsidRDefault="0051789A" w:rsidP="0051789A">
      <w:pPr>
        <w:tabs>
          <w:tab w:val="left" w:pos="851"/>
        </w:tabs>
        <w:spacing w:before="120" w:after="120" w:line="240" w:lineRule="auto"/>
        <w:ind w:firstLine="567"/>
        <w:jc w:val="both"/>
        <w:rPr>
          <w:rFonts w:eastAsia="Times New Roman" w:cs="Times New Roman"/>
          <w:b/>
          <w:szCs w:val="28"/>
          <w:lang w:val="vi-VN"/>
        </w:rPr>
      </w:pPr>
      <w:r w:rsidRPr="008D2933">
        <w:rPr>
          <w:rFonts w:eastAsia="Times New Roman" w:cs="Times New Roman"/>
          <w:b/>
          <w:szCs w:val="28"/>
          <w:lang w:val="vi-VN"/>
        </w:rPr>
        <w:t>2.2.3. Kết quả hoạt động sản xuất, nghiên cứu và phát triển công nghệ cao và sản phẩm công nghệ cao</w:t>
      </w:r>
    </w:p>
    <w:p w14:paraId="3897DE87" w14:textId="77777777" w:rsidR="00CF57F7" w:rsidRPr="00E9776E" w:rsidRDefault="00CF57F7" w:rsidP="00CF57F7">
      <w:pPr>
        <w:tabs>
          <w:tab w:val="left" w:pos="851"/>
        </w:tabs>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 xml:space="preserve">Dựa trên báo cáo của các Bộ, ngành, địa phương, viện nghiên cứu và trường đại học, kết quả hoạt động sản xuất, nghiên cứu và phát triển công nghệ cao (CNC) giai đoạn 2020 đến nay cho thấy sự chuyển dịch mạnh mẽ từ nghiên cứu cơ bản sang nghiên cứu ứng dụng, tạo ra các sản phẩm thương mại hóa. Đặc biệt, dữ liệu về Sở hữu trí tuệ (SHTT) nội địa giai đoạn 2020-2025 (với hơn 5.012 đơn đăng ký) đã </w:t>
      </w:r>
      <w:r w:rsidR="007F4AAF" w:rsidRPr="00E9776E">
        <w:rPr>
          <w:rFonts w:eastAsia="Times New Roman" w:cs="Times New Roman"/>
          <w:szCs w:val="28"/>
          <w:lang w:val="vi-VN"/>
        </w:rPr>
        <w:t>cho thấy</w:t>
      </w:r>
      <w:r w:rsidRPr="00E9776E">
        <w:rPr>
          <w:rFonts w:eastAsia="Times New Roman" w:cs="Times New Roman"/>
          <w:szCs w:val="28"/>
          <w:lang w:val="vi-VN"/>
        </w:rPr>
        <w:t xml:space="preserve"> bức tranh rõ nét về năng lực làm chủ công nghệ của Việt Nam.</w:t>
      </w:r>
      <w:r w:rsidR="007F4AAF" w:rsidRPr="00E9776E">
        <w:rPr>
          <w:rFonts w:eastAsia="Times New Roman" w:cs="Times New Roman"/>
          <w:szCs w:val="28"/>
          <w:lang w:val="vi-VN"/>
        </w:rPr>
        <w:t xml:space="preserve"> </w:t>
      </w:r>
      <w:r w:rsidRPr="00E9776E">
        <w:rPr>
          <w:rFonts w:eastAsia="Times New Roman" w:cs="Times New Roman"/>
          <w:szCs w:val="28"/>
          <w:lang w:val="vi-VN"/>
        </w:rPr>
        <w:t>Dưới đây là tổng hợp và phân tích số liệu chi tiết theo từng lĩnh vực:</w:t>
      </w:r>
    </w:p>
    <w:p w14:paraId="3540B2CA" w14:textId="77777777" w:rsidR="00CF57F7" w:rsidRPr="00E9776E" w:rsidRDefault="00CF57F7" w:rsidP="00CF57F7">
      <w:pPr>
        <w:tabs>
          <w:tab w:val="left" w:pos="851"/>
        </w:tabs>
        <w:spacing w:before="120" w:after="120" w:line="240" w:lineRule="auto"/>
        <w:ind w:firstLine="567"/>
        <w:jc w:val="both"/>
        <w:rPr>
          <w:rFonts w:eastAsia="Times New Roman" w:cs="Times New Roman"/>
          <w:szCs w:val="28"/>
          <w:lang w:val="vi-VN"/>
        </w:rPr>
      </w:pPr>
      <w:r w:rsidRPr="00E9776E">
        <w:rPr>
          <w:rFonts w:eastAsia="Times New Roman" w:cs="Times New Roman"/>
          <w:szCs w:val="28"/>
          <w:lang w:val="vi-VN"/>
        </w:rPr>
        <w:t>a) Lĩnh vực Công nghệ thông tin, Viễn thông và Trí tuệ nhân tạo (AI)</w:t>
      </w:r>
    </w:p>
    <w:p w14:paraId="0E17CFBE" w14:textId="77777777" w:rsidR="006C68D4" w:rsidRDefault="00656CC6" w:rsidP="00CF57F7">
      <w:pPr>
        <w:tabs>
          <w:tab w:val="left" w:pos="851"/>
        </w:tabs>
        <w:spacing w:before="120" w:after="120" w:line="240" w:lineRule="auto"/>
        <w:ind w:firstLine="567"/>
        <w:jc w:val="both"/>
      </w:pPr>
      <w:r w:rsidRPr="00E9776E">
        <w:rPr>
          <w:lang w:val="vi-VN"/>
        </w:rPr>
        <w:t xml:space="preserve">Giai đoạn 2020–2025 ghi nhận bước tiến rõ rệt của lĩnh vực Công nghệ thông tin, Viễn thông và AI cả về năng lực làm chủ công nghệ lõi, phát triển nền tảng số và gia tăng hoạt động sở hữu trí tuệ trong nước. Việt Nam đã từng bước tham gia sâu hơn vào chuỗi giá trị công nghệ cao thông qua việc thiết kế thành công chip 5G RFIC, chip thu phát quang 10 Gbps, chip mã hóa AES-256 và chip khuếch đại công suất băng tần sub-6 GHz, thể hiện năng lực R&amp;D bán dẫn đang hình thành. Các nhiệm vụ thuộc Chương trình quốc gia phát triển công nghệ cao và các chương trình cấp bộ, địa phương đã góp phần mở rộng ứng dụng AI, IoT, Blockchain và thực tế ảo vào quản trị công, nông nghiệp và môi trường, qua đó nâng cao hiệu quả quản lý nhà nước và giá trị sản phẩm. </w:t>
      </w:r>
    </w:p>
    <w:p w14:paraId="0748D27C" w14:textId="657D6902" w:rsidR="00E9776E" w:rsidRPr="00E9776E" w:rsidRDefault="00E9776E" w:rsidP="00CF57F7">
      <w:pPr>
        <w:tabs>
          <w:tab w:val="left" w:pos="851"/>
        </w:tabs>
        <w:spacing w:before="120" w:after="120" w:line="240" w:lineRule="auto"/>
        <w:ind w:firstLine="567"/>
        <w:jc w:val="both"/>
      </w:pPr>
      <w:r w:rsidRPr="00E9776E">
        <w:t>Trong lĩnh vực kinh tế số, sự phát triển của Thương mại điện tử (TMĐT) là minh chứng rõ nét cho việc ứng dụng thành công các công nghệ thuộc Danh mục QĐ 38 (như AI, Big Data, Blockchain). Quy mô thị trường TMĐT năm 2025 đạt khoảng 31 tỷ USD, chiếm trên 11% tổng mức bán lẻ cả nước; tỷ lệ người dân mua sắm trực tuyến đạt 61% tổng dân số [Nguồn bổ sung]. Kết quả này có sự đóng góp lớn từ các nền tảng số hỗ trợ doanh nghiệp như GoOnline, GoExport, Vietnamexport, ECVN.</w:t>
      </w:r>
    </w:p>
    <w:p w14:paraId="42897621" w14:textId="77777777" w:rsidR="00656CC6" w:rsidRPr="008D2933" w:rsidRDefault="00656CC6" w:rsidP="00CF57F7">
      <w:pPr>
        <w:tabs>
          <w:tab w:val="left" w:pos="851"/>
        </w:tabs>
        <w:spacing w:before="120" w:after="120" w:line="240" w:lineRule="auto"/>
        <w:ind w:firstLine="567"/>
        <w:jc w:val="both"/>
        <w:rPr>
          <w:rFonts w:eastAsia="Times New Roman" w:cs="Times New Roman"/>
          <w:szCs w:val="28"/>
        </w:rPr>
      </w:pPr>
      <w:r w:rsidRPr="00E9776E">
        <w:rPr>
          <w:lang w:val="vi-VN"/>
        </w:rPr>
        <w:t xml:space="preserve">Đồng thời, sự gia tăng đơn đăng ký sáng chế trong lĩnh vực AI và viễn thông phản ánh sự trưởng thành của năng lực nghiên cứu nội địa, với vai trò dẫn dắt của Viettel và các đại học kỹ thuật. Ở khu vực doanh nghiệp, lĩnh vực CNTT – điện tử chiếm ưu thế tuyệt đối trong số các doanh nghiệp được cấp Giấy chứng nhận, </w:t>
      </w:r>
      <w:r w:rsidRPr="00E9776E">
        <w:rPr>
          <w:lang w:val="vi-VN"/>
        </w:rPr>
        <w:lastRenderedPageBreak/>
        <w:t xml:space="preserve">với sự tham gia song hành của doanh nghiệp trong nước (VNPT Tech, ATS…) và các tập đoàn FDI lớn như Samsung, LG, Amkor…, tạo nên hệ sinh thái sản xuất và xuất khẩu quy mô lớn. Tuy nhiên, cấu trúc phát triển vẫn thiên về khu vực FDI và lắp ráp – sản xuất quy mô lớn; khối doanh nghiệp nội địa tuy có tiến bộ về R&amp;D nhưng quy mô thương mại hóa còn hạn chế, đòi hỏi chính sách tiếp tục thúc đẩy nội địa hóa công nghệ lõi, mở rộng hệ sinh thái bán dẫn – AI và tăng cường liên kết viện – trường – doanh nghiệp trong giai đoạn tới. </w:t>
      </w:r>
      <w:r w:rsidRPr="008D2933">
        <w:t>Cụ thể như sau:</w:t>
      </w:r>
    </w:p>
    <w:p w14:paraId="2E859C1E" w14:textId="77777777" w:rsidR="004716F5" w:rsidRPr="008D2933" w:rsidRDefault="004716F5" w:rsidP="00F6764F">
      <w:pPr>
        <w:numPr>
          <w:ilvl w:val="0"/>
          <w:numId w:val="14"/>
        </w:numPr>
        <w:tabs>
          <w:tab w:val="clear" w:pos="720"/>
          <w:tab w:val="num" w:pos="993"/>
        </w:tabs>
        <w:spacing w:before="120" w:after="120" w:line="240" w:lineRule="auto"/>
        <w:ind w:left="0" w:firstLine="567"/>
        <w:jc w:val="both"/>
        <w:rPr>
          <w:rFonts w:eastAsia="Times New Roman" w:cs="Times New Roman"/>
          <w:szCs w:val="28"/>
        </w:rPr>
      </w:pPr>
      <w:r w:rsidRPr="008D2933">
        <w:rPr>
          <w:rFonts w:eastAsia="Times New Roman" w:cs="Times New Roman"/>
          <w:szCs w:val="28"/>
        </w:rPr>
        <w:t>Một số thành tựu nổi bật đạt được</w:t>
      </w:r>
    </w:p>
    <w:p w14:paraId="56C2F35A" w14:textId="77777777" w:rsidR="004716F5" w:rsidRPr="006C68D4" w:rsidRDefault="004716F5" w:rsidP="004716F5">
      <w:pPr>
        <w:spacing w:before="120" w:after="120" w:line="240" w:lineRule="auto"/>
        <w:ind w:firstLine="567"/>
        <w:jc w:val="both"/>
        <w:rPr>
          <w:rFonts w:eastAsia="Times New Roman" w:cs="Times New Roman"/>
          <w:spacing w:val="-4"/>
          <w:szCs w:val="28"/>
        </w:rPr>
      </w:pPr>
      <w:r w:rsidRPr="006C68D4">
        <w:rPr>
          <w:rFonts w:eastAsia="Times New Roman" w:cs="Times New Roman"/>
          <w:spacing w:val="-4"/>
          <w:szCs w:val="28"/>
        </w:rPr>
        <w:t>+ Làm chủ công nghệ lõi và thiết kế phần cứng: Việt Nam đã bước đầu làm chủ hạ tầng truyền thông số, tiêu biểu là việc Đại học Quốc gia TP.HCM (ĐHQG-HCM) thiết kế thành công Chip thu phát vô tuyến di động 5G (5G RFIC) đầu tiên tại Việt Nam sử dụng công nghệ CMOS 28nm của TSMC và đã chuyển giao cho Viettel.</w:t>
      </w:r>
    </w:p>
    <w:p w14:paraId="0FFEB657"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t>+ Phát triển Nền tảng số Quốc gia: Trong lĩnh vực truyền thông, Đài Truyền hình Việt Nam đã xây dựng thành công Nền tảng truyền hình số trực tuyến quốc gia (VTVgo) với hơn 50 triệu thiết bị cài đặt, ứng dụng trí tuệ nhân tạo (AI) và Dữ liệu lớn (Big Data) để phân tích hành vi người dùng và kiểm duyệt nội dung.</w:t>
      </w:r>
    </w:p>
    <w:p w14:paraId="39A5D7A3" w14:textId="77777777" w:rsidR="004716F5" w:rsidRPr="004534EF" w:rsidRDefault="004716F5" w:rsidP="008D00F9">
      <w:pPr>
        <w:widowControl w:val="0"/>
        <w:spacing w:before="120" w:after="120" w:line="240" w:lineRule="auto"/>
        <w:ind w:firstLine="567"/>
        <w:jc w:val="both"/>
        <w:rPr>
          <w:rFonts w:eastAsia="Times New Roman" w:cs="Times New Roman"/>
          <w:spacing w:val="-4"/>
          <w:szCs w:val="28"/>
        </w:rPr>
      </w:pPr>
      <w:r w:rsidRPr="004534EF">
        <w:rPr>
          <w:rFonts w:eastAsia="Times New Roman" w:cs="Times New Roman"/>
          <w:spacing w:val="-4"/>
          <w:szCs w:val="28"/>
        </w:rPr>
        <w:t>+ Sự bứt phá về Sở hữu trí tuệ (SHTT) nội địa: Trong giai đoạn 2020–2025, năng lực nghiên cứu trong nước thể hiện rõ qua số lượng đơn đăng ký sáng chế. Lĩnh vực Trí tuệ nhân tạo (AI) chiếm khoảng 6-7% tổng số đơn nội địa (324 đơn) với sự dẫn dắt của Tập đoàn Viettel và các đại học kỹ thuật. Lĩnh vực Viễn thông và Mạng thế hệ sau cũng ghi nhận năng lực R&amp;D mạnh mẽ với khoảng 180-200 đơn đăng ký sáng chế, tập trung vào tối ưu mạng vô tuyến 4G/5G, điều khiển mạng lõi.</w:t>
      </w:r>
    </w:p>
    <w:p w14:paraId="2A4E4C40" w14:textId="77777777" w:rsidR="004716F5" w:rsidRPr="008D2933" w:rsidRDefault="004716F5" w:rsidP="008D00F9">
      <w:pPr>
        <w:widowControl w:val="0"/>
        <w:numPr>
          <w:ilvl w:val="0"/>
          <w:numId w:val="14"/>
        </w:numPr>
        <w:tabs>
          <w:tab w:val="clear" w:pos="720"/>
          <w:tab w:val="num" w:pos="993"/>
        </w:tabs>
        <w:spacing w:before="120" w:after="120" w:line="240" w:lineRule="auto"/>
        <w:ind w:left="0" w:firstLine="567"/>
        <w:jc w:val="both"/>
        <w:rPr>
          <w:rFonts w:eastAsia="Times New Roman" w:cs="Times New Roman"/>
          <w:szCs w:val="28"/>
        </w:rPr>
      </w:pPr>
      <w:r w:rsidRPr="008D2933">
        <w:rPr>
          <w:rFonts w:eastAsia="Times New Roman" w:cs="Times New Roman"/>
          <w:szCs w:val="28"/>
        </w:rPr>
        <w:t>Kết quả nghiên cứu khoa học, phát triển công nghệ của các nhiệm vụ thuộc chương trình quốc gia phát triển CNC đến năm 2030, các Chương trình/Đề án có liên quan</w:t>
      </w:r>
      <w:r w:rsidR="006C68D4">
        <w:rPr>
          <w:rFonts w:eastAsia="Times New Roman" w:cs="Times New Roman"/>
          <w:szCs w:val="28"/>
        </w:rPr>
        <w:t>.</w:t>
      </w:r>
    </w:p>
    <w:p w14:paraId="18D00A65" w14:textId="77777777" w:rsidR="004716F5" w:rsidRPr="008D2933" w:rsidRDefault="004716F5" w:rsidP="008D00F9">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Nhiệm vụ Chế tạo Chip thu phát quang 10 Gbps: Ứng dụng cho cáp quang chủ động (AOC) tương thích chuẩn USB3.2 do ĐHQG-HCM thực hiện với kinh phí 50 tỷ VNĐ.</w:t>
      </w:r>
    </w:p>
    <w:p w14:paraId="002B81B0" w14:textId="77777777" w:rsidR="004716F5" w:rsidRPr="006C68D4" w:rsidRDefault="004716F5" w:rsidP="008D00F9">
      <w:pPr>
        <w:widowControl w:val="0"/>
        <w:spacing w:before="120" w:after="120" w:line="240" w:lineRule="auto"/>
        <w:ind w:firstLine="567"/>
        <w:jc w:val="both"/>
        <w:rPr>
          <w:rFonts w:eastAsia="Times New Roman" w:cs="Times New Roman"/>
          <w:spacing w:val="4"/>
          <w:szCs w:val="28"/>
        </w:rPr>
      </w:pPr>
      <w:r w:rsidRPr="006C68D4">
        <w:rPr>
          <w:rFonts w:eastAsia="Times New Roman" w:cs="Times New Roman"/>
          <w:spacing w:val="4"/>
          <w:szCs w:val="28"/>
        </w:rPr>
        <w:t>+ Nhiệm vụ Chế tạo Chip mã hoá AES-256 bit: Thực hiện theo mô hình Multi-Wafer Projects (MWP) thử nghiệm với công nghệ CMOS (kinh phí 6,67 tỷ VNĐ).</w:t>
      </w:r>
    </w:p>
    <w:p w14:paraId="201AEADF"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t>+ Nhiệm vụ Thiết kế, chế tạo Chip khuếch đại công suất (PA): Hoạt động ở băng tần sub-6 GHz ứng dụng trong các trạm phát sóng vệ tinh, radar, 5G (kinh phí 30 tỷ VNĐ).</w:t>
      </w:r>
    </w:p>
    <w:p w14:paraId="43B12DC0"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t>+ Nhiệm vụ thuộc Chương trình KH&amp;CN cấp quốc gia của Đài THVN: Đề tài "Nghiên cứu và thử nghiệm mô hình sản xuất từ xa trên nền tảng công nghệ di động 5G tại Đài THVN" và "Xây dựng giải pháp truyền tín hiệu đa định dạng phục vụ sản xuất chương trình" giúp tự chủ công nghệ phát sóng.</w:t>
      </w:r>
    </w:p>
    <w:p w14:paraId="7F350493" w14:textId="77777777" w:rsidR="004716F5" w:rsidRPr="008D2933" w:rsidRDefault="004716F5" w:rsidP="00F6764F">
      <w:pPr>
        <w:numPr>
          <w:ilvl w:val="0"/>
          <w:numId w:val="14"/>
        </w:numPr>
        <w:tabs>
          <w:tab w:val="clear" w:pos="720"/>
          <w:tab w:val="num" w:pos="993"/>
        </w:tabs>
        <w:spacing w:before="120" w:after="120" w:line="240" w:lineRule="auto"/>
        <w:ind w:left="0" w:firstLine="567"/>
        <w:jc w:val="both"/>
        <w:rPr>
          <w:rFonts w:eastAsia="Times New Roman" w:cs="Times New Roman"/>
          <w:szCs w:val="28"/>
        </w:rPr>
      </w:pPr>
      <w:r w:rsidRPr="008D2933">
        <w:rPr>
          <w:rFonts w:eastAsia="Times New Roman" w:cs="Times New Roman"/>
          <w:szCs w:val="28"/>
        </w:rPr>
        <w:t>Kết quả nghiên cứu khoa học, phát triển công nghệ của các nhiệm vụ cấp bộ/ngành, địa phương</w:t>
      </w:r>
    </w:p>
    <w:p w14:paraId="2FFD75D6"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lastRenderedPageBreak/>
        <w:t>+ Tại Đồng Tháp: Triển khai các nhiệm vụ xây dựng phần mềm bản đồ giá đất; mô hình kiểm tra độ mặn tự động dựa trên IoT và đám mây tại trạm Gò Công; và hệ thống tàu tự hành quan trắc môi trường nước tại Vườn Quốc gia Tràm Chim.</w:t>
      </w:r>
    </w:p>
    <w:p w14:paraId="299E6517"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t>+ Tại Hà Tĩnh: Triển khai 03 nhiệm vụ KH&amp;CN cấp tỉnh liên quan đến AI gồm: Xây dựng hệ thống trợ lý ảo hỗ trợ nghiệp vụ hành chính Công an tỉnh; hệ thống trợ lý ảo hỗ trợ tìm kiếm việc làm; và hệ thống mô phỏng thực tế ảo (VR) tái hiện lịch sử địa phương.</w:t>
      </w:r>
    </w:p>
    <w:p w14:paraId="3C98EEBC"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t>+ Tại Hậu Giang và Cà Mau: ĐHQG-HCM đã nghiên cứu, chuyển giao thành công "Hệ thống tích hợp phục vụ Chính quyền điện tử tỉnh Hậu Giang" và "Phần mềm Hệ thống thông tin nguồn cấp tỉnh" cho Cà Mau để quản lý mạng lưới truyền thanh cơ sở.</w:t>
      </w:r>
    </w:p>
    <w:p w14:paraId="520B71CC" w14:textId="77777777" w:rsidR="004716F5" w:rsidRPr="008D2933" w:rsidRDefault="004716F5" w:rsidP="004716F5">
      <w:pPr>
        <w:spacing w:before="120" w:after="120" w:line="240" w:lineRule="auto"/>
        <w:ind w:firstLine="567"/>
        <w:jc w:val="both"/>
        <w:rPr>
          <w:rFonts w:eastAsia="Times New Roman" w:cs="Times New Roman"/>
          <w:szCs w:val="28"/>
        </w:rPr>
      </w:pPr>
      <w:r w:rsidRPr="008D2933">
        <w:rPr>
          <w:rFonts w:eastAsia="Times New Roman" w:cs="Times New Roman"/>
          <w:szCs w:val="28"/>
        </w:rPr>
        <w:t>+ Tại Quảng Trị: Triển khai nhiệm vụ ứng dụng công nghệ Blockchain vào việc truy xuất nguồn gốc nhằm quản lý chuỗi cung ứng và nâng cao giá trị sản phẩm hạt tiêu và hạt cà phê.</w:t>
      </w:r>
    </w:p>
    <w:p w14:paraId="1C196E3C" w14:textId="77777777" w:rsidR="004716F5" w:rsidRPr="008D2933" w:rsidRDefault="004716F5" w:rsidP="00F6764F">
      <w:pPr>
        <w:numPr>
          <w:ilvl w:val="0"/>
          <w:numId w:val="14"/>
        </w:numPr>
        <w:tabs>
          <w:tab w:val="clear" w:pos="720"/>
          <w:tab w:val="num" w:pos="993"/>
        </w:tabs>
        <w:spacing w:before="120" w:after="120" w:line="240" w:lineRule="auto"/>
        <w:ind w:left="0" w:firstLine="567"/>
        <w:jc w:val="both"/>
        <w:rPr>
          <w:rFonts w:eastAsia="Times New Roman" w:cs="Times New Roman"/>
          <w:szCs w:val="28"/>
        </w:rPr>
      </w:pPr>
      <w:r w:rsidRPr="008D2933">
        <w:rPr>
          <w:rFonts w:eastAsia="Times New Roman" w:cs="Times New Roman"/>
          <w:szCs w:val="28"/>
        </w:rPr>
        <w:t>Tên doanh nghiệp/tổ chức và dự án được cấp Giấy chứng nhận Lĩnh vực Công nghệ thông tin (Điện - Điện tử) chiếm ưu thế tuyệt đối trong số các doanh nghiệp được cấp chứng nhận. Tiêu biểu gồm:</w:t>
      </w:r>
    </w:p>
    <w:p w14:paraId="16A6C672" w14:textId="77777777" w:rsidR="004716F5" w:rsidRPr="004534EF" w:rsidRDefault="004716F5" w:rsidP="004716F5">
      <w:pPr>
        <w:tabs>
          <w:tab w:val="num" w:pos="1418"/>
        </w:tabs>
        <w:spacing w:before="120" w:after="120" w:line="240" w:lineRule="auto"/>
        <w:ind w:firstLine="567"/>
        <w:jc w:val="both"/>
        <w:rPr>
          <w:rFonts w:eastAsia="Times New Roman" w:cs="Times New Roman"/>
          <w:spacing w:val="-4"/>
          <w:szCs w:val="28"/>
        </w:rPr>
      </w:pPr>
      <w:r w:rsidRPr="004534EF">
        <w:rPr>
          <w:rFonts w:eastAsia="Times New Roman" w:cs="Times New Roman"/>
          <w:spacing w:val="-4"/>
          <w:szCs w:val="28"/>
        </w:rPr>
        <w:t>+ Khối doanh nghiệp trong nước: Công ty Cổ phần Công nghệ Công nghiệp Bưu chính Viễn thông (VNPT Tech) (sản xuất thiết bị truy cập mạng không dây, thiết bị GPON ONT); Công ty Cổ phần Hệ thống Kỹ thuật ứng dụng (ATS) (sản xuất hệ thống điều khiển lưới điện thông minh, SCADA); Công ty Cổ phần Dịch vụ - Dữ liệu Công nghệ thông tin VINA; Công ty Cổ phần G-Innovations Việt Nam.</w:t>
      </w:r>
    </w:p>
    <w:p w14:paraId="1717C44E" w14:textId="77777777" w:rsidR="004716F5" w:rsidRPr="008D2933" w:rsidRDefault="004716F5" w:rsidP="004716F5">
      <w:pPr>
        <w:tabs>
          <w:tab w:val="num" w:pos="1418"/>
        </w:tabs>
        <w:spacing w:before="120" w:after="120" w:line="240" w:lineRule="auto"/>
        <w:ind w:firstLine="567"/>
        <w:jc w:val="both"/>
        <w:rPr>
          <w:rFonts w:eastAsia="Times New Roman" w:cs="Times New Roman"/>
          <w:szCs w:val="28"/>
        </w:rPr>
      </w:pPr>
      <w:r w:rsidRPr="008D2933">
        <w:rPr>
          <w:rFonts w:eastAsia="Times New Roman" w:cs="Times New Roman"/>
          <w:szCs w:val="28"/>
        </w:rPr>
        <w:t>+ Khối doanh nghiệp có vốn đầu tư nước ngoài (FDI): Công ty TNHH Samsung Electronics Việt Nam (SEV) và Công ty TNHH Điện tử Samsung HCMC CE Complex; Công ty TNHH Samsung Display Việt Nam; Công ty TNHH LG Electronics và LG Display Việt Nam Hải Phòng; Công ty TNHH Amkor Việt Nam; Công ty TNHH HCL Việt Nam.</w:t>
      </w:r>
    </w:p>
    <w:p w14:paraId="05D2A35B" w14:textId="77777777" w:rsidR="00CF57F7" w:rsidRPr="008D2933" w:rsidRDefault="00CF57F7" w:rsidP="00CF57F7">
      <w:pPr>
        <w:tabs>
          <w:tab w:val="left" w:pos="851"/>
        </w:tabs>
        <w:spacing w:before="120" w:after="120" w:line="240" w:lineRule="auto"/>
        <w:ind w:firstLine="567"/>
        <w:jc w:val="both"/>
        <w:rPr>
          <w:rFonts w:eastAsia="Times New Roman" w:cs="Times New Roman"/>
          <w:szCs w:val="28"/>
        </w:rPr>
      </w:pPr>
      <w:r w:rsidRPr="008D2933">
        <w:rPr>
          <w:rFonts w:eastAsia="Times New Roman" w:cs="Times New Roman"/>
          <w:szCs w:val="28"/>
        </w:rPr>
        <w:t>b) Lĩnh vực Công nghệ sinh học và Nông - Y sinh</w:t>
      </w:r>
    </w:p>
    <w:p w14:paraId="7CD18451"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Một số thành tựu nổi bật đạt được:</w:t>
      </w:r>
    </w:p>
    <w:p w14:paraId="0CCE025A"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Trong công nghiệp chế biến và dược liệu: Viện Ứng dụng Công nghệ đã chuyển giao dây chuyền sản xuất dầu dừa tinh khiết (VCO) công suất 5 triệu lít/năm và công nghệ chế biến nước dừa Tetra-Pak, mang lại doanh thu xuất khẩu khoảng 40 triệu USD/năm, làm tăng giá trị sản phẩm lên gấp 10 lần. Các mô hình sản xuất, chế biến dược liệu quy mô công nghiệp giúp nâng hiệu quả kinh tế 10,5–29,3% và lợi nhuận 38</w:t>
      </w:r>
      <w:r w:rsidR="00724AB4">
        <w:rPr>
          <w:rFonts w:eastAsia="Times New Roman" w:cs="Times New Roman"/>
          <w:szCs w:val="28"/>
        </w:rPr>
        <w:t xml:space="preserve"> - </w:t>
      </w:r>
      <w:r w:rsidR="004716F5" w:rsidRPr="008D2933">
        <w:rPr>
          <w:rFonts w:eastAsia="Times New Roman" w:cs="Times New Roman"/>
          <w:szCs w:val="28"/>
        </w:rPr>
        <w:t>47%.</w:t>
      </w:r>
    </w:p>
    <w:p w14:paraId="563CF1F6"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Trong y - sinh học và dược</w:t>
      </w:r>
      <w:r w:rsidR="00724AB4">
        <w:rPr>
          <w:rFonts w:eastAsia="Times New Roman" w:cs="Times New Roman"/>
          <w:szCs w:val="28"/>
        </w:rPr>
        <w:t xml:space="preserve"> liệu</w:t>
      </w:r>
      <w:r w:rsidR="004716F5" w:rsidRPr="008D2933">
        <w:rPr>
          <w:rFonts w:eastAsia="Times New Roman" w:cs="Times New Roman"/>
          <w:szCs w:val="28"/>
        </w:rPr>
        <w:t xml:space="preserve">: Viện Năng lượng Nguyên tử VN đã xây dựng năng lực nghiên cứu, chế tạo thành công một số mẫu vật liệu nano chức năng và chế phẩm dược chất phóng xạ hướng đích, cung cấp cho các cơ sở y tế. Đại học Quốc gia TP.HCM (ĐHQG-HCM) đã phát triển thành công nhiều sản phẩm y sinh giá trị cao như: màng sinh học từ màng tim lợn/bò, màng collagen </w:t>
      </w:r>
      <w:r w:rsidR="004716F5" w:rsidRPr="008D2933">
        <w:rPr>
          <w:rFonts w:eastAsia="Times New Roman" w:cs="Times New Roman"/>
          <w:szCs w:val="28"/>
        </w:rPr>
        <w:lastRenderedPageBreak/>
        <w:t>vô bào từ da cá ngừ phục vụ y học tái tạo và que thử phát hiện nhanh bệnh hoại tử gan tụy cấp (AHPND) trên tôm.</w:t>
      </w:r>
    </w:p>
    <w:p w14:paraId="7B1B5E34"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Trong nông nghiệp và môi trường: Viện Hàn lâm KHCN VN làm chủ công nghệ gen (chỉ thị phân tử MAS, chỉnh sửa gen CRISPR/Cas9) tạo giống cây trồng chịu hạn, kháng bệnh; phát triển vắc xin thế hệ mới (đường ăn từ vi tảo) cho thủy sản và quy trình sản xuất chế phẩm vi sinh tạo màng sinh học xử lý môi trường.</w:t>
      </w:r>
    </w:p>
    <w:p w14:paraId="63F9EA0C"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Về năng lực sở hữu trí tuệ nội địa: Giai đoạn 2020-2025, công nghệ chế tạo chế phẩm vi sinh vật chiếm tỷ trọng lớn với 340-470 đơn đăng ký sáng chế (6,8-9,4% tổng số đơn); công nghệ nhân, nuôi mô tế bào quy mô công nghiệp ghi nhận 135-210 đơn (2,7-4,2%).</w:t>
      </w:r>
    </w:p>
    <w:p w14:paraId="0594C3A0"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Kết quả nghiên cứu khoa học, phát triển công nghệ của các nhiệm vụ thuộc chương trình quốc gia phát triển công nghệ cao đến năm 2030, các Chương trình/Đề án có liên quan (Một số nhiệm vụ điển hình):</w:t>
      </w:r>
    </w:p>
    <w:p w14:paraId="37218EDE" w14:textId="77777777" w:rsidR="004716F5" w:rsidRPr="004534EF" w:rsidRDefault="007B40EB" w:rsidP="007B40EB">
      <w:pPr>
        <w:spacing w:before="120" w:after="120" w:line="240" w:lineRule="auto"/>
        <w:ind w:firstLine="567"/>
        <w:jc w:val="both"/>
        <w:rPr>
          <w:rFonts w:eastAsia="Times New Roman" w:cs="Times New Roman"/>
          <w:spacing w:val="-4"/>
          <w:szCs w:val="28"/>
        </w:rPr>
      </w:pPr>
      <w:r w:rsidRPr="004534EF">
        <w:rPr>
          <w:rFonts w:eastAsia="Times New Roman" w:cs="Times New Roman"/>
          <w:spacing w:val="-4"/>
          <w:szCs w:val="28"/>
        </w:rPr>
        <w:t xml:space="preserve">+ </w:t>
      </w:r>
      <w:r w:rsidR="004716F5" w:rsidRPr="004534EF">
        <w:rPr>
          <w:rFonts w:eastAsia="Times New Roman" w:cs="Times New Roman"/>
          <w:spacing w:val="-4"/>
          <w:szCs w:val="28"/>
        </w:rPr>
        <w:t>Nhiệm vụ: "Hoàn thiện công nghệ chế biến và đóng gói Tetra-Pak cho sản phẩm nước dừa tại vùng đồng bằng sông Cửu Long" do Viện Ứng dụng Công nghệ thực hiện. Tác động: Được vinh danh trong Sách vàng Sáng tạo Việt Nam 2021, giúp kéo dài thời gian bảo quản lên 6 tháng, nâng tầm giá trị nông sản vùng ĐBSCL.</w:t>
      </w:r>
    </w:p>
    <w:p w14:paraId="1D72A7E7"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Nhiệm vụ: "Ứng dụng và phát triển công nghệ nhân giống, trồng, chế biến cây Thạch đen..." (thuộc Chương trình nông thôn miền núi). Tác động: Tạo công ăn việc làm, xóa đói giảm nghèo cho đồng bào dân tộc miền núi, chống xói mòn và sạt lở đất.</w:t>
      </w:r>
    </w:p>
    <w:p w14:paraId="52A006CF"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Nhiệm vụ thuộc Chương trình KC.05/21-30: Viện NLNTVN nghiên cứu sản xuất đồng vị và dược chất phóng xạ. Tác động: Làm chủ quy trình điều chế, sản xuất thử nghiệm cung cấp cho các bệnh viện, chuẩn hóa điều kiện phát triển sản phẩm y tế công nghệ cao.</w:t>
      </w:r>
    </w:p>
    <w:p w14:paraId="60320E63" w14:textId="77777777" w:rsidR="004716F5" w:rsidRPr="008D2933" w:rsidRDefault="007B40EB"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Nhiệm vụ: Chế tạo Màng sinh học từ màng tim lợn/bò (Đề tài cấp Nhà nước B2017-18-07 do ĐHQG-HCM thực hiện). Tác động: Ứng dụng khung ngoại bào màng tim lợn/bò tiệt trùng bằng chiếu xạ có tính tương hợp sinh học cao, đã hoàn thiện sản phẩm và chuyển giao cho nhiều bệnh viện lớn (Chợ Rẫy, Thẩm mỹ EMCAS...).</w:t>
      </w:r>
    </w:p>
    <w:p w14:paraId="7B5EC7F9" w14:textId="77777777" w:rsidR="004716F5" w:rsidRPr="008D2933" w:rsidRDefault="007B40EB"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Kết quả nghiên cứu khoa học, phát triển công nghệ của các nhiệm vụ cấp bộ/ngành, địa phương (Một số nhiệm vụ điển hình):</w:t>
      </w:r>
    </w:p>
    <w:p w14:paraId="7E2A9DC1" w14:textId="77777777" w:rsidR="004716F5" w:rsidRPr="008D2933" w:rsidRDefault="007B40EB"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Tại Viện Ứng dụng Công nghệ: Nhiệm vụ “Hoàn thiện quy trình công nghệ và xây dựng dây chuyền sản xuất cao chiết từ củ Đẳng Sâm”.</w:t>
      </w:r>
    </w:p>
    <w:p w14:paraId="43F2F085" w14:textId="77777777" w:rsidR="004716F5" w:rsidRPr="008D2933" w:rsidRDefault="007B40EB"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Tại ĐHQG-HCM: Nhiệm vụ nghiên cứu tạo "Cao chiết từ vỏ lụa hạt điều" bằng phương pháp trích ly xanh, có khả năng kháng oxy hóa và ức chế tế bào ung thư, ứng dụng làm thực phẩm chức năng.</w:t>
      </w:r>
    </w:p>
    <w:p w14:paraId="5A01FE73" w14:textId="77777777" w:rsidR="004716F5" w:rsidRPr="008D2933" w:rsidRDefault="007B40EB"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Tại Đồng Tháp: Lĩnh vực công nghệ sinh học chiếm tới 59% (16 nhiệm vụ) tổng số nhiệm vụ KH&amp;CN. Điển hình: Nhiệm vụ ứng dụng vi sinh vật tạo ra 3 chế phẩm xử lý môi trường ao nuôi tôm thẻ chân trắng; Nhiệm vụ sử dụng chế phẩm vi khuẩn vùng rễ để kiểm soát bệnh héo xanh trên hoa cúc và vạn thọ.</w:t>
      </w:r>
    </w:p>
    <w:p w14:paraId="198B5D58"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lastRenderedPageBreak/>
        <w:t xml:space="preserve">+ </w:t>
      </w:r>
      <w:r w:rsidR="004716F5" w:rsidRPr="008D2933">
        <w:rPr>
          <w:rFonts w:eastAsia="Times New Roman" w:cs="Times New Roman"/>
          <w:szCs w:val="28"/>
        </w:rPr>
        <w:t>Tại Quảng Trị: Triển khai dự án “Nghiên cứu bảo tồn và phát triển cây Lan kim tuyến” bằng kỹ thuật nuôi cấy mô tế bào và nhân giống vô tính tại Phong Nha - Kẻ Bàng; Ứng dụng công nghệ Biofloc trong nuôi tôm thẻ chân trắng quy mô công nghiệp giúp giảm hóa chất, bảo vệ môi trường.</w:t>
      </w:r>
    </w:p>
    <w:p w14:paraId="1288AB19"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Tên doanh nghiệp/tổ chức và dự án được cấp Giấy chứng nhận: Mặc dù lĩnh vực công nghệ sinh học không nằm trong 37 Giấy chứng nhận doanh nghiệp CNC cấp quốc gia do Cục Đổi mới Sáng tạo cấp, các địa phương đã đẩy mạnh cấp Giấy chứng nhận Doanh nghiệp nông nghiệp ứng dụng công nghệ cao (tích hợp mạnh mẽ công nghệ sinh học), tiêu biểu:</w:t>
      </w:r>
    </w:p>
    <w:p w14:paraId="2018A56B" w14:textId="77777777" w:rsidR="004716F5" w:rsidRPr="008D2933" w:rsidRDefault="007B40EB" w:rsidP="007B40EB">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Tỉnh Quảng Ngãi (06 DN): Công ty TNHH công nghệ sinh học R&amp;D (ứng dụng công nghệ nhân, nuôi mô tế bào thực vật chất lượng cao); Công ty TNHH Thảo Dược Tây Nguyên; Công ty TNHH Yến sào Kon Tum; Công ty TNHH chế biến nông lâm sản Nghĩa Phát; Công ty TNHH Việt Khang Nông; Công ty TNHH APANAX.</w:t>
      </w:r>
    </w:p>
    <w:p w14:paraId="6C8EAA59" w14:textId="77777777" w:rsidR="004716F5" w:rsidRPr="008D2933" w:rsidRDefault="007B40EB"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Tỉnh Quảng Ninh (01 DN): Công ty TNHH Việt Úc - Quảng Ninh (ứng dụng công nghệ sản xuất, ương dưỡng giống tôm thẻ chân trắng với quy mô 08 tỷ con giống/năm).</w:t>
      </w:r>
    </w:p>
    <w:p w14:paraId="382A062D" w14:textId="77777777" w:rsidR="004716F5" w:rsidRPr="008D2933" w:rsidRDefault="007B40EB"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Tỉnh Thanh Hóa (02 DN): Công ty TNHH MTV Bò sữa Thống Nhất Thanh Hóa và Công ty TNHH DABACO Thanh Hóa.</w:t>
      </w:r>
    </w:p>
    <w:p w14:paraId="3F3BD147" w14:textId="77777777" w:rsidR="004716F5" w:rsidRPr="008D2933" w:rsidRDefault="007B40EB"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4716F5" w:rsidRPr="008D2933">
        <w:rPr>
          <w:rFonts w:eastAsia="Times New Roman" w:cs="Times New Roman"/>
          <w:szCs w:val="28"/>
        </w:rPr>
        <w:t>Tỉnh Gia Lai (03 DN): Công ty TNHH MTV Hương Đất An Phú (lĩnh vực rau, hoa); Công ty CP chè Bầu Cạn; Công ty TNHH Vĩnh Hiệp.</w:t>
      </w:r>
    </w:p>
    <w:p w14:paraId="74D85DF7" w14:textId="77777777" w:rsidR="009149CD" w:rsidRPr="008D2933" w:rsidRDefault="009149CD"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Đánh giá chung:</w:t>
      </w:r>
    </w:p>
    <w:p w14:paraId="2B99D062" w14:textId="77777777" w:rsidR="009149CD" w:rsidRPr="008D2933" w:rsidRDefault="009149CD"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Giai đoạn 2020–2025 ghi nhận bước tiến rõ nét trong làm chủ công nghệ và thương mại hóa sản phẩm sinh học – dược liệu – môi trường theo hướng nâng cao giá trị gia tăng. Trong công nghiệp chế biến và dược liệu, việc hoàn thiện dây chuyền sản xuất dầu dừa tinh khiết (VCO) công suất 5 triệu lít/năm và công nghệ đóng gói Tetra-Pak đã góp phần kéo dài thời gian bảo quản, mở rộng thị trường xuất khẩu (~40 triệu USD/năm) và gia tăng giá trị sản phẩm gấp nhiều lần, cho thấy hiệu quả rõ rệt của mô hình “khoa học gắn với doanh nghiệp”. Trong lĩnh vực y - sinh học, các kết quả như chế tạo vật liệu nano chức năng, dược chất phóng xạ hướng đích, màng sinh học từ màng tim lợn/bò, collagen vô bào từ da cá ngừ… thể hiện năng lực R&amp;D ngày càng tiệm cận chuẩn quốc tế và đã bước đầu chuyển giao cho bệnh viện, cơ sở y tế. Trong nông nghiệp và môi trường, việc làm chủ công nghệ chỉ thị phân tử (MAS), chỉnh sửa gen CRISPR/Cas9, phát triển vắc xin thế hệ mới và chế phẩm vi sinh xử lý môi trường phản ánh xu hướng chuyển từ “ứng dụng công nghệ” sang “làm chủ công nghệ nền tảng”.</w:t>
      </w:r>
    </w:p>
    <w:p w14:paraId="46DBF89F" w14:textId="77777777" w:rsidR="009149CD" w:rsidRPr="008D2933" w:rsidRDefault="009149CD"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Đáng chú ý, năng lực sở hữu trí tuệ nội địa tăng lên rõ rệt, với số lượng lớn đơn đăng ký sáng chế trong lĩnh vực chế phẩm vi sinh và nuôi cấy mô tế bào quy mô công nghiệp, cho thấy tiềm năng hình thành chuỗi công nghệ sinh học nội sinh. Ở cấp địa phương, công nghệ sinh học được triển khai rộng rãi trong nông nghiệp ứng dụng công nghệ cao, đặc biệt tại Quảng Ngãi, Quảng Ninh, Thanh Hóa, Gia Lai…, góp phần nâng cao hiệu quả sản xuất, giảm chi phí hóa chất và </w:t>
      </w:r>
      <w:r w:rsidRPr="008D2933">
        <w:rPr>
          <w:rFonts w:eastAsia="Times New Roman" w:cs="Times New Roman"/>
          <w:szCs w:val="28"/>
        </w:rPr>
        <w:lastRenderedPageBreak/>
        <w:t>bảo vệ môi trường.</w:t>
      </w:r>
    </w:p>
    <w:p w14:paraId="7FDDCE5D" w14:textId="77777777" w:rsidR="009149CD" w:rsidRPr="008D2933" w:rsidRDefault="009149CD" w:rsidP="009149CD">
      <w:pPr>
        <w:spacing w:before="120" w:after="120" w:line="240" w:lineRule="auto"/>
        <w:ind w:firstLine="567"/>
        <w:jc w:val="both"/>
        <w:rPr>
          <w:rFonts w:eastAsia="Times New Roman" w:cs="Times New Roman"/>
          <w:szCs w:val="28"/>
        </w:rPr>
      </w:pPr>
      <w:r w:rsidRPr="008D2933">
        <w:rPr>
          <w:rFonts w:eastAsia="Times New Roman" w:cs="Times New Roman"/>
          <w:szCs w:val="28"/>
        </w:rPr>
        <w:t>Tuy nhiên, phần lớn hoạt động vẫn tập trung ở quy mô dự án hoặc doanh nghiệp nông nghiệp ứng dụng công nghệ cao; số doanh nghiệp sinh học được cấp Giấy chứng nhận doanh nghiệp CNC cấp quốc gia còn hạn chế. Điều này cho thấy lĩnh vực đã có nền tảng nghiên cứu và ứng dụng tốt, song cần tiếp tục thúc đẩy thương mại hóa quy mô lớn, chuẩn hóa chuỗi giá trị và tăng cường liên kết viện – trường – doanh nghiệp để chuyển hóa mạnh hơn các kết quả khoa học thành ngành công nghiệp công nghệ sinh học thực thụ.</w:t>
      </w:r>
    </w:p>
    <w:p w14:paraId="7B42C77C" w14:textId="77777777" w:rsidR="00CF57F7" w:rsidRPr="008D2933" w:rsidRDefault="00CF57F7" w:rsidP="0008343F">
      <w:pPr>
        <w:tabs>
          <w:tab w:val="left" w:pos="851"/>
        </w:tabs>
        <w:spacing w:before="120" w:after="120" w:line="240" w:lineRule="auto"/>
        <w:ind w:firstLine="567"/>
        <w:jc w:val="both"/>
        <w:rPr>
          <w:rFonts w:eastAsia="Times New Roman" w:cs="Times New Roman"/>
          <w:szCs w:val="28"/>
        </w:rPr>
      </w:pPr>
      <w:r w:rsidRPr="008D2933">
        <w:rPr>
          <w:rFonts w:eastAsia="Times New Roman" w:cs="Times New Roman"/>
          <w:szCs w:val="28"/>
        </w:rPr>
        <w:t>c) Lĩnh vực Công nghệ Vật liệu mới và Hóa học</w:t>
      </w:r>
    </w:p>
    <w:p w14:paraId="4BEBCA12" w14:textId="77777777" w:rsidR="009149CD" w:rsidRPr="00724AB4" w:rsidRDefault="009149CD" w:rsidP="009149CD">
      <w:pPr>
        <w:tabs>
          <w:tab w:val="left" w:pos="851"/>
        </w:tabs>
        <w:spacing w:before="120" w:after="120" w:line="240" w:lineRule="auto"/>
        <w:ind w:firstLine="567"/>
        <w:jc w:val="both"/>
        <w:rPr>
          <w:rFonts w:eastAsia="Times New Roman" w:cs="Times New Roman"/>
          <w:spacing w:val="-2"/>
          <w:szCs w:val="28"/>
        </w:rPr>
      </w:pPr>
      <w:r w:rsidRPr="00724AB4">
        <w:rPr>
          <w:rFonts w:eastAsia="Times New Roman" w:cs="Times New Roman"/>
          <w:spacing w:val="-2"/>
          <w:szCs w:val="28"/>
        </w:rPr>
        <w:t>Giai đoạn 2020–2025, công nghệ vật liệu mới là lĩnh vực có quy mô R&amp;D dẫn đầu, chiếm tỷ trọng cao nhất về số đơn đăng ký sáng chế nội địa (khoảng 18–24%), tập trung vào vật liệu nano, polyme–composite, vật liệu y sinh và vật liệu năng lượng. Việt Nam đã bước đầu làm chủ một số công nghệ quan trọng như pin Lithium-ion, siêu tụ điện, vật liệu phục vụ hydro xanh, sơn phản xạ nhiệt và vật liệu composite chống cháy, đồng thời phát triển các vật liệu phục vụ quốc phòng và công nghiệp nặng. Nhiều nhiệm vụ thuộc Chương trình quốc gia đã tạo ra quy trình công nghệ trong nước (aerogel sinh khối, xúc tác quang xử lý môi trường, vật liệu cảm biến nano), một số sản phẩm đã được thương mại hóa ở quy mô nhất định.</w:t>
      </w:r>
    </w:p>
    <w:p w14:paraId="2FB3EF47" w14:textId="77777777" w:rsidR="009149CD" w:rsidRPr="004534EF" w:rsidRDefault="009149CD" w:rsidP="009149CD">
      <w:pPr>
        <w:tabs>
          <w:tab w:val="left" w:pos="851"/>
        </w:tabs>
        <w:spacing w:before="120" w:after="120" w:line="240" w:lineRule="auto"/>
        <w:ind w:firstLine="567"/>
        <w:jc w:val="both"/>
        <w:rPr>
          <w:rFonts w:eastAsia="Times New Roman" w:cs="Times New Roman"/>
          <w:spacing w:val="-4"/>
          <w:szCs w:val="28"/>
        </w:rPr>
      </w:pPr>
      <w:r w:rsidRPr="004534EF">
        <w:rPr>
          <w:rFonts w:eastAsia="Times New Roman" w:cs="Times New Roman"/>
          <w:spacing w:val="-4"/>
          <w:szCs w:val="28"/>
        </w:rPr>
        <w:t>Tuy nhiên, cơ cấu doanh nghiệp được cấp Giấy chứng nhận công nghệ cao vẫn nghiêng mạnh về khối FDI (First Solar, Samsung SDI…), trong khi doanh nghiệp nội địa còn hạn chế về quy mô và công nghệ lõi. Nhìn chung, lĩnh vực đã hình thành nền tảng nghiên cứu tốt và năng lực làm chủ công nghệ bước đầu, nhưng cần tiếp tục đẩy mạnh nội địa hóa, mở rộng sản xuất quy mô công nghiệp và tăng liên kết với doanh nghiệp để nâng cao giá trị gia tăng trong nước.</w:t>
      </w:r>
      <w:r w:rsidR="00C279DC" w:rsidRPr="004534EF">
        <w:rPr>
          <w:rFonts w:eastAsia="Times New Roman" w:cs="Times New Roman"/>
          <w:spacing w:val="-4"/>
          <w:szCs w:val="28"/>
        </w:rPr>
        <w:t xml:space="preserve"> </w:t>
      </w:r>
      <w:r w:rsidRPr="004534EF">
        <w:rPr>
          <w:rFonts w:eastAsia="Times New Roman" w:cs="Times New Roman"/>
          <w:spacing w:val="-4"/>
          <w:szCs w:val="28"/>
        </w:rPr>
        <w:t>Cụ thể như sau:</w:t>
      </w:r>
    </w:p>
    <w:p w14:paraId="24EF4F5C"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Một số thành tựu nổi bật đạt được:</w:t>
      </w:r>
    </w:p>
    <w:p w14:paraId="0BC44ABA"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Năng lực R&amp;D dẫn đầu: Công nghệ vật liệu mới là mảng có quy mô nghiên cứu dẫn đầu tại Việt Nam. Giai đoạn 2020–2025, lĩnh vực chế tạo vật liệu tiên tiến ghi nhận 935–1.190 đơn đăng ký sáng chế của người Việt (chiếm tỷ trọng 18,6–23,7% tổng số đơn), tập trung mạnh vào các vật liệu polyme - composite, vật liệu nano chức năng và vật liệu y sinh.</w:t>
      </w:r>
    </w:p>
    <w:p w14:paraId="04736DEF"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Làm chủ vật liệu năng lượng và quang điện: Đã tổng hợp thành công các vật liệu chuyển hóa và tích trữ năng lượng (pin Lithium-ion, siêu tụ điện), công nghệ lõi điện phân nước sản xuất hydro xanh từ năng lượng tái tạo, và các hệ sơn phản xạ nhiệt, chống thấm, chống ăn mòn bền thời tiết,,.</w:t>
      </w:r>
    </w:p>
    <w:p w14:paraId="5B4D0B51"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Vật liệu phục vụ quốc phòng và công nghiệp nặng: Viện Hàn lâm KHCN VN phát triển thành công 4 mác vật liệu nhựa tương thích chế tạo tên lửa phòng không, vật liệu tạo màng phủ kị nước cho kính quang học, và vật liệu composite/polymer chống cháy thế hệ mới,.</w:t>
      </w:r>
    </w:p>
    <w:p w14:paraId="35B803AF"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Kết quả nghiên cứu khoa học, phát triển công nghệ của các nhiệm vụ thuộc chương trình quốc gia phát triển công nghệ cao đến năm 2030, các Chương trình/Đề án có liên quan (Một số nhiệm vụ điển hình):</w:t>
      </w:r>
    </w:p>
    <w:p w14:paraId="6F722192" w14:textId="77777777" w:rsidR="00CA1367" w:rsidRPr="008D2933" w:rsidRDefault="00CA1367" w:rsidP="00724AB4">
      <w:pPr>
        <w:spacing w:before="120" w:after="120" w:line="240" w:lineRule="auto"/>
        <w:ind w:firstLine="567"/>
        <w:jc w:val="both"/>
        <w:rPr>
          <w:rFonts w:eastAsia="Times New Roman" w:cs="Times New Roman"/>
          <w:szCs w:val="28"/>
        </w:rPr>
      </w:pPr>
      <w:r w:rsidRPr="008D2933">
        <w:rPr>
          <w:rFonts w:eastAsia="Times New Roman" w:cs="Times New Roman"/>
          <w:szCs w:val="28"/>
        </w:rPr>
        <w:lastRenderedPageBreak/>
        <w:t xml:space="preserve">+ Nhiệm vụ thuộc Chương trình 562 (Bộ KH&amp;CN): </w:t>
      </w:r>
      <w:r w:rsidRPr="00724AB4">
        <w:rPr>
          <w:rFonts w:eastAsia="Times New Roman" w:cs="Times New Roman"/>
          <w:i/>
          <w:szCs w:val="28"/>
        </w:rPr>
        <w:t>Nghiên cứu chế tạo vật liệu aerogel tính năng cao từ nanocellulose của xơ dừa và lá dứa</w:t>
      </w:r>
      <w:r w:rsidRPr="008D2933">
        <w:rPr>
          <w:rFonts w:eastAsia="Times New Roman" w:cs="Times New Roman"/>
          <w:szCs w:val="28"/>
        </w:rPr>
        <w:t>: Thu hồi thành công cellulose hiệu suất &gt;90% để chế tạo tấm nanocellulose aerogel và carbon hóa ứng dụng làm màng lọc, vật liệu cách nhiệt thân thiện môi trường</w:t>
      </w:r>
      <w:r w:rsidR="00724AB4">
        <w:rPr>
          <w:rFonts w:eastAsia="Times New Roman" w:cs="Times New Roman"/>
          <w:szCs w:val="28"/>
        </w:rPr>
        <w:t>;</w:t>
      </w:r>
      <w:r w:rsidRPr="008D2933">
        <w:rPr>
          <w:rFonts w:eastAsia="Times New Roman" w:cs="Times New Roman"/>
          <w:szCs w:val="28"/>
        </w:rPr>
        <w:t xml:space="preserve"> </w:t>
      </w:r>
      <w:r w:rsidRPr="00724AB4">
        <w:rPr>
          <w:rFonts w:eastAsia="Times New Roman" w:cs="Times New Roman"/>
          <w:i/>
          <w:szCs w:val="28"/>
        </w:rPr>
        <w:t>Nghiên cứu chế tạo vật liệu xúc tác quang đa chức năng trên nền khoáng vermiculite</w:t>
      </w:r>
      <w:r w:rsidRPr="008D2933">
        <w:rPr>
          <w:rFonts w:eastAsia="Times New Roman" w:cs="Times New Roman"/>
          <w:szCs w:val="28"/>
        </w:rPr>
        <w:t>: Tạo ra quy trình chế tạo xúc tác quang (mang TiO2 pha tạp, BiVO4) có hoạt tính oxy hóa - khử - hấp phụ cao để xử lý hiệu quả dư lượng kháng sinh và hóa chất bảo vệ thực vật trong môi trường nước mặt,.</w:t>
      </w:r>
    </w:p>
    <w:p w14:paraId="087EC572"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Nhiệm vụ cấp Quốc gia (Đại học Bách Khoa Hà Nội thực hiện): Nghiên cứu tổng hợp vật liệu multiferroic ba thành phần (nền BiFeO3-BaTiO3); Nghiên cứu chế tạo linh kiện cảm biến khí trên cơ sở vật liệu nano bán dẫn.</w:t>
      </w:r>
    </w:p>
    <w:p w14:paraId="02694D02"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Kết quả nghiên cứu khoa học, phát triển công nghệ của các nhiệm vụ cấp bộ/ngành, địa phương (Một số nhiệm vụ điển hình):</w:t>
      </w:r>
    </w:p>
    <w:p w14:paraId="1CBBE7BF" w14:textId="77777777" w:rsidR="00CA1367" w:rsidRPr="008D2933" w:rsidRDefault="00CA1367"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Tại ĐHQG-HCM: Chế tạo thành công "Pin sạc Li-ion dạng cúc áo và dạng túi" với dung lượng riêng đạt 150 mAh/g, và "Pin mặt trời thế hệ mới Perovskite" cho hiệu suất quang điện triển vọng; Sản xuất "Mực in nano bạc" ứng dụng trong chế tạo mạch vi điện tử in phun trên các loại đế khác nhau; Tạo "Vật liệu nano bạc" khử khuẩn ứng dụng trực tiếp cho xử lý nước ao nuôi tôm và trái cây, đã thương mại hóa chuyển giao cho nhiều doanh nghiệp ở Bình Thuận, TP.HCM, Kiên Giang.</w:t>
      </w:r>
    </w:p>
    <w:p w14:paraId="6FB64FB2" w14:textId="77777777" w:rsidR="00CA1367" w:rsidRPr="00724AB4" w:rsidRDefault="0008343F" w:rsidP="0008343F">
      <w:pPr>
        <w:spacing w:before="120" w:after="120" w:line="240" w:lineRule="auto"/>
        <w:ind w:firstLine="567"/>
        <w:jc w:val="both"/>
        <w:rPr>
          <w:rFonts w:eastAsia="Times New Roman" w:cs="Times New Roman"/>
          <w:spacing w:val="-4"/>
          <w:szCs w:val="28"/>
        </w:rPr>
      </w:pPr>
      <w:r w:rsidRPr="00724AB4">
        <w:rPr>
          <w:rFonts w:eastAsia="Times New Roman" w:cs="Times New Roman"/>
          <w:spacing w:val="-4"/>
          <w:szCs w:val="28"/>
        </w:rPr>
        <w:t xml:space="preserve">+ </w:t>
      </w:r>
      <w:r w:rsidR="00CA1367" w:rsidRPr="00724AB4">
        <w:rPr>
          <w:rFonts w:eastAsia="Times New Roman" w:cs="Times New Roman"/>
          <w:spacing w:val="-4"/>
          <w:szCs w:val="28"/>
        </w:rPr>
        <w:t>Tại Đồng Tháp: Triển khai các nhiệm vụ ứng dụng vật liệu nano nhằm nâng cao độ hòa tan và hiệu quả của dược liệu, tiêu biểu là chế tạo "Nano curcumin" và các phức chất (Zn/Fe/Ca-Cur), hỗn dịch nano từ nấm đông trùng hạ thảo.</w:t>
      </w:r>
    </w:p>
    <w:p w14:paraId="401C512E" w14:textId="77777777" w:rsidR="00CA1367" w:rsidRPr="008D2933" w:rsidRDefault="0008343F"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CA1367" w:rsidRPr="008D2933">
        <w:rPr>
          <w:rFonts w:eastAsia="Times New Roman" w:cs="Times New Roman"/>
          <w:szCs w:val="28"/>
        </w:rPr>
        <w:t>Tại Lạng Sơn: Triển khai ứng dụng vật liệu nano SiO2 để biến tính gỗ, giúp nâng cao độ bền và giá trị sản phẩm.</w:t>
      </w:r>
    </w:p>
    <w:p w14:paraId="196332BF" w14:textId="77777777" w:rsidR="00CA1367" w:rsidRPr="008D2933" w:rsidRDefault="0008343F" w:rsidP="0008343F">
      <w:pPr>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CA1367" w:rsidRPr="008D2933">
        <w:rPr>
          <w:rFonts w:eastAsia="Times New Roman" w:cs="Times New Roman"/>
          <w:szCs w:val="28"/>
        </w:rPr>
        <w:t>Tên doanh nghiệp/tổ chức và dự án được cấp Giấy chứng nhận: Tính đến hết năm 2025, cấp quốc gia đã cấp Giấy chứng nhận Doanh nghiệp công nghệ cao cho 06 doanh nghiệp thuộc lĩnh vực Công nghệ vật liệu mới. Tiêu biểu gồm:</w:t>
      </w:r>
    </w:p>
    <w:p w14:paraId="0D9E857C" w14:textId="77777777" w:rsidR="00CA1367" w:rsidRPr="008D2933" w:rsidRDefault="0008343F" w:rsidP="0008343F">
      <w:pPr>
        <w:tabs>
          <w:tab w:val="num" w:pos="1134"/>
        </w:tabs>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CA1367" w:rsidRPr="008D2933">
        <w:rPr>
          <w:rFonts w:eastAsia="Times New Roman" w:cs="Times New Roman"/>
          <w:szCs w:val="28"/>
        </w:rPr>
        <w:t>Khối doanh nghiệp FDI:</w:t>
      </w:r>
      <w:r w:rsidRPr="008D2933">
        <w:rPr>
          <w:rFonts w:eastAsia="Times New Roman" w:cs="Times New Roman"/>
          <w:szCs w:val="28"/>
        </w:rPr>
        <w:t xml:space="preserve"> </w:t>
      </w:r>
      <w:r w:rsidR="00CA1367" w:rsidRPr="008D2933">
        <w:rPr>
          <w:rFonts w:eastAsia="Times New Roman" w:cs="Times New Roman"/>
          <w:szCs w:val="28"/>
        </w:rPr>
        <w:t>Công ty TNHH Sản xuất First Solar Việt Nam (Mô-đun quang điện mặt trời màng m</w:t>
      </w:r>
      <w:r w:rsidRPr="008D2933">
        <w:rPr>
          <w:rFonts w:eastAsia="Times New Roman" w:cs="Times New Roman"/>
          <w:szCs w:val="28"/>
        </w:rPr>
        <w:t xml:space="preserve">ỏng, vốn đầu tư trên 1 tỷ USD); </w:t>
      </w:r>
      <w:r w:rsidR="00CA1367" w:rsidRPr="008D2933">
        <w:rPr>
          <w:rFonts w:eastAsia="Times New Roman" w:cs="Times New Roman"/>
          <w:szCs w:val="28"/>
        </w:rPr>
        <w:t>Công ty TNHH Samsung SDI Việt Nam (Pin Lithium-ion hiệu năng</w:t>
      </w:r>
      <w:r w:rsidRPr="008D2933">
        <w:rPr>
          <w:rFonts w:eastAsia="Times New Roman" w:cs="Times New Roman"/>
          <w:szCs w:val="28"/>
        </w:rPr>
        <w:t xml:space="preserve"> cao, vốn đầu tư 160 triệu USD); </w:t>
      </w:r>
      <w:r w:rsidR="00CA1367" w:rsidRPr="008D2933">
        <w:rPr>
          <w:rFonts w:eastAsia="Times New Roman" w:cs="Times New Roman"/>
          <w:szCs w:val="28"/>
        </w:rPr>
        <w:t>Công ty TNHH Vật liệu hợp kim Bedra Việt Nam (Vật liệu hợp kim đặc</w:t>
      </w:r>
      <w:r w:rsidRPr="008D2933">
        <w:rPr>
          <w:rFonts w:eastAsia="Times New Roman" w:cs="Times New Roman"/>
          <w:szCs w:val="28"/>
        </w:rPr>
        <w:t xml:space="preserve"> biệt, vốn đầu tư 80 triệu USD); </w:t>
      </w:r>
      <w:r w:rsidR="00CA1367" w:rsidRPr="008D2933">
        <w:rPr>
          <w:rFonts w:eastAsia="Times New Roman" w:cs="Times New Roman"/>
          <w:szCs w:val="28"/>
        </w:rPr>
        <w:t>Công ty TNHH Khoa học Kỹ thuật Năng lượng Mặt trời Boviet (Tấm kính tiết kiệm năng lượng mặt trời, vốn đầu tư 100 triệu USD).</w:t>
      </w:r>
    </w:p>
    <w:p w14:paraId="15738D16" w14:textId="77777777" w:rsidR="00CA1367" w:rsidRPr="008D2933" w:rsidRDefault="0008343F" w:rsidP="0008343F">
      <w:pPr>
        <w:tabs>
          <w:tab w:val="num" w:pos="1134"/>
        </w:tabs>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w:t>
      </w:r>
      <w:r w:rsidR="00CA1367" w:rsidRPr="008D2933">
        <w:rPr>
          <w:rFonts w:eastAsia="Times New Roman" w:cs="Times New Roman"/>
          <w:szCs w:val="28"/>
        </w:rPr>
        <w:t>Khối doanh nghiệp trong nước:</w:t>
      </w:r>
      <w:r w:rsidRPr="008D2933">
        <w:rPr>
          <w:rFonts w:eastAsia="Times New Roman" w:cs="Times New Roman"/>
          <w:szCs w:val="28"/>
        </w:rPr>
        <w:t xml:space="preserve"> </w:t>
      </w:r>
      <w:r w:rsidR="00CA1367" w:rsidRPr="008D2933">
        <w:rPr>
          <w:rFonts w:eastAsia="Times New Roman" w:cs="Times New Roman"/>
          <w:szCs w:val="28"/>
        </w:rPr>
        <w:t>Công ty TNHH Vonfram Masan (Sản xuất Oxit Vonfram xanh/vàng và muối APT tinh k</w:t>
      </w:r>
      <w:r w:rsidRPr="008D2933">
        <w:rPr>
          <w:rFonts w:eastAsia="Times New Roman" w:cs="Times New Roman"/>
          <w:szCs w:val="28"/>
        </w:rPr>
        <w:t xml:space="preserve">hiết, vốn đầu tư 54 triệu USD); </w:t>
      </w:r>
      <w:r w:rsidR="00CA1367" w:rsidRPr="008D2933">
        <w:rPr>
          <w:rFonts w:eastAsia="Times New Roman" w:cs="Times New Roman"/>
          <w:szCs w:val="28"/>
        </w:rPr>
        <w:t>Công ty Cổ phần Nhựa tái chế Duy Tân (Sản xuất vật liệu polyme tái chế - Upcycling pol</w:t>
      </w:r>
      <w:r w:rsidR="009149CD" w:rsidRPr="008D2933">
        <w:rPr>
          <w:rFonts w:eastAsia="Times New Roman" w:cs="Times New Roman"/>
          <w:szCs w:val="28"/>
        </w:rPr>
        <w:t>ymers, vốn đầu tư 27 triệu USD)</w:t>
      </w:r>
      <w:r w:rsidR="00CA1367" w:rsidRPr="008D2933">
        <w:rPr>
          <w:rFonts w:eastAsia="Times New Roman" w:cs="Times New Roman"/>
          <w:szCs w:val="28"/>
        </w:rPr>
        <w:t>.</w:t>
      </w:r>
    </w:p>
    <w:p w14:paraId="0CF850D3" w14:textId="77777777" w:rsidR="00CF57F7" w:rsidRPr="008D2933" w:rsidRDefault="00CF57F7" w:rsidP="00CF57F7">
      <w:pPr>
        <w:tabs>
          <w:tab w:val="left" w:pos="851"/>
        </w:tabs>
        <w:spacing w:before="120" w:after="120" w:line="240" w:lineRule="auto"/>
        <w:ind w:firstLine="567"/>
        <w:jc w:val="both"/>
        <w:rPr>
          <w:rFonts w:eastAsia="Times New Roman" w:cs="Times New Roman"/>
          <w:szCs w:val="28"/>
        </w:rPr>
      </w:pPr>
      <w:r w:rsidRPr="008D2933">
        <w:rPr>
          <w:rFonts w:eastAsia="Times New Roman" w:cs="Times New Roman"/>
          <w:szCs w:val="28"/>
        </w:rPr>
        <w:t>d) Lĩnh vực Tự động hóa, Cơ khí chính xác và Năng lượng</w:t>
      </w:r>
    </w:p>
    <w:p w14:paraId="2D415B3C" w14:textId="77777777" w:rsidR="00C279DC" w:rsidRPr="008D2933" w:rsidRDefault="00C279DC" w:rsidP="00C279DC">
      <w:pPr>
        <w:tabs>
          <w:tab w:val="left" w:pos="851"/>
        </w:tabs>
        <w:spacing w:before="120" w:after="120" w:line="240" w:lineRule="auto"/>
        <w:ind w:firstLine="567"/>
        <w:jc w:val="both"/>
        <w:rPr>
          <w:rFonts w:eastAsia="Times New Roman" w:cs="Times New Roman"/>
          <w:szCs w:val="28"/>
        </w:rPr>
      </w:pPr>
      <w:r w:rsidRPr="008D2933">
        <w:rPr>
          <w:rFonts w:eastAsia="Times New Roman" w:cs="Times New Roman"/>
          <w:szCs w:val="28"/>
        </w:rPr>
        <w:lastRenderedPageBreak/>
        <w:t>Giai đoạn 2020–2025, lĩnh vực tự động hóa và cơ khí chính xác ghi nhận sự gia tăng rõ rệt về năng lực R&amp;D và sáng chế, với tỷ trọng đáng kể trong tổng số đơn đăng ký nội địa (robot và thiết bị tự hành khoảng 4,6–5,1%; công nghệ điều khiển, giám sát tự động khoảng 6,4–7,0%). Các kết quả nghiên cứu không chỉ dừng ở phòng thí nghiệm mà đã được tích hợp thực tiễn, như phát triển nền tảng nhà máy thông minh (Coretech 4.0), máy in 3D bê tông, hệ thống robot Delta tốc độ cao trong dây chuyền thực phẩm, hệ thống sấy bơm nhiệt và tay máy robot công nghiệp. Ở cấp bộ, ngành và địa phương, nhiều ứng dụng như robot lặn, tàu tự hành, UAV nông nghiệp, hệ thống tưới thông minh, máy gieo hạt tự động… cho thấy xu hướng tự động hóa lan tỏa mạnh vào sản xuất công nghiệp và nông nghiệp chính xác.</w:t>
      </w:r>
    </w:p>
    <w:p w14:paraId="3F55E98F" w14:textId="77777777" w:rsidR="00C279DC" w:rsidRPr="008D2933" w:rsidRDefault="00C279DC" w:rsidP="00CA4AC2">
      <w:pPr>
        <w:widowControl w:val="0"/>
        <w:tabs>
          <w:tab w:val="left" w:pos="851"/>
        </w:tabs>
        <w:spacing w:before="120" w:after="120" w:line="240" w:lineRule="auto"/>
        <w:ind w:firstLine="567"/>
        <w:jc w:val="both"/>
        <w:rPr>
          <w:rFonts w:eastAsia="Times New Roman" w:cs="Times New Roman"/>
          <w:szCs w:val="28"/>
        </w:rPr>
      </w:pPr>
      <w:r w:rsidRPr="008D2933">
        <w:rPr>
          <w:rFonts w:eastAsia="Times New Roman" w:cs="Times New Roman"/>
          <w:szCs w:val="28"/>
        </w:rPr>
        <w:t>Tuy nhiên, số doanh nghiệp được cấp Giấy chứng nhận công nghệ cao trong lĩnh vực này còn ít và chủ yếu thuộc khối FDI (Hyundai Kefico, Nidec Tosok…), trong khi doanh nghiệp trong nước tập trung vào các ngách khuôn mẫu và tự động hóa quy mô nhỏ. Nhìn chung, lĩnh vực đã hình thành nền tảng kỹ thuật và năng lực tích hợp hệ thống tốt, song cần tiếp tục nâng cao tỷ lệ nội địa hóa thiết bị, phát triển sản phẩm thương mại quy mô lớn và tăng cường liên kết doanh nghiệp – viện, trường để từng bước hình thành ngành công nghiệp tự động hóa – cơ khí chính xác có tính cạnh tranh quốc tế.</w:t>
      </w:r>
    </w:p>
    <w:p w14:paraId="5DEDE7D7"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Một số thành tựu nổi bật đạt được:</w:t>
      </w:r>
    </w:p>
    <w:p w14:paraId="0AE41B98"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Năng lực sáng chế và R&amp;D phát triển mạnh: Trong giai đoạn 2020–2025, lĩnh vực thiết kế, chế tạo robot và thiết bị tự hành ghi nhận 230–255 đơn đăng ký sáng chế (chiếm khoảng 4,6–5,1% tổng số đơn nội địa). Các công nghệ thiết kế, chế tạo cơ cấu chấp hành, bộ điều khiển, giám sát và chẩn đoán tự động cũng chiếm tới 6,4–7,0% tổng số đơn.</w:t>
      </w:r>
    </w:p>
    <w:p w14:paraId="6C034CB0"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Tích hợp thực tiễn hiệu quả: Các viện, trường, doanh nghiệp đã thiết kế và tích hợp thành công robot công nghiệp vào sản xuất thực tiễn; thiết kế các dây chuyền sấy, chế biến tự động; và ứng dụng mạnh mẽ thiết bị bay không người lái (UAV/Drone), hệ thống IoT điều khiển thông minh vào cả sản xuất công nghiệp và nông nghiệp chính xác.</w:t>
      </w:r>
    </w:p>
    <w:p w14:paraId="55A1FE29"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Kết quả nghiên cứu khoa học, phát triển công nghệ của các nhiệm vụ thuộc chương trình quốc gia phát triển công nghệ cao đến năm 2030, các Chương trình/Đề án có liên quan (Một số nhiệm vụ điển hình):</w:t>
      </w:r>
    </w:p>
    <w:p w14:paraId="42A05F68"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Nhiệm vụ phát triển nền tảng Coretech 4.0 (ĐHQG-HCM thực hiện): Tích hợp bản sao số (digital twin), học máy và mô hình đa vật lý dành cho doanh nghiệp sản xuất cơ khí vừa và nhỏ, giúp tối ưu hóa quản lý nhà máy thông minh và chuỗi cung ứng.</w:t>
      </w:r>
    </w:p>
    <w:p w14:paraId="1D7903EE"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Nhiệm vụ chế tạo Máy in 3D bê tông: Ứng dụng trong ngành xây dựng, cho phép tạo hình cấu kiện không cần ván khuôn, giảm đáng kể chất thải và tự động hóa khâu cấp liệu.</w:t>
      </w:r>
    </w:p>
    <w:p w14:paraId="4698918F"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xml:space="preserve">+ Nhiệm vụ tích hợp hệ thống Robot Delta tự động: Ứng dụng thành công trong khâu đóng gói dây chuyền sản xuất thực phẩm (chuyển giao cho nhà máy </w:t>
      </w:r>
      <w:r w:rsidRPr="008D2933">
        <w:rPr>
          <w:rFonts w:eastAsia="Times New Roman" w:cs="Times New Roman"/>
          <w:szCs w:val="28"/>
        </w:rPr>
        <w:lastRenderedPageBreak/>
        <w:t>Orion VINA), đạt tốc độ xử lý 100-125 chu kỳ/phút.</w:t>
      </w:r>
    </w:p>
    <w:p w14:paraId="6614FB74"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Nhiệm vụ của Viện Hàn lâm KHCN VN: Nghiên cứu, chế tạo hoàn chỉnh hệ thống sấy bơm nhiệt phục vụ chế biến nông sản và phát triển tay máy robot công nghiệp (tay máy SM6).</w:t>
      </w:r>
    </w:p>
    <w:p w14:paraId="4DFF8F8B"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Kết quả nghiên cứu khoa học, phát triển công nghệ của các nhiệm vụ cấp bộ/ngành, địa phương (Một số nhiệm vụ điển hình):</w:t>
      </w:r>
    </w:p>
    <w:p w14:paraId="6032B1BE" w14:textId="77777777" w:rsidR="0008343F" w:rsidRPr="008D2933" w:rsidRDefault="0008343F" w:rsidP="00CA4AC2">
      <w:pPr>
        <w:widowControl w:val="0"/>
        <w:tabs>
          <w:tab w:val="num" w:pos="993"/>
        </w:tabs>
        <w:spacing w:before="120" w:after="120" w:line="240" w:lineRule="auto"/>
        <w:ind w:firstLine="567"/>
        <w:jc w:val="both"/>
        <w:rPr>
          <w:rFonts w:eastAsia="Times New Roman" w:cs="Times New Roman"/>
          <w:szCs w:val="28"/>
        </w:rPr>
      </w:pPr>
      <w:r w:rsidRPr="008D2933">
        <w:rPr>
          <w:rFonts w:eastAsia="Times New Roman" w:cs="Times New Roman"/>
          <w:szCs w:val="28"/>
        </w:rPr>
        <w:t>+ Tại ĐHQG-HCM: Nghiên cứu chế tạo "Robot lặn có dây BlueROV2" và "Tàu tự hành trên mặt nước" phục vụ quan trắc môi trường thủy điện, cứu hộ và an ninh quốc phòng; Phát triển Robot leo bên ngoài thành bồn chứa (dùng cảm biến từ tính) để kiểm tra độ dày và ăn mòn; Thiết kế hệ thống tiêm vaccine tự động cho cá tra, cá basa với năng suất cao.</w:t>
      </w:r>
    </w:p>
    <w:p w14:paraId="13D9B598"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Tại Thanh Hóa: Sử dụng máy bay tự động với mắt thông minh AI và IoT giám sát dịch bệnh cây mía; triển khai hệ thống tự động điều khiển nhà lưới/nhà màng và công nghệ tưới tiết kiệm trên diện tích 40.000 ha</w:t>
      </w:r>
      <w:r w:rsidR="008D00F9" w:rsidRPr="008D2933">
        <w:rPr>
          <w:rFonts w:eastAsia="Times New Roman" w:cs="Times New Roman"/>
          <w:szCs w:val="28"/>
        </w:rPr>
        <w:t>..</w:t>
      </w:r>
      <w:r w:rsidRPr="008D2933">
        <w:rPr>
          <w:rFonts w:eastAsia="Times New Roman" w:cs="Times New Roman"/>
          <w:szCs w:val="28"/>
        </w:rPr>
        <w:t>.</w:t>
      </w:r>
    </w:p>
    <w:p w14:paraId="22184D74" w14:textId="77777777" w:rsidR="0008343F" w:rsidRPr="008D2933" w:rsidRDefault="0008343F" w:rsidP="00CA4AC2">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 Tại Quảng Trị: Ứng dụng thiết bị bay không người lái (UAV) để phun phân bón và thuốc bảo vệ thực vật chính xác, tiết kiệm cho vùng chuyên canh lúa và cao su.</w:t>
      </w:r>
    </w:p>
    <w:p w14:paraId="19602EB0" w14:textId="77777777" w:rsidR="0008343F" w:rsidRPr="008D2933" w:rsidRDefault="0008343F" w:rsidP="00C15E83">
      <w:pPr>
        <w:spacing w:before="120" w:after="120" w:line="240" w:lineRule="auto"/>
        <w:ind w:firstLine="567"/>
        <w:jc w:val="both"/>
        <w:rPr>
          <w:rFonts w:eastAsia="Times New Roman" w:cs="Times New Roman"/>
          <w:szCs w:val="28"/>
        </w:rPr>
      </w:pPr>
      <w:r w:rsidRPr="008D2933">
        <w:rPr>
          <w:rFonts w:eastAsia="Times New Roman" w:cs="Times New Roman"/>
          <w:szCs w:val="28"/>
        </w:rPr>
        <w:t>+ Tại Đồng Tháp: Triển khai mô hình hệ thống tàu tự hành quan trắc tự động môi trường nước tại Vườn Quốc gia Tràm Chim nhằm bảo tồn đa dạng sinh học,.</w:t>
      </w:r>
    </w:p>
    <w:p w14:paraId="19EBDDB9" w14:textId="77777777" w:rsidR="0008343F" w:rsidRPr="008D2933" w:rsidRDefault="0008343F" w:rsidP="00C15E83">
      <w:pPr>
        <w:spacing w:before="120" w:after="120" w:line="240" w:lineRule="auto"/>
        <w:ind w:firstLine="567"/>
        <w:jc w:val="both"/>
        <w:rPr>
          <w:rFonts w:eastAsia="Times New Roman" w:cs="Times New Roman"/>
          <w:szCs w:val="28"/>
        </w:rPr>
      </w:pPr>
      <w:r w:rsidRPr="008D2933">
        <w:rPr>
          <w:rFonts w:eastAsia="Times New Roman" w:cs="Times New Roman"/>
          <w:szCs w:val="28"/>
        </w:rPr>
        <w:t>+ Tại Lạng Sơn: Nghiên cứu chế tạo máy gieo hạt tự động, ứng dụng bơm nhiệt sấy hồi và sấy thuốc lá hồi lưu khí thải tiết kiệm năng lượng.</w:t>
      </w:r>
    </w:p>
    <w:p w14:paraId="08A5B623" w14:textId="77777777" w:rsidR="0008343F" w:rsidRPr="008D2933" w:rsidRDefault="0008343F" w:rsidP="00C15E83">
      <w:pPr>
        <w:spacing w:before="120" w:after="120" w:line="240" w:lineRule="auto"/>
        <w:ind w:firstLine="567"/>
        <w:jc w:val="both"/>
        <w:rPr>
          <w:rFonts w:eastAsia="Times New Roman" w:cs="Times New Roman"/>
          <w:szCs w:val="28"/>
        </w:rPr>
      </w:pPr>
      <w:r w:rsidRPr="008D2933">
        <w:rPr>
          <w:rFonts w:eastAsia="Times New Roman" w:cs="Times New Roman"/>
          <w:szCs w:val="28"/>
        </w:rPr>
        <w:t>- Tên doanh nghiệp/tổ chức và dự án được cấp Giấy chứng nhận: Tính đến hết năm 2025, có 04 doanh nghiệp thuộc lĩnh vực cơ khí - tự động hóa được cấp Giấy chứng nhận Doanh nghiệp công nghệ cao ở cấp quốc gia, tiêu biểu gồm:</w:t>
      </w:r>
    </w:p>
    <w:p w14:paraId="58490B78" w14:textId="77777777" w:rsidR="0008343F" w:rsidRPr="008D2933" w:rsidRDefault="0008343F" w:rsidP="00C15E83">
      <w:pPr>
        <w:tabs>
          <w:tab w:val="num" w:pos="993"/>
        </w:tabs>
        <w:spacing w:before="120" w:after="120" w:line="240" w:lineRule="auto"/>
        <w:ind w:firstLine="567"/>
        <w:jc w:val="both"/>
        <w:rPr>
          <w:rFonts w:eastAsia="Times New Roman" w:cs="Times New Roman"/>
          <w:szCs w:val="28"/>
        </w:rPr>
      </w:pPr>
      <w:r w:rsidRPr="008D2933">
        <w:rPr>
          <w:rFonts w:eastAsia="Times New Roman" w:cs="Times New Roman"/>
          <w:szCs w:val="28"/>
        </w:rPr>
        <w:t>+ Khối doanh nghiệp FDI: Công ty TNHH Hyundai Kefico Việt Nam (Sản xuất linh kiện, hệ thống điều khiển điện tử thông minh cho ô tô, vốn đầu tư 130 triệu USD); Công ty TNHH Jukwang Precision Việt Nam (Sản xuất khuôn mẫu tiên tiến, vốn đầu tư gần 47,9 triệu USD); Công ty TNHH Nidec Tosok Việt Nam (Sản xuất van điều khiển, mô-tơ chính xác cho hộp số tự động ô tô).</w:t>
      </w:r>
    </w:p>
    <w:p w14:paraId="0549E1A0" w14:textId="77777777" w:rsidR="0008343F" w:rsidRPr="008D2933" w:rsidRDefault="0008343F" w:rsidP="00C15E83">
      <w:pPr>
        <w:tabs>
          <w:tab w:val="num" w:pos="993"/>
        </w:tabs>
        <w:spacing w:before="120" w:after="120" w:line="240" w:lineRule="auto"/>
        <w:ind w:firstLine="567"/>
        <w:jc w:val="both"/>
        <w:rPr>
          <w:rFonts w:eastAsia="Times New Roman" w:cs="Times New Roman"/>
          <w:szCs w:val="28"/>
        </w:rPr>
      </w:pPr>
      <w:r w:rsidRPr="008D2933">
        <w:rPr>
          <w:rFonts w:eastAsia="Times New Roman" w:cs="Times New Roman"/>
          <w:szCs w:val="28"/>
        </w:rPr>
        <w:t>+ Khối doanh nghiệp trong nước, tập trung vào ngách khuôn mẫu chính xác cao và tự động hóa sản xuất: Công ty TNHH Lập Phúc (Chế tạo khuôn mẫu kỹ thuật độ chính xác cao, vốn đầu tư 6,6 triệu USD); Công ty TNHH Khuôn chính xác Duy Tân (Sản xuất khuôn mẫu tiên tiến, vốn đầu tư gần 8,7 triệu USD).</w:t>
      </w:r>
    </w:p>
    <w:p w14:paraId="7E61613B" w14:textId="77777777" w:rsidR="009D09E7" w:rsidRPr="009D09E7" w:rsidRDefault="009D09E7" w:rsidP="009D09E7">
      <w:pPr>
        <w:widowControl w:val="0"/>
        <w:spacing w:before="120" w:after="120" w:line="240" w:lineRule="auto"/>
        <w:ind w:firstLine="567"/>
        <w:jc w:val="both"/>
        <w:rPr>
          <w:rFonts w:eastAsia="Times New Roman" w:cs="Times New Roman"/>
          <w:b/>
          <w:szCs w:val="28"/>
        </w:rPr>
      </w:pPr>
      <w:r w:rsidRPr="008D2933">
        <w:rPr>
          <w:rFonts w:eastAsia="Times New Roman" w:cs="Times New Roman"/>
          <w:b/>
          <w:szCs w:val="28"/>
        </w:rPr>
        <w:t xml:space="preserve">II. </w:t>
      </w:r>
      <w:r w:rsidRPr="009D09E7">
        <w:rPr>
          <w:rFonts w:eastAsia="Times New Roman" w:cs="Times New Roman"/>
          <w:b/>
          <w:szCs w:val="28"/>
        </w:rPr>
        <w:t>ĐÁNH GIÁ CHUNG: THỰC TRẠNG PHÂN HÓA NGUỒN LỰC VÀ RÀO CẢN TRONG PHÁT TRIỂN CÔNG NGHỆ CAO</w:t>
      </w:r>
    </w:p>
    <w:p w14:paraId="78DC17C8" w14:textId="77777777" w:rsidR="009D09E7" w:rsidRPr="009D09E7" w:rsidRDefault="009D09E7" w:rsidP="009D09E7">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Mặc dù việc thực hiện Quyết định 38/2020/QĐ-TTg và Luật Công nghệ cao 2008 đã mang lại những bước tiến đáng kể về tổng quy mô giá trị sản xuất và xuất khẩu, song bức tranh công nghệ cao (CNC) tại Việt Nam đang bộc lộ những nghịch lý và sự phân hóa sâu sắc. Sự phát triển này hiện đang thiếu tính bền vững và bộc lộ rõ nhất qua hai khía cạnh:</w:t>
      </w:r>
    </w:p>
    <w:p w14:paraId="2E893D88" w14:textId="77777777" w:rsidR="009D09E7" w:rsidRPr="009D09E7" w:rsidRDefault="009D09E7" w:rsidP="009D09E7">
      <w:pPr>
        <w:widowControl w:val="0"/>
        <w:spacing w:before="120" w:after="120" w:line="240" w:lineRule="auto"/>
        <w:ind w:firstLine="567"/>
        <w:jc w:val="both"/>
        <w:rPr>
          <w:rFonts w:eastAsia="Times New Roman" w:cs="Times New Roman"/>
          <w:szCs w:val="28"/>
        </w:rPr>
      </w:pPr>
      <w:r w:rsidRPr="009D09E7">
        <w:rPr>
          <w:rFonts w:eastAsia="Times New Roman" w:cs="Times New Roman"/>
          <w:szCs w:val="28"/>
        </w:rPr>
        <w:lastRenderedPageBreak/>
        <w:t xml:space="preserve">1. </w:t>
      </w:r>
      <w:r w:rsidR="001275B7">
        <w:rPr>
          <w:rFonts w:eastAsia="Times New Roman" w:cs="Times New Roman"/>
          <w:szCs w:val="28"/>
        </w:rPr>
        <w:t>X</w:t>
      </w:r>
      <w:r w:rsidRPr="009D09E7">
        <w:rPr>
          <w:rFonts w:eastAsia="Times New Roman" w:cs="Times New Roman"/>
          <w:szCs w:val="28"/>
        </w:rPr>
        <w:t>uất khẩu</w:t>
      </w:r>
      <w:r w:rsidRPr="008D2933">
        <w:rPr>
          <w:rFonts w:eastAsia="Times New Roman" w:cs="Times New Roman"/>
          <w:szCs w:val="28"/>
        </w:rPr>
        <w:t xml:space="preserve"> sản phẩm CNC của Việt Nam đang được định hình bởi sự phân hóa sâu sắc thành 3 nhóm rõ rệt, phụ thuộc hoàn toàn vào lợi thế hạ tầng và sự dịch chuyển của các tập đoàn đa quốc gia:</w:t>
      </w:r>
    </w:p>
    <w:p w14:paraId="620A5735" w14:textId="77777777" w:rsidR="009D09E7" w:rsidRPr="009D09E7" w:rsidRDefault="009D09E7" w:rsidP="009D09E7">
      <w:pPr>
        <w:widowControl w:val="0"/>
        <w:numPr>
          <w:ilvl w:val="0"/>
          <w:numId w:val="19"/>
        </w:numPr>
        <w:spacing w:before="120" w:after="120" w:line="240" w:lineRule="auto"/>
        <w:ind w:left="0" w:firstLine="567"/>
        <w:jc w:val="both"/>
        <w:rPr>
          <w:rFonts w:eastAsia="Times New Roman" w:cs="Times New Roman"/>
          <w:szCs w:val="28"/>
        </w:rPr>
      </w:pPr>
      <w:r w:rsidRPr="009D09E7">
        <w:rPr>
          <w:rFonts w:eastAsia="Times New Roman" w:cs="Times New Roman"/>
          <w:szCs w:val="28"/>
        </w:rPr>
        <w:t>Nhóm dẫn dắt:</w:t>
      </w:r>
      <w:r w:rsidRPr="008D2933">
        <w:rPr>
          <w:rFonts w:eastAsia="Times New Roman" w:cs="Times New Roman"/>
          <w:szCs w:val="28"/>
        </w:rPr>
        <w:t xml:space="preserve"> Các địa phương có KCNC hoặc hạ tầng công nghiệp mạnh đóng vai trò quyết định toàn bộ kim ngạch xuất khẩu CNC. Tại KCNC TP.HCM, quy mô xuất khẩu luôn duy trì ở mức khổng lồ, ước đạt 20.532 triệu USD vào năm 2025. Tương tự, Nghệ An vươn lên thành cực tăng trưởng mới với tổng kim ngạch xuất khẩu ước đạt 4,4 tỷ USD (năm 2025) chủ yếu nhờ nhóm hàng điện tử, linh kiện của FDI.</w:t>
      </w:r>
    </w:p>
    <w:p w14:paraId="41C06D10" w14:textId="77777777" w:rsidR="009D09E7" w:rsidRPr="009D09E7" w:rsidRDefault="00A0035D" w:rsidP="009D09E7">
      <w:pPr>
        <w:widowControl w:val="0"/>
        <w:numPr>
          <w:ilvl w:val="0"/>
          <w:numId w:val="19"/>
        </w:numPr>
        <w:spacing w:before="120" w:after="120" w:line="240" w:lineRule="auto"/>
        <w:ind w:left="0" w:firstLine="567"/>
        <w:jc w:val="both"/>
        <w:rPr>
          <w:rFonts w:eastAsia="Times New Roman" w:cs="Times New Roman"/>
          <w:szCs w:val="28"/>
        </w:rPr>
      </w:pPr>
      <w:r>
        <w:t>Nhóm phát triển từ nông nghiệp</w:t>
      </w:r>
      <w:r w:rsidR="009D09E7" w:rsidRPr="009D09E7">
        <w:rPr>
          <w:rFonts w:eastAsia="Times New Roman" w:cs="Times New Roman"/>
          <w:szCs w:val="28"/>
        </w:rPr>
        <w:t>:</w:t>
      </w:r>
      <w:r w:rsidR="009D09E7" w:rsidRPr="008D2933">
        <w:rPr>
          <w:rFonts w:eastAsia="Times New Roman" w:cs="Times New Roman"/>
          <w:szCs w:val="28"/>
        </w:rPr>
        <w:t xml:space="preserve"> Nhóm này không xuất khẩu sản phẩm phần cứng CNC mà tận dụng "ứng dụng CNC" để xuất khẩu nông sản. Điển hình như Sơn La, giá trị xuất khẩu năm 2025 ước đạt 215 triệu USD, trong đó nông sản (nhờ ứng dụng CNC trong bảo quản, chế biến) chiếm tới 97%.</w:t>
      </w:r>
    </w:p>
    <w:p w14:paraId="0E24CC5E" w14:textId="51B8AC1E" w:rsidR="009D09E7" w:rsidRPr="009D09E7" w:rsidRDefault="009D09E7" w:rsidP="009D09E7">
      <w:pPr>
        <w:widowControl w:val="0"/>
        <w:numPr>
          <w:ilvl w:val="0"/>
          <w:numId w:val="19"/>
        </w:numPr>
        <w:spacing w:before="120" w:after="120" w:line="240" w:lineRule="auto"/>
        <w:ind w:left="0" w:firstLine="567"/>
        <w:jc w:val="both"/>
        <w:rPr>
          <w:rFonts w:eastAsia="Times New Roman" w:cs="Times New Roman"/>
          <w:szCs w:val="28"/>
        </w:rPr>
      </w:pPr>
      <w:r w:rsidRPr="009D09E7">
        <w:rPr>
          <w:rFonts w:eastAsia="Times New Roman" w:cs="Times New Roman"/>
          <w:szCs w:val="28"/>
        </w:rPr>
        <w:t xml:space="preserve">Nhóm </w:t>
      </w:r>
      <w:r w:rsidR="00D0672E">
        <w:rPr>
          <w:rFonts w:eastAsia="Times New Roman" w:cs="Times New Roman"/>
          <w:szCs w:val="28"/>
        </w:rPr>
        <w:t xml:space="preserve">có </w:t>
      </w:r>
      <w:r w:rsidR="00A0035D">
        <w:rPr>
          <w:rFonts w:eastAsia="Times New Roman" w:cs="Times New Roman"/>
          <w:szCs w:val="28"/>
        </w:rPr>
        <w:t>tỷ trọng thấp</w:t>
      </w:r>
      <w:r w:rsidRPr="009D09E7">
        <w:rPr>
          <w:rFonts w:eastAsia="Times New Roman" w:cs="Times New Roman"/>
          <w:szCs w:val="28"/>
        </w:rPr>
        <w:t>:</w:t>
      </w:r>
      <w:r w:rsidRPr="008D2933">
        <w:rPr>
          <w:rFonts w:eastAsia="Times New Roman" w:cs="Times New Roman"/>
          <w:szCs w:val="28"/>
        </w:rPr>
        <w:t xml:space="preserve"> Các tỉnh miền núi, biên giới như Điện Biên, Lào Cai có tỷ trọng xuất khẩu CNC cực thấp, chỉ dao động từ dưới 1% đến 3-5% tổng giá trị xuất khẩu.</w:t>
      </w:r>
    </w:p>
    <w:p w14:paraId="34C0E58D" w14:textId="77777777" w:rsidR="009D09E7" w:rsidRPr="009D09E7" w:rsidRDefault="009D09E7" w:rsidP="009D09E7">
      <w:pPr>
        <w:widowControl w:val="0"/>
        <w:spacing w:before="120" w:after="120" w:line="240" w:lineRule="auto"/>
        <w:ind w:firstLine="567"/>
        <w:jc w:val="both"/>
        <w:rPr>
          <w:rFonts w:eastAsia="Times New Roman" w:cs="Times New Roman"/>
          <w:szCs w:val="28"/>
        </w:rPr>
      </w:pPr>
      <w:r w:rsidRPr="009D09E7">
        <w:rPr>
          <w:rFonts w:eastAsia="Times New Roman" w:cs="Times New Roman"/>
          <w:szCs w:val="28"/>
        </w:rPr>
        <w:t>2. Nghịch lý nguồn lực: "Sản xuất CNC" thuộc về FDI, "Ứng dụng CNC" thuộc về doanh nghiệp nội</w:t>
      </w:r>
      <w:r w:rsidRPr="008D2933">
        <w:rPr>
          <w:rFonts w:eastAsia="Times New Roman" w:cs="Times New Roman"/>
          <w:szCs w:val="28"/>
        </w:rPr>
        <w:t xml:space="preserve"> Hệ sinh thái công nghệ cao của Việt Nam đang được </w:t>
      </w:r>
      <w:r w:rsidR="00A0035D">
        <w:rPr>
          <w:rFonts w:eastAsia="Times New Roman" w:cs="Times New Roman"/>
          <w:szCs w:val="28"/>
        </w:rPr>
        <w:t>dẫn dắt bởi</w:t>
      </w:r>
      <w:r w:rsidRPr="008D2933">
        <w:rPr>
          <w:rFonts w:eastAsia="Times New Roman" w:cs="Times New Roman"/>
          <w:szCs w:val="28"/>
        </w:rPr>
        <w:t xml:space="preserve"> nguồn lực FDI, trong khi </w:t>
      </w:r>
      <w:r w:rsidR="00A0035D">
        <w:rPr>
          <w:rFonts w:eastAsia="Times New Roman" w:cs="Times New Roman"/>
          <w:szCs w:val="28"/>
        </w:rPr>
        <w:t>nguồn lực</w:t>
      </w:r>
      <w:r w:rsidRPr="008D2933">
        <w:rPr>
          <w:rFonts w:eastAsia="Times New Roman" w:cs="Times New Roman"/>
          <w:szCs w:val="28"/>
        </w:rPr>
        <w:t xml:space="preserve"> của doanh nghiệp nội địa </w:t>
      </w:r>
      <w:r w:rsidR="00A0035D">
        <w:rPr>
          <w:rFonts w:eastAsia="Times New Roman" w:cs="Times New Roman"/>
          <w:szCs w:val="28"/>
        </w:rPr>
        <w:t>còn thấp</w:t>
      </w:r>
      <w:r w:rsidRPr="008D2933">
        <w:rPr>
          <w:rFonts w:eastAsia="Times New Roman" w:cs="Times New Roman"/>
          <w:szCs w:val="28"/>
        </w:rPr>
        <w:t>. Điều này được minh chứng qua các con số</w:t>
      </w:r>
      <w:r w:rsidR="00A0035D">
        <w:rPr>
          <w:rFonts w:eastAsia="Times New Roman" w:cs="Times New Roman"/>
          <w:szCs w:val="28"/>
        </w:rPr>
        <w:t xml:space="preserve"> sau</w:t>
      </w:r>
      <w:r w:rsidRPr="008D2933">
        <w:rPr>
          <w:rFonts w:eastAsia="Times New Roman" w:cs="Times New Roman"/>
          <w:szCs w:val="28"/>
        </w:rPr>
        <w:t>:</w:t>
      </w:r>
    </w:p>
    <w:p w14:paraId="67331CED" w14:textId="77777777" w:rsidR="009D09E7" w:rsidRPr="009D09E7" w:rsidRDefault="009D09E7" w:rsidP="009D09E7">
      <w:pPr>
        <w:widowControl w:val="0"/>
        <w:numPr>
          <w:ilvl w:val="0"/>
          <w:numId w:val="20"/>
        </w:numPr>
        <w:spacing w:before="120" w:after="120" w:line="240" w:lineRule="auto"/>
        <w:ind w:left="0" w:firstLine="567"/>
        <w:jc w:val="both"/>
        <w:rPr>
          <w:rFonts w:eastAsia="Times New Roman" w:cs="Times New Roman"/>
          <w:szCs w:val="28"/>
        </w:rPr>
      </w:pPr>
      <w:r w:rsidRPr="009D09E7">
        <w:rPr>
          <w:rFonts w:eastAsia="Times New Roman" w:cs="Times New Roman"/>
          <w:szCs w:val="28"/>
        </w:rPr>
        <w:t>Sự chênh lệch tại các hạt nhân công nghệ:</w:t>
      </w:r>
      <w:r w:rsidRPr="008D2933">
        <w:rPr>
          <w:rFonts w:eastAsia="Times New Roman" w:cs="Times New Roman"/>
          <w:szCs w:val="28"/>
        </w:rPr>
        <w:t xml:space="preserve"> Tại KCNC TP.HCM, dù khối trong nước có tới 110 dự án (so với 56 dự án FDI), nhưng 56 dự án FDI lại nắm giữ tới 10,442 tỷ USD (chiếm hơn 81% tổng vốn), trong khi khối nội địa chỉ vỏn vẹn 2,42 tỷ USD. Khốc liệt hơn, tại KCNC Đà Nẵng, trong khi doanh thu khối FDI bứt tốc gấp 5 lần chỉ sau 4 năm (đạt 76,95 triệu USD năm 2024), thì khối trong nước lại </w:t>
      </w:r>
      <w:r w:rsidR="00397A69">
        <w:rPr>
          <w:rFonts w:eastAsia="Times New Roman" w:cs="Times New Roman"/>
          <w:szCs w:val="28"/>
        </w:rPr>
        <w:t>có xu hướng giảm</w:t>
      </w:r>
      <w:r w:rsidRPr="008D2933">
        <w:rPr>
          <w:rFonts w:eastAsia="Times New Roman" w:cs="Times New Roman"/>
          <w:szCs w:val="28"/>
        </w:rPr>
        <w:t xml:space="preserve"> từ 486 tỷ VNĐ (2020) xuống chỉ còn 37,1 tỷ VNĐ (2024).</w:t>
      </w:r>
    </w:p>
    <w:p w14:paraId="2EE98D9C" w14:textId="77777777" w:rsidR="009D09E7" w:rsidRPr="009D09E7" w:rsidRDefault="009D09E7" w:rsidP="009D09E7">
      <w:pPr>
        <w:widowControl w:val="0"/>
        <w:numPr>
          <w:ilvl w:val="0"/>
          <w:numId w:val="20"/>
        </w:numPr>
        <w:spacing w:before="120" w:after="120" w:line="240" w:lineRule="auto"/>
        <w:ind w:left="0" w:firstLine="567"/>
        <w:jc w:val="both"/>
        <w:rPr>
          <w:rFonts w:eastAsia="Times New Roman" w:cs="Times New Roman"/>
          <w:szCs w:val="28"/>
        </w:rPr>
      </w:pPr>
      <w:r w:rsidRPr="008D2933">
        <w:rPr>
          <w:rFonts w:eastAsia="Times New Roman" w:cs="Times New Roman"/>
          <w:szCs w:val="28"/>
        </w:rPr>
        <w:t>Trong số 37 Giấy chứng nhận doanh nghiệp CNC cấp quốc gia do Cục Đổi mới Sáng tạo cấp, có tới 29 doanh nghiệp FDI quy mô tỷ USD (như Samsung, LG, Amkor...) chi phối hoàn toàn lĩnh vực Điện tử - Viễn thông. Trong khi đó, doanh nghiệp Việt là điểm sáng nhưng còn rất hạn chế. Các doanh nghiệp nội địa chủ yếu tập trung ở quy mô nhỏ, tham gia vào ngách "Ứng dụng CNC" trong nông nghiệp (như các dự án nuôi tôm, bò sữa tại Quảng Ngãi, Thanh Hóa, Quảng Ninh).</w:t>
      </w:r>
    </w:p>
    <w:p w14:paraId="50EA6786" w14:textId="77777777" w:rsidR="009D09E7" w:rsidRPr="009D09E7" w:rsidRDefault="009D09E7" w:rsidP="009D09E7">
      <w:pPr>
        <w:widowControl w:val="0"/>
        <w:numPr>
          <w:ilvl w:val="0"/>
          <w:numId w:val="20"/>
        </w:numPr>
        <w:spacing w:before="120" w:after="120" w:line="240" w:lineRule="auto"/>
        <w:ind w:left="0" w:firstLine="567"/>
        <w:jc w:val="both"/>
        <w:rPr>
          <w:rFonts w:eastAsia="Times New Roman" w:cs="Times New Roman"/>
          <w:szCs w:val="28"/>
        </w:rPr>
      </w:pPr>
      <w:r w:rsidRPr="009D09E7">
        <w:rPr>
          <w:rFonts w:eastAsia="Times New Roman" w:cs="Times New Roman"/>
          <w:szCs w:val="28"/>
        </w:rPr>
        <w:t>Chất lượng của R&amp;D:</w:t>
      </w:r>
      <w:r w:rsidRPr="008D2933">
        <w:rPr>
          <w:rFonts w:eastAsia="Times New Roman" w:cs="Times New Roman"/>
          <w:szCs w:val="28"/>
        </w:rPr>
        <w:t xml:space="preserve"> Dù tổng doanh thu của các doanh nghiệp CNC đạt 84,5 tỷ USD (năm 2023), nhưng các doanh nghiệp FDI chủ yếu tập trung gia công sản xuất; hoạt động R&amp;D thực chất chỉ là cải tiến dây chuyền máy móc chứ chưa sáng tạo công nghệ, sản phẩm gốc. Tỷ lệ chi cho R&amp;D trung bình chỉ đạt 0,8%, và lao động R&amp;D chỉ chiếm 5%</w:t>
      </w:r>
      <w:r w:rsidR="004534EF">
        <w:rPr>
          <w:rFonts w:eastAsia="Times New Roman" w:cs="Times New Roman"/>
          <w:szCs w:val="28"/>
        </w:rPr>
        <w:t>.</w:t>
      </w:r>
    </w:p>
    <w:p w14:paraId="4B924EF4" w14:textId="77777777" w:rsidR="00217836" w:rsidRPr="008D2933" w:rsidRDefault="009D09E7" w:rsidP="00C15E83">
      <w:pPr>
        <w:spacing w:before="120" w:after="120" w:line="240" w:lineRule="auto"/>
        <w:ind w:firstLine="547"/>
        <w:jc w:val="both"/>
        <w:outlineLvl w:val="1"/>
        <w:rPr>
          <w:rFonts w:eastAsia="Times New Roman" w:cs="Times New Roman"/>
          <w:b/>
          <w:bCs/>
          <w:szCs w:val="28"/>
        </w:rPr>
      </w:pPr>
      <w:r w:rsidRPr="008D2933">
        <w:rPr>
          <w:rFonts w:eastAsia="Times New Roman" w:cs="Times New Roman"/>
          <w:b/>
          <w:bCs/>
          <w:szCs w:val="28"/>
        </w:rPr>
        <w:t>I</w:t>
      </w:r>
      <w:r w:rsidR="00217836" w:rsidRPr="008D2933">
        <w:rPr>
          <w:rFonts w:eastAsia="Times New Roman" w:cs="Times New Roman"/>
          <w:b/>
          <w:bCs/>
          <w:szCs w:val="28"/>
        </w:rPr>
        <w:t>II. MỘT SỐ KHÓ KHĂN, BẤT CẬP VÀ GIẢI PHÁP KHẮC PHỤC</w:t>
      </w:r>
    </w:p>
    <w:p w14:paraId="46EBC739" w14:textId="1C652549" w:rsidR="00217836" w:rsidRPr="008D2933" w:rsidRDefault="00217836" w:rsidP="00C15E83">
      <w:pPr>
        <w:spacing w:before="120" w:after="120" w:line="240" w:lineRule="auto"/>
        <w:ind w:firstLine="547"/>
        <w:jc w:val="both"/>
        <w:outlineLvl w:val="2"/>
        <w:rPr>
          <w:rFonts w:eastAsia="Times New Roman" w:cs="Times New Roman"/>
          <w:b/>
          <w:bCs/>
          <w:szCs w:val="28"/>
        </w:rPr>
      </w:pPr>
      <w:r w:rsidRPr="008D2933">
        <w:rPr>
          <w:rFonts w:eastAsia="Times New Roman" w:cs="Times New Roman"/>
          <w:b/>
          <w:bCs/>
          <w:szCs w:val="28"/>
        </w:rPr>
        <w:t>1. Một số khó khăn, bất cập trong thúc đẩy phát triển công nghệ cao, sản phẩm công nghệ cao</w:t>
      </w:r>
    </w:p>
    <w:p w14:paraId="5E46B4B7" w14:textId="77777777" w:rsidR="00217836" w:rsidRPr="008D2933" w:rsidRDefault="00217836"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lastRenderedPageBreak/>
        <w:t>Quá trình thúc đẩy phát triển CNC tại Việt Nam đang phải đối mặt với nhiều rào cản mang tính hệ thống, từ khung chính sách, nguồn lực đến cơ chế tổ chức thực thi. Việc nhận diện rõ những bất cập này là cơ sở để đề xuất các giải pháp mang tính đột phá, tháo gỡ các "nút thắt" đang cản trở sự phát triển.</w:t>
      </w:r>
    </w:p>
    <w:p w14:paraId="598FB69B" w14:textId="77777777" w:rsidR="008F3FAA" w:rsidRPr="008D2933" w:rsidRDefault="008F3FAA"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a) Về cơ chế, chính sách và thủ tục pháp lý:</w:t>
      </w:r>
    </w:p>
    <w:p w14:paraId="795D4840" w14:textId="77777777" w:rsidR="008F2378" w:rsidRPr="00B44443" w:rsidRDefault="008F2378" w:rsidP="00C15E83">
      <w:pPr>
        <w:spacing w:before="120" w:after="120" w:line="240" w:lineRule="auto"/>
        <w:ind w:firstLine="547"/>
        <w:jc w:val="both"/>
        <w:rPr>
          <w:rFonts w:eastAsia="Times New Roman" w:cs="Times New Roman"/>
          <w:spacing w:val="-4"/>
          <w:szCs w:val="28"/>
        </w:rPr>
      </w:pPr>
      <w:r w:rsidRPr="00B44443">
        <w:rPr>
          <w:rFonts w:eastAsia="Times New Roman" w:cs="Times New Roman"/>
          <w:spacing w:val="-4"/>
          <w:szCs w:val="28"/>
        </w:rPr>
        <w:t>Quá trình thúc đẩy phát triển công nghệ cao (CNC) tại Việt Nam đang phải đối mặt với nhiều rào cản mang tính hệ thống, từ khung chính sách, nguồn lực đến cơ chế tổ chức thực thi. Việc nhận diện rõ những bất cập này là cơ sở để đề xuất các giải pháp mang tính đột phá, tháo gỡ các "nút thắt" đang cản trở sự phát triển.</w:t>
      </w:r>
    </w:p>
    <w:p w14:paraId="0AA9A754" w14:textId="77777777" w:rsidR="008F2378" w:rsidRPr="008D2933" w:rsidRDefault="008F2378"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xml:space="preserve">- Tiêu chí xác định CNC, sản phẩm CNC trong một số lĩnh vực còn mang tính khái quát, thiếu bộ tiêu chí kỹ thuật định lượng rõ ràng. Điều này dẫn đến nguy cơ đánh giá thiếu thống nhất giữa các địa phương, tạo ra tình trạng </w:t>
      </w:r>
      <w:r w:rsidR="00654215">
        <w:rPr>
          <w:rFonts w:eastAsia="Times New Roman" w:cs="Times New Roman"/>
          <w:szCs w:val="28"/>
        </w:rPr>
        <w:t>không đồng đều</w:t>
      </w:r>
      <w:r w:rsidRPr="008D2933">
        <w:rPr>
          <w:rFonts w:eastAsia="Times New Roman" w:cs="Times New Roman"/>
          <w:szCs w:val="28"/>
        </w:rPr>
        <w:t>. Hơn nữa, nhiều tiêu chí hiện hành quá thiên về điều kiện sản xuất, quy mô thương mại hoặc doanh thu, gây khó khăn cho các tổ chức nghiên cứu khoa học công lập trong việc định danh và báo cáo các kết quả nghiên cứu ứng dụng (ở quy mô thử nghiệm) là CNC.</w:t>
      </w:r>
    </w:p>
    <w:p w14:paraId="29850088" w14:textId="77777777" w:rsidR="008F2378" w:rsidRPr="004534EF" w:rsidRDefault="008F2378" w:rsidP="00C15E83">
      <w:pPr>
        <w:spacing w:before="120" w:after="120" w:line="240" w:lineRule="auto"/>
        <w:ind w:firstLine="547"/>
        <w:jc w:val="both"/>
        <w:rPr>
          <w:rFonts w:eastAsia="Times New Roman" w:cs="Times New Roman"/>
          <w:spacing w:val="-4"/>
          <w:szCs w:val="28"/>
        </w:rPr>
      </w:pPr>
      <w:r w:rsidRPr="004534EF">
        <w:rPr>
          <w:rFonts w:eastAsia="Times New Roman" w:cs="Times New Roman"/>
          <w:spacing w:val="-4"/>
          <w:szCs w:val="28"/>
        </w:rPr>
        <w:t xml:space="preserve">- Thủ tục đăng ký, cấp Giấy chứng nhận doanh nghiệp CNC, Giấy chứng nhận ứng dụng CNC </w:t>
      </w:r>
      <w:r w:rsidR="001363D4">
        <w:rPr>
          <w:rFonts w:eastAsia="Times New Roman" w:cs="Times New Roman"/>
          <w:spacing w:val="-4"/>
          <w:szCs w:val="28"/>
        </w:rPr>
        <w:t xml:space="preserve">có </w:t>
      </w:r>
      <w:r w:rsidRPr="004534EF">
        <w:rPr>
          <w:rFonts w:eastAsia="Times New Roman" w:cs="Times New Roman"/>
          <w:spacing w:val="-4"/>
          <w:szCs w:val="28"/>
        </w:rPr>
        <w:t>hồ sơ kỹ thuật phức tạp và thời gian xử lý kéo dài. Điều này tạo ra rào cản rất lớn đối với các doanh nghiệp nhỏ và vừa (SMEs), các doanh nghiệp khởi nghiệp sáng tạo, doanh nghiệp khởi nguồn (spin-off) từ trường đại học, cũng như các hợp tác xã tại các địa bàn miền núi, vùng sâu vùng xa.</w:t>
      </w:r>
    </w:p>
    <w:p w14:paraId="6E723207" w14:textId="77777777" w:rsidR="008F2378" w:rsidRPr="008D2933" w:rsidRDefault="008F2378"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Các quy định về doanh nghiệp CNC nằm rải rác ở nhiều văn bản khác nhau (Luật Công nghệ cao, Luật Hỗ trợ Doanh nghiệp nhỏ và vừa, Luật Đầu tư, pháp luật về sở hữu trí tuệ...) gây khó khăn trong việc tra cứu và áp dụng thống nhất. Đặc biệt, ranh giới giữa "công nghệ cao" và "công nghệ chiến lược" trong các văn bản hiện hành chưa được làm rõ một</w:t>
      </w:r>
    </w:p>
    <w:p w14:paraId="2DF62178" w14:textId="77777777" w:rsidR="008F3FAA" w:rsidRPr="008D2933" w:rsidRDefault="008F3FAA"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b) Về năng lực doanh nghiệp và thương mại hóa công nghệ:</w:t>
      </w:r>
    </w:p>
    <w:p w14:paraId="566EB3DC" w14:textId="77777777" w:rsidR="008F2378" w:rsidRPr="008D2933" w:rsidRDefault="00C15E83"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xml:space="preserve">- </w:t>
      </w:r>
      <w:r w:rsidR="008F2378" w:rsidRPr="008D2933">
        <w:rPr>
          <w:rFonts w:eastAsia="Times New Roman" w:cs="Times New Roman"/>
          <w:szCs w:val="28"/>
        </w:rPr>
        <w:t>Phần lớn doanh nghiệp tại các địa phương, đặc biệt ở khu vực miền núi, biên giới (như Điện Biên, Lào Cai, Lạng Sơn) hay các tỉnh thiên về nông nghiệp (như An Giang, Hà Tĩnh) chủ yếu là doanh nghiệp nhỏ, siêu nhỏ và hợp tác xã. Năng lực tài chính, hạ tầng thiết bị và trình độ tiếp cận công nghệ của nhóm này còn rất hạn chế. Hệ quả là họ không thể đáp ứng được các tiêu chí khắt khe theo quy định hiện hành, đặc biệt là yêu cầu bắt buộc về tỷ lệ đầu tư cho Nghiên cứu &amp; Phát triển (R&amp;D phải ≥ 1% doanh thu) và các tiêu chuẩn về nhân sự chuyên môn cao để được cấp Giấy chứng nhận doanh nghiệp CNC.</w:t>
      </w:r>
    </w:p>
    <w:p w14:paraId="6FF6F2C2" w14:textId="77777777" w:rsidR="008F2378" w:rsidRPr="008D2933" w:rsidRDefault="00C15E83"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xml:space="preserve">- </w:t>
      </w:r>
      <w:r w:rsidR="008F2378" w:rsidRPr="008D2933">
        <w:rPr>
          <w:rFonts w:eastAsia="Times New Roman" w:cs="Times New Roman"/>
          <w:szCs w:val="28"/>
        </w:rPr>
        <w:t>Việc chuyển giao, thương mại hóa kết quả nghiên cứu từ các tổ chức khoa học công lập (đặc biệt từ các Viện, Trường lớn như Viện Hàn lâm KHCN VN, ĐHQG-HCM, ĐHBK Hà Nội) đang đối mặt với nhiều rào cản lớn.</w:t>
      </w:r>
    </w:p>
    <w:p w14:paraId="6FCBF5A2" w14:textId="77777777" w:rsidR="008F2378" w:rsidRPr="008D2933" w:rsidRDefault="00C15E83"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xml:space="preserve">+  </w:t>
      </w:r>
      <w:r w:rsidR="008F2378" w:rsidRPr="008D2933">
        <w:rPr>
          <w:rFonts w:eastAsia="Times New Roman" w:cs="Times New Roman"/>
          <w:szCs w:val="28"/>
        </w:rPr>
        <w:t xml:space="preserve">Thiếu hụt nguồn lực và cơ chế: Các trường, viện thiếu vốn đầu tư mạo hiểm cho giai đoạn ươm tạo công nghệ chiến lược, đồng thời thiếu các công cụ/nhân sự chuyên nghiệp để đưa sản phẩm từ quy mô thử nghiệm (pilot) ra thị </w:t>
      </w:r>
      <w:r w:rsidR="008F2378" w:rsidRPr="008D2933">
        <w:rPr>
          <w:rFonts w:eastAsia="Times New Roman" w:cs="Times New Roman"/>
          <w:szCs w:val="28"/>
        </w:rPr>
        <w:lastRenderedPageBreak/>
        <w:t>trường. Bên cạnh đó, các địa phương và doanh nghiệp cũng có tâm lý e ngại rủi ro khi tiếp nhận các công nghệ mới chưa qua kiểm chứng quy mô lớn.</w:t>
      </w:r>
    </w:p>
    <w:p w14:paraId="7E9B3D1C" w14:textId="77777777" w:rsidR="008F2378" w:rsidRPr="008D2933" w:rsidRDefault="00C15E83"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xml:space="preserve">+ </w:t>
      </w:r>
      <w:r w:rsidR="008F2378" w:rsidRPr="008D2933">
        <w:rPr>
          <w:rFonts w:eastAsia="Times New Roman" w:cs="Times New Roman"/>
          <w:szCs w:val="28"/>
        </w:rPr>
        <w:t>Cơ chế định giá tài sản trí tuệ khi góp vốn thành lập doanh nghiệp khởi nguồn (spin-off), cũng như quy định phân chia lợi ích giữa nhà khoa học và doanh nghiệp còn thiếu đồng bộ, chưa đủ rõ ràng. Khung pháp lý chuyên biệt để sử dụng quyền SHTT làm tài sản thế chấp vay vốn cũng chưa hoàn thiện.</w:t>
      </w:r>
    </w:p>
    <w:p w14:paraId="248465B7" w14:textId="77777777" w:rsidR="008F2378" w:rsidRPr="008D2933" w:rsidRDefault="00C15E83"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xml:space="preserve">+ </w:t>
      </w:r>
      <w:r w:rsidR="008F2378" w:rsidRPr="008D2933">
        <w:rPr>
          <w:rFonts w:eastAsia="Times New Roman" w:cs="Times New Roman"/>
          <w:szCs w:val="28"/>
        </w:rPr>
        <w:t>Chính những điểm nghẽn này dẫn đến thực trạng tỷ lệ thương mại hóa sáng chế tại Việt Nam còn rất thấp (ước tính chỉ đạt khoảng 10% đối với các sáng chế được duy trì hiệu lực trên 06 năm).</w:t>
      </w:r>
    </w:p>
    <w:p w14:paraId="063EF1C7" w14:textId="77777777" w:rsidR="008F3FAA" w:rsidRPr="008D2933" w:rsidRDefault="008F3FAA"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c) Về hạ tầng, cơ sở vật chất và nguồn nhân lực:</w:t>
      </w:r>
    </w:p>
    <w:p w14:paraId="37CE2008" w14:textId="77777777" w:rsidR="00C15E83" w:rsidRPr="008D2933" w:rsidRDefault="00C15E83" w:rsidP="00C15E83">
      <w:pPr>
        <w:spacing w:before="120" w:after="120" w:line="240" w:lineRule="auto"/>
        <w:ind w:firstLine="547"/>
        <w:jc w:val="both"/>
        <w:rPr>
          <w:rFonts w:eastAsia="Times New Roman" w:cs="Times New Roman"/>
          <w:szCs w:val="28"/>
        </w:rPr>
      </w:pPr>
      <w:r w:rsidRPr="008D2933">
        <w:rPr>
          <w:rFonts w:eastAsia="Times New Roman" w:cs="Times New Roman"/>
          <w:szCs w:val="28"/>
        </w:rPr>
        <w:t>- Hạ tầng phục vụ nghiên cứu, thử nghiệm, trình diễn và chuyển giao công nghệ cao tại nhiều địa phương (nhất là các tỉnh miền núi, đang phát triển) còn rất hạn chế, phân tán và chưa được đầu tư đồng bộ. Ngay cả tại các tổ chức nghiên cứu đầu ngành (như Viện Hàn lâm KHCN Việt Nam), hạ tầng để thử nghiệm, kiểm chứng công nghệ ở giai đoạn gần thị trường cũng bị phân tán, chưa hình thành được các nền tảng dùng chung quy mô lớn. Cơ sở dữ liệu chuyên ngành tại một số địa phương còn rời rạc, thiếu sự liên thông đồng bộ để phục vụ phân tích dữ liệu lớn và AI.</w:t>
      </w:r>
    </w:p>
    <w:p w14:paraId="79AFAA58" w14:textId="77777777" w:rsidR="00C15E83" w:rsidRPr="008D2933" w:rsidRDefault="00C15E83" w:rsidP="003138C1">
      <w:pPr>
        <w:spacing w:before="120" w:after="120" w:line="240" w:lineRule="auto"/>
        <w:ind w:firstLine="544"/>
        <w:jc w:val="both"/>
        <w:rPr>
          <w:rFonts w:eastAsia="Times New Roman" w:cs="Times New Roman"/>
          <w:szCs w:val="28"/>
        </w:rPr>
      </w:pPr>
      <w:r w:rsidRPr="008D2933">
        <w:rPr>
          <w:rFonts w:eastAsia="Times New Roman" w:cs="Times New Roman"/>
          <w:szCs w:val="28"/>
        </w:rPr>
        <w:t xml:space="preserve">- Các dự án sản xuất </w:t>
      </w:r>
      <w:r w:rsidR="00654215">
        <w:rPr>
          <w:rFonts w:eastAsia="Times New Roman" w:cs="Times New Roman"/>
          <w:szCs w:val="28"/>
        </w:rPr>
        <w:t>công nghệ cao</w:t>
      </w:r>
      <w:r w:rsidRPr="008D2933">
        <w:rPr>
          <w:rFonts w:eastAsia="Times New Roman" w:cs="Times New Roman"/>
          <w:szCs w:val="28"/>
        </w:rPr>
        <w:t xml:space="preserve"> quy mô lớn (đặc biệt là FDI) thường có yêu cầu cực kỳ khắt khe về hạ tầng. Tuy nhiên, công tác thu hồi đất, bồi thường và giải phóng mặt bằng để tạo quỹ đất sạch giao cho nhà đầu tư tại một số khu vực còn vướng mắc, kéo dài và tốn kém kinh phí lớn. Bên cạnh đó, các dự án CNC thâm dụng thiết bị hiện đại (như sản xuất linh kiện điện tử, vi mạch, bán dẫn) đòi hỏi nhu cầu điện năng rất lớn và nguồn cung cấp năng lượng/lưới điện phải cực kỳ ổn định, nhưng hạ tầng hiện tại ở một số khu công nghiệp chưa đáp ứng kịp thời.</w:t>
      </w:r>
    </w:p>
    <w:p w14:paraId="6326F132" w14:textId="77777777" w:rsidR="00C15E83" w:rsidRPr="008D2933" w:rsidRDefault="00C15E83" w:rsidP="003138C1">
      <w:pPr>
        <w:spacing w:before="120" w:after="120" w:line="240" w:lineRule="auto"/>
        <w:ind w:firstLine="544"/>
        <w:jc w:val="both"/>
        <w:rPr>
          <w:rFonts w:eastAsia="Times New Roman" w:cs="Times New Roman"/>
          <w:szCs w:val="28"/>
        </w:rPr>
      </w:pPr>
      <w:r w:rsidRPr="008D2933">
        <w:rPr>
          <w:rFonts w:eastAsia="Times New Roman" w:cs="Times New Roman"/>
          <w:szCs w:val="28"/>
        </w:rPr>
        <w:t xml:space="preserve">- </w:t>
      </w:r>
      <w:r w:rsidR="004C12B5">
        <w:rPr>
          <w:rFonts w:eastAsia="Times New Roman" w:cs="Times New Roman"/>
          <w:szCs w:val="28"/>
        </w:rPr>
        <w:t>T</w:t>
      </w:r>
      <w:r w:rsidRPr="008D2933">
        <w:rPr>
          <w:rFonts w:eastAsia="Times New Roman" w:cs="Times New Roman"/>
          <w:szCs w:val="28"/>
        </w:rPr>
        <w:t>ình trạng thiếu hụt nghiêm trọng nguồn nhân lực chuyên sâu, kỹ sư có trình độ quốc tế trong các lĩnh vực trọng điểm của Cách mạng công nghiệp 4.0 như: vi mạch bán dẫn, trí tuệ nhân tạo (AI), điện toán đám mây (Cloud), và tự động hóa. Điển hình, các khu công nghiệp trọng điểm tại Nghệ An đang gặp khó khăn trong việc tuyển dụng lao động kỹ thuật cao cho ngành bán dẫn, điện tử; Hà Tĩnh thiếu chuyên gia dữ liệu vận hành hệ thống.</w:t>
      </w:r>
    </w:p>
    <w:p w14:paraId="67FFF57C" w14:textId="77777777" w:rsidR="00C15E83" w:rsidRPr="008D2933" w:rsidRDefault="00C15E83" w:rsidP="003138C1">
      <w:pPr>
        <w:spacing w:before="120" w:after="120" w:line="240" w:lineRule="auto"/>
        <w:ind w:firstLine="544"/>
        <w:jc w:val="both"/>
        <w:rPr>
          <w:rFonts w:eastAsia="Times New Roman" w:cs="Times New Roman"/>
          <w:szCs w:val="28"/>
        </w:rPr>
      </w:pPr>
      <w:r w:rsidRPr="008D2933">
        <w:rPr>
          <w:rFonts w:eastAsia="Times New Roman" w:cs="Times New Roman"/>
          <w:szCs w:val="28"/>
        </w:rPr>
        <w:t>- Cơ chế đãi ngộ hiện hành tại nhiều cơ quan nhà nước, đơn vị sự nghiệp công lập chưa đủ sức hấp dẫn để thu hút và giữ chân nhân tài công nghệ giỏi trước sức hút từ khu vực tư nhân và nước ngoài. Hơn nữa, nguồn nhân lực không chỉ thiếu về mặt học thuật mà còn thiếu hụt những chuyên gia có kinh nghiệm triển khai, đưa công nghệ từ quy mô thử nghiệm ra thương mại hóa trên thị trường. Mối liên kết theo mô hình "3 nhà" (Viện, Trường - Doanh nghiệp - Nhà nước) để đào tạo nhân lực theo đơn đặt hàng và giải mã công nghệ vẫn chưa thực sự chặt chẽ</w:t>
      </w:r>
    </w:p>
    <w:p w14:paraId="61798C95" w14:textId="77777777" w:rsidR="008F3FAA" w:rsidRPr="008D2933" w:rsidRDefault="008F3FAA" w:rsidP="003138C1">
      <w:pPr>
        <w:spacing w:before="120" w:after="120" w:line="240" w:lineRule="auto"/>
        <w:ind w:firstLine="544"/>
        <w:jc w:val="both"/>
        <w:rPr>
          <w:rFonts w:eastAsia="Times New Roman" w:cs="Times New Roman"/>
          <w:szCs w:val="28"/>
        </w:rPr>
      </w:pPr>
      <w:r w:rsidRPr="008D2933">
        <w:rPr>
          <w:rFonts w:eastAsia="Times New Roman" w:cs="Times New Roman"/>
          <w:szCs w:val="28"/>
        </w:rPr>
        <w:t>d) Về cơ chế tài chính:</w:t>
      </w:r>
    </w:p>
    <w:p w14:paraId="0F13179C" w14:textId="77777777" w:rsidR="008F3FAA" w:rsidRPr="008D2933" w:rsidRDefault="008F3FAA" w:rsidP="00F6764F">
      <w:pPr>
        <w:numPr>
          <w:ilvl w:val="1"/>
          <w:numId w:val="2"/>
        </w:numPr>
        <w:tabs>
          <w:tab w:val="num" w:pos="851"/>
        </w:tabs>
        <w:spacing w:before="120" w:after="120" w:line="240" w:lineRule="auto"/>
        <w:ind w:left="0" w:firstLine="544"/>
        <w:jc w:val="both"/>
        <w:rPr>
          <w:rFonts w:eastAsia="Times New Roman" w:cs="Times New Roman"/>
          <w:szCs w:val="28"/>
        </w:rPr>
      </w:pPr>
      <w:r w:rsidRPr="008D2933">
        <w:rPr>
          <w:rFonts w:eastAsia="Times New Roman" w:cs="Times New Roman"/>
          <w:szCs w:val="28"/>
        </w:rPr>
        <w:lastRenderedPageBreak/>
        <w:t>Cơ chế tài chính đối với nhiệm vụ KH&amp;CN hiện hành thiếu linh hoạt, chưa phù hợp với tính chất rủi ro và yêu cầu điều chỉnh liên tục của việc nghiên cứu phát triển CNC.</w:t>
      </w:r>
    </w:p>
    <w:p w14:paraId="6A7D693A" w14:textId="77777777" w:rsidR="008F3FAA" w:rsidRPr="008D2933" w:rsidRDefault="008F3FAA" w:rsidP="00E84CCC">
      <w:pPr>
        <w:widowControl w:val="0"/>
        <w:numPr>
          <w:ilvl w:val="1"/>
          <w:numId w:val="2"/>
        </w:numPr>
        <w:tabs>
          <w:tab w:val="num" w:pos="851"/>
        </w:tabs>
        <w:spacing w:before="120" w:after="120" w:line="240" w:lineRule="auto"/>
        <w:ind w:left="0" w:firstLine="544"/>
        <w:jc w:val="both"/>
        <w:rPr>
          <w:rFonts w:eastAsia="Times New Roman" w:cs="Times New Roman"/>
          <w:szCs w:val="28"/>
        </w:rPr>
      </w:pPr>
      <w:r w:rsidRPr="008D2933">
        <w:rPr>
          <w:rFonts w:eastAsia="Times New Roman" w:cs="Times New Roman"/>
          <w:szCs w:val="28"/>
        </w:rPr>
        <w:t>Các quy định về nhập khẩu trang thiết bị, vật tư, hóa chất nghiên cứu chuyên dụng còn rườm rà, chồng chéo.</w:t>
      </w:r>
    </w:p>
    <w:p w14:paraId="683AC0B1" w14:textId="77777777" w:rsidR="008F3FAA" w:rsidRPr="008D2933" w:rsidRDefault="008F3FAA" w:rsidP="00E84CCC">
      <w:pPr>
        <w:widowControl w:val="0"/>
        <w:numPr>
          <w:ilvl w:val="1"/>
          <w:numId w:val="2"/>
        </w:numPr>
        <w:tabs>
          <w:tab w:val="num" w:pos="851"/>
        </w:tabs>
        <w:spacing w:before="120" w:after="120" w:line="240" w:lineRule="auto"/>
        <w:ind w:left="0" w:firstLine="544"/>
        <w:jc w:val="both"/>
        <w:rPr>
          <w:rFonts w:eastAsia="Times New Roman" w:cs="Times New Roman"/>
          <w:szCs w:val="28"/>
        </w:rPr>
      </w:pPr>
      <w:r w:rsidRPr="008D2933">
        <w:rPr>
          <w:rFonts w:eastAsia="Times New Roman" w:cs="Times New Roman"/>
          <w:szCs w:val="28"/>
        </w:rPr>
        <w:t>Thiếu các gói cơ chế chính sách đặc thù, ưu đãi đủ mạnh để thu hút đầu tư CNC vào các địa bàn khó khăn</w:t>
      </w:r>
      <w:r w:rsidR="008D00F9" w:rsidRPr="008D2933">
        <w:rPr>
          <w:rFonts w:eastAsia="Times New Roman" w:cs="Times New Roman"/>
          <w:szCs w:val="28"/>
        </w:rPr>
        <w:t>.</w:t>
      </w:r>
    </w:p>
    <w:p w14:paraId="30FF3259" w14:textId="0765CFEF" w:rsidR="00217836" w:rsidRPr="008D2933" w:rsidRDefault="00217836" w:rsidP="00E84CCC">
      <w:pPr>
        <w:widowControl w:val="0"/>
        <w:tabs>
          <w:tab w:val="num" w:pos="851"/>
        </w:tabs>
        <w:spacing w:before="120" w:after="120" w:line="240" w:lineRule="auto"/>
        <w:ind w:firstLine="544"/>
        <w:jc w:val="both"/>
        <w:outlineLvl w:val="2"/>
        <w:rPr>
          <w:rFonts w:eastAsia="Times New Roman" w:cs="Times New Roman"/>
          <w:b/>
          <w:szCs w:val="28"/>
        </w:rPr>
      </w:pPr>
      <w:r w:rsidRPr="008D2933">
        <w:rPr>
          <w:rFonts w:eastAsia="Times New Roman" w:cs="Times New Roman"/>
          <w:b/>
          <w:szCs w:val="28"/>
        </w:rPr>
        <w:t>2. Các giải pháp khắc phục</w:t>
      </w:r>
    </w:p>
    <w:p w14:paraId="493B5753" w14:textId="77777777" w:rsidR="00E84CCC" w:rsidRPr="00E84CCC" w:rsidRDefault="00E84CCC" w:rsidP="00E84CCC">
      <w:pPr>
        <w:widowControl w:val="0"/>
        <w:spacing w:before="120" w:after="120" w:line="240" w:lineRule="auto"/>
        <w:ind w:firstLine="567"/>
        <w:jc w:val="both"/>
        <w:rPr>
          <w:rFonts w:eastAsia="Times New Roman" w:cs="Times New Roman"/>
          <w:szCs w:val="28"/>
        </w:rPr>
      </w:pPr>
      <w:r w:rsidRPr="008D2933">
        <w:rPr>
          <w:rFonts w:eastAsia="Times New Roman" w:cs="Times New Roman"/>
          <w:szCs w:val="28"/>
        </w:rPr>
        <w:t>Để tháo gỡ các điểm nghẽn hiện tại và tạo cú hích cho sự phát triển của công nghệ cao (CNC), cần triển khai một hệ thống các giải pháp đồng bộ từ việc hoàn thiện khung chính sách vĩ mô đến các cơ chế hỗ trợ thực thi cụ thể. Dựa trên tổng hợp kiến nghị từ các Bộ, ngành, viện nghiên cứu và địa phương, các nhóm giải pháp trọng tâm bao gồm:</w:t>
      </w:r>
    </w:p>
    <w:p w14:paraId="0491E093" w14:textId="77777777" w:rsidR="00E84CCC" w:rsidRPr="00E84CCC" w:rsidRDefault="00E84CCC" w:rsidP="00E84CCC">
      <w:pPr>
        <w:widowControl w:val="0"/>
        <w:spacing w:before="120" w:after="120" w:line="240" w:lineRule="auto"/>
        <w:ind w:firstLine="567"/>
        <w:jc w:val="both"/>
        <w:rPr>
          <w:rFonts w:eastAsia="Times New Roman" w:cs="Times New Roman"/>
          <w:szCs w:val="28"/>
        </w:rPr>
      </w:pPr>
      <w:r w:rsidRPr="00E84CCC">
        <w:rPr>
          <w:rFonts w:eastAsia="Times New Roman" w:cs="Times New Roman"/>
          <w:szCs w:val="28"/>
        </w:rPr>
        <w:t>a) Hoàn thiện thể chế, tiêu chí đánh giá và cải cách thủ tục hành chính:</w:t>
      </w:r>
    </w:p>
    <w:p w14:paraId="1912D6A6" w14:textId="12BC751C" w:rsidR="00E9776E" w:rsidRDefault="00E9776E" w:rsidP="00E84CCC">
      <w:pPr>
        <w:numPr>
          <w:ilvl w:val="0"/>
          <w:numId w:val="15"/>
        </w:numPr>
        <w:spacing w:before="120" w:after="120" w:line="240" w:lineRule="auto"/>
        <w:ind w:left="0" w:firstLine="567"/>
        <w:jc w:val="both"/>
        <w:rPr>
          <w:rFonts w:eastAsia="Times New Roman" w:cs="Times New Roman"/>
          <w:szCs w:val="28"/>
        </w:rPr>
      </w:pPr>
      <w:r>
        <w:rPr>
          <w:rFonts w:eastAsia="Times New Roman" w:cs="Times New Roman"/>
          <w:szCs w:val="28"/>
        </w:rPr>
        <w:t xml:space="preserve">Nhằm đảo bảo </w:t>
      </w:r>
      <w:r w:rsidRPr="006A2DC6">
        <w:rPr>
          <w:bCs/>
          <w:szCs w:val="28"/>
        </w:rPr>
        <w:t>Danh mục công nghệ cao được ưu tiên đầu tư phát triển, Danh mục sản phẩm công nghệ cao được khuyến khích phát triển</w:t>
      </w:r>
      <w:r>
        <w:rPr>
          <w:bCs/>
          <w:szCs w:val="28"/>
        </w:rPr>
        <w:t xml:space="preserve"> đáp ứng với xu thế phát triển về công nghệ và nhu cầu của thị trường, cần nghiên cứu quy định về việc đ</w:t>
      </w:r>
      <w:r>
        <w:rPr>
          <w:rFonts w:eastAsia="Times New Roman" w:cs="Times New Roman"/>
          <w:szCs w:val="28"/>
        </w:rPr>
        <w:t>ịnh kỳ hoặc đột xuất rà soát, cập nhật</w:t>
      </w:r>
      <w:r>
        <w:rPr>
          <w:rFonts w:eastAsia="Times New Roman" w:cs="Times New Roman"/>
          <w:szCs w:val="28"/>
        </w:rPr>
        <w:t>.</w:t>
      </w:r>
    </w:p>
    <w:p w14:paraId="6B611D93" w14:textId="67E6B74C" w:rsidR="00E84CCC" w:rsidRPr="00E84CCC" w:rsidRDefault="00E84CCC" w:rsidP="00E84CCC">
      <w:pPr>
        <w:numPr>
          <w:ilvl w:val="0"/>
          <w:numId w:val="15"/>
        </w:numPr>
        <w:spacing w:before="120" w:after="120" w:line="240" w:lineRule="auto"/>
        <w:ind w:left="0" w:firstLine="567"/>
        <w:jc w:val="both"/>
        <w:rPr>
          <w:rFonts w:eastAsia="Times New Roman" w:cs="Times New Roman"/>
          <w:szCs w:val="28"/>
        </w:rPr>
      </w:pPr>
      <w:r w:rsidRPr="008D2933">
        <w:rPr>
          <w:rFonts w:eastAsia="Times New Roman" w:cs="Times New Roman"/>
          <w:szCs w:val="28"/>
        </w:rPr>
        <w:t>Xây dựng bộ tiêu chí định lượng rõ ràng để đánh giá "công nghệ cao", đẩy mạnh phân cấp, phân quyền cho địa phương trong việc xét duyệt, cấp giấy chứng nhận đi kèm cơ chế giám sát trách nhiệm.</w:t>
      </w:r>
    </w:p>
    <w:p w14:paraId="07B876C2" w14:textId="77777777" w:rsidR="00E84CCC" w:rsidRPr="00E84CCC" w:rsidRDefault="00E84CCC" w:rsidP="00E84CCC">
      <w:pPr>
        <w:numPr>
          <w:ilvl w:val="0"/>
          <w:numId w:val="15"/>
        </w:numPr>
        <w:spacing w:before="120" w:after="120" w:line="240" w:lineRule="auto"/>
        <w:ind w:left="0" w:firstLine="567"/>
        <w:jc w:val="both"/>
        <w:rPr>
          <w:rFonts w:eastAsia="Times New Roman" w:cs="Times New Roman"/>
          <w:szCs w:val="28"/>
        </w:rPr>
      </w:pPr>
      <w:r w:rsidRPr="00E84CCC">
        <w:rPr>
          <w:rFonts w:eastAsia="Times New Roman" w:cs="Times New Roman"/>
          <w:szCs w:val="28"/>
        </w:rPr>
        <w:t>Áp dụng cơ chế thử nghiệm (Sandbox)</w:t>
      </w:r>
      <w:r w:rsidR="004C12B5">
        <w:rPr>
          <w:rFonts w:eastAsia="Times New Roman" w:cs="Times New Roman"/>
          <w:szCs w:val="28"/>
        </w:rPr>
        <w:t>.</w:t>
      </w:r>
      <w:r w:rsidRPr="008D2933">
        <w:rPr>
          <w:rFonts w:eastAsia="Times New Roman" w:cs="Times New Roman"/>
          <w:szCs w:val="28"/>
        </w:rPr>
        <w:t xml:space="preserve"> Ban hành cơ chế cho phép thử nghiệm có kiểm soát đối với các công nghệ, sản phẩm và mô hình kinh doanh mới trong các khu vực hoặc nhóm đối tượng cụ thể nhằm đánh giá tính khả thi trước khi ứng dụng rộng rãi.</w:t>
      </w:r>
    </w:p>
    <w:p w14:paraId="4AB0A8BF" w14:textId="77777777" w:rsidR="00E84CCC" w:rsidRPr="00E84CCC" w:rsidRDefault="00E84CCC" w:rsidP="00E84CCC">
      <w:pPr>
        <w:spacing w:before="120" w:after="120" w:line="240" w:lineRule="auto"/>
        <w:ind w:firstLine="567"/>
        <w:jc w:val="both"/>
        <w:rPr>
          <w:rFonts w:eastAsia="Times New Roman" w:cs="Times New Roman"/>
          <w:szCs w:val="28"/>
        </w:rPr>
      </w:pPr>
      <w:r w:rsidRPr="00E84CCC">
        <w:rPr>
          <w:rFonts w:eastAsia="Times New Roman" w:cs="Times New Roman"/>
          <w:szCs w:val="28"/>
        </w:rPr>
        <w:t>b) Thúc đẩy vai trò của Viện/Trường, liên kết 3 nhà và thương mại hóa công nghệ:</w:t>
      </w:r>
    </w:p>
    <w:p w14:paraId="76469108" w14:textId="77777777" w:rsidR="00E84CCC" w:rsidRPr="00E84CCC" w:rsidRDefault="00E84CCC" w:rsidP="00E84CCC">
      <w:pPr>
        <w:numPr>
          <w:ilvl w:val="0"/>
          <w:numId w:val="16"/>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Cần định vị viện nghiên cứu, trường đại học là chủ thể trung tâm tạo ra công nghệ lõi. </w:t>
      </w:r>
      <w:r w:rsidR="001363D4">
        <w:rPr>
          <w:rFonts w:eastAsia="Times New Roman" w:cs="Times New Roman"/>
          <w:szCs w:val="28"/>
        </w:rPr>
        <w:t>Khuyến kích việc</w:t>
      </w:r>
      <w:r w:rsidRPr="008D2933">
        <w:rPr>
          <w:rFonts w:eastAsia="Times New Roman" w:cs="Times New Roman"/>
          <w:szCs w:val="28"/>
        </w:rPr>
        <w:t xml:space="preserve"> thành lập doanh nghiệp KH&amp;CN (spin-off) hoặc liên doanh với doanh nghiệp để thương mại hóa kết quả nghiên cứu.</w:t>
      </w:r>
    </w:p>
    <w:p w14:paraId="0C36E475" w14:textId="77777777" w:rsidR="00E84CCC" w:rsidRPr="00E84CCC" w:rsidRDefault="00E84CCC" w:rsidP="00E84CCC">
      <w:pPr>
        <w:numPr>
          <w:ilvl w:val="0"/>
          <w:numId w:val="16"/>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Các Bộ, ngành, địa phương cần có cơ chế đặt hàng nhiệm vụ CNC trực tiếp cho viện/trường với nguồn vốn từ ngân sách nhà nước </w:t>
      </w:r>
      <w:r w:rsidR="001363D4">
        <w:rPr>
          <w:rFonts w:eastAsia="Times New Roman" w:cs="Times New Roman"/>
          <w:szCs w:val="28"/>
        </w:rPr>
        <w:t xml:space="preserve">theo </w:t>
      </w:r>
      <w:r w:rsidRPr="008D2933">
        <w:rPr>
          <w:rFonts w:eastAsia="Times New Roman" w:cs="Times New Roman"/>
          <w:szCs w:val="28"/>
        </w:rPr>
        <w:t>chuỗi</w:t>
      </w:r>
      <w:r w:rsidR="001363D4">
        <w:rPr>
          <w:rFonts w:eastAsia="Times New Roman" w:cs="Times New Roman"/>
          <w:szCs w:val="28"/>
        </w:rPr>
        <w:t xml:space="preserve"> giá trị</w:t>
      </w:r>
      <w:r w:rsidRPr="008D2933">
        <w:rPr>
          <w:rFonts w:eastAsia="Times New Roman" w:cs="Times New Roman"/>
          <w:szCs w:val="28"/>
        </w:rPr>
        <w:t xml:space="preserve"> từ R&amp;D đến ứng dụng thực tiễn. Đồng thời, hoàn thiện khung pháp lý chuyên biệt để doanh nghiệp có thể sử dụng quyền sở hữu trí tuệ làm tài sản thế chấp vay vốn.</w:t>
      </w:r>
    </w:p>
    <w:p w14:paraId="30E71C6B" w14:textId="77777777" w:rsidR="00E84CCC" w:rsidRPr="00E84CCC" w:rsidRDefault="001363D4" w:rsidP="00E84CCC">
      <w:pPr>
        <w:numPr>
          <w:ilvl w:val="0"/>
          <w:numId w:val="16"/>
        </w:numPr>
        <w:spacing w:before="120" w:after="120" w:line="240" w:lineRule="auto"/>
        <w:ind w:left="0" w:firstLine="567"/>
        <w:jc w:val="both"/>
        <w:rPr>
          <w:rFonts w:eastAsia="Times New Roman" w:cs="Times New Roman"/>
          <w:szCs w:val="28"/>
        </w:rPr>
      </w:pPr>
      <w:r>
        <w:rPr>
          <w:rFonts w:eastAsia="Times New Roman" w:cs="Times New Roman"/>
          <w:szCs w:val="28"/>
        </w:rPr>
        <w:t xml:space="preserve">Nghiên cưu </w:t>
      </w:r>
      <w:r w:rsidR="00E84CCC" w:rsidRPr="008D2933">
        <w:rPr>
          <w:rFonts w:eastAsia="Times New Roman" w:cs="Times New Roman"/>
          <w:szCs w:val="28"/>
        </w:rPr>
        <w:t>hành lang pháp lý để hình thành các quỹ đầu tư mạo hiểm chuyên biệt cho lĩnh vực CNC, bù đắp sự thiếu hụt nguồn vốn cho các startup công nghệ và giai đoạn ươm tạo.</w:t>
      </w:r>
    </w:p>
    <w:p w14:paraId="2D3A0C64" w14:textId="77777777" w:rsidR="00E84CCC" w:rsidRPr="00E84CCC" w:rsidRDefault="00E84CCC" w:rsidP="00E84CCC">
      <w:pPr>
        <w:spacing w:before="120" w:after="120" w:line="240" w:lineRule="auto"/>
        <w:ind w:firstLine="567"/>
        <w:jc w:val="both"/>
        <w:rPr>
          <w:rFonts w:eastAsia="Times New Roman" w:cs="Times New Roman"/>
          <w:szCs w:val="28"/>
        </w:rPr>
      </w:pPr>
      <w:r w:rsidRPr="00E84CCC">
        <w:rPr>
          <w:rFonts w:eastAsia="Times New Roman" w:cs="Times New Roman"/>
          <w:szCs w:val="28"/>
        </w:rPr>
        <w:t>c) Đột phá về cơ sở hạ tầng và quy hoạch đất đai:</w:t>
      </w:r>
    </w:p>
    <w:p w14:paraId="26FA11CD" w14:textId="77777777" w:rsidR="00E84CCC" w:rsidRPr="00E84CCC" w:rsidRDefault="00E84CCC" w:rsidP="00E84CCC">
      <w:pPr>
        <w:numPr>
          <w:ilvl w:val="0"/>
          <w:numId w:val="17"/>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Bên cạnh việc đầu tư các trung tâm đổi mới sáng tạo từ ngân sách, cần bổ sung quy định </w:t>
      </w:r>
      <w:r w:rsidRPr="00E84CCC">
        <w:rPr>
          <w:rFonts w:eastAsia="Times New Roman" w:cs="Times New Roman"/>
          <w:szCs w:val="28"/>
        </w:rPr>
        <w:t xml:space="preserve">cho phép đầu tư hạ tầng nghiên cứu và xây dựng trung tâm ươm </w:t>
      </w:r>
      <w:r w:rsidRPr="00E84CCC">
        <w:rPr>
          <w:rFonts w:eastAsia="Times New Roman" w:cs="Times New Roman"/>
          <w:szCs w:val="28"/>
        </w:rPr>
        <w:lastRenderedPageBreak/>
        <w:t>tạo công nghệ ngay bên trong các viện/trường đại học</w:t>
      </w:r>
      <w:r w:rsidRPr="008D2933">
        <w:rPr>
          <w:rFonts w:eastAsia="Times New Roman" w:cs="Times New Roman"/>
          <w:szCs w:val="28"/>
        </w:rPr>
        <w:t xml:space="preserve"> có năng lực, hoạt động theo hình thức đối tác công - tư.</w:t>
      </w:r>
    </w:p>
    <w:p w14:paraId="6289A529" w14:textId="77777777" w:rsidR="00E84CCC" w:rsidRPr="00E84CCC" w:rsidRDefault="00B961CD" w:rsidP="00E84CCC">
      <w:pPr>
        <w:numPr>
          <w:ilvl w:val="0"/>
          <w:numId w:val="17"/>
        </w:numPr>
        <w:spacing w:before="120" w:after="120" w:line="240" w:lineRule="auto"/>
        <w:ind w:left="0" w:firstLine="567"/>
        <w:jc w:val="both"/>
        <w:rPr>
          <w:rFonts w:eastAsia="Times New Roman" w:cs="Times New Roman"/>
          <w:szCs w:val="28"/>
        </w:rPr>
      </w:pPr>
      <w:r>
        <w:rPr>
          <w:rFonts w:eastAsia="Times New Roman" w:cs="Times New Roman"/>
          <w:szCs w:val="28"/>
        </w:rPr>
        <w:t>P</w:t>
      </w:r>
      <w:r w:rsidR="00E84CCC" w:rsidRPr="00E84CCC">
        <w:rPr>
          <w:rFonts w:eastAsia="Times New Roman" w:cs="Times New Roman"/>
          <w:szCs w:val="28"/>
        </w:rPr>
        <w:t>hân bổ chỉ tiêu sử dụng đất độc lập cho các khu CNC cấp địa phương</w:t>
      </w:r>
      <w:r w:rsidR="00E84CCC" w:rsidRPr="008D2933">
        <w:rPr>
          <w:rFonts w:eastAsia="Times New Roman" w:cs="Times New Roman"/>
          <w:szCs w:val="28"/>
        </w:rPr>
        <w:t xml:space="preserve">, coi đây là một loại chỉ tiêu tương tự khu công nghiệp để địa phương chủ động tích hợp vào quy hoạch và lập dự án. Đồng thời, định hướng chuyển đổi, nâng cấp các khu CNC hiện hữu tiến hóa lên mô hình "Công viên </w:t>
      </w:r>
      <w:r w:rsidR="00846299">
        <w:rPr>
          <w:szCs w:val="28"/>
          <w:lang w:val="es-ES"/>
        </w:rPr>
        <w:t>KH&amp;CN</w:t>
      </w:r>
      <w:r w:rsidR="00E84CCC" w:rsidRPr="008D2933">
        <w:rPr>
          <w:rFonts w:eastAsia="Times New Roman" w:cs="Times New Roman"/>
          <w:szCs w:val="28"/>
        </w:rPr>
        <w:t>" phù hợp với kỷ nguyên chuyển đổi số.</w:t>
      </w:r>
    </w:p>
    <w:p w14:paraId="5591FEDE" w14:textId="77777777" w:rsidR="00E84CCC" w:rsidRPr="00E84CCC" w:rsidRDefault="00E84CCC" w:rsidP="00E84CCC">
      <w:pPr>
        <w:numPr>
          <w:ilvl w:val="0"/>
          <w:numId w:val="17"/>
        </w:numPr>
        <w:spacing w:before="120" w:after="120" w:line="240" w:lineRule="auto"/>
        <w:ind w:left="0" w:firstLine="567"/>
        <w:jc w:val="both"/>
        <w:rPr>
          <w:rFonts w:eastAsia="Times New Roman" w:cs="Times New Roman"/>
          <w:szCs w:val="28"/>
        </w:rPr>
      </w:pPr>
      <w:r w:rsidRPr="008D2933">
        <w:rPr>
          <w:rFonts w:eastAsia="Times New Roman" w:cs="Times New Roman"/>
          <w:szCs w:val="28"/>
        </w:rPr>
        <w:t>Xây dựng các gói ưu đãi riêng cho ứng dụng CNC (như nông nghiệp CNC, cửa khẩu thông minh) phù hợp với hạ tầng của các tỉnh miền núi, biên giới.</w:t>
      </w:r>
    </w:p>
    <w:p w14:paraId="5CEB76D8" w14:textId="77777777" w:rsidR="00E84CCC" w:rsidRPr="00E84CCC" w:rsidRDefault="00E84CCC" w:rsidP="00E84CCC">
      <w:pPr>
        <w:spacing w:before="120" w:after="120" w:line="240" w:lineRule="auto"/>
        <w:ind w:firstLine="567"/>
        <w:jc w:val="both"/>
        <w:rPr>
          <w:rFonts w:eastAsia="Times New Roman" w:cs="Times New Roman"/>
          <w:szCs w:val="28"/>
        </w:rPr>
      </w:pPr>
      <w:r w:rsidRPr="00E84CCC">
        <w:rPr>
          <w:rFonts w:eastAsia="Times New Roman" w:cs="Times New Roman"/>
          <w:szCs w:val="28"/>
        </w:rPr>
        <w:t>d) Đổi mới cơ chế tài chính, hợp tác quốc tế và thu hút nhân tài:</w:t>
      </w:r>
    </w:p>
    <w:p w14:paraId="503B2166" w14:textId="77777777" w:rsidR="00E84CCC" w:rsidRPr="00E84CCC" w:rsidRDefault="00E84CCC" w:rsidP="00E84CCC">
      <w:pPr>
        <w:numPr>
          <w:ilvl w:val="0"/>
          <w:numId w:val="18"/>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Áp dụng cơ chế khoán chi linh hoạt cho các nhiệm vụ KH&amp;CN và xây dựng </w:t>
      </w:r>
      <w:r w:rsidR="00B961CD">
        <w:rPr>
          <w:rFonts w:eastAsia="Times New Roman" w:cs="Times New Roman"/>
          <w:szCs w:val="28"/>
        </w:rPr>
        <w:t>chính sách</w:t>
      </w:r>
      <w:r w:rsidRPr="008D2933">
        <w:rPr>
          <w:rFonts w:eastAsia="Times New Roman" w:cs="Times New Roman"/>
          <w:szCs w:val="28"/>
        </w:rPr>
        <w:t xml:space="preserve"> ưu tiên nhập khẩu thiết bị, vật tư nghiên cứu. Gắn trực tiếp các Danh mục CNC với chính sách ưu đãi ở mức cao nhất về thuế, tín dụng, đất đai.</w:t>
      </w:r>
    </w:p>
    <w:p w14:paraId="077D133C" w14:textId="77777777" w:rsidR="00E84CCC" w:rsidRPr="00E84CCC" w:rsidRDefault="00E84CCC" w:rsidP="00E84CCC">
      <w:pPr>
        <w:numPr>
          <w:ilvl w:val="0"/>
          <w:numId w:val="18"/>
        </w:numPr>
        <w:spacing w:before="120" w:after="120" w:line="240" w:lineRule="auto"/>
        <w:ind w:left="0" w:firstLine="567"/>
        <w:jc w:val="both"/>
        <w:rPr>
          <w:rFonts w:eastAsia="Times New Roman" w:cs="Times New Roman"/>
          <w:szCs w:val="28"/>
        </w:rPr>
      </w:pPr>
      <w:r w:rsidRPr="008D2933">
        <w:rPr>
          <w:rFonts w:eastAsia="Times New Roman" w:cs="Times New Roman"/>
          <w:szCs w:val="28"/>
        </w:rPr>
        <w:t xml:space="preserve">Đơn giản hóa thủ tục hành chính, </w:t>
      </w:r>
      <w:r w:rsidRPr="00E84CCC">
        <w:rPr>
          <w:rFonts w:eastAsia="Times New Roman" w:cs="Times New Roman"/>
          <w:szCs w:val="28"/>
        </w:rPr>
        <w:t>áp dụng cơ chế visa ưu tiên, miễn cấp phép hành chính cho các dự án hợp tác quốc tế đã phê duyệt và ưu đãi thuế thu nhập cá nhân</w:t>
      </w:r>
      <w:r w:rsidRPr="008D2933">
        <w:rPr>
          <w:rFonts w:eastAsia="Times New Roman" w:cs="Times New Roman"/>
          <w:szCs w:val="28"/>
        </w:rPr>
        <w:t xml:space="preserve"> cho các chuyên gia quốc tế, đặc biệt mở rộng đối tượng áp dụng cho trí thức Việt kiều có trình độ cao.</w:t>
      </w:r>
    </w:p>
    <w:p w14:paraId="64579BB8" w14:textId="77777777" w:rsidR="00E84CCC" w:rsidRPr="00E84CCC" w:rsidRDefault="00E84CCC" w:rsidP="00E84CCC">
      <w:pPr>
        <w:numPr>
          <w:ilvl w:val="0"/>
          <w:numId w:val="18"/>
        </w:numPr>
        <w:spacing w:before="120" w:after="120" w:line="240" w:lineRule="auto"/>
        <w:ind w:left="0" w:firstLine="567"/>
        <w:jc w:val="both"/>
        <w:rPr>
          <w:rFonts w:eastAsia="Times New Roman" w:cs="Times New Roman"/>
          <w:szCs w:val="28"/>
        </w:rPr>
      </w:pPr>
      <w:r w:rsidRPr="008D2933">
        <w:rPr>
          <w:rFonts w:eastAsia="Times New Roman" w:cs="Times New Roman"/>
          <w:szCs w:val="28"/>
        </w:rPr>
        <w:t>Đẩy mạnh ưu tiên thu hút các tập đoàn công nghệ lớn (Big Tech) đầu tư vào Việt Nam, bắt buộc gắn với điều kiện chuyển giao công nghệ và hình thành chuỗi cung ứng nội địa.</w:t>
      </w:r>
    </w:p>
    <w:p w14:paraId="0FFDC128" w14:textId="77777777" w:rsidR="00E84CCC" w:rsidRPr="008D2933" w:rsidRDefault="004534EF" w:rsidP="003138C1">
      <w:pPr>
        <w:tabs>
          <w:tab w:val="num" w:pos="851"/>
        </w:tabs>
        <w:spacing w:before="120" w:after="120" w:line="240" w:lineRule="auto"/>
        <w:ind w:firstLine="544"/>
        <w:jc w:val="both"/>
        <w:outlineLvl w:val="2"/>
        <w:rPr>
          <w:rFonts w:eastAsia="Times New Roman" w:cs="Times New Roman"/>
          <w:b/>
          <w:szCs w:val="28"/>
        </w:rPr>
      </w:pPr>
      <w:r w:rsidRPr="008D2933">
        <w:rPr>
          <w:rFonts w:cs="Times New Roman"/>
          <w:noProof/>
          <w:szCs w:val="28"/>
        </w:rPr>
        <mc:AlternateContent>
          <mc:Choice Requires="wps">
            <w:drawing>
              <wp:anchor distT="4294967288" distB="4294967288" distL="114300" distR="114300" simplePos="0" relativeHeight="251663360" behindDoc="0" locked="0" layoutInCell="1" allowOverlap="1" wp14:anchorId="764DFCCC" wp14:editId="28E80FB4">
                <wp:simplePos x="0" y="0"/>
                <wp:positionH relativeFrom="column">
                  <wp:posOffset>1688283</wp:posOffset>
                </wp:positionH>
                <wp:positionV relativeFrom="paragraph">
                  <wp:posOffset>75153</wp:posOffset>
                </wp:positionV>
                <wp:extent cx="2087792"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FCB5" id="Straight Connector 3" o:spid="_x0000_s1026" style="position:absolute;z-index:2516633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32.95pt,5.9pt" to="29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T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"/>
            </w:pict>
          </mc:Fallback>
        </mc:AlternateContent>
      </w:r>
    </w:p>
    <w:p w14:paraId="14E7D0CF" w14:textId="77777777" w:rsidR="00C33AE6" w:rsidRPr="008D2933" w:rsidRDefault="00C33AE6" w:rsidP="00F3180F">
      <w:pPr>
        <w:spacing w:before="120" w:after="120" w:line="240" w:lineRule="auto"/>
        <w:ind w:firstLine="567"/>
        <w:jc w:val="both"/>
        <w:rPr>
          <w:rFonts w:cs="Times New Roman"/>
          <w:szCs w:val="28"/>
        </w:rPr>
      </w:pPr>
    </w:p>
    <w:sectPr w:rsidR="00C33AE6" w:rsidRPr="008D2933" w:rsidSect="008D2933">
      <w:headerReference w:type="default" r:id="rId8"/>
      <w:pgSz w:w="11907" w:h="16840" w:code="9"/>
      <w:pgMar w:top="1021" w:right="1134" w:bottom="1021"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F539" w14:textId="77777777" w:rsidR="00955119" w:rsidRDefault="00955119" w:rsidP="008D2933">
      <w:pPr>
        <w:spacing w:after="0" w:line="240" w:lineRule="auto"/>
      </w:pPr>
      <w:r>
        <w:separator/>
      </w:r>
    </w:p>
  </w:endnote>
  <w:endnote w:type="continuationSeparator" w:id="0">
    <w:p w14:paraId="47258D2A" w14:textId="77777777" w:rsidR="00955119" w:rsidRDefault="00955119" w:rsidP="008D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64CA" w14:textId="77777777" w:rsidR="00955119" w:rsidRDefault="00955119" w:rsidP="008D2933">
      <w:pPr>
        <w:spacing w:after="0" w:line="240" w:lineRule="auto"/>
      </w:pPr>
      <w:r>
        <w:separator/>
      </w:r>
    </w:p>
  </w:footnote>
  <w:footnote w:type="continuationSeparator" w:id="0">
    <w:p w14:paraId="0DE2AF65" w14:textId="77777777" w:rsidR="00955119" w:rsidRDefault="00955119" w:rsidP="008D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027387"/>
      <w:docPartObj>
        <w:docPartGallery w:val="Page Numbers (Top of Page)"/>
        <w:docPartUnique/>
      </w:docPartObj>
    </w:sdtPr>
    <w:sdtEndPr>
      <w:rPr>
        <w:noProof/>
        <w:sz w:val="24"/>
        <w:szCs w:val="24"/>
      </w:rPr>
    </w:sdtEndPr>
    <w:sdtContent>
      <w:p w14:paraId="3F3B07AE" w14:textId="77777777" w:rsidR="001275B7" w:rsidRPr="008D2933" w:rsidRDefault="001275B7">
        <w:pPr>
          <w:pStyle w:val="Header"/>
          <w:jc w:val="center"/>
          <w:rPr>
            <w:sz w:val="24"/>
            <w:szCs w:val="24"/>
          </w:rPr>
        </w:pPr>
        <w:r w:rsidRPr="008D2933">
          <w:rPr>
            <w:sz w:val="24"/>
            <w:szCs w:val="24"/>
          </w:rPr>
          <w:fldChar w:fldCharType="begin"/>
        </w:r>
        <w:r w:rsidRPr="008D2933">
          <w:rPr>
            <w:sz w:val="24"/>
            <w:szCs w:val="24"/>
          </w:rPr>
          <w:instrText xml:space="preserve"> PAGE   \* MERGEFORMAT </w:instrText>
        </w:r>
        <w:r w:rsidRPr="008D2933">
          <w:rPr>
            <w:sz w:val="24"/>
            <w:szCs w:val="24"/>
          </w:rPr>
          <w:fldChar w:fldCharType="separate"/>
        </w:r>
        <w:r w:rsidR="004F58D1">
          <w:rPr>
            <w:noProof/>
            <w:sz w:val="24"/>
            <w:szCs w:val="24"/>
          </w:rPr>
          <w:t>12</w:t>
        </w:r>
        <w:r w:rsidRPr="008D2933">
          <w:rPr>
            <w:noProof/>
            <w:sz w:val="24"/>
            <w:szCs w:val="24"/>
          </w:rPr>
          <w:fldChar w:fldCharType="end"/>
        </w:r>
      </w:p>
    </w:sdtContent>
  </w:sdt>
  <w:p w14:paraId="56A27BF2" w14:textId="77777777" w:rsidR="001275B7" w:rsidRDefault="00127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6D8"/>
    <w:multiLevelType w:val="multilevel"/>
    <w:tmpl w:val="460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E1F"/>
    <w:multiLevelType w:val="multilevel"/>
    <w:tmpl w:val="D0B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41E7C"/>
    <w:multiLevelType w:val="multilevel"/>
    <w:tmpl w:val="0144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16C69"/>
    <w:multiLevelType w:val="multilevel"/>
    <w:tmpl w:val="F2E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31A02"/>
    <w:multiLevelType w:val="multilevel"/>
    <w:tmpl w:val="3A7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B226A"/>
    <w:multiLevelType w:val="multilevel"/>
    <w:tmpl w:val="568C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4D01"/>
    <w:multiLevelType w:val="multilevel"/>
    <w:tmpl w:val="E44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3207E"/>
    <w:multiLevelType w:val="multilevel"/>
    <w:tmpl w:val="DC5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74E39"/>
    <w:multiLevelType w:val="multilevel"/>
    <w:tmpl w:val="515A4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B0D87"/>
    <w:multiLevelType w:val="multilevel"/>
    <w:tmpl w:val="25E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91BDB"/>
    <w:multiLevelType w:val="multilevel"/>
    <w:tmpl w:val="1AB6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06294"/>
    <w:multiLevelType w:val="multilevel"/>
    <w:tmpl w:val="0E5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46EE2"/>
    <w:multiLevelType w:val="multilevel"/>
    <w:tmpl w:val="EAA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F0A04"/>
    <w:multiLevelType w:val="multilevel"/>
    <w:tmpl w:val="F2EAB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27DBF"/>
    <w:multiLevelType w:val="multilevel"/>
    <w:tmpl w:val="DE88B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B469E"/>
    <w:multiLevelType w:val="multilevel"/>
    <w:tmpl w:val="7648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F6413"/>
    <w:multiLevelType w:val="multilevel"/>
    <w:tmpl w:val="5A2CA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16325"/>
    <w:multiLevelType w:val="multilevel"/>
    <w:tmpl w:val="E938C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806C5"/>
    <w:multiLevelType w:val="multilevel"/>
    <w:tmpl w:val="201A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D2B5A"/>
    <w:multiLevelType w:val="multilevel"/>
    <w:tmpl w:val="0DDE5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64190"/>
    <w:multiLevelType w:val="multilevel"/>
    <w:tmpl w:val="567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997177">
    <w:abstractNumId w:val="19"/>
  </w:num>
  <w:num w:numId="2" w16cid:durableId="105198837">
    <w:abstractNumId w:val="14"/>
  </w:num>
  <w:num w:numId="3" w16cid:durableId="185943917">
    <w:abstractNumId w:val="13"/>
  </w:num>
  <w:num w:numId="4" w16cid:durableId="1990595272">
    <w:abstractNumId w:val="2"/>
  </w:num>
  <w:num w:numId="5" w16cid:durableId="1711683843">
    <w:abstractNumId w:val="9"/>
  </w:num>
  <w:num w:numId="6" w16cid:durableId="1008950253">
    <w:abstractNumId w:val="0"/>
  </w:num>
  <w:num w:numId="7" w16cid:durableId="1191188795">
    <w:abstractNumId w:val="10"/>
  </w:num>
  <w:num w:numId="8" w16cid:durableId="252251126">
    <w:abstractNumId w:val="3"/>
  </w:num>
  <w:num w:numId="9" w16cid:durableId="2117676994">
    <w:abstractNumId w:val="11"/>
  </w:num>
  <w:num w:numId="10" w16cid:durableId="2021926345">
    <w:abstractNumId w:val="17"/>
  </w:num>
  <w:num w:numId="11" w16cid:durableId="1743676387">
    <w:abstractNumId w:val="8"/>
  </w:num>
  <w:num w:numId="12" w16cid:durableId="2062947605">
    <w:abstractNumId w:val="12"/>
  </w:num>
  <w:num w:numId="13" w16cid:durableId="334261374">
    <w:abstractNumId w:val="20"/>
  </w:num>
  <w:num w:numId="14" w16cid:durableId="2028287079">
    <w:abstractNumId w:val="16"/>
  </w:num>
  <w:num w:numId="15" w16cid:durableId="2101756271">
    <w:abstractNumId w:val="4"/>
  </w:num>
  <w:num w:numId="16" w16cid:durableId="2044089989">
    <w:abstractNumId w:val="18"/>
  </w:num>
  <w:num w:numId="17" w16cid:durableId="857307275">
    <w:abstractNumId w:val="15"/>
  </w:num>
  <w:num w:numId="18" w16cid:durableId="945845404">
    <w:abstractNumId w:val="5"/>
  </w:num>
  <w:num w:numId="19" w16cid:durableId="892816292">
    <w:abstractNumId w:val="7"/>
  </w:num>
  <w:num w:numId="20" w16cid:durableId="511722167">
    <w:abstractNumId w:val="6"/>
  </w:num>
  <w:num w:numId="21" w16cid:durableId="19808390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0F"/>
    <w:rsid w:val="00012731"/>
    <w:rsid w:val="0004293C"/>
    <w:rsid w:val="00061A61"/>
    <w:rsid w:val="0008343F"/>
    <w:rsid w:val="001230F8"/>
    <w:rsid w:val="001275B7"/>
    <w:rsid w:val="001363D4"/>
    <w:rsid w:val="0014128B"/>
    <w:rsid w:val="00174185"/>
    <w:rsid w:val="00175850"/>
    <w:rsid w:val="001D2251"/>
    <w:rsid w:val="00217836"/>
    <w:rsid w:val="00223C6A"/>
    <w:rsid w:val="003138C1"/>
    <w:rsid w:val="00367AAD"/>
    <w:rsid w:val="00371AF5"/>
    <w:rsid w:val="00397A69"/>
    <w:rsid w:val="003B4C01"/>
    <w:rsid w:val="003B6EBD"/>
    <w:rsid w:val="003F1FEF"/>
    <w:rsid w:val="0044464E"/>
    <w:rsid w:val="004534EF"/>
    <w:rsid w:val="004716F5"/>
    <w:rsid w:val="004C12B5"/>
    <w:rsid w:val="004D6459"/>
    <w:rsid w:val="004D6E44"/>
    <w:rsid w:val="004E25E1"/>
    <w:rsid w:val="004E2F20"/>
    <w:rsid w:val="004F58D1"/>
    <w:rsid w:val="0051789A"/>
    <w:rsid w:val="00527126"/>
    <w:rsid w:val="005D2049"/>
    <w:rsid w:val="005E421A"/>
    <w:rsid w:val="00654215"/>
    <w:rsid w:val="00656CC6"/>
    <w:rsid w:val="00687EA5"/>
    <w:rsid w:val="00691E53"/>
    <w:rsid w:val="006A3E2C"/>
    <w:rsid w:val="006A6343"/>
    <w:rsid w:val="006C68D4"/>
    <w:rsid w:val="00724AB4"/>
    <w:rsid w:val="00745550"/>
    <w:rsid w:val="007645EE"/>
    <w:rsid w:val="007B40EB"/>
    <w:rsid w:val="007C5EBE"/>
    <w:rsid w:val="007D63EA"/>
    <w:rsid w:val="007F4AAF"/>
    <w:rsid w:val="00812C2D"/>
    <w:rsid w:val="0081588C"/>
    <w:rsid w:val="00817CF6"/>
    <w:rsid w:val="00846299"/>
    <w:rsid w:val="008510F0"/>
    <w:rsid w:val="00871CC0"/>
    <w:rsid w:val="00877FE5"/>
    <w:rsid w:val="008D00F9"/>
    <w:rsid w:val="008D2933"/>
    <w:rsid w:val="008F2378"/>
    <w:rsid w:val="008F3FAA"/>
    <w:rsid w:val="009149CD"/>
    <w:rsid w:val="00955119"/>
    <w:rsid w:val="009A2D3F"/>
    <w:rsid w:val="009A34B4"/>
    <w:rsid w:val="009D09E7"/>
    <w:rsid w:val="00A0035D"/>
    <w:rsid w:val="00A37EC3"/>
    <w:rsid w:val="00A8386B"/>
    <w:rsid w:val="00A908F2"/>
    <w:rsid w:val="00A91849"/>
    <w:rsid w:val="00A92EA6"/>
    <w:rsid w:val="00AA59AF"/>
    <w:rsid w:val="00B44443"/>
    <w:rsid w:val="00B47BB7"/>
    <w:rsid w:val="00B71DAB"/>
    <w:rsid w:val="00B86039"/>
    <w:rsid w:val="00B961CD"/>
    <w:rsid w:val="00BA5C45"/>
    <w:rsid w:val="00C0733E"/>
    <w:rsid w:val="00C10DFF"/>
    <w:rsid w:val="00C111F1"/>
    <w:rsid w:val="00C15E83"/>
    <w:rsid w:val="00C279DC"/>
    <w:rsid w:val="00C33AE6"/>
    <w:rsid w:val="00C61B60"/>
    <w:rsid w:val="00C90B4B"/>
    <w:rsid w:val="00C96E81"/>
    <w:rsid w:val="00CA1367"/>
    <w:rsid w:val="00CA4AC2"/>
    <w:rsid w:val="00CF57F7"/>
    <w:rsid w:val="00D0672E"/>
    <w:rsid w:val="00D10801"/>
    <w:rsid w:val="00D32762"/>
    <w:rsid w:val="00DB2A56"/>
    <w:rsid w:val="00DC4B58"/>
    <w:rsid w:val="00DF2D0D"/>
    <w:rsid w:val="00E03031"/>
    <w:rsid w:val="00E0392D"/>
    <w:rsid w:val="00E40BC2"/>
    <w:rsid w:val="00E412CA"/>
    <w:rsid w:val="00E56A27"/>
    <w:rsid w:val="00E84CCC"/>
    <w:rsid w:val="00E9776E"/>
    <w:rsid w:val="00F110A8"/>
    <w:rsid w:val="00F22F45"/>
    <w:rsid w:val="00F27029"/>
    <w:rsid w:val="00F3180F"/>
    <w:rsid w:val="00F34995"/>
    <w:rsid w:val="00F550B0"/>
    <w:rsid w:val="00F63DC5"/>
    <w:rsid w:val="00F6764F"/>
    <w:rsid w:val="00F7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4B80"/>
  <w15:chartTrackingRefBased/>
  <w15:docId w15:val="{441FF584-6FC0-447C-9090-E2C231B3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2D"/>
  </w:style>
  <w:style w:type="paragraph" w:styleId="Heading1">
    <w:name w:val="heading 1"/>
    <w:basedOn w:val="Normal"/>
    <w:link w:val="Heading1Char"/>
    <w:uiPriority w:val="9"/>
    <w:qFormat/>
    <w:rsid w:val="00F3180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180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180F"/>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F3180F"/>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F3180F"/>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0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180F"/>
    <w:rPr>
      <w:rFonts w:eastAsia="Times New Roman" w:cs="Times New Roman"/>
      <w:b/>
      <w:bCs/>
      <w:sz w:val="36"/>
      <w:szCs w:val="36"/>
    </w:rPr>
  </w:style>
  <w:style w:type="character" w:customStyle="1" w:styleId="Heading3Char">
    <w:name w:val="Heading 3 Char"/>
    <w:basedOn w:val="DefaultParagraphFont"/>
    <w:link w:val="Heading3"/>
    <w:uiPriority w:val="9"/>
    <w:rsid w:val="00F3180F"/>
    <w:rPr>
      <w:rFonts w:eastAsia="Times New Roman" w:cs="Times New Roman"/>
      <w:b/>
      <w:bCs/>
      <w:sz w:val="27"/>
      <w:szCs w:val="27"/>
    </w:rPr>
  </w:style>
  <w:style w:type="character" w:customStyle="1" w:styleId="Heading4Char">
    <w:name w:val="Heading 4 Char"/>
    <w:basedOn w:val="DefaultParagraphFont"/>
    <w:link w:val="Heading4"/>
    <w:uiPriority w:val="9"/>
    <w:rsid w:val="00F3180F"/>
    <w:rPr>
      <w:rFonts w:eastAsia="Times New Roman" w:cs="Times New Roman"/>
      <w:b/>
      <w:bCs/>
      <w:sz w:val="24"/>
      <w:szCs w:val="24"/>
    </w:rPr>
  </w:style>
  <w:style w:type="character" w:customStyle="1" w:styleId="Heading5Char">
    <w:name w:val="Heading 5 Char"/>
    <w:basedOn w:val="DefaultParagraphFont"/>
    <w:link w:val="Heading5"/>
    <w:uiPriority w:val="9"/>
    <w:rsid w:val="00F3180F"/>
    <w:rPr>
      <w:rFonts w:eastAsia="Times New Roman" w:cs="Times New Roman"/>
      <w:b/>
      <w:bCs/>
      <w:sz w:val="20"/>
      <w:szCs w:val="20"/>
    </w:rPr>
  </w:style>
  <w:style w:type="paragraph" w:styleId="NormalWeb">
    <w:name w:val="Normal (Web)"/>
    <w:basedOn w:val="Normal"/>
    <w:uiPriority w:val="99"/>
    <w:unhideWhenUsed/>
    <w:rsid w:val="00F3180F"/>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3180F"/>
    <w:rPr>
      <w:b/>
      <w:bCs/>
    </w:rPr>
  </w:style>
  <w:style w:type="paragraph" w:styleId="ListParagraph">
    <w:name w:val="List Paragraph"/>
    <w:basedOn w:val="Normal"/>
    <w:uiPriority w:val="34"/>
    <w:qFormat/>
    <w:rsid w:val="00817CF6"/>
    <w:pPr>
      <w:ind w:left="720"/>
      <w:contextualSpacing/>
    </w:pPr>
  </w:style>
  <w:style w:type="character" w:customStyle="1" w:styleId="ng-star-inserted">
    <w:name w:val="ng-star-inserted"/>
    <w:basedOn w:val="DefaultParagraphFont"/>
    <w:rsid w:val="00C0733E"/>
  </w:style>
  <w:style w:type="character" w:customStyle="1" w:styleId="relative">
    <w:name w:val="relative"/>
    <w:basedOn w:val="DefaultParagraphFont"/>
    <w:rsid w:val="003B4C01"/>
  </w:style>
  <w:style w:type="paragraph" w:customStyle="1" w:styleId="not-prose">
    <w:name w:val="not-prose"/>
    <w:basedOn w:val="Normal"/>
    <w:rsid w:val="003B4C01"/>
    <w:pPr>
      <w:spacing w:before="100" w:beforeAutospacing="1" w:after="100" w:afterAutospacing="1" w:line="240" w:lineRule="auto"/>
    </w:pPr>
    <w:rPr>
      <w:rFonts w:eastAsia="Times New Roman" w:cs="Times New Roman"/>
      <w:sz w:val="24"/>
      <w:szCs w:val="24"/>
    </w:rPr>
  </w:style>
  <w:style w:type="character" w:customStyle="1" w:styleId="mrel">
    <w:name w:val="mrel"/>
    <w:basedOn w:val="DefaultParagraphFont"/>
    <w:rsid w:val="00C90B4B"/>
  </w:style>
  <w:style w:type="paragraph" w:styleId="Header">
    <w:name w:val="header"/>
    <w:basedOn w:val="Normal"/>
    <w:link w:val="HeaderChar"/>
    <w:uiPriority w:val="99"/>
    <w:unhideWhenUsed/>
    <w:rsid w:val="008D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33"/>
  </w:style>
  <w:style w:type="paragraph" w:styleId="Footer">
    <w:name w:val="footer"/>
    <w:basedOn w:val="Normal"/>
    <w:link w:val="FooterChar"/>
    <w:uiPriority w:val="99"/>
    <w:unhideWhenUsed/>
    <w:rsid w:val="008D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2708">
      <w:bodyDiv w:val="1"/>
      <w:marLeft w:val="0"/>
      <w:marRight w:val="0"/>
      <w:marTop w:val="0"/>
      <w:marBottom w:val="0"/>
      <w:divBdr>
        <w:top w:val="none" w:sz="0" w:space="0" w:color="auto"/>
        <w:left w:val="none" w:sz="0" w:space="0" w:color="auto"/>
        <w:bottom w:val="none" w:sz="0" w:space="0" w:color="auto"/>
        <w:right w:val="none" w:sz="0" w:space="0" w:color="auto"/>
      </w:divBdr>
      <w:divsChild>
        <w:div w:id="1104961697">
          <w:marLeft w:val="0"/>
          <w:marRight w:val="0"/>
          <w:marTop w:val="0"/>
          <w:marBottom w:val="0"/>
          <w:divBdr>
            <w:top w:val="none" w:sz="0" w:space="0" w:color="auto"/>
            <w:left w:val="none" w:sz="0" w:space="0" w:color="auto"/>
            <w:bottom w:val="none" w:sz="0" w:space="0" w:color="auto"/>
            <w:right w:val="none" w:sz="0" w:space="0" w:color="auto"/>
          </w:divBdr>
        </w:div>
        <w:div w:id="782991291">
          <w:marLeft w:val="0"/>
          <w:marRight w:val="0"/>
          <w:marTop w:val="0"/>
          <w:marBottom w:val="0"/>
          <w:divBdr>
            <w:top w:val="none" w:sz="0" w:space="0" w:color="auto"/>
            <w:left w:val="none" w:sz="0" w:space="0" w:color="auto"/>
            <w:bottom w:val="none" w:sz="0" w:space="0" w:color="auto"/>
            <w:right w:val="none" w:sz="0" w:space="0" w:color="auto"/>
          </w:divBdr>
        </w:div>
      </w:divsChild>
    </w:div>
    <w:div w:id="428429850">
      <w:bodyDiv w:val="1"/>
      <w:marLeft w:val="0"/>
      <w:marRight w:val="0"/>
      <w:marTop w:val="0"/>
      <w:marBottom w:val="0"/>
      <w:divBdr>
        <w:top w:val="none" w:sz="0" w:space="0" w:color="auto"/>
        <w:left w:val="none" w:sz="0" w:space="0" w:color="auto"/>
        <w:bottom w:val="none" w:sz="0" w:space="0" w:color="auto"/>
        <w:right w:val="none" w:sz="0" w:space="0" w:color="auto"/>
      </w:divBdr>
    </w:div>
    <w:div w:id="470246335">
      <w:bodyDiv w:val="1"/>
      <w:marLeft w:val="0"/>
      <w:marRight w:val="0"/>
      <w:marTop w:val="0"/>
      <w:marBottom w:val="0"/>
      <w:divBdr>
        <w:top w:val="none" w:sz="0" w:space="0" w:color="auto"/>
        <w:left w:val="none" w:sz="0" w:space="0" w:color="auto"/>
        <w:bottom w:val="none" w:sz="0" w:space="0" w:color="auto"/>
        <w:right w:val="none" w:sz="0" w:space="0" w:color="auto"/>
      </w:divBdr>
    </w:div>
    <w:div w:id="511921186">
      <w:bodyDiv w:val="1"/>
      <w:marLeft w:val="0"/>
      <w:marRight w:val="0"/>
      <w:marTop w:val="0"/>
      <w:marBottom w:val="0"/>
      <w:divBdr>
        <w:top w:val="none" w:sz="0" w:space="0" w:color="auto"/>
        <w:left w:val="none" w:sz="0" w:space="0" w:color="auto"/>
        <w:bottom w:val="none" w:sz="0" w:space="0" w:color="auto"/>
        <w:right w:val="none" w:sz="0" w:space="0" w:color="auto"/>
      </w:divBdr>
    </w:div>
    <w:div w:id="547378080">
      <w:bodyDiv w:val="1"/>
      <w:marLeft w:val="0"/>
      <w:marRight w:val="0"/>
      <w:marTop w:val="0"/>
      <w:marBottom w:val="0"/>
      <w:divBdr>
        <w:top w:val="none" w:sz="0" w:space="0" w:color="auto"/>
        <w:left w:val="none" w:sz="0" w:space="0" w:color="auto"/>
        <w:bottom w:val="none" w:sz="0" w:space="0" w:color="auto"/>
        <w:right w:val="none" w:sz="0" w:space="0" w:color="auto"/>
      </w:divBdr>
      <w:divsChild>
        <w:div w:id="1321424048">
          <w:marLeft w:val="0"/>
          <w:marRight w:val="0"/>
          <w:marTop w:val="0"/>
          <w:marBottom w:val="0"/>
          <w:divBdr>
            <w:top w:val="none" w:sz="0" w:space="0" w:color="auto"/>
            <w:left w:val="none" w:sz="0" w:space="0" w:color="auto"/>
            <w:bottom w:val="none" w:sz="0" w:space="0" w:color="auto"/>
            <w:right w:val="none" w:sz="0" w:space="0" w:color="auto"/>
          </w:divBdr>
        </w:div>
        <w:div w:id="2088074034">
          <w:marLeft w:val="0"/>
          <w:marRight w:val="0"/>
          <w:marTop w:val="0"/>
          <w:marBottom w:val="0"/>
          <w:divBdr>
            <w:top w:val="none" w:sz="0" w:space="0" w:color="auto"/>
            <w:left w:val="none" w:sz="0" w:space="0" w:color="auto"/>
            <w:bottom w:val="none" w:sz="0" w:space="0" w:color="auto"/>
            <w:right w:val="none" w:sz="0" w:space="0" w:color="auto"/>
          </w:divBdr>
        </w:div>
        <w:div w:id="1552383136">
          <w:marLeft w:val="0"/>
          <w:marRight w:val="0"/>
          <w:marTop w:val="0"/>
          <w:marBottom w:val="0"/>
          <w:divBdr>
            <w:top w:val="none" w:sz="0" w:space="0" w:color="auto"/>
            <w:left w:val="none" w:sz="0" w:space="0" w:color="auto"/>
            <w:bottom w:val="none" w:sz="0" w:space="0" w:color="auto"/>
            <w:right w:val="none" w:sz="0" w:space="0" w:color="auto"/>
          </w:divBdr>
        </w:div>
        <w:div w:id="752315611">
          <w:marLeft w:val="0"/>
          <w:marRight w:val="0"/>
          <w:marTop w:val="0"/>
          <w:marBottom w:val="0"/>
          <w:divBdr>
            <w:top w:val="none" w:sz="0" w:space="0" w:color="auto"/>
            <w:left w:val="none" w:sz="0" w:space="0" w:color="auto"/>
            <w:bottom w:val="none" w:sz="0" w:space="0" w:color="auto"/>
            <w:right w:val="none" w:sz="0" w:space="0" w:color="auto"/>
          </w:divBdr>
        </w:div>
        <w:div w:id="1617255525">
          <w:marLeft w:val="0"/>
          <w:marRight w:val="0"/>
          <w:marTop w:val="0"/>
          <w:marBottom w:val="0"/>
          <w:divBdr>
            <w:top w:val="none" w:sz="0" w:space="0" w:color="auto"/>
            <w:left w:val="none" w:sz="0" w:space="0" w:color="auto"/>
            <w:bottom w:val="none" w:sz="0" w:space="0" w:color="auto"/>
            <w:right w:val="none" w:sz="0" w:space="0" w:color="auto"/>
          </w:divBdr>
        </w:div>
        <w:div w:id="248462257">
          <w:marLeft w:val="0"/>
          <w:marRight w:val="0"/>
          <w:marTop w:val="0"/>
          <w:marBottom w:val="0"/>
          <w:divBdr>
            <w:top w:val="none" w:sz="0" w:space="0" w:color="auto"/>
            <w:left w:val="none" w:sz="0" w:space="0" w:color="auto"/>
            <w:bottom w:val="none" w:sz="0" w:space="0" w:color="auto"/>
            <w:right w:val="none" w:sz="0" w:space="0" w:color="auto"/>
          </w:divBdr>
        </w:div>
        <w:div w:id="1301496387">
          <w:marLeft w:val="0"/>
          <w:marRight w:val="0"/>
          <w:marTop w:val="0"/>
          <w:marBottom w:val="0"/>
          <w:divBdr>
            <w:top w:val="none" w:sz="0" w:space="0" w:color="auto"/>
            <w:left w:val="none" w:sz="0" w:space="0" w:color="auto"/>
            <w:bottom w:val="none" w:sz="0" w:space="0" w:color="auto"/>
            <w:right w:val="none" w:sz="0" w:space="0" w:color="auto"/>
          </w:divBdr>
        </w:div>
      </w:divsChild>
    </w:div>
    <w:div w:id="604701641">
      <w:bodyDiv w:val="1"/>
      <w:marLeft w:val="0"/>
      <w:marRight w:val="0"/>
      <w:marTop w:val="0"/>
      <w:marBottom w:val="0"/>
      <w:divBdr>
        <w:top w:val="none" w:sz="0" w:space="0" w:color="auto"/>
        <w:left w:val="none" w:sz="0" w:space="0" w:color="auto"/>
        <w:bottom w:val="none" w:sz="0" w:space="0" w:color="auto"/>
        <w:right w:val="none" w:sz="0" w:space="0" w:color="auto"/>
      </w:divBdr>
    </w:div>
    <w:div w:id="615214107">
      <w:bodyDiv w:val="1"/>
      <w:marLeft w:val="0"/>
      <w:marRight w:val="0"/>
      <w:marTop w:val="0"/>
      <w:marBottom w:val="0"/>
      <w:divBdr>
        <w:top w:val="none" w:sz="0" w:space="0" w:color="auto"/>
        <w:left w:val="none" w:sz="0" w:space="0" w:color="auto"/>
        <w:bottom w:val="none" w:sz="0" w:space="0" w:color="auto"/>
        <w:right w:val="none" w:sz="0" w:space="0" w:color="auto"/>
      </w:divBdr>
    </w:div>
    <w:div w:id="644435598">
      <w:bodyDiv w:val="1"/>
      <w:marLeft w:val="0"/>
      <w:marRight w:val="0"/>
      <w:marTop w:val="0"/>
      <w:marBottom w:val="0"/>
      <w:divBdr>
        <w:top w:val="none" w:sz="0" w:space="0" w:color="auto"/>
        <w:left w:val="none" w:sz="0" w:space="0" w:color="auto"/>
        <w:bottom w:val="none" w:sz="0" w:space="0" w:color="auto"/>
        <w:right w:val="none" w:sz="0" w:space="0" w:color="auto"/>
      </w:divBdr>
    </w:div>
    <w:div w:id="645010007">
      <w:bodyDiv w:val="1"/>
      <w:marLeft w:val="0"/>
      <w:marRight w:val="0"/>
      <w:marTop w:val="0"/>
      <w:marBottom w:val="0"/>
      <w:divBdr>
        <w:top w:val="none" w:sz="0" w:space="0" w:color="auto"/>
        <w:left w:val="none" w:sz="0" w:space="0" w:color="auto"/>
        <w:bottom w:val="none" w:sz="0" w:space="0" w:color="auto"/>
        <w:right w:val="none" w:sz="0" w:space="0" w:color="auto"/>
      </w:divBdr>
      <w:divsChild>
        <w:div w:id="1239897319">
          <w:marLeft w:val="0"/>
          <w:marRight w:val="0"/>
          <w:marTop w:val="0"/>
          <w:marBottom w:val="0"/>
          <w:divBdr>
            <w:top w:val="none" w:sz="0" w:space="0" w:color="auto"/>
            <w:left w:val="none" w:sz="0" w:space="0" w:color="auto"/>
            <w:bottom w:val="none" w:sz="0" w:space="0" w:color="auto"/>
            <w:right w:val="none" w:sz="0" w:space="0" w:color="auto"/>
          </w:divBdr>
        </w:div>
        <w:div w:id="1259412561">
          <w:marLeft w:val="0"/>
          <w:marRight w:val="0"/>
          <w:marTop w:val="0"/>
          <w:marBottom w:val="0"/>
          <w:divBdr>
            <w:top w:val="none" w:sz="0" w:space="0" w:color="auto"/>
            <w:left w:val="none" w:sz="0" w:space="0" w:color="auto"/>
            <w:bottom w:val="none" w:sz="0" w:space="0" w:color="auto"/>
            <w:right w:val="none" w:sz="0" w:space="0" w:color="auto"/>
          </w:divBdr>
        </w:div>
        <w:div w:id="1424183957">
          <w:marLeft w:val="0"/>
          <w:marRight w:val="0"/>
          <w:marTop w:val="0"/>
          <w:marBottom w:val="0"/>
          <w:divBdr>
            <w:top w:val="none" w:sz="0" w:space="0" w:color="auto"/>
            <w:left w:val="none" w:sz="0" w:space="0" w:color="auto"/>
            <w:bottom w:val="none" w:sz="0" w:space="0" w:color="auto"/>
            <w:right w:val="none" w:sz="0" w:space="0" w:color="auto"/>
          </w:divBdr>
        </w:div>
        <w:div w:id="12002156">
          <w:marLeft w:val="0"/>
          <w:marRight w:val="0"/>
          <w:marTop w:val="0"/>
          <w:marBottom w:val="0"/>
          <w:divBdr>
            <w:top w:val="none" w:sz="0" w:space="0" w:color="auto"/>
            <w:left w:val="none" w:sz="0" w:space="0" w:color="auto"/>
            <w:bottom w:val="none" w:sz="0" w:space="0" w:color="auto"/>
            <w:right w:val="none" w:sz="0" w:space="0" w:color="auto"/>
          </w:divBdr>
        </w:div>
        <w:div w:id="1119832806">
          <w:marLeft w:val="0"/>
          <w:marRight w:val="0"/>
          <w:marTop w:val="0"/>
          <w:marBottom w:val="0"/>
          <w:divBdr>
            <w:top w:val="none" w:sz="0" w:space="0" w:color="auto"/>
            <w:left w:val="none" w:sz="0" w:space="0" w:color="auto"/>
            <w:bottom w:val="none" w:sz="0" w:space="0" w:color="auto"/>
            <w:right w:val="none" w:sz="0" w:space="0" w:color="auto"/>
          </w:divBdr>
        </w:div>
        <w:div w:id="474833361">
          <w:marLeft w:val="0"/>
          <w:marRight w:val="0"/>
          <w:marTop w:val="0"/>
          <w:marBottom w:val="0"/>
          <w:divBdr>
            <w:top w:val="none" w:sz="0" w:space="0" w:color="auto"/>
            <w:left w:val="none" w:sz="0" w:space="0" w:color="auto"/>
            <w:bottom w:val="none" w:sz="0" w:space="0" w:color="auto"/>
            <w:right w:val="none" w:sz="0" w:space="0" w:color="auto"/>
          </w:divBdr>
        </w:div>
        <w:div w:id="1351299637">
          <w:marLeft w:val="0"/>
          <w:marRight w:val="0"/>
          <w:marTop w:val="0"/>
          <w:marBottom w:val="0"/>
          <w:divBdr>
            <w:top w:val="none" w:sz="0" w:space="0" w:color="auto"/>
            <w:left w:val="none" w:sz="0" w:space="0" w:color="auto"/>
            <w:bottom w:val="none" w:sz="0" w:space="0" w:color="auto"/>
            <w:right w:val="none" w:sz="0" w:space="0" w:color="auto"/>
          </w:divBdr>
        </w:div>
      </w:divsChild>
    </w:div>
    <w:div w:id="713698326">
      <w:bodyDiv w:val="1"/>
      <w:marLeft w:val="0"/>
      <w:marRight w:val="0"/>
      <w:marTop w:val="0"/>
      <w:marBottom w:val="0"/>
      <w:divBdr>
        <w:top w:val="none" w:sz="0" w:space="0" w:color="auto"/>
        <w:left w:val="none" w:sz="0" w:space="0" w:color="auto"/>
        <w:bottom w:val="none" w:sz="0" w:space="0" w:color="auto"/>
        <w:right w:val="none" w:sz="0" w:space="0" w:color="auto"/>
      </w:divBdr>
    </w:div>
    <w:div w:id="781150136">
      <w:bodyDiv w:val="1"/>
      <w:marLeft w:val="0"/>
      <w:marRight w:val="0"/>
      <w:marTop w:val="0"/>
      <w:marBottom w:val="0"/>
      <w:divBdr>
        <w:top w:val="none" w:sz="0" w:space="0" w:color="auto"/>
        <w:left w:val="none" w:sz="0" w:space="0" w:color="auto"/>
        <w:bottom w:val="none" w:sz="0" w:space="0" w:color="auto"/>
        <w:right w:val="none" w:sz="0" w:space="0" w:color="auto"/>
      </w:divBdr>
      <w:divsChild>
        <w:div w:id="1548103732">
          <w:marLeft w:val="0"/>
          <w:marRight w:val="0"/>
          <w:marTop w:val="0"/>
          <w:marBottom w:val="0"/>
          <w:divBdr>
            <w:top w:val="none" w:sz="0" w:space="0" w:color="auto"/>
            <w:left w:val="none" w:sz="0" w:space="0" w:color="auto"/>
            <w:bottom w:val="none" w:sz="0" w:space="0" w:color="auto"/>
            <w:right w:val="none" w:sz="0" w:space="0" w:color="auto"/>
          </w:divBdr>
        </w:div>
        <w:div w:id="1324966756">
          <w:marLeft w:val="0"/>
          <w:marRight w:val="0"/>
          <w:marTop w:val="0"/>
          <w:marBottom w:val="0"/>
          <w:divBdr>
            <w:top w:val="none" w:sz="0" w:space="0" w:color="auto"/>
            <w:left w:val="none" w:sz="0" w:space="0" w:color="auto"/>
            <w:bottom w:val="none" w:sz="0" w:space="0" w:color="auto"/>
            <w:right w:val="none" w:sz="0" w:space="0" w:color="auto"/>
          </w:divBdr>
        </w:div>
        <w:div w:id="466242143">
          <w:marLeft w:val="0"/>
          <w:marRight w:val="0"/>
          <w:marTop w:val="0"/>
          <w:marBottom w:val="0"/>
          <w:divBdr>
            <w:top w:val="none" w:sz="0" w:space="0" w:color="auto"/>
            <w:left w:val="none" w:sz="0" w:space="0" w:color="auto"/>
            <w:bottom w:val="none" w:sz="0" w:space="0" w:color="auto"/>
            <w:right w:val="none" w:sz="0" w:space="0" w:color="auto"/>
          </w:divBdr>
        </w:div>
        <w:div w:id="1129662477">
          <w:marLeft w:val="0"/>
          <w:marRight w:val="0"/>
          <w:marTop w:val="0"/>
          <w:marBottom w:val="0"/>
          <w:divBdr>
            <w:top w:val="none" w:sz="0" w:space="0" w:color="auto"/>
            <w:left w:val="none" w:sz="0" w:space="0" w:color="auto"/>
            <w:bottom w:val="none" w:sz="0" w:space="0" w:color="auto"/>
            <w:right w:val="none" w:sz="0" w:space="0" w:color="auto"/>
          </w:divBdr>
        </w:div>
      </w:divsChild>
    </w:div>
    <w:div w:id="784271325">
      <w:bodyDiv w:val="1"/>
      <w:marLeft w:val="0"/>
      <w:marRight w:val="0"/>
      <w:marTop w:val="0"/>
      <w:marBottom w:val="0"/>
      <w:divBdr>
        <w:top w:val="none" w:sz="0" w:space="0" w:color="auto"/>
        <w:left w:val="none" w:sz="0" w:space="0" w:color="auto"/>
        <w:bottom w:val="none" w:sz="0" w:space="0" w:color="auto"/>
        <w:right w:val="none" w:sz="0" w:space="0" w:color="auto"/>
      </w:divBdr>
      <w:divsChild>
        <w:div w:id="2113085505">
          <w:marLeft w:val="0"/>
          <w:marRight w:val="0"/>
          <w:marTop w:val="0"/>
          <w:marBottom w:val="0"/>
          <w:divBdr>
            <w:top w:val="none" w:sz="0" w:space="0" w:color="auto"/>
            <w:left w:val="none" w:sz="0" w:space="0" w:color="auto"/>
            <w:bottom w:val="none" w:sz="0" w:space="0" w:color="auto"/>
            <w:right w:val="none" w:sz="0" w:space="0" w:color="auto"/>
          </w:divBdr>
        </w:div>
        <w:div w:id="827787220">
          <w:marLeft w:val="0"/>
          <w:marRight w:val="0"/>
          <w:marTop w:val="0"/>
          <w:marBottom w:val="0"/>
          <w:divBdr>
            <w:top w:val="none" w:sz="0" w:space="0" w:color="auto"/>
            <w:left w:val="none" w:sz="0" w:space="0" w:color="auto"/>
            <w:bottom w:val="none" w:sz="0" w:space="0" w:color="auto"/>
            <w:right w:val="none" w:sz="0" w:space="0" w:color="auto"/>
          </w:divBdr>
        </w:div>
        <w:div w:id="1654211580">
          <w:marLeft w:val="0"/>
          <w:marRight w:val="0"/>
          <w:marTop w:val="0"/>
          <w:marBottom w:val="0"/>
          <w:divBdr>
            <w:top w:val="none" w:sz="0" w:space="0" w:color="auto"/>
            <w:left w:val="none" w:sz="0" w:space="0" w:color="auto"/>
            <w:bottom w:val="none" w:sz="0" w:space="0" w:color="auto"/>
            <w:right w:val="none" w:sz="0" w:space="0" w:color="auto"/>
          </w:divBdr>
        </w:div>
        <w:div w:id="783499483">
          <w:marLeft w:val="0"/>
          <w:marRight w:val="0"/>
          <w:marTop w:val="0"/>
          <w:marBottom w:val="0"/>
          <w:divBdr>
            <w:top w:val="none" w:sz="0" w:space="0" w:color="auto"/>
            <w:left w:val="none" w:sz="0" w:space="0" w:color="auto"/>
            <w:bottom w:val="none" w:sz="0" w:space="0" w:color="auto"/>
            <w:right w:val="none" w:sz="0" w:space="0" w:color="auto"/>
          </w:divBdr>
        </w:div>
        <w:div w:id="591855870">
          <w:marLeft w:val="0"/>
          <w:marRight w:val="0"/>
          <w:marTop w:val="0"/>
          <w:marBottom w:val="0"/>
          <w:divBdr>
            <w:top w:val="none" w:sz="0" w:space="0" w:color="auto"/>
            <w:left w:val="none" w:sz="0" w:space="0" w:color="auto"/>
            <w:bottom w:val="none" w:sz="0" w:space="0" w:color="auto"/>
            <w:right w:val="none" w:sz="0" w:space="0" w:color="auto"/>
          </w:divBdr>
        </w:div>
        <w:div w:id="698236893">
          <w:marLeft w:val="0"/>
          <w:marRight w:val="0"/>
          <w:marTop w:val="0"/>
          <w:marBottom w:val="0"/>
          <w:divBdr>
            <w:top w:val="none" w:sz="0" w:space="0" w:color="auto"/>
            <w:left w:val="none" w:sz="0" w:space="0" w:color="auto"/>
            <w:bottom w:val="none" w:sz="0" w:space="0" w:color="auto"/>
            <w:right w:val="none" w:sz="0" w:space="0" w:color="auto"/>
          </w:divBdr>
        </w:div>
        <w:div w:id="932277804">
          <w:marLeft w:val="0"/>
          <w:marRight w:val="0"/>
          <w:marTop w:val="0"/>
          <w:marBottom w:val="0"/>
          <w:divBdr>
            <w:top w:val="none" w:sz="0" w:space="0" w:color="auto"/>
            <w:left w:val="none" w:sz="0" w:space="0" w:color="auto"/>
            <w:bottom w:val="none" w:sz="0" w:space="0" w:color="auto"/>
            <w:right w:val="none" w:sz="0" w:space="0" w:color="auto"/>
          </w:divBdr>
        </w:div>
      </w:divsChild>
    </w:div>
    <w:div w:id="791095517">
      <w:bodyDiv w:val="1"/>
      <w:marLeft w:val="0"/>
      <w:marRight w:val="0"/>
      <w:marTop w:val="0"/>
      <w:marBottom w:val="0"/>
      <w:divBdr>
        <w:top w:val="none" w:sz="0" w:space="0" w:color="auto"/>
        <w:left w:val="none" w:sz="0" w:space="0" w:color="auto"/>
        <w:bottom w:val="none" w:sz="0" w:space="0" w:color="auto"/>
        <w:right w:val="none" w:sz="0" w:space="0" w:color="auto"/>
      </w:divBdr>
      <w:divsChild>
        <w:div w:id="1435981415">
          <w:marLeft w:val="0"/>
          <w:marRight w:val="0"/>
          <w:marTop w:val="0"/>
          <w:marBottom w:val="0"/>
          <w:divBdr>
            <w:top w:val="none" w:sz="0" w:space="0" w:color="auto"/>
            <w:left w:val="none" w:sz="0" w:space="0" w:color="auto"/>
            <w:bottom w:val="none" w:sz="0" w:space="0" w:color="auto"/>
            <w:right w:val="none" w:sz="0" w:space="0" w:color="auto"/>
          </w:divBdr>
        </w:div>
        <w:div w:id="1196163798">
          <w:marLeft w:val="0"/>
          <w:marRight w:val="0"/>
          <w:marTop w:val="0"/>
          <w:marBottom w:val="0"/>
          <w:divBdr>
            <w:top w:val="none" w:sz="0" w:space="0" w:color="auto"/>
            <w:left w:val="none" w:sz="0" w:space="0" w:color="auto"/>
            <w:bottom w:val="none" w:sz="0" w:space="0" w:color="auto"/>
            <w:right w:val="none" w:sz="0" w:space="0" w:color="auto"/>
          </w:divBdr>
        </w:div>
        <w:div w:id="1218782786">
          <w:marLeft w:val="0"/>
          <w:marRight w:val="0"/>
          <w:marTop w:val="0"/>
          <w:marBottom w:val="0"/>
          <w:divBdr>
            <w:top w:val="none" w:sz="0" w:space="0" w:color="auto"/>
            <w:left w:val="none" w:sz="0" w:space="0" w:color="auto"/>
            <w:bottom w:val="none" w:sz="0" w:space="0" w:color="auto"/>
            <w:right w:val="none" w:sz="0" w:space="0" w:color="auto"/>
          </w:divBdr>
        </w:div>
        <w:div w:id="388043959">
          <w:marLeft w:val="0"/>
          <w:marRight w:val="0"/>
          <w:marTop w:val="0"/>
          <w:marBottom w:val="0"/>
          <w:divBdr>
            <w:top w:val="none" w:sz="0" w:space="0" w:color="auto"/>
            <w:left w:val="none" w:sz="0" w:space="0" w:color="auto"/>
            <w:bottom w:val="none" w:sz="0" w:space="0" w:color="auto"/>
            <w:right w:val="none" w:sz="0" w:space="0" w:color="auto"/>
          </w:divBdr>
        </w:div>
        <w:div w:id="1195463304">
          <w:marLeft w:val="0"/>
          <w:marRight w:val="0"/>
          <w:marTop w:val="0"/>
          <w:marBottom w:val="0"/>
          <w:divBdr>
            <w:top w:val="none" w:sz="0" w:space="0" w:color="auto"/>
            <w:left w:val="none" w:sz="0" w:space="0" w:color="auto"/>
            <w:bottom w:val="none" w:sz="0" w:space="0" w:color="auto"/>
            <w:right w:val="none" w:sz="0" w:space="0" w:color="auto"/>
          </w:divBdr>
        </w:div>
        <w:div w:id="1323045852">
          <w:marLeft w:val="0"/>
          <w:marRight w:val="0"/>
          <w:marTop w:val="0"/>
          <w:marBottom w:val="0"/>
          <w:divBdr>
            <w:top w:val="none" w:sz="0" w:space="0" w:color="auto"/>
            <w:left w:val="none" w:sz="0" w:space="0" w:color="auto"/>
            <w:bottom w:val="none" w:sz="0" w:space="0" w:color="auto"/>
            <w:right w:val="none" w:sz="0" w:space="0" w:color="auto"/>
          </w:divBdr>
        </w:div>
        <w:div w:id="45570917">
          <w:marLeft w:val="0"/>
          <w:marRight w:val="0"/>
          <w:marTop w:val="0"/>
          <w:marBottom w:val="0"/>
          <w:divBdr>
            <w:top w:val="none" w:sz="0" w:space="0" w:color="auto"/>
            <w:left w:val="none" w:sz="0" w:space="0" w:color="auto"/>
            <w:bottom w:val="none" w:sz="0" w:space="0" w:color="auto"/>
            <w:right w:val="none" w:sz="0" w:space="0" w:color="auto"/>
          </w:divBdr>
        </w:div>
        <w:div w:id="1128662228">
          <w:marLeft w:val="0"/>
          <w:marRight w:val="0"/>
          <w:marTop w:val="0"/>
          <w:marBottom w:val="0"/>
          <w:divBdr>
            <w:top w:val="none" w:sz="0" w:space="0" w:color="auto"/>
            <w:left w:val="none" w:sz="0" w:space="0" w:color="auto"/>
            <w:bottom w:val="none" w:sz="0" w:space="0" w:color="auto"/>
            <w:right w:val="none" w:sz="0" w:space="0" w:color="auto"/>
          </w:divBdr>
        </w:div>
        <w:div w:id="1197113143">
          <w:marLeft w:val="0"/>
          <w:marRight w:val="0"/>
          <w:marTop w:val="0"/>
          <w:marBottom w:val="0"/>
          <w:divBdr>
            <w:top w:val="none" w:sz="0" w:space="0" w:color="auto"/>
            <w:left w:val="none" w:sz="0" w:space="0" w:color="auto"/>
            <w:bottom w:val="none" w:sz="0" w:space="0" w:color="auto"/>
            <w:right w:val="none" w:sz="0" w:space="0" w:color="auto"/>
          </w:divBdr>
        </w:div>
        <w:div w:id="598416464">
          <w:marLeft w:val="0"/>
          <w:marRight w:val="0"/>
          <w:marTop w:val="0"/>
          <w:marBottom w:val="0"/>
          <w:divBdr>
            <w:top w:val="none" w:sz="0" w:space="0" w:color="auto"/>
            <w:left w:val="none" w:sz="0" w:space="0" w:color="auto"/>
            <w:bottom w:val="none" w:sz="0" w:space="0" w:color="auto"/>
            <w:right w:val="none" w:sz="0" w:space="0" w:color="auto"/>
          </w:divBdr>
        </w:div>
      </w:divsChild>
    </w:div>
    <w:div w:id="851526416">
      <w:bodyDiv w:val="1"/>
      <w:marLeft w:val="0"/>
      <w:marRight w:val="0"/>
      <w:marTop w:val="0"/>
      <w:marBottom w:val="0"/>
      <w:divBdr>
        <w:top w:val="none" w:sz="0" w:space="0" w:color="auto"/>
        <w:left w:val="none" w:sz="0" w:space="0" w:color="auto"/>
        <w:bottom w:val="none" w:sz="0" w:space="0" w:color="auto"/>
        <w:right w:val="none" w:sz="0" w:space="0" w:color="auto"/>
      </w:divBdr>
      <w:divsChild>
        <w:div w:id="14887610">
          <w:marLeft w:val="0"/>
          <w:marRight w:val="0"/>
          <w:marTop w:val="0"/>
          <w:marBottom w:val="0"/>
          <w:divBdr>
            <w:top w:val="none" w:sz="0" w:space="0" w:color="auto"/>
            <w:left w:val="none" w:sz="0" w:space="0" w:color="auto"/>
            <w:bottom w:val="none" w:sz="0" w:space="0" w:color="auto"/>
            <w:right w:val="none" w:sz="0" w:space="0" w:color="auto"/>
          </w:divBdr>
        </w:div>
      </w:divsChild>
    </w:div>
    <w:div w:id="919484319">
      <w:bodyDiv w:val="1"/>
      <w:marLeft w:val="0"/>
      <w:marRight w:val="0"/>
      <w:marTop w:val="0"/>
      <w:marBottom w:val="0"/>
      <w:divBdr>
        <w:top w:val="none" w:sz="0" w:space="0" w:color="auto"/>
        <w:left w:val="none" w:sz="0" w:space="0" w:color="auto"/>
        <w:bottom w:val="none" w:sz="0" w:space="0" w:color="auto"/>
        <w:right w:val="none" w:sz="0" w:space="0" w:color="auto"/>
      </w:divBdr>
      <w:divsChild>
        <w:div w:id="502739346">
          <w:marLeft w:val="0"/>
          <w:marRight w:val="0"/>
          <w:marTop w:val="0"/>
          <w:marBottom w:val="0"/>
          <w:divBdr>
            <w:top w:val="none" w:sz="0" w:space="0" w:color="auto"/>
            <w:left w:val="none" w:sz="0" w:space="0" w:color="auto"/>
            <w:bottom w:val="none" w:sz="0" w:space="0" w:color="auto"/>
            <w:right w:val="none" w:sz="0" w:space="0" w:color="auto"/>
          </w:divBdr>
        </w:div>
      </w:divsChild>
    </w:div>
    <w:div w:id="919754075">
      <w:bodyDiv w:val="1"/>
      <w:marLeft w:val="0"/>
      <w:marRight w:val="0"/>
      <w:marTop w:val="0"/>
      <w:marBottom w:val="0"/>
      <w:divBdr>
        <w:top w:val="none" w:sz="0" w:space="0" w:color="auto"/>
        <w:left w:val="none" w:sz="0" w:space="0" w:color="auto"/>
        <w:bottom w:val="none" w:sz="0" w:space="0" w:color="auto"/>
        <w:right w:val="none" w:sz="0" w:space="0" w:color="auto"/>
      </w:divBdr>
      <w:divsChild>
        <w:div w:id="1189026029">
          <w:marLeft w:val="0"/>
          <w:marRight w:val="0"/>
          <w:marTop w:val="0"/>
          <w:marBottom w:val="0"/>
          <w:divBdr>
            <w:top w:val="none" w:sz="0" w:space="0" w:color="auto"/>
            <w:left w:val="none" w:sz="0" w:space="0" w:color="auto"/>
            <w:bottom w:val="none" w:sz="0" w:space="0" w:color="auto"/>
            <w:right w:val="none" w:sz="0" w:space="0" w:color="auto"/>
          </w:divBdr>
        </w:div>
        <w:div w:id="1482968150">
          <w:marLeft w:val="0"/>
          <w:marRight w:val="0"/>
          <w:marTop w:val="0"/>
          <w:marBottom w:val="0"/>
          <w:divBdr>
            <w:top w:val="none" w:sz="0" w:space="0" w:color="auto"/>
            <w:left w:val="none" w:sz="0" w:space="0" w:color="auto"/>
            <w:bottom w:val="none" w:sz="0" w:space="0" w:color="auto"/>
            <w:right w:val="none" w:sz="0" w:space="0" w:color="auto"/>
          </w:divBdr>
        </w:div>
        <w:div w:id="256794374">
          <w:marLeft w:val="0"/>
          <w:marRight w:val="0"/>
          <w:marTop w:val="0"/>
          <w:marBottom w:val="0"/>
          <w:divBdr>
            <w:top w:val="none" w:sz="0" w:space="0" w:color="auto"/>
            <w:left w:val="none" w:sz="0" w:space="0" w:color="auto"/>
            <w:bottom w:val="none" w:sz="0" w:space="0" w:color="auto"/>
            <w:right w:val="none" w:sz="0" w:space="0" w:color="auto"/>
          </w:divBdr>
        </w:div>
        <w:div w:id="1431703767">
          <w:marLeft w:val="0"/>
          <w:marRight w:val="0"/>
          <w:marTop w:val="0"/>
          <w:marBottom w:val="0"/>
          <w:divBdr>
            <w:top w:val="none" w:sz="0" w:space="0" w:color="auto"/>
            <w:left w:val="none" w:sz="0" w:space="0" w:color="auto"/>
            <w:bottom w:val="none" w:sz="0" w:space="0" w:color="auto"/>
            <w:right w:val="none" w:sz="0" w:space="0" w:color="auto"/>
          </w:divBdr>
        </w:div>
        <w:div w:id="52235242">
          <w:marLeft w:val="0"/>
          <w:marRight w:val="0"/>
          <w:marTop w:val="0"/>
          <w:marBottom w:val="0"/>
          <w:divBdr>
            <w:top w:val="none" w:sz="0" w:space="0" w:color="auto"/>
            <w:left w:val="none" w:sz="0" w:space="0" w:color="auto"/>
            <w:bottom w:val="none" w:sz="0" w:space="0" w:color="auto"/>
            <w:right w:val="none" w:sz="0" w:space="0" w:color="auto"/>
          </w:divBdr>
        </w:div>
      </w:divsChild>
    </w:div>
    <w:div w:id="920531688">
      <w:bodyDiv w:val="1"/>
      <w:marLeft w:val="0"/>
      <w:marRight w:val="0"/>
      <w:marTop w:val="0"/>
      <w:marBottom w:val="0"/>
      <w:divBdr>
        <w:top w:val="none" w:sz="0" w:space="0" w:color="auto"/>
        <w:left w:val="none" w:sz="0" w:space="0" w:color="auto"/>
        <w:bottom w:val="none" w:sz="0" w:space="0" w:color="auto"/>
        <w:right w:val="none" w:sz="0" w:space="0" w:color="auto"/>
      </w:divBdr>
    </w:div>
    <w:div w:id="929393247">
      <w:bodyDiv w:val="1"/>
      <w:marLeft w:val="0"/>
      <w:marRight w:val="0"/>
      <w:marTop w:val="0"/>
      <w:marBottom w:val="0"/>
      <w:divBdr>
        <w:top w:val="none" w:sz="0" w:space="0" w:color="auto"/>
        <w:left w:val="none" w:sz="0" w:space="0" w:color="auto"/>
        <w:bottom w:val="none" w:sz="0" w:space="0" w:color="auto"/>
        <w:right w:val="none" w:sz="0" w:space="0" w:color="auto"/>
      </w:divBdr>
      <w:divsChild>
        <w:div w:id="1577742898">
          <w:marLeft w:val="0"/>
          <w:marRight w:val="0"/>
          <w:marTop w:val="0"/>
          <w:marBottom w:val="0"/>
          <w:divBdr>
            <w:top w:val="none" w:sz="0" w:space="0" w:color="auto"/>
            <w:left w:val="none" w:sz="0" w:space="0" w:color="auto"/>
            <w:bottom w:val="none" w:sz="0" w:space="0" w:color="auto"/>
            <w:right w:val="none" w:sz="0" w:space="0" w:color="auto"/>
          </w:divBdr>
        </w:div>
        <w:div w:id="602149146">
          <w:marLeft w:val="0"/>
          <w:marRight w:val="0"/>
          <w:marTop w:val="0"/>
          <w:marBottom w:val="0"/>
          <w:divBdr>
            <w:top w:val="none" w:sz="0" w:space="0" w:color="auto"/>
            <w:left w:val="none" w:sz="0" w:space="0" w:color="auto"/>
            <w:bottom w:val="none" w:sz="0" w:space="0" w:color="auto"/>
            <w:right w:val="none" w:sz="0" w:space="0" w:color="auto"/>
          </w:divBdr>
        </w:div>
        <w:div w:id="1017585081">
          <w:marLeft w:val="0"/>
          <w:marRight w:val="0"/>
          <w:marTop w:val="0"/>
          <w:marBottom w:val="0"/>
          <w:divBdr>
            <w:top w:val="none" w:sz="0" w:space="0" w:color="auto"/>
            <w:left w:val="none" w:sz="0" w:space="0" w:color="auto"/>
            <w:bottom w:val="none" w:sz="0" w:space="0" w:color="auto"/>
            <w:right w:val="none" w:sz="0" w:space="0" w:color="auto"/>
          </w:divBdr>
        </w:div>
        <w:div w:id="292298012">
          <w:marLeft w:val="0"/>
          <w:marRight w:val="0"/>
          <w:marTop w:val="0"/>
          <w:marBottom w:val="0"/>
          <w:divBdr>
            <w:top w:val="none" w:sz="0" w:space="0" w:color="auto"/>
            <w:left w:val="none" w:sz="0" w:space="0" w:color="auto"/>
            <w:bottom w:val="none" w:sz="0" w:space="0" w:color="auto"/>
            <w:right w:val="none" w:sz="0" w:space="0" w:color="auto"/>
          </w:divBdr>
        </w:div>
        <w:div w:id="1525168963">
          <w:marLeft w:val="0"/>
          <w:marRight w:val="0"/>
          <w:marTop w:val="0"/>
          <w:marBottom w:val="0"/>
          <w:divBdr>
            <w:top w:val="none" w:sz="0" w:space="0" w:color="auto"/>
            <w:left w:val="none" w:sz="0" w:space="0" w:color="auto"/>
            <w:bottom w:val="none" w:sz="0" w:space="0" w:color="auto"/>
            <w:right w:val="none" w:sz="0" w:space="0" w:color="auto"/>
          </w:divBdr>
        </w:div>
      </w:divsChild>
    </w:div>
    <w:div w:id="947615108">
      <w:bodyDiv w:val="1"/>
      <w:marLeft w:val="0"/>
      <w:marRight w:val="0"/>
      <w:marTop w:val="0"/>
      <w:marBottom w:val="0"/>
      <w:divBdr>
        <w:top w:val="none" w:sz="0" w:space="0" w:color="auto"/>
        <w:left w:val="none" w:sz="0" w:space="0" w:color="auto"/>
        <w:bottom w:val="none" w:sz="0" w:space="0" w:color="auto"/>
        <w:right w:val="none" w:sz="0" w:space="0" w:color="auto"/>
      </w:divBdr>
    </w:div>
    <w:div w:id="948126672">
      <w:bodyDiv w:val="1"/>
      <w:marLeft w:val="0"/>
      <w:marRight w:val="0"/>
      <w:marTop w:val="0"/>
      <w:marBottom w:val="0"/>
      <w:divBdr>
        <w:top w:val="none" w:sz="0" w:space="0" w:color="auto"/>
        <w:left w:val="none" w:sz="0" w:space="0" w:color="auto"/>
        <w:bottom w:val="none" w:sz="0" w:space="0" w:color="auto"/>
        <w:right w:val="none" w:sz="0" w:space="0" w:color="auto"/>
      </w:divBdr>
    </w:div>
    <w:div w:id="1084911070">
      <w:bodyDiv w:val="1"/>
      <w:marLeft w:val="0"/>
      <w:marRight w:val="0"/>
      <w:marTop w:val="0"/>
      <w:marBottom w:val="0"/>
      <w:divBdr>
        <w:top w:val="none" w:sz="0" w:space="0" w:color="auto"/>
        <w:left w:val="none" w:sz="0" w:space="0" w:color="auto"/>
        <w:bottom w:val="none" w:sz="0" w:space="0" w:color="auto"/>
        <w:right w:val="none" w:sz="0" w:space="0" w:color="auto"/>
      </w:divBdr>
    </w:div>
    <w:div w:id="1131751728">
      <w:bodyDiv w:val="1"/>
      <w:marLeft w:val="0"/>
      <w:marRight w:val="0"/>
      <w:marTop w:val="0"/>
      <w:marBottom w:val="0"/>
      <w:divBdr>
        <w:top w:val="none" w:sz="0" w:space="0" w:color="auto"/>
        <w:left w:val="none" w:sz="0" w:space="0" w:color="auto"/>
        <w:bottom w:val="none" w:sz="0" w:space="0" w:color="auto"/>
        <w:right w:val="none" w:sz="0" w:space="0" w:color="auto"/>
      </w:divBdr>
    </w:div>
    <w:div w:id="1235434931">
      <w:bodyDiv w:val="1"/>
      <w:marLeft w:val="0"/>
      <w:marRight w:val="0"/>
      <w:marTop w:val="0"/>
      <w:marBottom w:val="0"/>
      <w:divBdr>
        <w:top w:val="none" w:sz="0" w:space="0" w:color="auto"/>
        <w:left w:val="none" w:sz="0" w:space="0" w:color="auto"/>
        <w:bottom w:val="none" w:sz="0" w:space="0" w:color="auto"/>
        <w:right w:val="none" w:sz="0" w:space="0" w:color="auto"/>
      </w:divBdr>
    </w:div>
    <w:div w:id="1298493195">
      <w:bodyDiv w:val="1"/>
      <w:marLeft w:val="0"/>
      <w:marRight w:val="0"/>
      <w:marTop w:val="0"/>
      <w:marBottom w:val="0"/>
      <w:divBdr>
        <w:top w:val="none" w:sz="0" w:space="0" w:color="auto"/>
        <w:left w:val="none" w:sz="0" w:space="0" w:color="auto"/>
        <w:bottom w:val="none" w:sz="0" w:space="0" w:color="auto"/>
        <w:right w:val="none" w:sz="0" w:space="0" w:color="auto"/>
      </w:divBdr>
      <w:divsChild>
        <w:div w:id="574974866">
          <w:marLeft w:val="0"/>
          <w:marRight w:val="0"/>
          <w:marTop w:val="0"/>
          <w:marBottom w:val="0"/>
          <w:divBdr>
            <w:top w:val="none" w:sz="0" w:space="0" w:color="auto"/>
            <w:left w:val="none" w:sz="0" w:space="0" w:color="auto"/>
            <w:bottom w:val="none" w:sz="0" w:space="0" w:color="auto"/>
            <w:right w:val="none" w:sz="0" w:space="0" w:color="auto"/>
          </w:divBdr>
        </w:div>
        <w:div w:id="1774671104">
          <w:marLeft w:val="0"/>
          <w:marRight w:val="0"/>
          <w:marTop w:val="0"/>
          <w:marBottom w:val="0"/>
          <w:divBdr>
            <w:top w:val="none" w:sz="0" w:space="0" w:color="auto"/>
            <w:left w:val="none" w:sz="0" w:space="0" w:color="auto"/>
            <w:bottom w:val="none" w:sz="0" w:space="0" w:color="auto"/>
            <w:right w:val="none" w:sz="0" w:space="0" w:color="auto"/>
          </w:divBdr>
        </w:div>
        <w:div w:id="2079355025">
          <w:marLeft w:val="0"/>
          <w:marRight w:val="0"/>
          <w:marTop w:val="0"/>
          <w:marBottom w:val="0"/>
          <w:divBdr>
            <w:top w:val="none" w:sz="0" w:space="0" w:color="auto"/>
            <w:left w:val="none" w:sz="0" w:space="0" w:color="auto"/>
            <w:bottom w:val="none" w:sz="0" w:space="0" w:color="auto"/>
            <w:right w:val="none" w:sz="0" w:space="0" w:color="auto"/>
          </w:divBdr>
        </w:div>
      </w:divsChild>
    </w:div>
    <w:div w:id="1420633510">
      <w:bodyDiv w:val="1"/>
      <w:marLeft w:val="0"/>
      <w:marRight w:val="0"/>
      <w:marTop w:val="0"/>
      <w:marBottom w:val="0"/>
      <w:divBdr>
        <w:top w:val="none" w:sz="0" w:space="0" w:color="auto"/>
        <w:left w:val="none" w:sz="0" w:space="0" w:color="auto"/>
        <w:bottom w:val="none" w:sz="0" w:space="0" w:color="auto"/>
        <w:right w:val="none" w:sz="0" w:space="0" w:color="auto"/>
      </w:divBdr>
      <w:divsChild>
        <w:div w:id="1545605945">
          <w:marLeft w:val="0"/>
          <w:marRight w:val="0"/>
          <w:marTop w:val="0"/>
          <w:marBottom w:val="0"/>
          <w:divBdr>
            <w:top w:val="none" w:sz="0" w:space="0" w:color="auto"/>
            <w:left w:val="none" w:sz="0" w:space="0" w:color="auto"/>
            <w:bottom w:val="none" w:sz="0" w:space="0" w:color="auto"/>
            <w:right w:val="none" w:sz="0" w:space="0" w:color="auto"/>
          </w:divBdr>
        </w:div>
        <w:div w:id="103765633">
          <w:marLeft w:val="0"/>
          <w:marRight w:val="0"/>
          <w:marTop w:val="0"/>
          <w:marBottom w:val="0"/>
          <w:divBdr>
            <w:top w:val="none" w:sz="0" w:space="0" w:color="auto"/>
            <w:left w:val="none" w:sz="0" w:space="0" w:color="auto"/>
            <w:bottom w:val="none" w:sz="0" w:space="0" w:color="auto"/>
            <w:right w:val="none" w:sz="0" w:space="0" w:color="auto"/>
          </w:divBdr>
        </w:div>
        <w:div w:id="1253203268">
          <w:marLeft w:val="0"/>
          <w:marRight w:val="0"/>
          <w:marTop w:val="0"/>
          <w:marBottom w:val="0"/>
          <w:divBdr>
            <w:top w:val="none" w:sz="0" w:space="0" w:color="auto"/>
            <w:left w:val="none" w:sz="0" w:space="0" w:color="auto"/>
            <w:bottom w:val="none" w:sz="0" w:space="0" w:color="auto"/>
            <w:right w:val="none" w:sz="0" w:space="0" w:color="auto"/>
          </w:divBdr>
        </w:div>
        <w:div w:id="189682554">
          <w:marLeft w:val="0"/>
          <w:marRight w:val="0"/>
          <w:marTop w:val="0"/>
          <w:marBottom w:val="0"/>
          <w:divBdr>
            <w:top w:val="none" w:sz="0" w:space="0" w:color="auto"/>
            <w:left w:val="none" w:sz="0" w:space="0" w:color="auto"/>
            <w:bottom w:val="none" w:sz="0" w:space="0" w:color="auto"/>
            <w:right w:val="none" w:sz="0" w:space="0" w:color="auto"/>
          </w:divBdr>
        </w:div>
        <w:div w:id="468284500">
          <w:marLeft w:val="0"/>
          <w:marRight w:val="0"/>
          <w:marTop w:val="0"/>
          <w:marBottom w:val="0"/>
          <w:divBdr>
            <w:top w:val="none" w:sz="0" w:space="0" w:color="auto"/>
            <w:left w:val="none" w:sz="0" w:space="0" w:color="auto"/>
            <w:bottom w:val="none" w:sz="0" w:space="0" w:color="auto"/>
            <w:right w:val="none" w:sz="0" w:space="0" w:color="auto"/>
          </w:divBdr>
        </w:div>
        <w:div w:id="529298315">
          <w:marLeft w:val="0"/>
          <w:marRight w:val="0"/>
          <w:marTop w:val="0"/>
          <w:marBottom w:val="0"/>
          <w:divBdr>
            <w:top w:val="none" w:sz="0" w:space="0" w:color="auto"/>
            <w:left w:val="none" w:sz="0" w:space="0" w:color="auto"/>
            <w:bottom w:val="none" w:sz="0" w:space="0" w:color="auto"/>
            <w:right w:val="none" w:sz="0" w:space="0" w:color="auto"/>
          </w:divBdr>
        </w:div>
      </w:divsChild>
    </w:div>
    <w:div w:id="1485274259">
      <w:bodyDiv w:val="1"/>
      <w:marLeft w:val="0"/>
      <w:marRight w:val="0"/>
      <w:marTop w:val="0"/>
      <w:marBottom w:val="0"/>
      <w:divBdr>
        <w:top w:val="none" w:sz="0" w:space="0" w:color="auto"/>
        <w:left w:val="none" w:sz="0" w:space="0" w:color="auto"/>
        <w:bottom w:val="none" w:sz="0" w:space="0" w:color="auto"/>
        <w:right w:val="none" w:sz="0" w:space="0" w:color="auto"/>
      </w:divBdr>
    </w:div>
    <w:div w:id="1507866504">
      <w:bodyDiv w:val="1"/>
      <w:marLeft w:val="0"/>
      <w:marRight w:val="0"/>
      <w:marTop w:val="0"/>
      <w:marBottom w:val="0"/>
      <w:divBdr>
        <w:top w:val="none" w:sz="0" w:space="0" w:color="auto"/>
        <w:left w:val="none" w:sz="0" w:space="0" w:color="auto"/>
        <w:bottom w:val="none" w:sz="0" w:space="0" w:color="auto"/>
        <w:right w:val="none" w:sz="0" w:space="0" w:color="auto"/>
      </w:divBdr>
      <w:divsChild>
        <w:div w:id="1486117915">
          <w:marLeft w:val="0"/>
          <w:marRight w:val="0"/>
          <w:marTop w:val="0"/>
          <w:marBottom w:val="0"/>
          <w:divBdr>
            <w:top w:val="none" w:sz="0" w:space="0" w:color="auto"/>
            <w:left w:val="none" w:sz="0" w:space="0" w:color="auto"/>
            <w:bottom w:val="none" w:sz="0" w:space="0" w:color="auto"/>
            <w:right w:val="none" w:sz="0" w:space="0" w:color="auto"/>
          </w:divBdr>
        </w:div>
        <w:div w:id="617177438">
          <w:marLeft w:val="0"/>
          <w:marRight w:val="0"/>
          <w:marTop w:val="0"/>
          <w:marBottom w:val="0"/>
          <w:divBdr>
            <w:top w:val="none" w:sz="0" w:space="0" w:color="auto"/>
            <w:left w:val="none" w:sz="0" w:space="0" w:color="auto"/>
            <w:bottom w:val="none" w:sz="0" w:space="0" w:color="auto"/>
            <w:right w:val="none" w:sz="0" w:space="0" w:color="auto"/>
          </w:divBdr>
        </w:div>
        <w:div w:id="2018925020">
          <w:marLeft w:val="0"/>
          <w:marRight w:val="0"/>
          <w:marTop w:val="0"/>
          <w:marBottom w:val="0"/>
          <w:divBdr>
            <w:top w:val="none" w:sz="0" w:space="0" w:color="auto"/>
            <w:left w:val="none" w:sz="0" w:space="0" w:color="auto"/>
            <w:bottom w:val="none" w:sz="0" w:space="0" w:color="auto"/>
            <w:right w:val="none" w:sz="0" w:space="0" w:color="auto"/>
          </w:divBdr>
        </w:div>
        <w:div w:id="1741975458">
          <w:marLeft w:val="0"/>
          <w:marRight w:val="0"/>
          <w:marTop w:val="0"/>
          <w:marBottom w:val="0"/>
          <w:divBdr>
            <w:top w:val="none" w:sz="0" w:space="0" w:color="auto"/>
            <w:left w:val="none" w:sz="0" w:space="0" w:color="auto"/>
            <w:bottom w:val="none" w:sz="0" w:space="0" w:color="auto"/>
            <w:right w:val="none" w:sz="0" w:space="0" w:color="auto"/>
          </w:divBdr>
        </w:div>
        <w:div w:id="1421365046">
          <w:marLeft w:val="0"/>
          <w:marRight w:val="0"/>
          <w:marTop w:val="0"/>
          <w:marBottom w:val="0"/>
          <w:divBdr>
            <w:top w:val="none" w:sz="0" w:space="0" w:color="auto"/>
            <w:left w:val="none" w:sz="0" w:space="0" w:color="auto"/>
            <w:bottom w:val="none" w:sz="0" w:space="0" w:color="auto"/>
            <w:right w:val="none" w:sz="0" w:space="0" w:color="auto"/>
          </w:divBdr>
        </w:div>
        <w:div w:id="1003432791">
          <w:marLeft w:val="0"/>
          <w:marRight w:val="0"/>
          <w:marTop w:val="0"/>
          <w:marBottom w:val="0"/>
          <w:divBdr>
            <w:top w:val="none" w:sz="0" w:space="0" w:color="auto"/>
            <w:left w:val="none" w:sz="0" w:space="0" w:color="auto"/>
            <w:bottom w:val="none" w:sz="0" w:space="0" w:color="auto"/>
            <w:right w:val="none" w:sz="0" w:space="0" w:color="auto"/>
          </w:divBdr>
        </w:div>
        <w:div w:id="1272472366">
          <w:marLeft w:val="0"/>
          <w:marRight w:val="0"/>
          <w:marTop w:val="0"/>
          <w:marBottom w:val="0"/>
          <w:divBdr>
            <w:top w:val="none" w:sz="0" w:space="0" w:color="auto"/>
            <w:left w:val="none" w:sz="0" w:space="0" w:color="auto"/>
            <w:bottom w:val="none" w:sz="0" w:space="0" w:color="auto"/>
            <w:right w:val="none" w:sz="0" w:space="0" w:color="auto"/>
          </w:divBdr>
        </w:div>
        <w:div w:id="716009036">
          <w:marLeft w:val="0"/>
          <w:marRight w:val="0"/>
          <w:marTop w:val="0"/>
          <w:marBottom w:val="0"/>
          <w:divBdr>
            <w:top w:val="none" w:sz="0" w:space="0" w:color="auto"/>
            <w:left w:val="none" w:sz="0" w:space="0" w:color="auto"/>
            <w:bottom w:val="none" w:sz="0" w:space="0" w:color="auto"/>
            <w:right w:val="none" w:sz="0" w:space="0" w:color="auto"/>
          </w:divBdr>
        </w:div>
        <w:div w:id="1351372629">
          <w:marLeft w:val="0"/>
          <w:marRight w:val="0"/>
          <w:marTop w:val="0"/>
          <w:marBottom w:val="0"/>
          <w:divBdr>
            <w:top w:val="none" w:sz="0" w:space="0" w:color="auto"/>
            <w:left w:val="none" w:sz="0" w:space="0" w:color="auto"/>
            <w:bottom w:val="none" w:sz="0" w:space="0" w:color="auto"/>
            <w:right w:val="none" w:sz="0" w:space="0" w:color="auto"/>
          </w:divBdr>
        </w:div>
        <w:div w:id="411435086">
          <w:marLeft w:val="0"/>
          <w:marRight w:val="0"/>
          <w:marTop w:val="0"/>
          <w:marBottom w:val="0"/>
          <w:divBdr>
            <w:top w:val="none" w:sz="0" w:space="0" w:color="auto"/>
            <w:left w:val="none" w:sz="0" w:space="0" w:color="auto"/>
            <w:bottom w:val="none" w:sz="0" w:space="0" w:color="auto"/>
            <w:right w:val="none" w:sz="0" w:space="0" w:color="auto"/>
          </w:divBdr>
        </w:div>
      </w:divsChild>
    </w:div>
    <w:div w:id="1637024026">
      <w:bodyDiv w:val="1"/>
      <w:marLeft w:val="0"/>
      <w:marRight w:val="0"/>
      <w:marTop w:val="0"/>
      <w:marBottom w:val="0"/>
      <w:divBdr>
        <w:top w:val="none" w:sz="0" w:space="0" w:color="auto"/>
        <w:left w:val="none" w:sz="0" w:space="0" w:color="auto"/>
        <w:bottom w:val="none" w:sz="0" w:space="0" w:color="auto"/>
        <w:right w:val="none" w:sz="0" w:space="0" w:color="auto"/>
      </w:divBdr>
      <w:divsChild>
        <w:div w:id="1329137477">
          <w:marLeft w:val="0"/>
          <w:marRight w:val="0"/>
          <w:marTop w:val="0"/>
          <w:marBottom w:val="0"/>
          <w:divBdr>
            <w:top w:val="none" w:sz="0" w:space="0" w:color="auto"/>
            <w:left w:val="none" w:sz="0" w:space="0" w:color="auto"/>
            <w:bottom w:val="none" w:sz="0" w:space="0" w:color="auto"/>
            <w:right w:val="none" w:sz="0" w:space="0" w:color="auto"/>
          </w:divBdr>
        </w:div>
        <w:div w:id="1536231685">
          <w:marLeft w:val="0"/>
          <w:marRight w:val="0"/>
          <w:marTop w:val="0"/>
          <w:marBottom w:val="0"/>
          <w:divBdr>
            <w:top w:val="none" w:sz="0" w:space="0" w:color="auto"/>
            <w:left w:val="none" w:sz="0" w:space="0" w:color="auto"/>
            <w:bottom w:val="none" w:sz="0" w:space="0" w:color="auto"/>
            <w:right w:val="none" w:sz="0" w:space="0" w:color="auto"/>
          </w:divBdr>
        </w:div>
        <w:div w:id="167060860">
          <w:marLeft w:val="0"/>
          <w:marRight w:val="0"/>
          <w:marTop w:val="0"/>
          <w:marBottom w:val="0"/>
          <w:divBdr>
            <w:top w:val="none" w:sz="0" w:space="0" w:color="auto"/>
            <w:left w:val="none" w:sz="0" w:space="0" w:color="auto"/>
            <w:bottom w:val="none" w:sz="0" w:space="0" w:color="auto"/>
            <w:right w:val="none" w:sz="0" w:space="0" w:color="auto"/>
          </w:divBdr>
        </w:div>
        <w:div w:id="47388597">
          <w:marLeft w:val="0"/>
          <w:marRight w:val="0"/>
          <w:marTop w:val="0"/>
          <w:marBottom w:val="0"/>
          <w:divBdr>
            <w:top w:val="none" w:sz="0" w:space="0" w:color="auto"/>
            <w:left w:val="none" w:sz="0" w:space="0" w:color="auto"/>
            <w:bottom w:val="none" w:sz="0" w:space="0" w:color="auto"/>
            <w:right w:val="none" w:sz="0" w:space="0" w:color="auto"/>
          </w:divBdr>
        </w:div>
      </w:divsChild>
    </w:div>
    <w:div w:id="1696617402">
      <w:bodyDiv w:val="1"/>
      <w:marLeft w:val="0"/>
      <w:marRight w:val="0"/>
      <w:marTop w:val="0"/>
      <w:marBottom w:val="0"/>
      <w:divBdr>
        <w:top w:val="none" w:sz="0" w:space="0" w:color="auto"/>
        <w:left w:val="none" w:sz="0" w:space="0" w:color="auto"/>
        <w:bottom w:val="none" w:sz="0" w:space="0" w:color="auto"/>
        <w:right w:val="none" w:sz="0" w:space="0" w:color="auto"/>
      </w:divBdr>
    </w:div>
    <w:div w:id="1754936660">
      <w:bodyDiv w:val="1"/>
      <w:marLeft w:val="0"/>
      <w:marRight w:val="0"/>
      <w:marTop w:val="0"/>
      <w:marBottom w:val="0"/>
      <w:divBdr>
        <w:top w:val="none" w:sz="0" w:space="0" w:color="auto"/>
        <w:left w:val="none" w:sz="0" w:space="0" w:color="auto"/>
        <w:bottom w:val="none" w:sz="0" w:space="0" w:color="auto"/>
        <w:right w:val="none" w:sz="0" w:space="0" w:color="auto"/>
      </w:divBdr>
    </w:div>
    <w:div w:id="1853377502">
      <w:bodyDiv w:val="1"/>
      <w:marLeft w:val="0"/>
      <w:marRight w:val="0"/>
      <w:marTop w:val="0"/>
      <w:marBottom w:val="0"/>
      <w:divBdr>
        <w:top w:val="none" w:sz="0" w:space="0" w:color="auto"/>
        <w:left w:val="none" w:sz="0" w:space="0" w:color="auto"/>
        <w:bottom w:val="none" w:sz="0" w:space="0" w:color="auto"/>
        <w:right w:val="none" w:sz="0" w:space="0" w:color="auto"/>
      </w:divBdr>
    </w:div>
    <w:div w:id="1882862365">
      <w:bodyDiv w:val="1"/>
      <w:marLeft w:val="0"/>
      <w:marRight w:val="0"/>
      <w:marTop w:val="0"/>
      <w:marBottom w:val="0"/>
      <w:divBdr>
        <w:top w:val="none" w:sz="0" w:space="0" w:color="auto"/>
        <w:left w:val="none" w:sz="0" w:space="0" w:color="auto"/>
        <w:bottom w:val="none" w:sz="0" w:space="0" w:color="auto"/>
        <w:right w:val="none" w:sz="0" w:space="0" w:color="auto"/>
      </w:divBdr>
    </w:div>
    <w:div w:id="1961910772">
      <w:bodyDiv w:val="1"/>
      <w:marLeft w:val="0"/>
      <w:marRight w:val="0"/>
      <w:marTop w:val="0"/>
      <w:marBottom w:val="0"/>
      <w:divBdr>
        <w:top w:val="none" w:sz="0" w:space="0" w:color="auto"/>
        <w:left w:val="none" w:sz="0" w:space="0" w:color="auto"/>
        <w:bottom w:val="none" w:sz="0" w:space="0" w:color="auto"/>
        <w:right w:val="none" w:sz="0" w:space="0" w:color="auto"/>
      </w:divBdr>
    </w:div>
    <w:div w:id="1965187253">
      <w:bodyDiv w:val="1"/>
      <w:marLeft w:val="0"/>
      <w:marRight w:val="0"/>
      <w:marTop w:val="0"/>
      <w:marBottom w:val="0"/>
      <w:divBdr>
        <w:top w:val="none" w:sz="0" w:space="0" w:color="auto"/>
        <w:left w:val="none" w:sz="0" w:space="0" w:color="auto"/>
        <w:bottom w:val="none" w:sz="0" w:space="0" w:color="auto"/>
        <w:right w:val="none" w:sz="0" w:space="0" w:color="auto"/>
      </w:divBdr>
      <w:divsChild>
        <w:div w:id="1032456489">
          <w:marLeft w:val="0"/>
          <w:marRight w:val="0"/>
          <w:marTop w:val="0"/>
          <w:marBottom w:val="0"/>
          <w:divBdr>
            <w:top w:val="none" w:sz="0" w:space="0" w:color="auto"/>
            <w:left w:val="none" w:sz="0" w:space="0" w:color="auto"/>
            <w:bottom w:val="none" w:sz="0" w:space="0" w:color="auto"/>
            <w:right w:val="none" w:sz="0" w:space="0" w:color="auto"/>
          </w:divBdr>
        </w:div>
        <w:div w:id="1919054769">
          <w:marLeft w:val="0"/>
          <w:marRight w:val="0"/>
          <w:marTop w:val="0"/>
          <w:marBottom w:val="0"/>
          <w:divBdr>
            <w:top w:val="none" w:sz="0" w:space="0" w:color="auto"/>
            <w:left w:val="none" w:sz="0" w:space="0" w:color="auto"/>
            <w:bottom w:val="none" w:sz="0" w:space="0" w:color="auto"/>
            <w:right w:val="none" w:sz="0" w:space="0" w:color="auto"/>
          </w:divBdr>
        </w:div>
        <w:div w:id="138303922">
          <w:marLeft w:val="0"/>
          <w:marRight w:val="0"/>
          <w:marTop w:val="0"/>
          <w:marBottom w:val="0"/>
          <w:divBdr>
            <w:top w:val="none" w:sz="0" w:space="0" w:color="auto"/>
            <w:left w:val="none" w:sz="0" w:space="0" w:color="auto"/>
            <w:bottom w:val="none" w:sz="0" w:space="0" w:color="auto"/>
            <w:right w:val="none" w:sz="0" w:space="0" w:color="auto"/>
          </w:divBdr>
        </w:div>
        <w:div w:id="347947850">
          <w:marLeft w:val="0"/>
          <w:marRight w:val="0"/>
          <w:marTop w:val="0"/>
          <w:marBottom w:val="0"/>
          <w:divBdr>
            <w:top w:val="none" w:sz="0" w:space="0" w:color="auto"/>
            <w:left w:val="none" w:sz="0" w:space="0" w:color="auto"/>
            <w:bottom w:val="none" w:sz="0" w:space="0" w:color="auto"/>
            <w:right w:val="none" w:sz="0" w:space="0" w:color="auto"/>
          </w:divBdr>
        </w:div>
        <w:div w:id="1208756000">
          <w:marLeft w:val="0"/>
          <w:marRight w:val="0"/>
          <w:marTop w:val="0"/>
          <w:marBottom w:val="0"/>
          <w:divBdr>
            <w:top w:val="none" w:sz="0" w:space="0" w:color="auto"/>
            <w:left w:val="none" w:sz="0" w:space="0" w:color="auto"/>
            <w:bottom w:val="none" w:sz="0" w:space="0" w:color="auto"/>
            <w:right w:val="none" w:sz="0" w:space="0" w:color="auto"/>
          </w:divBdr>
        </w:div>
        <w:div w:id="472984704">
          <w:marLeft w:val="0"/>
          <w:marRight w:val="0"/>
          <w:marTop w:val="0"/>
          <w:marBottom w:val="0"/>
          <w:divBdr>
            <w:top w:val="none" w:sz="0" w:space="0" w:color="auto"/>
            <w:left w:val="none" w:sz="0" w:space="0" w:color="auto"/>
            <w:bottom w:val="none" w:sz="0" w:space="0" w:color="auto"/>
            <w:right w:val="none" w:sz="0" w:space="0" w:color="auto"/>
          </w:divBdr>
        </w:div>
        <w:div w:id="985745890">
          <w:marLeft w:val="0"/>
          <w:marRight w:val="0"/>
          <w:marTop w:val="0"/>
          <w:marBottom w:val="0"/>
          <w:divBdr>
            <w:top w:val="none" w:sz="0" w:space="0" w:color="auto"/>
            <w:left w:val="none" w:sz="0" w:space="0" w:color="auto"/>
            <w:bottom w:val="none" w:sz="0" w:space="0" w:color="auto"/>
            <w:right w:val="none" w:sz="0" w:space="0" w:color="auto"/>
          </w:divBdr>
        </w:div>
      </w:divsChild>
    </w:div>
    <w:div w:id="2086148944">
      <w:bodyDiv w:val="1"/>
      <w:marLeft w:val="0"/>
      <w:marRight w:val="0"/>
      <w:marTop w:val="0"/>
      <w:marBottom w:val="0"/>
      <w:divBdr>
        <w:top w:val="none" w:sz="0" w:space="0" w:color="auto"/>
        <w:left w:val="none" w:sz="0" w:space="0" w:color="auto"/>
        <w:bottom w:val="none" w:sz="0" w:space="0" w:color="auto"/>
        <w:right w:val="none" w:sz="0" w:space="0" w:color="auto"/>
      </w:divBdr>
      <w:divsChild>
        <w:div w:id="389157015">
          <w:marLeft w:val="0"/>
          <w:marRight w:val="0"/>
          <w:marTop w:val="0"/>
          <w:marBottom w:val="0"/>
          <w:divBdr>
            <w:top w:val="none" w:sz="0" w:space="0" w:color="auto"/>
            <w:left w:val="none" w:sz="0" w:space="0" w:color="auto"/>
            <w:bottom w:val="none" w:sz="0" w:space="0" w:color="auto"/>
            <w:right w:val="none" w:sz="0" w:space="0" w:color="auto"/>
          </w:divBdr>
        </w:div>
        <w:div w:id="2108966206">
          <w:marLeft w:val="0"/>
          <w:marRight w:val="0"/>
          <w:marTop w:val="0"/>
          <w:marBottom w:val="0"/>
          <w:divBdr>
            <w:top w:val="none" w:sz="0" w:space="0" w:color="auto"/>
            <w:left w:val="none" w:sz="0" w:space="0" w:color="auto"/>
            <w:bottom w:val="none" w:sz="0" w:space="0" w:color="auto"/>
            <w:right w:val="none" w:sz="0" w:space="0" w:color="auto"/>
          </w:divBdr>
        </w:div>
        <w:div w:id="215238844">
          <w:marLeft w:val="0"/>
          <w:marRight w:val="0"/>
          <w:marTop w:val="0"/>
          <w:marBottom w:val="0"/>
          <w:divBdr>
            <w:top w:val="none" w:sz="0" w:space="0" w:color="auto"/>
            <w:left w:val="none" w:sz="0" w:space="0" w:color="auto"/>
            <w:bottom w:val="none" w:sz="0" w:space="0" w:color="auto"/>
            <w:right w:val="none" w:sz="0" w:space="0" w:color="auto"/>
          </w:divBdr>
        </w:div>
        <w:div w:id="128669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4A77-E47E-421D-B1F4-0BDB80EA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Hieu nguyen</dc:creator>
  <cp:keywords/>
  <dc:description/>
  <cp:lastModifiedBy>HieuNA</cp:lastModifiedBy>
  <cp:revision>3</cp:revision>
  <dcterms:created xsi:type="dcterms:W3CDTF">2026-03-09T06:56:00Z</dcterms:created>
  <dcterms:modified xsi:type="dcterms:W3CDTF">2026-03-09T07:15:00Z</dcterms:modified>
</cp:coreProperties>
</file>