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D7C6" w14:textId="3F174D10" w:rsidR="004073D8" w:rsidRPr="00CC4803" w:rsidRDefault="004073D8" w:rsidP="004073D8">
      <w:pPr>
        <w:spacing w:after="0"/>
        <w:jc w:val="center"/>
        <w:rPr>
          <w:rFonts w:ascii="Times New Roman" w:hAnsi="Times New Roman" w:cs="Times New Roman"/>
          <w:b/>
          <w:sz w:val="26"/>
          <w:szCs w:val="26"/>
        </w:rPr>
      </w:pPr>
      <w:r w:rsidRPr="00CC4803">
        <w:rPr>
          <w:rFonts w:ascii="Times New Roman" w:hAnsi="Times New Roman" w:cs="Times New Roman"/>
          <w:b/>
          <w:sz w:val="26"/>
          <w:szCs w:val="26"/>
        </w:rPr>
        <w:t xml:space="preserve">Phụ lục </w:t>
      </w:r>
      <w:r w:rsidR="00785B1F">
        <w:rPr>
          <w:rFonts w:ascii="Times New Roman" w:hAnsi="Times New Roman" w:cs="Times New Roman"/>
          <w:b/>
          <w:sz w:val="26"/>
          <w:szCs w:val="26"/>
        </w:rPr>
        <w:t>I.</w:t>
      </w:r>
      <w:r>
        <w:rPr>
          <w:rFonts w:ascii="Times New Roman" w:hAnsi="Times New Roman" w:cs="Times New Roman"/>
          <w:b/>
          <w:sz w:val="26"/>
          <w:szCs w:val="26"/>
        </w:rPr>
        <w:t>14.3.B</w:t>
      </w:r>
    </w:p>
    <w:p w14:paraId="5490A94F" w14:textId="77777777" w:rsidR="004073D8" w:rsidRPr="00CC4803" w:rsidRDefault="004073D8" w:rsidP="004073D8">
      <w:pPr>
        <w:pStyle w:val="NormalWeb"/>
        <w:spacing w:before="0" w:beforeAutospacing="0" w:after="0" w:afterAutospacing="0"/>
        <w:jc w:val="center"/>
        <w:rPr>
          <w:rStyle w:val="Strong"/>
          <w:color w:val="000000"/>
          <w:sz w:val="26"/>
          <w:szCs w:val="26"/>
        </w:rPr>
      </w:pPr>
      <w:r>
        <w:rPr>
          <w:rStyle w:val="Strong"/>
          <w:color w:val="000000"/>
          <w:sz w:val="26"/>
          <w:szCs w:val="26"/>
        </w:rPr>
        <w:t xml:space="preserve">TÌNH HÌNH XỬ LÝ ĐỐI VỚI </w:t>
      </w:r>
      <w:r w:rsidRPr="00CC4803">
        <w:rPr>
          <w:rStyle w:val="Strong"/>
          <w:color w:val="000000"/>
          <w:sz w:val="26"/>
          <w:szCs w:val="26"/>
        </w:rPr>
        <w:t>KHÓ KHĂN, VƯỚNG MẮC DO QUY ĐỊNH PHÁP LUẬT</w:t>
      </w:r>
    </w:p>
    <w:p w14:paraId="4CBC287F" w14:textId="77777777" w:rsidR="004073D8" w:rsidRPr="00CC4803" w:rsidRDefault="004073D8" w:rsidP="004073D8">
      <w:pPr>
        <w:pStyle w:val="NormalWeb"/>
        <w:spacing w:before="0" w:beforeAutospacing="0" w:after="0" w:afterAutospacing="0"/>
        <w:jc w:val="center"/>
        <w:rPr>
          <w:sz w:val="26"/>
          <w:szCs w:val="26"/>
        </w:rPr>
      </w:pPr>
      <w:r w:rsidRPr="00CC4803">
        <w:rPr>
          <w:rStyle w:val="Strong"/>
          <w:color w:val="000000"/>
          <w:sz w:val="26"/>
          <w:szCs w:val="26"/>
        </w:rPr>
        <w:t>THUỘC PHẠM VI PHỤ TRÁCH CỦA BỘ</w:t>
      </w:r>
      <w:r>
        <w:rPr>
          <w:rStyle w:val="Strong"/>
          <w:color w:val="000000"/>
          <w:sz w:val="26"/>
          <w:szCs w:val="26"/>
        </w:rPr>
        <w:t xml:space="preserve"> TƯ PHÁP</w:t>
      </w:r>
    </w:p>
    <w:p w14:paraId="696A6015" w14:textId="77777777" w:rsidR="004073D8" w:rsidRDefault="004073D8" w:rsidP="004073D8">
      <w:pPr>
        <w:pStyle w:val="NormalWeb"/>
        <w:spacing w:before="0" w:beforeAutospacing="0" w:after="0" w:afterAutospacing="0"/>
        <w:jc w:val="center"/>
        <w:rPr>
          <w:b/>
          <w:bCs/>
          <w:sz w:val="26"/>
          <w:szCs w:val="26"/>
        </w:rPr>
      </w:pPr>
      <w:r w:rsidRPr="00CC4803">
        <w:rPr>
          <w:rStyle w:val="Strong"/>
          <w:color w:val="000000"/>
          <w:sz w:val="26"/>
          <w:szCs w:val="26"/>
        </w:rPr>
        <w:t xml:space="preserve">Tiêu chí: </w:t>
      </w:r>
      <w:r w:rsidRPr="00CC4803">
        <w:rPr>
          <w:b/>
          <w:bCs/>
          <w:sz w:val="26"/>
          <w:szCs w:val="26"/>
        </w:rPr>
        <w:t xml:space="preserve">Nội dung quyđịnh được phản ánh tạo gánh nặng chi phí tuân thủ; chưa có quy định </w:t>
      </w:r>
    </w:p>
    <w:p w14:paraId="30F4FE90" w14:textId="77777777" w:rsidR="004073D8" w:rsidRDefault="004073D8" w:rsidP="004073D8">
      <w:pPr>
        <w:pStyle w:val="NormalWeb"/>
        <w:spacing w:before="0" w:beforeAutospacing="0" w:after="0" w:afterAutospacing="0"/>
        <w:jc w:val="center"/>
        <w:rPr>
          <w:b/>
          <w:bCs/>
          <w:sz w:val="26"/>
          <w:szCs w:val="26"/>
        </w:rPr>
      </w:pPr>
      <w:r w:rsidRPr="00CC4803">
        <w:rPr>
          <w:b/>
          <w:bCs/>
          <w:sz w:val="26"/>
          <w:szCs w:val="26"/>
        </w:rPr>
        <w:t xml:space="preserve">hoặc có quy định của VBQPPL nhưng hạn chế việc đổi mới sáng tạo, phát triển động lực tăng trưởng mới, </w:t>
      </w:r>
    </w:p>
    <w:p w14:paraId="41D6BA98" w14:textId="77777777" w:rsidR="004073D8" w:rsidRPr="00CC4803" w:rsidRDefault="004073D8" w:rsidP="004073D8">
      <w:pPr>
        <w:pStyle w:val="NormalWeb"/>
        <w:spacing w:before="0" w:beforeAutospacing="0" w:after="0" w:afterAutospacing="0"/>
        <w:jc w:val="center"/>
        <w:rPr>
          <w:rStyle w:val="Strong"/>
          <w:sz w:val="26"/>
          <w:szCs w:val="26"/>
        </w:rPr>
      </w:pPr>
      <w:r w:rsidRPr="00CC4803">
        <w:rPr>
          <w:b/>
          <w:bCs/>
          <w:sz w:val="26"/>
          <w:szCs w:val="26"/>
        </w:rPr>
        <w:t>khơi thông nguồn lực, thúc đẩy tăng trưởng kinh tế và hội nhập quốc tế</w:t>
      </w:r>
    </w:p>
    <w:p w14:paraId="65C142B7" w14:textId="77777777" w:rsidR="004073D8" w:rsidRDefault="004073D8" w:rsidP="004073D8">
      <w:pPr>
        <w:pStyle w:val="NormalWeb"/>
        <w:spacing w:before="0" w:beforeAutospacing="0" w:after="0" w:afterAutospacing="0"/>
        <w:jc w:val="center"/>
        <w:rPr>
          <w:b/>
          <w:sz w:val="26"/>
          <w:szCs w:val="26"/>
        </w:rPr>
      </w:pPr>
      <w:r w:rsidRPr="00CC4803">
        <w:rPr>
          <w:rStyle w:val="Strong"/>
          <w:color w:val="000000"/>
          <w:sz w:val="26"/>
          <w:szCs w:val="26"/>
        </w:rPr>
        <w:t xml:space="preserve">Nhóm B. </w:t>
      </w:r>
      <w:r w:rsidRPr="00CC4803">
        <w:rPr>
          <w:b/>
          <w:sz w:val="26"/>
          <w:szCs w:val="26"/>
        </w:rPr>
        <w:t xml:space="preserve">Nhóm các nội dung cho ý kiến nhất trí nhưng không áp dụng phương án, quy trình xử lý </w:t>
      </w:r>
    </w:p>
    <w:p w14:paraId="42295D18" w14:textId="77777777" w:rsidR="004073D8" w:rsidRDefault="004073D8" w:rsidP="004073D8">
      <w:pPr>
        <w:pStyle w:val="NormalWeb"/>
        <w:spacing w:before="0" w:beforeAutospacing="0" w:after="0" w:afterAutospacing="0"/>
        <w:jc w:val="center"/>
        <w:rPr>
          <w:b/>
          <w:sz w:val="26"/>
          <w:szCs w:val="26"/>
        </w:rPr>
      </w:pPr>
      <w:r w:rsidRPr="00CC4803">
        <w:rPr>
          <w:b/>
          <w:sz w:val="26"/>
          <w:szCs w:val="26"/>
        </w:rPr>
        <w:t>nêu tại khoản 1 Điều 4</w:t>
      </w:r>
      <w:r>
        <w:rPr>
          <w:b/>
          <w:sz w:val="26"/>
          <w:szCs w:val="26"/>
          <w:lang w:val="vi-VN"/>
        </w:rPr>
        <w:t xml:space="preserve"> </w:t>
      </w:r>
      <w:r w:rsidRPr="00CC4803">
        <w:rPr>
          <w:b/>
          <w:sz w:val="26"/>
          <w:szCs w:val="26"/>
        </w:rPr>
        <w:t xml:space="preserve">Nghị </w:t>
      </w:r>
      <w:r>
        <w:rPr>
          <w:b/>
          <w:sz w:val="26"/>
          <w:szCs w:val="26"/>
        </w:rPr>
        <w:t>Q</w:t>
      </w:r>
      <w:r w:rsidRPr="00CC4803">
        <w:rPr>
          <w:b/>
          <w:sz w:val="26"/>
          <w:szCs w:val="26"/>
        </w:rPr>
        <w:t>uyết số 206/2025/QH15 (xử lý theo quy trình thông thường)</w:t>
      </w:r>
    </w:p>
    <w:p w14:paraId="47E529CD" w14:textId="1B92A11D" w:rsidR="004073D8" w:rsidRPr="004A29D8" w:rsidRDefault="004073D8" w:rsidP="004073D8">
      <w:pPr>
        <w:pStyle w:val="NormalWeb"/>
        <w:spacing w:before="0" w:beforeAutospacing="0" w:after="0" w:afterAutospacing="0"/>
        <w:jc w:val="center"/>
        <w:rPr>
          <w:b/>
          <w:bCs/>
          <w:color w:val="000000"/>
          <w:sz w:val="26"/>
          <w:szCs w:val="26"/>
        </w:rPr>
      </w:pPr>
    </w:p>
    <w:tbl>
      <w:tblPr>
        <w:tblStyle w:val="TableGrid"/>
        <w:tblW w:w="15423" w:type="dxa"/>
        <w:tblInd w:w="-289" w:type="dxa"/>
        <w:tblLook w:val="04A0" w:firstRow="1" w:lastRow="0" w:firstColumn="1" w:lastColumn="0" w:noHBand="0" w:noVBand="1"/>
      </w:tblPr>
      <w:tblGrid>
        <w:gridCol w:w="736"/>
        <w:gridCol w:w="2013"/>
        <w:gridCol w:w="4269"/>
        <w:gridCol w:w="1968"/>
        <w:gridCol w:w="1597"/>
        <w:gridCol w:w="2368"/>
        <w:gridCol w:w="2472"/>
      </w:tblGrid>
      <w:tr w:rsidR="004073D8" w:rsidRPr="002C357E" w14:paraId="189DBD4E" w14:textId="77777777" w:rsidTr="00390812">
        <w:trPr>
          <w:trHeight w:val="992"/>
          <w:tblHeader/>
        </w:trPr>
        <w:tc>
          <w:tcPr>
            <w:tcW w:w="736" w:type="dxa"/>
            <w:shd w:val="clear" w:color="auto" w:fill="F7CAAC" w:themeFill="accent2" w:themeFillTint="66"/>
            <w:vAlign w:val="center"/>
          </w:tcPr>
          <w:p w14:paraId="3D816D46" w14:textId="77777777" w:rsidR="004073D8" w:rsidRPr="002C357E" w:rsidRDefault="004073D8" w:rsidP="00CF1EAE">
            <w:pPr>
              <w:jc w:val="center"/>
              <w:rPr>
                <w:rFonts w:ascii="Times New Roman" w:hAnsi="Times New Roman" w:cs="Times New Roman"/>
                <w:b/>
                <w:sz w:val="24"/>
                <w:szCs w:val="24"/>
              </w:rPr>
            </w:pPr>
            <w:r w:rsidRPr="002C357E">
              <w:rPr>
                <w:rFonts w:ascii="Times New Roman" w:hAnsi="Times New Roman" w:cs="Times New Roman"/>
                <w:b/>
                <w:sz w:val="24"/>
                <w:szCs w:val="24"/>
              </w:rPr>
              <w:t>STT</w:t>
            </w:r>
          </w:p>
        </w:tc>
        <w:tc>
          <w:tcPr>
            <w:tcW w:w="2013" w:type="dxa"/>
            <w:shd w:val="clear" w:color="auto" w:fill="F7CAAC" w:themeFill="accent2" w:themeFillTint="66"/>
            <w:vAlign w:val="center"/>
          </w:tcPr>
          <w:p w14:paraId="2949DB11" w14:textId="77777777" w:rsidR="004073D8" w:rsidRPr="002C357E" w:rsidRDefault="004073D8" w:rsidP="00CF1EAE">
            <w:pPr>
              <w:jc w:val="center"/>
              <w:rPr>
                <w:rFonts w:ascii="Times New Roman" w:hAnsi="Times New Roman" w:cs="Times New Roman"/>
                <w:b/>
                <w:sz w:val="24"/>
                <w:szCs w:val="24"/>
              </w:rPr>
            </w:pPr>
            <w:r w:rsidRPr="002C357E">
              <w:rPr>
                <w:rFonts w:ascii="Times New Roman" w:eastAsia="Times New Roman" w:hAnsi="Times New Roman" w:cs="Times New Roman"/>
                <w:b/>
                <w:bCs/>
                <w:color w:val="000000"/>
                <w:sz w:val="24"/>
                <w:szCs w:val="24"/>
              </w:rPr>
              <w:t>Điều, khoản, điểm, tên văn bản đề xuất xử lý</w:t>
            </w:r>
          </w:p>
        </w:tc>
        <w:tc>
          <w:tcPr>
            <w:tcW w:w="4269" w:type="dxa"/>
            <w:shd w:val="clear" w:color="auto" w:fill="F7CAAC" w:themeFill="accent2" w:themeFillTint="66"/>
            <w:vAlign w:val="center"/>
          </w:tcPr>
          <w:p w14:paraId="07D72B92" w14:textId="6AC815AF" w:rsidR="004073D8" w:rsidRPr="002C357E" w:rsidRDefault="004073D8" w:rsidP="00390812">
            <w:pPr>
              <w:pStyle w:val="NormalWeb"/>
              <w:spacing w:before="0" w:beforeAutospacing="0" w:after="0" w:afterAutospacing="0"/>
              <w:jc w:val="center"/>
              <w:rPr>
                <w:b/>
                <w:bCs/>
              </w:rPr>
            </w:pPr>
            <w:r w:rsidRPr="002C357E">
              <w:rPr>
                <w:b/>
                <w:bCs/>
              </w:rPr>
              <w:t>Nội dung quyđịnh được phản ánh tạo gánh nặng chi phí tuân thủ; chưa có quy định hoặc có quy định của VBQPPL nhưng hạn chế việc đổi mới sáng tạo, phát triển động lực tăng trưởng mới, khơi thông nguồn lực, thúc đẩy tăng trưởng kinh tế và hội nhập quốc tế</w:t>
            </w:r>
          </w:p>
        </w:tc>
        <w:tc>
          <w:tcPr>
            <w:tcW w:w="1968" w:type="dxa"/>
            <w:shd w:val="clear" w:color="auto" w:fill="F7CAAC" w:themeFill="accent2" w:themeFillTint="66"/>
            <w:vAlign w:val="center"/>
          </w:tcPr>
          <w:p w14:paraId="64AF249A" w14:textId="77777777" w:rsidR="004073D8" w:rsidRPr="002C357E" w:rsidRDefault="004073D8" w:rsidP="00CF1EAE">
            <w:pPr>
              <w:jc w:val="center"/>
              <w:rPr>
                <w:rFonts w:ascii="Times New Roman" w:hAnsi="Times New Roman" w:cs="Times New Roman"/>
                <w:b/>
                <w:sz w:val="24"/>
                <w:szCs w:val="24"/>
              </w:rPr>
            </w:pPr>
            <w:r w:rsidRPr="002C357E">
              <w:rPr>
                <w:rFonts w:ascii="Times New Roman" w:eastAsia="Times New Roman" w:hAnsi="Times New Roman" w:cs="Times New Roman"/>
                <w:b/>
                <w:bCs/>
                <w:color w:val="000000"/>
                <w:sz w:val="24"/>
                <w:szCs w:val="24"/>
              </w:rPr>
              <w:t>Phương án xử lý được đề xuất</w:t>
            </w:r>
          </w:p>
        </w:tc>
        <w:tc>
          <w:tcPr>
            <w:tcW w:w="1597" w:type="dxa"/>
            <w:shd w:val="clear" w:color="auto" w:fill="F7CAAC" w:themeFill="accent2" w:themeFillTint="66"/>
            <w:vAlign w:val="center"/>
          </w:tcPr>
          <w:p w14:paraId="2E1C1A5D" w14:textId="77777777" w:rsidR="004073D8" w:rsidRPr="002C357E" w:rsidRDefault="004073D8" w:rsidP="00CF1EAE">
            <w:pPr>
              <w:jc w:val="center"/>
              <w:rPr>
                <w:rFonts w:ascii="Times New Roman" w:eastAsia="Times New Roman" w:hAnsi="Times New Roman" w:cs="Times New Roman"/>
                <w:b/>
                <w:bCs/>
                <w:color w:val="000000"/>
                <w:sz w:val="24"/>
                <w:szCs w:val="24"/>
              </w:rPr>
            </w:pPr>
            <w:r w:rsidRPr="002C357E">
              <w:rPr>
                <w:rFonts w:ascii="Times New Roman" w:eastAsia="Times New Roman" w:hAnsi="Times New Roman" w:cs="Times New Roman"/>
                <w:b/>
                <w:bCs/>
                <w:color w:val="000000"/>
                <w:sz w:val="24"/>
                <w:szCs w:val="24"/>
              </w:rPr>
              <w:t xml:space="preserve">Cơ quan, </w:t>
            </w:r>
          </w:p>
          <w:p w14:paraId="3C900F09" w14:textId="4D7F2EC6" w:rsidR="004073D8" w:rsidRPr="002C357E" w:rsidRDefault="004073D8" w:rsidP="00390812">
            <w:pPr>
              <w:jc w:val="center"/>
              <w:rPr>
                <w:rFonts w:ascii="Times New Roman" w:eastAsia="Times New Roman" w:hAnsi="Times New Roman" w:cs="Times New Roman"/>
                <w:b/>
                <w:bCs/>
                <w:color w:val="000000"/>
                <w:sz w:val="24"/>
                <w:szCs w:val="24"/>
              </w:rPr>
            </w:pPr>
            <w:r w:rsidRPr="002C357E">
              <w:rPr>
                <w:rFonts w:ascii="Times New Roman" w:eastAsia="Times New Roman" w:hAnsi="Times New Roman" w:cs="Times New Roman"/>
                <w:b/>
                <w:bCs/>
                <w:color w:val="000000"/>
                <w:sz w:val="24"/>
                <w:szCs w:val="24"/>
              </w:rPr>
              <w:t>tổ chức rà soát, phản ánh</w:t>
            </w:r>
          </w:p>
        </w:tc>
        <w:tc>
          <w:tcPr>
            <w:tcW w:w="2368" w:type="dxa"/>
            <w:shd w:val="clear" w:color="auto" w:fill="F7CAAC" w:themeFill="accent2" w:themeFillTint="66"/>
            <w:vAlign w:val="center"/>
          </w:tcPr>
          <w:p w14:paraId="213CF167" w14:textId="056C624B" w:rsidR="004073D8" w:rsidRPr="002C357E" w:rsidRDefault="004073D8" w:rsidP="00390812">
            <w:pPr>
              <w:jc w:val="center"/>
              <w:rPr>
                <w:rFonts w:ascii="Times New Roman" w:eastAsia="Times New Roman" w:hAnsi="Times New Roman" w:cs="Times New Roman"/>
                <w:b/>
                <w:bCs/>
                <w:color w:val="000000"/>
                <w:sz w:val="24"/>
                <w:szCs w:val="24"/>
              </w:rPr>
            </w:pPr>
            <w:r w:rsidRPr="002C357E">
              <w:rPr>
                <w:rFonts w:ascii="Times New Roman" w:eastAsia="Times New Roman" w:hAnsi="Times New Roman" w:cs="Times New Roman"/>
                <w:b/>
                <w:bCs/>
                <w:color w:val="000000"/>
                <w:sz w:val="24"/>
                <w:szCs w:val="24"/>
              </w:rPr>
              <w:t xml:space="preserve">Ý kiến của Bộ Tư pháp về nội dung kiến nghị, phản ánh </w:t>
            </w:r>
          </w:p>
        </w:tc>
        <w:tc>
          <w:tcPr>
            <w:tcW w:w="2472" w:type="dxa"/>
            <w:shd w:val="clear" w:color="auto" w:fill="F7CAAC" w:themeFill="accent2" w:themeFillTint="66"/>
            <w:vAlign w:val="center"/>
          </w:tcPr>
          <w:p w14:paraId="3A05B7B0" w14:textId="68BFAAD4" w:rsidR="004073D8" w:rsidRPr="002C357E" w:rsidRDefault="004073D8" w:rsidP="00390812">
            <w:pPr>
              <w:jc w:val="center"/>
              <w:rPr>
                <w:rFonts w:ascii="Times New Roman" w:hAnsi="Times New Roman" w:cs="Times New Roman"/>
                <w:sz w:val="24"/>
                <w:szCs w:val="24"/>
              </w:rPr>
            </w:pPr>
            <w:r w:rsidRPr="002C357E">
              <w:rPr>
                <w:rFonts w:ascii="Times New Roman" w:hAnsi="Times New Roman"/>
                <w:b/>
                <w:sz w:val="24"/>
                <w:szCs w:val="24"/>
              </w:rPr>
              <w:t xml:space="preserve">Tình hình </w:t>
            </w:r>
            <w:r w:rsidR="00986A00">
              <w:rPr>
                <w:rFonts w:ascii="Times New Roman" w:hAnsi="Times New Roman"/>
                <w:b/>
                <w:sz w:val="24"/>
                <w:szCs w:val="24"/>
              </w:rPr>
              <w:t>xử lý</w:t>
            </w:r>
          </w:p>
          <w:p w14:paraId="0864A86B" w14:textId="77777777" w:rsidR="004073D8" w:rsidRPr="002C357E" w:rsidRDefault="004073D8" w:rsidP="00CF1EAE">
            <w:pPr>
              <w:jc w:val="center"/>
              <w:rPr>
                <w:rFonts w:ascii="Times New Roman" w:eastAsia="Times New Roman" w:hAnsi="Times New Roman" w:cs="Times New Roman"/>
                <w:b/>
                <w:bCs/>
                <w:color w:val="000000"/>
                <w:sz w:val="24"/>
                <w:szCs w:val="24"/>
              </w:rPr>
            </w:pPr>
          </w:p>
        </w:tc>
      </w:tr>
      <w:tr w:rsidR="00390812" w:rsidRPr="002C357E" w14:paraId="33AECEAD" w14:textId="77777777" w:rsidTr="00CF1EAE">
        <w:tc>
          <w:tcPr>
            <w:tcW w:w="736" w:type="dxa"/>
          </w:tcPr>
          <w:p w14:paraId="76742828" w14:textId="77777777" w:rsidR="00390812" w:rsidRPr="002C357E" w:rsidRDefault="00390812" w:rsidP="00390812">
            <w:pPr>
              <w:pStyle w:val="ListParagraph"/>
              <w:numPr>
                <w:ilvl w:val="0"/>
                <w:numId w:val="8"/>
              </w:numPr>
              <w:jc w:val="center"/>
              <w:rPr>
                <w:rFonts w:ascii="Times New Roman" w:hAnsi="Times New Roman" w:cs="Times New Roman"/>
                <w:sz w:val="24"/>
                <w:szCs w:val="24"/>
              </w:rPr>
            </w:pPr>
          </w:p>
        </w:tc>
        <w:tc>
          <w:tcPr>
            <w:tcW w:w="2013" w:type="dxa"/>
          </w:tcPr>
          <w:p w14:paraId="61358A07" w14:textId="2EE10EEF"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Khoản 4 Điều 17 Luật Luật sư năm 2006 (sửa đổi, bổ sung năm 2012) và các văn bản có liên quan</w:t>
            </w:r>
          </w:p>
        </w:tc>
        <w:tc>
          <w:tcPr>
            <w:tcW w:w="4269" w:type="dxa"/>
          </w:tcPr>
          <w:p w14:paraId="5DFD265A"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Không có quy định về việc có cấm luật sư kiêm nhiệm hành nghề khác (Công chứng, thừa phát lại….). Như vậy chưa bảo đảm tính thống nhất với các quy định pháp luật khác: Điểm h khoản 1 Điều 9 Luật Công chứng năm 2024; khoản 3 Điều 4 Nghị định 82/2020/NĐ-CP ngày 08/01/2020. Tại Điều 14 Luật Công chứng năm 2024 lại cấm Công chứng viên làm luật sư. Do vậy cần sửa đổi Luật Luật sư để các Luật thống nhất với nhau</w:t>
            </w:r>
          </w:p>
        </w:tc>
        <w:tc>
          <w:tcPr>
            <w:tcW w:w="1968" w:type="dxa"/>
          </w:tcPr>
          <w:p w14:paraId="53B5358B"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C. Sửa đổi, bổ sung, thay thế, ban hành mới VBQPPL (theo trình tự, thủ tục rút gọn ban hành VBQPPL của Luật Ban hành VBQPPL)</w:t>
            </w:r>
          </w:p>
        </w:tc>
        <w:tc>
          <w:tcPr>
            <w:tcW w:w="1597" w:type="dxa"/>
          </w:tcPr>
          <w:p w14:paraId="69D3F015"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Sở Tư pháp thành phố Hà Nội, Sở Tư pháp tỉnh Bắc Ninh</w:t>
            </w:r>
          </w:p>
        </w:tc>
        <w:tc>
          <w:tcPr>
            <w:tcW w:w="2368" w:type="dxa"/>
          </w:tcPr>
          <w:p w14:paraId="02AE46A0" w14:textId="77777777" w:rsidR="00390812" w:rsidRPr="002C357E" w:rsidRDefault="00390812" w:rsidP="00390812">
            <w:pPr>
              <w:jc w:val="both"/>
              <w:rPr>
                <w:rFonts w:ascii="Times New Roman" w:eastAsia="Times New Roman" w:hAnsi="Times New Roman" w:cs="Times New Roman"/>
                <w:sz w:val="24"/>
                <w:szCs w:val="24"/>
              </w:rPr>
            </w:pPr>
            <w:r w:rsidRPr="002C357E">
              <w:rPr>
                <w:rFonts w:ascii="Times New Roman" w:eastAsia="Times New Roman" w:hAnsi="Times New Roman" w:cs="Times New Roman"/>
                <w:sz w:val="24"/>
                <w:szCs w:val="24"/>
              </w:rPr>
              <w:t>Nhất trí đề xuất. Bộ Tư pháp sẽ tổng hợp để nghiên cứu tham mưu sửa đổi, bổ sung Luật Luật sư trong thời gian tới. Dự kiến Luật Luật sư sẽ được sửa đổi, bổ sung trong năm 2026 theo thủ tục thông thường.</w:t>
            </w:r>
          </w:p>
          <w:p w14:paraId="72D8184D"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hAnsi="Times New Roman" w:cs="Times New Roman"/>
                <w:spacing w:val="3"/>
                <w:sz w:val="24"/>
                <w:szCs w:val="24"/>
                <w:shd w:val="clear" w:color="auto" w:fill="FFFFFF"/>
              </w:rPr>
              <w:t xml:space="preserve">Hiện nay, Bộ Tư pháp đang xây dựng Đề án luật sư công (sau khi được cấp có thẩm quyền phê duyệt sẽ cân nhắc thế chế hóa </w:t>
            </w:r>
            <w:r w:rsidRPr="002C357E">
              <w:rPr>
                <w:rFonts w:ascii="Times New Roman" w:hAnsi="Times New Roman" w:cs="Times New Roman"/>
                <w:spacing w:val="3"/>
                <w:sz w:val="24"/>
                <w:szCs w:val="24"/>
                <w:shd w:val="clear" w:color="auto" w:fill="FFFFFF"/>
              </w:rPr>
              <w:lastRenderedPageBreak/>
              <w:t>trong Luật Luật sư), sắp xếp lại bộ máy của hệ thống chính trị. Do vậy, dự án Luật Luật sư (sửa đổi) được đề xuất đưa vào Chương trình xây dựng luật, pháp lệnh năm 2026.</w:t>
            </w:r>
          </w:p>
        </w:tc>
        <w:tc>
          <w:tcPr>
            <w:tcW w:w="2472" w:type="dxa"/>
          </w:tcPr>
          <w:p w14:paraId="6CFA42D5" w14:textId="77777777" w:rsidR="00D32C19" w:rsidRPr="00D37D4B" w:rsidRDefault="00D32C19" w:rsidP="00390812">
            <w:pPr>
              <w:jc w:val="both"/>
              <w:rPr>
                <w:rFonts w:ascii="Times New Roman" w:hAnsi="Times New Roman" w:cs="Times New Roman"/>
                <w:b/>
                <w:sz w:val="24"/>
                <w:szCs w:val="24"/>
              </w:rPr>
            </w:pPr>
            <w:r w:rsidRPr="00D37D4B">
              <w:rPr>
                <w:rFonts w:ascii="Times New Roman" w:hAnsi="Times New Roman" w:cs="Times New Roman"/>
                <w:b/>
                <w:sz w:val="24"/>
                <w:szCs w:val="24"/>
              </w:rPr>
              <w:lastRenderedPageBreak/>
              <w:t>Đang xử lý</w:t>
            </w:r>
          </w:p>
          <w:p w14:paraId="67293A4F" w14:textId="18955FB9"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hAnsi="Times New Roman" w:cs="Times New Roman"/>
                <w:sz w:val="24"/>
                <w:szCs w:val="24"/>
              </w:rPr>
              <w:t>Ngày 26/8/2025, Chính phủ đã có Tờ trình số 724/TTr-CP trình Ủy ban Thường vụ Quốc hội, theo đó, đề xuất trình Quốc hội cho ý kiến và thông qua Luật Luật sư (sửa đổi) tại kỳ họp thứ hai, Quốc hội khoá XVI (tháng 10/2026).</w:t>
            </w:r>
          </w:p>
        </w:tc>
      </w:tr>
      <w:tr w:rsidR="00390812" w:rsidRPr="002C357E" w14:paraId="6868666E" w14:textId="77777777" w:rsidTr="00CF1EAE">
        <w:tc>
          <w:tcPr>
            <w:tcW w:w="736" w:type="dxa"/>
          </w:tcPr>
          <w:p w14:paraId="543BA4DA" w14:textId="77777777" w:rsidR="00390812" w:rsidRPr="002C357E" w:rsidRDefault="00390812" w:rsidP="00390812">
            <w:pPr>
              <w:pStyle w:val="ListParagraph"/>
              <w:numPr>
                <w:ilvl w:val="0"/>
                <w:numId w:val="8"/>
              </w:numPr>
              <w:jc w:val="center"/>
              <w:rPr>
                <w:rFonts w:ascii="Times New Roman" w:hAnsi="Times New Roman" w:cs="Times New Roman"/>
                <w:sz w:val="24"/>
                <w:szCs w:val="24"/>
              </w:rPr>
            </w:pPr>
          </w:p>
        </w:tc>
        <w:tc>
          <w:tcPr>
            <w:tcW w:w="2013" w:type="dxa"/>
          </w:tcPr>
          <w:p w14:paraId="0F302F84" w14:textId="197B1EEB"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Điều 41 Luật Luật sư năm 2006 (sửa đổi, bổ sung năm 2012) và các văn bản có liên quan</w:t>
            </w:r>
          </w:p>
        </w:tc>
        <w:tc>
          <w:tcPr>
            <w:tcW w:w="4269" w:type="dxa"/>
          </w:tcPr>
          <w:p w14:paraId="469B9925"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xml:space="preserve">Điều 41 Luật Luật sư năm 2006 chỉ quy định khi thay đổi nội dung đăng ký hoạt động của chi nhánh thì trong thời hạn mười ngày làm việc, kể từ ngày quyết định thay đổi, tổ chức hành nghề luật sư phải thông báo bằng văn bản cho Sở Tư pháp nơi cấp Giấy đăng ký hoạt động của chi nhánh và Đoàn luật sư ở địa phương nơi có trụ sở của chi nhánh. Luật chỉ quy định việc thông báo cho Sở Tư pháp mà không có quy định cụ thể về cách thức thực hiện. Điều này tạo ra những kẽ hở trong công tác quản lý nhà nước đối với hoạt động luật sư và hành nghề luật sư. Thực tế đã xảy ra thực trạng tổ chức hành nghề luật sư, chi nhánh của tổ chức hành nghề luật sư hành </w:t>
            </w:r>
            <w:r w:rsidRPr="002C357E">
              <w:rPr>
                <w:rFonts w:ascii="Times New Roman" w:eastAsia="Times New Roman" w:hAnsi="Times New Roman" w:cs="Times New Roman"/>
                <w:color w:val="000000"/>
                <w:sz w:val="24"/>
                <w:szCs w:val="24"/>
              </w:rPr>
              <w:lastRenderedPageBreak/>
              <w:t>nghề tại địa chỉ không đúng với nội dung đã đăng ký hoặc thay đổi.</w:t>
            </w:r>
          </w:p>
        </w:tc>
        <w:tc>
          <w:tcPr>
            <w:tcW w:w="1968" w:type="dxa"/>
          </w:tcPr>
          <w:p w14:paraId="5A4EF123"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lastRenderedPageBreak/>
              <w:t>C. Sửa đổi, bổ sung, thay thế, ban hành mới VBQPPL (theo trình tự, thủ tục rút gọn ban hành VBQPPL của Luật Ban hành VBQPPL)</w:t>
            </w:r>
          </w:p>
        </w:tc>
        <w:tc>
          <w:tcPr>
            <w:tcW w:w="1597" w:type="dxa"/>
          </w:tcPr>
          <w:p w14:paraId="2185BD9C"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Sở Tư pháp tỉnh Bắc Ninh</w:t>
            </w:r>
          </w:p>
        </w:tc>
        <w:tc>
          <w:tcPr>
            <w:tcW w:w="2368" w:type="dxa"/>
          </w:tcPr>
          <w:p w14:paraId="22C7C0BF" w14:textId="77777777" w:rsidR="00390812" w:rsidRPr="002C357E" w:rsidRDefault="00390812" w:rsidP="00390812">
            <w:pPr>
              <w:jc w:val="both"/>
              <w:rPr>
                <w:rFonts w:ascii="Times New Roman" w:eastAsia="Times New Roman" w:hAnsi="Times New Roman" w:cs="Times New Roman"/>
                <w:sz w:val="24"/>
                <w:szCs w:val="24"/>
              </w:rPr>
            </w:pPr>
            <w:r w:rsidRPr="002C357E">
              <w:rPr>
                <w:rFonts w:ascii="Times New Roman" w:eastAsia="Times New Roman" w:hAnsi="Times New Roman" w:cs="Times New Roman"/>
                <w:sz w:val="24"/>
                <w:szCs w:val="24"/>
              </w:rPr>
              <w:t>Nhất trí đề xuất. Bộ Tư pháp sẽ tổng hợp để nghiên cứu tham mưu sửa đổi, bổ sung Luật Luật sư trong thời gian tới. Dự kiến Luật Luật sư sẽ được sửa đổi, bổ sung trong năm 2026 theo thủ tục thông thường.</w:t>
            </w:r>
          </w:p>
          <w:p w14:paraId="25DAF877" w14:textId="4CDC0A15" w:rsidR="00390812" w:rsidRPr="002C357E" w:rsidRDefault="00390812" w:rsidP="00390812">
            <w:pPr>
              <w:jc w:val="both"/>
              <w:rPr>
                <w:rFonts w:ascii="Times New Roman" w:eastAsia="Times New Roman" w:hAnsi="Times New Roman" w:cs="Times New Roman"/>
                <w:sz w:val="24"/>
                <w:szCs w:val="24"/>
              </w:rPr>
            </w:pPr>
            <w:r w:rsidRPr="002C357E">
              <w:rPr>
                <w:rFonts w:ascii="Times New Roman" w:hAnsi="Times New Roman" w:cs="Times New Roman"/>
                <w:spacing w:val="3"/>
                <w:sz w:val="24"/>
                <w:szCs w:val="24"/>
                <w:shd w:val="clear" w:color="auto" w:fill="FFFFFF"/>
              </w:rPr>
              <w:t xml:space="preserve">Hiện nay, Bộ Tư pháp đang xây dựng Đề án luật sư công (sau khi được cấp có thẩm quyền phê duyệt sẽ cân nhắc thế chế hóa trong Luật Luật sư), </w:t>
            </w:r>
            <w:r w:rsidRPr="002C357E">
              <w:rPr>
                <w:rFonts w:ascii="Times New Roman" w:hAnsi="Times New Roman" w:cs="Times New Roman"/>
                <w:spacing w:val="3"/>
                <w:sz w:val="24"/>
                <w:szCs w:val="24"/>
                <w:shd w:val="clear" w:color="auto" w:fill="FFFFFF"/>
              </w:rPr>
              <w:lastRenderedPageBreak/>
              <w:t>sắp xếp lại bộ máy của hệ thống chính trị. Do vậy, dự án Luật Luật sư (sửa đổi) được đề xuất đưa vào Chương trình xây dựng luật, pháp lệnh năm 2026.</w:t>
            </w:r>
          </w:p>
        </w:tc>
        <w:tc>
          <w:tcPr>
            <w:tcW w:w="2472" w:type="dxa"/>
          </w:tcPr>
          <w:p w14:paraId="10671289" w14:textId="77777777" w:rsidR="00D32C19" w:rsidRPr="00D37D4B" w:rsidRDefault="00D32C19" w:rsidP="00390812">
            <w:pPr>
              <w:jc w:val="both"/>
              <w:rPr>
                <w:rFonts w:ascii="Times New Roman" w:hAnsi="Times New Roman" w:cs="Times New Roman"/>
                <w:b/>
                <w:sz w:val="24"/>
                <w:szCs w:val="24"/>
              </w:rPr>
            </w:pPr>
            <w:r w:rsidRPr="00D37D4B">
              <w:rPr>
                <w:rFonts w:ascii="Times New Roman" w:hAnsi="Times New Roman" w:cs="Times New Roman"/>
                <w:b/>
                <w:sz w:val="24"/>
                <w:szCs w:val="24"/>
              </w:rPr>
              <w:lastRenderedPageBreak/>
              <w:t>Đang xử lý</w:t>
            </w:r>
          </w:p>
          <w:p w14:paraId="5C7AA713" w14:textId="289D9920"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hAnsi="Times New Roman" w:cs="Times New Roman"/>
                <w:sz w:val="24"/>
                <w:szCs w:val="24"/>
              </w:rPr>
              <w:t>Ngày 26/8/2025, Chính phủ đã có Tờ trình số 724/TTr-CP trình Ủy ban Thường vụ Quốc hội, theo đó, đề xuất trình Quốc hội cho ý kiến và thông qua Luật Luật sư (sửa đổi) tại kỳ họp thứ hai, Quốc hội khoá XVI (tháng 10/2026).</w:t>
            </w:r>
          </w:p>
        </w:tc>
      </w:tr>
      <w:tr w:rsidR="00390812" w:rsidRPr="002C357E" w14:paraId="7245FB7C" w14:textId="77777777" w:rsidTr="00CF1EAE">
        <w:tc>
          <w:tcPr>
            <w:tcW w:w="736" w:type="dxa"/>
          </w:tcPr>
          <w:p w14:paraId="082E84B2" w14:textId="77777777" w:rsidR="00390812" w:rsidRPr="002C357E" w:rsidRDefault="00390812" w:rsidP="00390812">
            <w:pPr>
              <w:pStyle w:val="ListParagraph"/>
              <w:numPr>
                <w:ilvl w:val="0"/>
                <w:numId w:val="8"/>
              </w:numPr>
              <w:jc w:val="center"/>
              <w:rPr>
                <w:rFonts w:ascii="Times New Roman" w:hAnsi="Times New Roman" w:cs="Times New Roman"/>
                <w:sz w:val="24"/>
                <w:szCs w:val="24"/>
              </w:rPr>
            </w:pPr>
          </w:p>
        </w:tc>
        <w:tc>
          <w:tcPr>
            <w:tcW w:w="2013" w:type="dxa"/>
          </w:tcPr>
          <w:p w14:paraId="7BA5685E"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Điều 85, Điều 89 Luật Luật sư năm 2006 (sửa đổi, bổ sung năm 2012) và các văn bản có liên quan</w:t>
            </w:r>
          </w:p>
        </w:tc>
        <w:tc>
          <w:tcPr>
            <w:tcW w:w="4269" w:type="dxa"/>
          </w:tcPr>
          <w:p w14:paraId="13A1D7D6"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xml:space="preserve">Điều 85, Điều 89 Luật Luật sư quy định về xử lý kỷ luật đối với luật sư, quy định về xử lý vi phạm đối với luật sư; khoản 2 Điều 42 Điều lệ Liên đoàn Luật sư Việt Nam (phê duyệt bởi Quyết định số 856/QĐ-TTg ngày 19/7/2022 của Thủ tướng Chính phủ) quy định về kỷ luật đối với luật sư, người tập sự hành nghề luật sư trong đó quy định: “Trường hợp luật sư bị xem xét kỷ luật là thành viên Ban Chủ nhiệm, thành viên Hội đồng khen thưởng, kỷ luật của Đoàn Luật sư thì không được tham gia với tư cách là thành viên Ban Chủ nhiệm, thành viên Hội đồng khen thưởng, kỷ luật của Đoàn Luật sư khi xem xét kỷ luật đối với mình”. Tuy nhiên, Luật Luật sư và các văn bản có liên quan (Nghị định số 123/2013/NĐ-CP ngày 14/10/2013 của Chính phủ quy định chi </w:t>
            </w:r>
            <w:r w:rsidRPr="002C357E">
              <w:rPr>
                <w:rFonts w:ascii="Times New Roman" w:eastAsia="Times New Roman" w:hAnsi="Times New Roman" w:cs="Times New Roman"/>
                <w:color w:val="000000"/>
                <w:sz w:val="24"/>
                <w:szCs w:val="24"/>
              </w:rPr>
              <w:lastRenderedPageBreak/>
              <w:t>tiết một số điều và biện pháp thi hành Luật Luật sư (sửa đổi, bổ sung bởi Nghị định số 137/2018/NĐ-CP ngày 08/10/2018 của Chính phủ); Thông tư số 05/2021/TT-BTP ngày 24/6/2021 của Bộ trưởng Bộ Tư pháp Hướng dẫn một số điều và biện pháp thi hành Luật Luật sư, Nghị định quy định chi tiết một số điều và biện pháp thi hành Luật Luật sư; Điều lệ Liên đoàn Luật sư Việt Nam; Bộ Quy tắc Đạo đức và Ứng xử nghề nghiệp Luật sư Việt Nam (hành kèm theo Quyết định 201/QĐ-HĐLSTQ ngày 13/12/2019 của Hội đồng Luật sư toàn quốc); Quyết định số 50/QĐ-HĐLSTQ ngày 08/3/2023 của Hội đồng luật sư toàn quốc Ban hành quy chế giải quyết khiếu nại, tố cáo, xử lý kỷ luật) không có quy định trong trường hợp toàn bộ thành viên Ban chủ nhiệm Đoàn luật sư có hành vi phạm tới mức phải xử lý kỷ luật. Trong đó, trên thực tế đã phát sinh trường hợp toàn bộ thành viên Ban chủ nhiệm Đoàn luật sư có hành vi phạm tới mức phải xử lý kỷ luật.</w:t>
            </w:r>
          </w:p>
        </w:tc>
        <w:tc>
          <w:tcPr>
            <w:tcW w:w="1968" w:type="dxa"/>
          </w:tcPr>
          <w:p w14:paraId="42E1DF9E"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lastRenderedPageBreak/>
              <w:t>C. Sửa đổi, bổ sung, thay thế, ban hành mới VBQPPL (theo trình tự, thủ tục rút gọn ban hành VBQPPL của Luật Ban hành VBQPPL)</w:t>
            </w:r>
          </w:p>
        </w:tc>
        <w:tc>
          <w:tcPr>
            <w:tcW w:w="1597" w:type="dxa"/>
          </w:tcPr>
          <w:p w14:paraId="6E4C970C"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Sở Tư pháp tỉnh Bắc Ninh</w:t>
            </w:r>
          </w:p>
        </w:tc>
        <w:tc>
          <w:tcPr>
            <w:tcW w:w="2368" w:type="dxa"/>
          </w:tcPr>
          <w:p w14:paraId="0B4BA1B9" w14:textId="77777777" w:rsidR="00390812" w:rsidRPr="002C357E" w:rsidRDefault="00390812" w:rsidP="00390812">
            <w:pPr>
              <w:jc w:val="both"/>
              <w:rPr>
                <w:rFonts w:ascii="Times New Roman" w:eastAsia="Times New Roman" w:hAnsi="Times New Roman" w:cs="Times New Roman"/>
                <w:sz w:val="24"/>
                <w:szCs w:val="24"/>
              </w:rPr>
            </w:pPr>
            <w:r w:rsidRPr="002C357E">
              <w:rPr>
                <w:rFonts w:ascii="Times New Roman" w:eastAsia="Times New Roman" w:hAnsi="Times New Roman" w:cs="Times New Roman"/>
                <w:sz w:val="24"/>
                <w:szCs w:val="24"/>
              </w:rPr>
              <w:t>Nhất trí đề xuất. Bộ Tư pháp sẽ tổng hợp để nghiên cứu tham mưu sửa đổi, bổ sung Luật Luật sư trong thời gian tới. Dự kiến Luật Luật sư sẽ được sửa đổi, bổ sung trong năm 2026 theo thủ tục thông thường.</w:t>
            </w:r>
          </w:p>
          <w:p w14:paraId="6F87DB25"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hAnsi="Times New Roman" w:cs="Times New Roman"/>
                <w:spacing w:val="3"/>
                <w:sz w:val="24"/>
                <w:szCs w:val="24"/>
                <w:shd w:val="clear" w:color="auto" w:fill="FFFFFF"/>
              </w:rPr>
              <w:t xml:space="preserve">Hiện nay, Bộ Tư pháp đang xây dựng Đề án luật sư công (sau khi được cấp có thẩm quyền phê duyệt sẽ cân nhắc thế chế hóa trong Luật Luật sư), sắp xếp lại bộ máy </w:t>
            </w:r>
            <w:r w:rsidRPr="002C357E">
              <w:rPr>
                <w:rFonts w:ascii="Times New Roman" w:hAnsi="Times New Roman" w:cs="Times New Roman"/>
                <w:spacing w:val="3"/>
                <w:sz w:val="24"/>
                <w:szCs w:val="24"/>
                <w:shd w:val="clear" w:color="auto" w:fill="FFFFFF"/>
              </w:rPr>
              <w:lastRenderedPageBreak/>
              <w:t>của hệ thống chính trị. Do vậy, dự án Luật Luật sư (sửa đổi) được đề xuất đưa vào Chương trình xây dựng luật, pháp lệnh năm 2026.</w:t>
            </w:r>
          </w:p>
        </w:tc>
        <w:tc>
          <w:tcPr>
            <w:tcW w:w="2472" w:type="dxa"/>
          </w:tcPr>
          <w:p w14:paraId="2E2A7AFF" w14:textId="77777777" w:rsidR="00D32C19" w:rsidRPr="00D37D4B" w:rsidRDefault="00D32C19" w:rsidP="00390812">
            <w:pPr>
              <w:jc w:val="both"/>
              <w:rPr>
                <w:rFonts w:ascii="Times New Roman" w:hAnsi="Times New Roman" w:cs="Times New Roman"/>
                <w:b/>
                <w:sz w:val="24"/>
                <w:szCs w:val="24"/>
              </w:rPr>
            </w:pPr>
            <w:r w:rsidRPr="00D37D4B">
              <w:rPr>
                <w:rFonts w:ascii="Times New Roman" w:hAnsi="Times New Roman" w:cs="Times New Roman"/>
                <w:b/>
                <w:sz w:val="24"/>
                <w:szCs w:val="24"/>
              </w:rPr>
              <w:lastRenderedPageBreak/>
              <w:t>Đang xử lý</w:t>
            </w:r>
          </w:p>
          <w:p w14:paraId="49EF0956" w14:textId="790A6123"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hAnsi="Times New Roman" w:cs="Times New Roman"/>
                <w:sz w:val="24"/>
                <w:szCs w:val="24"/>
              </w:rPr>
              <w:t>Ngày 26/8/2025, Chính phủ đã có Tờ trình số 724/TTr-CP trình Ủy ban Thường vụ Quốc hội, theo đó, đề xuất trình Quốc hội cho ý kiến và thông qua Luật Luật sư (sửa đổi) tại kỳ họp thứ hai, Quốc hội khoá XVI (tháng 10/2026).</w:t>
            </w:r>
          </w:p>
        </w:tc>
      </w:tr>
      <w:tr w:rsidR="00390812" w:rsidRPr="002C357E" w14:paraId="49B49E3C" w14:textId="77777777" w:rsidTr="00CF1EAE">
        <w:tc>
          <w:tcPr>
            <w:tcW w:w="736" w:type="dxa"/>
          </w:tcPr>
          <w:p w14:paraId="01CDBCB0" w14:textId="77777777" w:rsidR="00390812" w:rsidRPr="002C357E" w:rsidRDefault="00390812" w:rsidP="00390812">
            <w:pPr>
              <w:pStyle w:val="ListParagraph"/>
              <w:numPr>
                <w:ilvl w:val="0"/>
                <w:numId w:val="8"/>
              </w:numPr>
              <w:jc w:val="center"/>
              <w:rPr>
                <w:rFonts w:ascii="Times New Roman" w:hAnsi="Times New Roman" w:cs="Times New Roman"/>
                <w:sz w:val="24"/>
                <w:szCs w:val="24"/>
              </w:rPr>
            </w:pPr>
          </w:p>
        </w:tc>
        <w:tc>
          <w:tcPr>
            <w:tcW w:w="2013" w:type="dxa"/>
          </w:tcPr>
          <w:p w14:paraId="4CCC4A22"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Điều 25 Luật Nuôi con nuôi năm 2010</w:t>
            </w:r>
          </w:p>
        </w:tc>
        <w:tc>
          <w:tcPr>
            <w:tcW w:w="4269" w:type="dxa"/>
          </w:tcPr>
          <w:p w14:paraId="5444DBE9" w14:textId="77777777" w:rsidR="00390812" w:rsidRPr="002C357E" w:rsidRDefault="00390812" w:rsidP="00390812">
            <w:pPr>
              <w:jc w:val="both"/>
              <w:rPr>
                <w:rFonts w:ascii="Times New Roman" w:eastAsia="Times New Roman" w:hAnsi="Times New Roman" w:cs="Times New Roman"/>
                <w:color w:val="000000"/>
                <w:spacing w:val="-2"/>
                <w:sz w:val="24"/>
                <w:szCs w:val="24"/>
              </w:rPr>
            </w:pPr>
            <w:r w:rsidRPr="002C357E">
              <w:rPr>
                <w:rFonts w:ascii="Times New Roman" w:eastAsia="Times New Roman" w:hAnsi="Times New Roman" w:cs="Times New Roman"/>
                <w:color w:val="000000"/>
                <w:spacing w:val="-2"/>
                <w:sz w:val="24"/>
                <w:szCs w:val="24"/>
              </w:rPr>
              <w:t xml:space="preserve">Điều 25 Luật Nuôi con nuôi quy định: Việc nuôi con nuôi có thể bị chấm dứt trong các trường hợp sau đây: (1) Con nuôi đã thành niên và cha mẹ nuôi tự nguyện chấm dứt việc nuôi con nuôi; (2) Con nuôi bị kết án về một trong các tội cố ý xâm phạm tính mạng, sức khỏe, nhân phẩm, danh dự của cha mẹ nuôi; ngược đãi, hành hạ cha mẹ nuôi hoặc con nuôi có hành vi phá tán tài sản của cha mẹ nuôi; (3) Cha mẹ nuôi bị kết án về một trong các tội cố ý xâm phạm tính mạng, sức khỏe, nhân phẩm, danh dự của con nuôi; ngược đãi, hành hạ con nuôi; (4) Vi phạm quy định tại Điều 13 của Luật Nuôi con nuôi.Việc quy định các trường hợp chấm dứt nuôi con nuôi được trích dẫn nêu trên là chưa đầy đủ vì còn có trường hợp không may khi cha mẹ nuôi không còn đủ điều kiện nuôi dưỡng hoặc chết, có người khác muốn nhận người chưa thành niên làm con nuôi nhưng cơ quan có thẩm quyền không thể đăng ký nuôi con nuôi cho người khác đủ điều kiện nhận nuôi con nuôi vì quan hệ nuôi con nuôi đã xác lập trước đây không thuộc các trường hợp được chấm dứt quan hệ nuôi con nuôi theo quy định </w:t>
            </w:r>
            <w:r w:rsidRPr="002C357E">
              <w:rPr>
                <w:rFonts w:ascii="Times New Roman" w:eastAsia="Times New Roman" w:hAnsi="Times New Roman" w:cs="Times New Roman"/>
                <w:color w:val="000000"/>
                <w:spacing w:val="-2"/>
                <w:sz w:val="24"/>
                <w:szCs w:val="24"/>
              </w:rPr>
              <w:lastRenderedPageBreak/>
              <w:t>của pháp luật. Như vậy sẽ không bảo đảm được mục đích của việc nuôi con nuôi (Điều 2 Luật Nuôi con nuôi) vì lợi ích tốt nhất của người được nhận làm con nuôi, bảo đảm cho con nuôi được nuôi dưỡng, chăm sóc, giáo dục trong môi trường gia đình.</w:t>
            </w:r>
          </w:p>
        </w:tc>
        <w:tc>
          <w:tcPr>
            <w:tcW w:w="1968" w:type="dxa"/>
          </w:tcPr>
          <w:p w14:paraId="70B55727"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lastRenderedPageBreak/>
              <w:t>C. Sửa đổi, bổ sung, thay thế, ban hành mới VBQPPL (theo trình tự, thủ tục rút gọn ban hành VBQPPL của Luật Ban hành VBQPPL)</w:t>
            </w:r>
          </w:p>
        </w:tc>
        <w:tc>
          <w:tcPr>
            <w:tcW w:w="1597" w:type="dxa"/>
          </w:tcPr>
          <w:p w14:paraId="77DD6761"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Sở Tư pháp tỉnh Đồng Nai, Sở Tư pháp thành phố Huế, Sở Tư pháp tỉnh Sơn La</w:t>
            </w:r>
          </w:p>
        </w:tc>
        <w:tc>
          <w:tcPr>
            <w:tcW w:w="2368" w:type="dxa"/>
          </w:tcPr>
          <w:p w14:paraId="03D3E9F4"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Nhất trí với đề xuất của địa phương.</w:t>
            </w:r>
          </w:p>
          <w:p w14:paraId="73C2F6E6" w14:textId="77777777" w:rsidR="00390812" w:rsidRPr="002C357E" w:rsidRDefault="00390812" w:rsidP="0039081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Bộ Tư pháp cho rằng, việc bổ sung căn cứ chấm dứt việc nuôi con nuôi là cần thiết, đáp ứng các vướng mắc phát sinh trong thực tiễn. Tuy nhiên, cần cân nhắc, đánh giá kỹ lưỡng các căn cứ chấm dứt việc nuôi con nuôi để đảm bảo lợi ích tốt nhất của trẻ em, tránh tình trạng lợi dụng việc chấm dứt nuôi con nuôi để nhằm mục đích khác. Do đó, Bộ Tư pháp sẽ nghiên cứu, xử lý nội dung này khi xây dựng Luật Nuôi con nuôi (thay thế) theo thủ tục thông thường trong năm 2026.</w:t>
            </w:r>
          </w:p>
          <w:p w14:paraId="1986DDC7" w14:textId="77777777" w:rsidR="00390812" w:rsidRPr="002C357E" w:rsidRDefault="00390812" w:rsidP="00390812">
            <w:pPr>
              <w:jc w:val="both"/>
              <w:rPr>
                <w:rFonts w:ascii="Times New Roman" w:eastAsia="Times New Roman" w:hAnsi="Times New Roman" w:cs="Times New Roman"/>
                <w:color w:val="000000"/>
                <w:sz w:val="24"/>
                <w:szCs w:val="24"/>
              </w:rPr>
            </w:pPr>
          </w:p>
        </w:tc>
        <w:tc>
          <w:tcPr>
            <w:tcW w:w="2472" w:type="dxa"/>
          </w:tcPr>
          <w:p w14:paraId="3D9838F7" w14:textId="77777777" w:rsidR="00D32C19" w:rsidRPr="00D37D4B" w:rsidRDefault="00D32C19" w:rsidP="00D32C19">
            <w:pPr>
              <w:jc w:val="both"/>
              <w:rPr>
                <w:rFonts w:ascii="Times New Roman" w:eastAsia="Times New Roman" w:hAnsi="Times New Roman"/>
                <w:b/>
                <w:color w:val="FF0000"/>
                <w:sz w:val="24"/>
                <w:szCs w:val="24"/>
              </w:rPr>
            </w:pPr>
            <w:r w:rsidRPr="00D37D4B">
              <w:rPr>
                <w:rFonts w:ascii="Times New Roman" w:eastAsia="Times New Roman" w:hAnsi="Times New Roman"/>
                <w:b/>
                <w:color w:val="FF0000"/>
                <w:sz w:val="24"/>
                <w:szCs w:val="24"/>
              </w:rPr>
              <w:t>Đang xử lý.</w:t>
            </w:r>
          </w:p>
          <w:p w14:paraId="13CE3486" w14:textId="77777777" w:rsidR="00D32C19" w:rsidRPr="00F121F5" w:rsidRDefault="00D32C19" w:rsidP="00D32C19">
            <w:pPr>
              <w:jc w:val="both"/>
              <w:rPr>
                <w:rFonts w:ascii="Times New Roman" w:eastAsia="Times New Roman" w:hAnsi="Times New Roman"/>
                <w:color w:val="FF0000"/>
                <w:sz w:val="24"/>
                <w:szCs w:val="24"/>
              </w:rPr>
            </w:pPr>
            <w:r w:rsidRPr="00F121F5">
              <w:rPr>
                <w:rFonts w:ascii="Times New Roman" w:eastAsia="Times New Roman" w:hAnsi="Times New Roman"/>
                <w:color w:val="FF0000"/>
                <w:sz w:val="24"/>
                <w:szCs w:val="24"/>
              </w:rPr>
              <w:t>Thực hiện Nghị quyết</w:t>
            </w:r>
          </w:p>
          <w:p w14:paraId="68C1B585" w14:textId="77777777" w:rsidR="00D32C19" w:rsidRPr="00F121F5" w:rsidRDefault="00D32C19" w:rsidP="00D32C19">
            <w:pPr>
              <w:jc w:val="both"/>
              <w:rPr>
                <w:rFonts w:ascii="Times New Roman" w:eastAsia="Times New Roman" w:hAnsi="Times New Roman"/>
                <w:color w:val="FF0000"/>
                <w:sz w:val="24"/>
                <w:szCs w:val="24"/>
              </w:rPr>
            </w:pPr>
            <w:r w:rsidRPr="00F121F5">
              <w:rPr>
                <w:rFonts w:ascii="Times New Roman" w:eastAsia="Times New Roman" w:hAnsi="Times New Roman"/>
                <w:color w:val="FF0000"/>
                <w:sz w:val="24"/>
                <w:szCs w:val="24"/>
              </w:rPr>
              <w:t>số 105/2025/UBTVQH15</w:t>
            </w:r>
          </w:p>
          <w:p w14:paraId="6A5D9C09" w14:textId="77777777" w:rsidR="00D32C19" w:rsidRPr="00F121F5" w:rsidRDefault="00D32C19" w:rsidP="00D32C19">
            <w:pPr>
              <w:jc w:val="both"/>
              <w:rPr>
                <w:rFonts w:ascii="Times New Roman" w:eastAsia="Times New Roman" w:hAnsi="Times New Roman"/>
                <w:color w:val="FF0000"/>
                <w:sz w:val="24"/>
                <w:szCs w:val="24"/>
              </w:rPr>
            </w:pPr>
            <w:r w:rsidRPr="00F121F5">
              <w:rPr>
                <w:rFonts w:ascii="Times New Roman" w:eastAsia="Times New Roman" w:hAnsi="Times New Roman"/>
                <w:color w:val="FF0000"/>
                <w:sz w:val="24"/>
                <w:szCs w:val="24"/>
              </w:rPr>
              <w:t>ngày 26/9/2025 của Ủy</w:t>
            </w:r>
          </w:p>
          <w:p w14:paraId="2437F49D" w14:textId="77777777" w:rsidR="00D32C19" w:rsidRPr="00F121F5" w:rsidRDefault="00D32C19" w:rsidP="00D32C19">
            <w:pPr>
              <w:jc w:val="both"/>
              <w:rPr>
                <w:rFonts w:ascii="Times New Roman" w:eastAsia="Times New Roman" w:hAnsi="Times New Roman"/>
                <w:color w:val="FF0000"/>
                <w:sz w:val="24"/>
                <w:szCs w:val="24"/>
              </w:rPr>
            </w:pPr>
            <w:r w:rsidRPr="00F121F5">
              <w:rPr>
                <w:rFonts w:ascii="Times New Roman" w:eastAsia="Times New Roman" w:hAnsi="Times New Roman"/>
                <w:color w:val="FF0000"/>
                <w:sz w:val="24"/>
                <w:szCs w:val="24"/>
              </w:rPr>
              <w:t>ban thường vụ Quốc hội về Chương trình lập pháp năm 2026; Quyết định số</w:t>
            </w:r>
          </w:p>
          <w:p w14:paraId="65F6D775" w14:textId="11B001BB" w:rsidR="00390812" w:rsidRPr="002C357E" w:rsidRDefault="00D32C19" w:rsidP="00D32C19">
            <w:pPr>
              <w:jc w:val="both"/>
              <w:rPr>
                <w:rFonts w:ascii="Times New Roman" w:eastAsia="Times New Roman" w:hAnsi="Times New Roman" w:cs="Times New Roman"/>
                <w:color w:val="000000"/>
                <w:sz w:val="24"/>
                <w:szCs w:val="24"/>
              </w:rPr>
            </w:pPr>
            <w:r w:rsidRPr="00F121F5">
              <w:rPr>
                <w:rFonts w:ascii="Times New Roman" w:eastAsia="Times New Roman" w:hAnsi="Times New Roman"/>
                <w:color w:val="FF0000"/>
                <w:sz w:val="24"/>
                <w:szCs w:val="24"/>
              </w:rPr>
              <w:t xml:space="preserve">2352/QĐ-TTg ngày 24/10/2025 của Thủ tướng Chính phủ phân công cơ quan chủ trì soạn thảo và thời hạn trình các dự án luật, pháp lệnh, nghị quyết </w:t>
            </w:r>
            <w:r w:rsidRPr="00F121F5">
              <w:rPr>
                <w:rFonts w:ascii="TimesNewRomanPSMT" w:hAnsi="TimesNewRomanPSMT"/>
                <w:color w:val="FF0000"/>
                <w:sz w:val="24"/>
                <w:szCs w:val="24"/>
              </w:rPr>
              <w:t>trong Chương trình lập pháp năm 2026, Bộ Tư pháp được giao chủ trì</w:t>
            </w:r>
            <w:r>
              <w:rPr>
                <w:rFonts w:ascii="TimesNewRomanPSMT" w:hAnsi="TimesNewRomanPSMT"/>
                <w:color w:val="FF0000"/>
                <w:sz w:val="24"/>
                <w:szCs w:val="24"/>
              </w:rPr>
              <w:t xml:space="preserve"> </w:t>
            </w:r>
            <w:r w:rsidRPr="00F121F5">
              <w:rPr>
                <w:rFonts w:ascii="TimesNewRomanPSMT" w:hAnsi="TimesNewRomanPSMT"/>
                <w:color w:val="FF0000"/>
                <w:sz w:val="24"/>
                <w:szCs w:val="24"/>
              </w:rPr>
              <w:t>xây dựng dự án Luật</w:t>
            </w:r>
            <w:r>
              <w:rPr>
                <w:rFonts w:ascii="TimesNewRomanPSMT" w:hAnsi="TimesNewRomanPSMT"/>
                <w:color w:val="FF0000"/>
                <w:sz w:val="24"/>
                <w:szCs w:val="24"/>
              </w:rPr>
              <w:t xml:space="preserve"> </w:t>
            </w:r>
            <w:r w:rsidRPr="00F121F5">
              <w:rPr>
                <w:rFonts w:ascii="TimesNewRomanPSMT" w:hAnsi="TimesNewRomanPSMT"/>
                <w:color w:val="FF0000"/>
                <w:sz w:val="24"/>
                <w:szCs w:val="24"/>
              </w:rPr>
              <w:t>Nuôi con nuôi (sửa</w:t>
            </w:r>
            <w:r w:rsidRPr="00F121F5">
              <w:rPr>
                <w:rFonts w:ascii="TimesNewRomanPSMT" w:hAnsi="TimesNewRomanPSMT"/>
                <w:color w:val="FF0000"/>
                <w:sz w:val="24"/>
                <w:szCs w:val="24"/>
              </w:rPr>
              <w:br/>
              <w:t>đổi), dự kiến trình</w:t>
            </w:r>
            <w:r w:rsidRPr="00F121F5">
              <w:rPr>
                <w:rFonts w:ascii="TimesNewRomanPSMT" w:hAnsi="TimesNewRomanPSMT"/>
                <w:color w:val="FF0000"/>
                <w:sz w:val="24"/>
                <w:szCs w:val="24"/>
              </w:rPr>
              <w:br/>
              <w:t>Quốc hội thông qua tại</w:t>
            </w:r>
            <w:r w:rsidRPr="00F121F5">
              <w:rPr>
                <w:rFonts w:ascii="TimesNewRomanPSMT" w:hAnsi="TimesNewRomanPSMT"/>
                <w:color w:val="FF0000"/>
                <w:sz w:val="24"/>
                <w:szCs w:val="24"/>
              </w:rPr>
              <w:br/>
              <w:t>kỳ họp tháng 10/2026.</w:t>
            </w:r>
            <w:r w:rsidRPr="00F121F5">
              <w:rPr>
                <w:rFonts w:ascii="TimesNewRomanPSMT" w:hAnsi="TimesNewRomanPSMT"/>
                <w:color w:val="FF0000"/>
                <w:sz w:val="24"/>
                <w:szCs w:val="24"/>
              </w:rPr>
              <w:br/>
              <w:t>Hiện nay, Bộ Tư pháp</w:t>
            </w:r>
            <w:r w:rsidRPr="00F121F5">
              <w:rPr>
                <w:rFonts w:ascii="TimesNewRomanPSMT" w:hAnsi="TimesNewRomanPSMT"/>
                <w:color w:val="FF0000"/>
                <w:sz w:val="24"/>
                <w:szCs w:val="24"/>
              </w:rPr>
              <w:br/>
              <w:t>đang thực hiện quy</w:t>
            </w:r>
            <w:r w:rsidRPr="00F121F5">
              <w:rPr>
                <w:rFonts w:ascii="TimesNewRomanPSMT" w:hAnsi="TimesNewRomanPSMT"/>
                <w:color w:val="FF0000"/>
                <w:sz w:val="24"/>
                <w:szCs w:val="24"/>
              </w:rPr>
              <w:br/>
            </w:r>
            <w:r w:rsidRPr="00F121F5">
              <w:rPr>
                <w:rFonts w:ascii="TimesNewRomanPSMT" w:hAnsi="TimesNewRomanPSMT"/>
                <w:color w:val="FF0000"/>
                <w:sz w:val="24"/>
                <w:szCs w:val="24"/>
              </w:rPr>
              <w:lastRenderedPageBreak/>
              <w:t>trình xây dựng chính</w:t>
            </w:r>
            <w:r w:rsidRPr="00F121F5">
              <w:rPr>
                <w:rFonts w:ascii="TimesNewRomanPSMT" w:hAnsi="TimesNewRomanPSMT"/>
                <w:color w:val="FF0000"/>
                <w:sz w:val="24"/>
                <w:szCs w:val="24"/>
              </w:rPr>
              <w:br/>
              <w:t>sách của Luật Nuôi</w:t>
            </w:r>
            <w:r w:rsidRPr="00F121F5">
              <w:rPr>
                <w:rFonts w:ascii="TimesNewRomanPSMT" w:hAnsi="TimesNewRomanPSMT"/>
                <w:color w:val="FF0000"/>
                <w:sz w:val="24"/>
                <w:szCs w:val="24"/>
              </w:rPr>
              <w:br/>
              <w:t>con nuôi (sửa đổi),</w:t>
            </w:r>
            <w:r w:rsidRPr="00F121F5">
              <w:rPr>
                <w:rFonts w:ascii="TimesNewRomanPSMT" w:hAnsi="TimesNewRomanPSMT"/>
                <w:color w:val="FF0000"/>
                <w:sz w:val="24"/>
                <w:szCs w:val="24"/>
              </w:rPr>
              <w:br/>
              <w:t>trong đó có nội dung</w:t>
            </w:r>
            <w:r w:rsidRPr="00F121F5">
              <w:rPr>
                <w:rFonts w:ascii="TimesNewRomanPSMT" w:hAnsi="TimesNewRomanPSMT"/>
                <w:color w:val="FF0000"/>
                <w:sz w:val="24"/>
                <w:szCs w:val="24"/>
              </w:rPr>
              <w:br/>
              <w:t>sửa đổi các quy định</w:t>
            </w:r>
            <w:r w:rsidRPr="00F121F5">
              <w:rPr>
                <w:rFonts w:ascii="TimesNewRomanPSMT" w:hAnsi="TimesNewRomanPSMT"/>
                <w:color w:val="FF0000"/>
                <w:sz w:val="24"/>
                <w:szCs w:val="24"/>
              </w:rPr>
              <w:br/>
              <w:t>liên quan đến chấm dứt</w:t>
            </w:r>
            <w:r w:rsidRPr="00F121F5">
              <w:rPr>
                <w:rFonts w:ascii="TimesNewRomanPSMT" w:hAnsi="TimesNewRomanPSMT"/>
                <w:color w:val="FF0000"/>
                <w:sz w:val="24"/>
                <w:szCs w:val="24"/>
              </w:rPr>
              <w:br/>
              <w:t>việc nuôi con nuôi.</w:t>
            </w:r>
          </w:p>
        </w:tc>
      </w:tr>
      <w:tr w:rsidR="00644562" w:rsidRPr="002C357E" w14:paraId="1535EA05" w14:textId="77777777" w:rsidTr="00CF1EAE">
        <w:tc>
          <w:tcPr>
            <w:tcW w:w="736" w:type="dxa"/>
          </w:tcPr>
          <w:p w14:paraId="312751DE" w14:textId="77777777" w:rsidR="00644562" w:rsidRPr="002C357E" w:rsidRDefault="00644562" w:rsidP="00644562">
            <w:pPr>
              <w:pStyle w:val="ListParagraph"/>
              <w:numPr>
                <w:ilvl w:val="0"/>
                <w:numId w:val="8"/>
              </w:numPr>
              <w:jc w:val="center"/>
              <w:rPr>
                <w:rFonts w:ascii="Times New Roman" w:hAnsi="Times New Roman" w:cs="Times New Roman"/>
                <w:sz w:val="24"/>
                <w:szCs w:val="24"/>
              </w:rPr>
            </w:pPr>
          </w:p>
        </w:tc>
        <w:tc>
          <w:tcPr>
            <w:tcW w:w="2013" w:type="dxa"/>
          </w:tcPr>
          <w:p w14:paraId="4C7C84F8" w14:textId="77777777" w:rsidR="00644562" w:rsidRPr="002C357E" w:rsidRDefault="00644562" w:rsidP="00644562">
            <w:pPr>
              <w:jc w:val="both"/>
              <w:rPr>
                <w:rFonts w:ascii="Times New Roman" w:eastAsia="Times New Roman" w:hAnsi="Times New Roman" w:cs="Times New Roman"/>
                <w:sz w:val="24"/>
                <w:szCs w:val="24"/>
              </w:rPr>
            </w:pPr>
            <w:r w:rsidRPr="002C357E">
              <w:rPr>
                <w:rFonts w:ascii="Times New Roman" w:eastAsia="Times New Roman" w:hAnsi="Times New Roman" w:cs="Times New Roman"/>
                <w:sz w:val="24"/>
                <w:szCs w:val="24"/>
              </w:rPr>
              <w:t>Điều 71 Luật Xử lý vi phạm hành chính năm 2012 (sửa đổi, bổ sung năm 2020, năm 2025)</w:t>
            </w:r>
          </w:p>
        </w:tc>
        <w:tc>
          <w:tcPr>
            <w:tcW w:w="4269" w:type="dxa"/>
          </w:tcPr>
          <w:p w14:paraId="6005F755" w14:textId="77777777" w:rsidR="00644562" w:rsidRPr="002C357E" w:rsidRDefault="00644562" w:rsidP="00644562">
            <w:pPr>
              <w:jc w:val="both"/>
              <w:rPr>
                <w:rFonts w:ascii="Times New Roman" w:eastAsia="Times New Roman" w:hAnsi="Times New Roman" w:cs="Times New Roman"/>
                <w:sz w:val="24"/>
                <w:szCs w:val="24"/>
              </w:rPr>
            </w:pPr>
            <w:r w:rsidRPr="002C357E">
              <w:rPr>
                <w:rFonts w:ascii="Times New Roman" w:eastAsia="Times New Roman" w:hAnsi="Times New Roman" w:cs="Times New Roman"/>
                <w:sz w:val="24"/>
                <w:szCs w:val="24"/>
              </w:rPr>
              <w:t>Luật quy định trường hợp chuyển quyết định xử phạt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xã để tổ chức thi hành là chưa hợp lý. Do hiện nay các bộ, ban, ngành đã và đang xây dựng, kết nối, chia sẻ cơ sở dữ liệu về xử lý vi phạm hành chính đến cấp xã nên người dân có thể đến bất kỳ cơ quan, đơn vị cấp xã, không phụ thuộc vào đơn vị hành chính (nơi cư trú, đóng trụ sở) để giải quyết vụ việc.</w:t>
            </w:r>
          </w:p>
        </w:tc>
        <w:tc>
          <w:tcPr>
            <w:tcW w:w="1968" w:type="dxa"/>
          </w:tcPr>
          <w:p w14:paraId="5FEE5E87" w14:textId="77777777" w:rsidR="00644562" w:rsidRPr="002C357E" w:rsidRDefault="00644562" w:rsidP="00644562">
            <w:pPr>
              <w:jc w:val="both"/>
              <w:rPr>
                <w:rFonts w:ascii="Times New Roman" w:eastAsia="Times New Roman" w:hAnsi="Times New Roman" w:cs="Times New Roman"/>
                <w:sz w:val="24"/>
                <w:szCs w:val="24"/>
              </w:rPr>
            </w:pPr>
            <w:r w:rsidRPr="002C357E">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597" w:type="dxa"/>
          </w:tcPr>
          <w:p w14:paraId="56AD5B66" w14:textId="77777777" w:rsidR="00644562" w:rsidRPr="002C357E" w:rsidRDefault="00644562" w:rsidP="00644562">
            <w:pPr>
              <w:jc w:val="both"/>
              <w:rPr>
                <w:rFonts w:ascii="Times New Roman" w:eastAsia="Times New Roman" w:hAnsi="Times New Roman" w:cs="Times New Roman"/>
                <w:sz w:val="24"/>
                <w:szCs w:val="24"/>
              </w:rPr>
            </w:pPr>
            <w:r w:rsidRPr="002C357E">
              <w:rPr>
                <w:rFonts w:ascii="Times New Roman" w:eastAsia="Times New Roman" w:hAnsi="Times New Roman" w:cs="Times New Roman"/>
                <w:sz w:val="24"/>
                <w:szCs w:val="24"/>
              </w:rPr>
              <w:t>Bộ Công an</w:t>
            </w:r>
          </w:p>
        </w:tc>
        <w:tc>
          <w:tcPr>
            <w:tcW w:w="2368" w:type="dxa"/>
          </w:tcPr>
          <w:p w14:paraId="539849A5" w14:textId="77777777" w:rsidR="00644562" w:rsidRPr="002C357E" w:rsidRDefault="00644562" w:rsidP="00644562">
            <w:pPr>
              <w:jc w:val="both"/>
              <w:rPr>
                <w:rFonts w:ascii="Times New Roman" w:eastAsia="Times New Roman" w:hAnsi="Times New Roman" w:cs="Times New Roman"/>
                <w:sz w:val="24"/>
                <w:szCs w:val="24"/>
              </w:rPr>
            </w:pPr>
            <w:r w:rsidRPr="002C357E">
              <w:rPr>
                <w:rFonts w:ascii="Times New Roman" w:eastAsia="Times New Roman" w:hAnsi="Times New Roman" w:cs="Times New Roman"/>
                <w:sz w:val="24"/>
                <w:szCs w:val="24"/>
              </w:rPr>
              <w:t xml:space="preserve">Nhất trí với nội dung kiến, nhưng đề nghị sửa đổi, bổ sung theo thủ tục thông thường. Trường hợp nếu các bộ, ban, ngành đã bảo đảm việc xây dựng, kết nối, chia sẻ cơ sở dữ liệu về xử lý vi phạm hành chính đến cấp xã để người dân có thể đến bất kỳ cơ quan, đơn vị cấp xã, không phụ thuộc vào đơn vị hành chính (nơi cư trú, đóng trụ sở) để giải quyết vụ việc thì nhất trí nghiên cứu xử lý vấn đề này phù hợp </w:t>
            </w:r>
            <w:r w:rsidRPr="002C357E">
              <w:rPr>
                <w:rFonts w:ascii="Times New Roman" w:eastAsia="Times New Roman" w:hAnsi="Times New Roman" w:cs="Times New Roman"/>
                <w:sz w:val="24"/>
                <w:szCs w:val="24"/>
              </w:rPr>
              <w:lastRenderedPageBreak/>
              <w:t>với thực tiễn, tạo thuận lợi cho người dân. Dự kiến Luật này sẽ được trình Quốc hội thông qua trong năm 2026.</w:t>
            </w:r>
          </w:p>
        </w:tc>
        <w:tc>
          <w:tcPr>
            <w:tcW w:w="2472" w:type="dxa"/>
          </w:tcPr>
          <w:p w14:paraId="46E9E194" w14:textId="77777777" w:rsidR="004A2F5B" w:rsidRPr="004A2F5B" w:rsidRDefault="004A2F5B" w:rsidP="00644562">
            <w:pPr>
              <w:jc w:val="both"/>
              <w:rPr>
                <w:rFonts w:ascii="Times New Roman" w:eastAsia="Times New Roman" w:hAnsi="Times New Roman" w:cs="Times New Roman"/>
                <w:b/>
                <w:color w:val="000000"/>
                <w:sz w:val="24"/>
                <w:szCs w:val="24"/>
              </w:rPr>
            </w:pPr>
            <w:r w:rsidRPr="004A2F5B">
              <w:rPr>
                <w:rFonts w:ascii="Times New Roman" w:eastAsia="Times New Roman" w:hAnsi="Times New Roman" w:cs="Times New Roman"/>
                <w:b/>
                <w:color w:val="000000"/>
                <w:sz w:val="24"/>
                <w:szCs w:val="24"/>
              </w:rPr>
              <w:lastRenderedPageBreak/>
              <w:t>Đang xử lý</w:t>
            </w:r>
          </w:p>
          <w:p w14:paraId="144E26DF" w14:textId="424D7FF3" w:rsidR="00644562" w:rsidRPr="002C357E" w:rsidRDefault="004A2F5B" w:rsidP="00644562">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Nhiệm vụ này đã được chuyển giao sang Bộ Công an. </w:t>
            </w:r>
            <w:r w:rsidR="00644562" w:rsidRPr="002C357E">
              <w:rPr>
                <w:rFonts w:ascii="Times New Roman" w:eastAsia="Times New Roman" w:hAnsi="Times New Roman" w:cs="Times New Roman"/>
                <w:color w:val="000000"/>
                <w:sz w:val="24"/>
                <w:szCs w:val="24"/>
              </w:rPr>
              <w:t>Hiện nay, Bộ Công an đang tiến hành tổng kết thi hành Luật Xử lý vi phạm hành chính để sửa đổi toàn diện, trình Quốc hội xem xét thông qua trong năm 2026.</w:t>
            </w:r>
          </w:p>
        </w:tc>
      </w:tr>
      <w:tr w:rsidR="00644562" w:rsidRPr="002C357E" w14:paraId="130CECEF" w14:textId="77777777" w:rsidTr="00CF1EAE">
        <w:tc>
          <w:tcPr>
            <w:tcW w:w="736" w:type="dxa"/>
          </w:tcPr>
          <w:p w14:paraId="505F6D59" w14:textId="77777777" w:rsidR="00644562" w:rsidRPr="002C357E" w:rsidRDefault="00644562" w:rsidP="00644562">
            <w:pPr>
              <w:pStyle w:val="ListParagraph"/>
              <w:numPr>
                <w:ilvl w:val="0"/>
                <w:numId w:val="8"/>
              </w:numPr>
              <w:jc w:val="center"/>
              <w:rPr>
                <w:rFonts w:ascii="Times New Roman" w:hAnsi="Times New Roman" w:cs="Times New Roman"/>
                <w:sz w:val="24"/>
                <w:szCs w:val="24"/>
              </w:rPr>
            </w:pPr>
          </w:p>
        </w:tc>
        <w:tc>
          <w:tcPr>
            <w:tcW w:w="2013" w:type="dxa"/>
          </w:tcPr>
          <w:p w14:paraId="77F2DDA0"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Điều 86 Luật Xử lý vi phạm hành chính năm 2012 (sửa đổi, bổ sung năm 2020, năm 2025)</w:t>
            </w:r>
            <w:r w:rsidRPr="002C357E">
              <w:rPr>
                <w:rFonts w:ascii="Times New Roman" w:eastAsia="Times New Roman" w:hAnsi="Times New Roman" w:cs="Times New Roman"/>
                <w:color w:val="000000"/>
                <w:sz w:val="24"/>
                <w:szCs w:val="24"/>
              </w:rPr>
              <w:br/>
            </w:r>
          </w:p>
        </w:tc>
        <w:tc>
          <w:tcPr>
            <w:tcW w:w="4269" w:type="dxa"/>
          </w:tcPr>
          <w:p w14:paraId="3B2D2B5A"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Một số biện pháp  cưỡng chế chưa được quy định trong Luật, như: Lao động công ích; tạm ngừng  xuất cảnh; niêm phong trụ sở, địa điểm, cơ sở sản xuất, kinh doanh, dịch vụ;  không được sử dụng một số dịch vụ do ngành Công an cung cấp;… dẫn đến lực  lượng chức năng gặp nhiều khó khăn trong tổ chức thực hiện khi người vi phạm  là lao động tự do không có lương, không có tài khoản ngân hàng hoặc không có  tài sản để kê biên.</w:t>
            </w:r>
          </w:p>
          <w:p w14:paraId="4EE4E8A5"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br/>
            </w:r>
          </w:p>
        </w:tc>
        <w:tc>
          <w:tcPr>
            <w:tcW w:w="1968" w:type="dxa"/>
          </w:tcPr>
          <w:p w14:paraId="3EBDF0B0"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C. Sửa đổi, bổ sung, thay thế, ban hành mới VBQPPL (theo trình tự, thủ tục rút gọn ban hành VBQPPL của Luật Ban hành VBQPPL)</w:t>
            </w:r>
          </w:p>
        </w:tc>
        <w:tc>
          <w:tcPr>
            <w:tcW w:w="1597" w:type="dxa"/>
          </w:tcPr>
          <w:p w14:paraId="17C75540"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Bộ Công an</w:t>
            </w:r>
          </w:p>
        </w:tc>
        <w:tc>
          <w:tcPr>
            <w:tcW w:w="2368" w:type="dxa"/>
          </w:tcPr>
          <w:p w14:paraId="551E2C66"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xml:space="preserve">Nhất trí kiến nghị này nhưng cần nghiên cứu kỹ lưỡng và đánh giá tác động về vấn đề này, cần đảm bảo thận trọng trong đề xuất quy định. Bước đầu nhận thấy, một số biện pháp được đề xuất như lao động công ích đã được đề cập rất nhiều nhưng vấn đề này liên quan đến lao động cưỡng bức theo Điều ước quốc tế mà Việt Nam là thành viên, việc áp dụng biện pháp này phải do Toà án thực hiện mà không do cơ quan hành chính </w:t>
            </w:r>
            <w:r w:rsidRPr="002C357E">
              <w:rPr>
                <w:rFonts w:ascii="Times New Roman" w:eastAsia="Times New Roman" w:hAnsi="Times New Roman" w:cs="Times New Roman"/>
                <w:color w:val="000000"/>
                <w:sz w:val="24"/>
                <w:szCs w:val="24"/>
              </w:rPr>
              <w:lastRenderedPageBreak/>
              <w:t>áp dụng. Đề nghị sửa đổi, bổ sung theo trình tự, thủ tục thông thường. Lý do: Luật Xử lý vi phạm hành chính sẽ được sửa đổi toàn diện, trình Quốc hội trong năm 2026. Đây là văn bản pháp lý quan trọng có ảnh hưởng sâu rộng và tác động trực tiếp đến quyền, nghĩa vụ của người dân, doanh nghiệp; các quy định có tính chất là chế tại hạn chế một số quyền của người dân. Do vậy, cần đánh giá kỹ lưỡng, toàn diện đối với các nội dung được sửa đổi để bảo đảm quyền và lợi ích hợp pháp của người dân.</w:t>
            </w:r>
          </w:p>
        </w:tc>
        <w:tc>
          <w:tcPr>
            <w:tcW w:w="2472" w:type="dxa"/>
          </w:tcPr>
          <w:p w14:paraId="400E0944" w14:textId="77777777" w:rsidR="004A2F5B" w:rsidRPr="004A2F5B" w:rsidRDefault="004A2F5B" w:rsidP="004A2F5B">
            <w:pPr>
              <w:jc w:val="both"/>
              <w:rPr>
                <w:rFonts w:ascii="Times New Roman" w:eastAsia="Times New Roman" w:hAnsi="Times New Roman" w:cs="Times New Roman"/>
                <w:b/>
                <w:color w:val="000000"/>
                <w:sz w:val="24"/>
                <w:szCs w:val="24"/>
              </w:rPr>
            </w:pPr>
            <w:r w:rsidRPr="004A2F5B">
              <w:rPr>
                <w:rFonts w:ascii="Times New Roman" w:eastAsia="Times New Roman" w:hAnsi="Times New Roman" w:cs="Times New Roman"/>
                <w:b/>
                <w:color w:val="000000"/>
                <w:sz w:val="24"/>
                <w:szCs w:val="24"/>
              </w:rPr>
              <w:lastRenderedPageBreak/>
              <w:t>Đang xử lý</w:t>
            </w:r>
          </w:p>
          <w:p w14:paraId="019A2F15" w14:textId="758649D8" w:rsidR="00644562" w:rsidRPr="002C357E" w:rsidRDefault="004A2F5B" w:rsidP="004A2F5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Nhiệm vụ này đã được chuyển giao sang Bộ Công an. </w:t>
            </w:r>
            <w:r w:rsidRPr="002C357E">
              <w:rPr>
                <w:rFonts w:ascii="Times New Roman" w:eastAsia="Times New Roman" w:hAnsi="Times New Roman" w:cs="Times New Roman"/>
                <w:color w:val="000000"/>
                <w:sz w:val="24"/>
                <w:szCs w:val="24"/>
              </w:rPr>
              <w:t>Hiện nay, Bộ Công an đang tiến hành tổng kết thi hành Luật Xử lý vi phạm hành chính để sửa đổi toàn diện, trình Quốc hội xem xét thông qua trong năm 2026.</w:t>
            </w:r>
          </w:p>
        </w:tc>
      </w:tr>
      <w:tr w:rsidR="00644562" w:rsidRPr="002C357E" w14:paraId="27E74258" w14:textId="77777777" w:rsidTr="00CF1EAE">
        <w:tc>
          <w:tcPr>
            <w:tcW w:w="736" w:type="dxa"/>
          </w:tcPr>
          <w:p w14:paraId="71EA380E" w14:textId="77777777" w:rsidR="00644562" w:rsidRPr="002C357E" w:rsidRDefault="00644562" w:rsidP="00644562">
            <w:pPr>
              <w:pStyle w:val="ListParagraph"/>
              <w:numPr>
                <w:ilvl w:val="0"/>
                <w:numId w:val="8"/>
              </w:numPr>
              <w:jc w:val="center"/>
              <w:rPr>
                <w:rFonts w:ascii="Times New Roman" w:hAnsi="Times New Roman" w:cs="Times New Roman"/>
                <w:sz w:val="24"/>
                <w:szCs w:val="24"/>
              </w:rPr>
            </w:pPr>
          </w:p>
        </w:tc>
        <w:tc>
          <w:tcPr>
            <w:tcW w:w="2013" w:type="dxa"/>
          </w:tcPr>
          <w:p w14:paraId="4175755F"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xml:space="preserve">Khoản 2 Điều 21 Nghị định số </w:t>
            </w:r>
            <w:r w:rsidRPr="002C357E">
              <w:rPr>
                <w:rFonts w:ascii="Times New Roman" w:eastAsia="Times New Roman" w:hAnsi="Times New Roman" w:cs="Times New Roman"/>
                <w:color w:val="000000"/>
                <w:sz w:val="24"/>
                <w:szCs w:val="24"/>
              </w:rPr>
              <w:lastRenderedPageBreak/>
              <w:t>123/2013/NĐ-CP ngày 14/10/2013; được sửa đổi, bổ sung tại Nghị định số 137/20218/NĐ-CP ngày 08/10/2018.</w:t>
            </w:r>
          </w:p>
        </w:tc>
        <w:tc>
          <w:tcPr>
            <w:tcW w:w="4269" w:type="dxa"/>
          </w:tcPr>
          <w:p w14:paraId="52249E8B"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lastRenderedPageBreak/>
              <w:t xml:space="preserve">Khoản 2 Điều 21 Nghị định số 123/2013/NĐ-CP ngày 14/10/2013; được </w:t>
            </w:r>
            <w:r w:rsidRPr="002C357E">
              <w:rPr>
                <w:rFonts w:ascii="Times New Roman" w:eastAsia="Times New Roman" w:hAnsi="Times New Roman" w:cs="Times New Roman"/>
                <w:color w:val="000000"/>
                <w:sz w:val="24"/>
                <w:szCs w:val="24"/>
              </w:rPr>
              <w:lastRenderedPageBreak/>
              <w:t>sửa đổi, bổ sung tại Nghị định số 137/20218/NĐ-CP ngày 08/10/2018 quy định: “Trong thời hạn 07 ngày làm việc, kể từ ngày kết thúc Đại hội, Ban Chủ nhiệm Đoàn Luật sư gửi Ủy ban nhân dân tỉnh, thành phố trực thuộc Trung ương báo cáo kết quả Đại hội kèm theo........ Trong thời hạn 07 ngày làm việc, kể từ ngày nhận báo cáo kết quả Đại hội, Ủy ban nhân dân tỉnh, thành phố trực thuộc Trung ương xem xét, phê chuẩn hoặc từ chối phê chuẩn.......”. Tuy nhiên, chưa có quy định cụ thể về việc gửi kết quả về Sở Tư pháp để Sở Tư pháp thẩm định, tham mưu UBND tỉnh phê duyệt kết quả. Cần thiết phải sửa đổi, bổ sung để phát huy vai trò tham mưu quản lý Nhà nước lĩnh vực luật sư của Sở Tư pháp.</w:t>
            </w:r>
          </w:p>
        </w:tc>
        <w:tc>
          <w:tcPr>
            <w:tcW w:w="1968" w:type="dxa"/>
          </w:tcPr>
          <w:p w14:paraId="61E31CF3"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lastRenderedPageBreak/>
              <w:t xml:space="preserve">C. Sửa đổi, bổ sung, thay thế, </w:t>
            </w:r>
            <w:r w:rsidRPr="002C357E">
              <w:rPr>
                <w:rFonts w:ascii="Times New Roman" w:eastAsia="Times New Roman" w:hAnsi="Times New Roman" w:cs="Times New Roman"/>
                <w:color w:val="000000"/>
                <w:sz w:val="24"/>
                <w:szCs w:val="24"/>
              </w:rPr>
              <w:lastRenderedPageBreak/>
              <w:t>ban hành mới VBQPPL (theo trình tự, thủ tục rút gọn ban hành VBQPPL của Luật Ban hành VBQPPL)</w:t>
            </w:r>
          </w:p>
        </w:tc>
        <w:tc>
          <w:tcPr>
            <w:tcW w:w="1597" w:type="dxa"/>
          </w:tcPr>
          <w:p w14:paraId="60DA8A0A"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lastRenderedPageBreak/>
              <w:t>Sở Tư pháp tỉnh Bắc Ninh</w:t>
            </w:r>
          </w:p>
        </w:tc>
        <w:tc>
          <w:tcPr>
            <w:tcW w:w="2368" w:type="dxa"/>
          </w:tcPr>
          <w:p w14:paraId="3AEE93D3"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xml:space="preserve">Nhất trí với kiến nghị của địa phương, Sở Tư </w:t>
            </w:r>
            <w:r w:rsidRPr="002C357E">
              <w:rPr>
                <w:rFonts w:ascii="Times New Roman" w:eastAsia="Times New Roman" w:hAnsi="Times New Roman" w:cs="Times New Roman"/>
                <w:color w:val="000000"/>
                <w:sz w:val="24"/>
                <w:szCs w:val="24"/>
              </w:rPr>
              <w:lastRenderedPageBreak/>
              <w:t>pháp là cơ quan chuyên môn của UBND cấp tỉnh, có vai trò và kinh nghiệm trong công tác quản lý nhà nước về lĩnh vực tư pháp, trong đó có hoạt động luật sư. Việc không có quy định rõ ràng về việc Sở Tư pháp thẩm định kết quả Đại hội trước khi trình UBND cấp tỉnh phê duyệt sẽ làm giảm tính hiệu quả và chính xác của quá trình phê chuẩn. Tuy nhiên về trình tự, thủ tục, Bộ Tư pháp sẽ tổng hợp để nghiên cứu trong quá trình đề xuất sửa Luật Luật sư và Nghị định quy định chi tiết, hướng dẫn thi hành Luật Luật sư</w:t>
            </w:r>
            <w:r w:rsidRPr="002C357E">
              <w:rPr>
                <w:rFonts w:ascii="Times New Roman" w:eastAsia="Times New Roman" w:hAnsi="Times New Roman" w:cs="Times New Roman"/>
                <w:sz w:val="24"/>
                <w:szCs w:val="24"/>
              </w:rPr>
              <w:t>.</w:t>
            </w:r>
          </w:p>
        </w:tc>
        <w:tc>
          <w:tcPr>
            <w:tcW w:w="2472" w:type="dxa"/>
          </w:tcPr>
          <w:p w14:paraId="6AF4A3C6" w14:textId="77777777" w:rsidR="00D32C19" w:rsidRPr="00D32C19" w:rsidRDefault="00D32C19" w:rsidP="00644562">
            <w:pPr>
              <w:jc w:val="both"/>
              <w:rPr>
                <w:rFonts w:ascii="Times New Roman" w:eastAsia="Times New Roman" w:hAnsi="Times New Roman" w:cs="Times New Roman"/>
                <w:b/>
                <w:color w:val="000000"/>
                <w:sz w:val="24"/>
                <w:szCs w:val="24"/>
              </w:rPr>
            </w:pPr>
            <w:r w:rsidRPr="00D32C19">
              <w:rPr>
                <w:rFonts w:ascii="Times New Roman" w:eastAsia="Times New Roman" w:hAnsi="Times New Roman" w:cs="Times New Roman"/>
                <w:b/>
                <w:color w:val="000000"/>
                <w:sz w:val="24"/>
                <w:szCs w:val="24"/>
              </w:rPr>
              <w:lastRenderedPageBreak/>
              <w:t>Đang xử lý</w:t>
            </w:r>
          </w:p>
          <w:p w14:paraId="6DA9D898" w14:textId="04BFAF97" w:rsidR="00644562" w:rsidRPr="002C357E" w:rsidRDefault="00D32C19" w:rsidP="0064456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w:t>
            </w:r>
            <w:r w:rsidR="00644562" w:rsidRPr="002C357E">
              <w:rPr>
                <w:rFonts w:ascii="Times New Roman" w:eastAsia="Times New Roman" w:hAnsi="Times New Roman" w:cs="Times New Roman"/>
                <w:color w:val="000000"/>
                <w:sz w:val="24"/>
                <w:szCs w:val="24"/>
              </w:rPr>
              <w:t>ghiên cứu nội dung đưa vào Luật Luật sư (sửa đổi). Ngày 26/8/2025, Chính phủ đã có Tờ trình số 724/TTr-CP trình Ủy ban Thường vụ Quốc hội, theo đó, đề xuất trình Quốc hội cho ý kiến và thông qua Luật Luật sư (sửa đổi) tại kỳ họp thứ hai, Quốc hội khoá XVI (tháng 10/2026).</w:t>
            </w:r>
          </w:p>
        </w:tc>
      </w:tr>
      <w:tr w:rsidR="00644562" w:rsidRPr="002C357E" w14:paraId="78F58D97" w14:textId="77777777" w:rsidTr="00CF1EAE">
        <w:tc>
          <w:tcPr>
            <w:tcW w:w="736" w:type="dxa"/>
          </w:tcPr>
          <w:p w14:paraId="6DE8FF03" w14:textId="77777777" w:rsidR="00644562" w:rsidRPr="002C357E" w:rsidRDefault="00644562" w:rsidP="00644562">
            <w:pPr>
              <w:pStyle w:val="ListParagraph"/>
              <w:numPr>
                <w:ilvl w:val="0"/>
                <w:numId w:val="8"/>
              </w:numPr>
              <w:jc w:val="center"/>
              <w:rPr>
                <w:rFonts w:ascii="Times New Roman" w:hAnsi="Times New Roman" w:cs="Times New Roman"/>
                <w:sz w:val="24"/>
                <w:szCs w:val="24"/>
              </w:rPr>
            </w:pPr>
          </w:p>
        </w:tc>
        <w:tc>
          <w:tcPr>
            <w:tcW w:w="2013" w:type="dxa"/>
          </w:tcPr>
          <w:p w14:paraId="1E8BF626"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xml:space="preserve">Chưa có quy định trong Nghị định số 52/2015/NĐ-CP ngày 28/5/2015 của Chính phủ Cơ sở dữ liệu quốc gia về pháp luật </w:t>
            </w:r>
          </w:p>
        </w:tc>
        <w:tc>
          <w:tcPr>
            <w:tcW w:w="4269" w:type="dxa"/>
          </w:tcPr>
          <w:p w14:paraId="7A6EE48C"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Khoản 1 Điều 9 Luật Ban hành văn bản quy phạm pháp luật ngày 19/02/2025 quy định: “Chậm nhất là 03 ngày kể từ ngày công bố luật, nghị quyết của Quốc hội, pháp lệnh, nghị quyết của Ủy ban Thường vụ Quốc hội hoặc ký chứng thực, ký ban hành đối với văn bản quy phạm pháp luật khác, cơ quan, người có thẩm quyền ban hành văn bản quy phạm pháp luật có trách nhiệm gửi văn bản để đăng tải trên công báo điện tử, cơ sở dữ liệu quốc gia về pháp luật.”. Tại địa phương, cơ quan, người có thẩm quyền ban hành văn bản quy phạm pháp luật, gồm: HĐND, UBND cấp tỉnh; Chủ tịch UBND tỉnh và HĐND, UBND cấp xã. Tuy nhiên, Nghị định số 52/2015/NĐ-CP ngày 28/5/2015 của Chính phủ Cơ sở dữ liệu quốc gia về pháp luật chỉ quy định văn bản được đăng tải trên Cơ sở dữ liệu quốc gia về pháp luật mới có quy định về việc cập nhật văn bản quy phạm pháp luật do HĐND, UBND cấp tỉnh ban hành; chưa có quy định về việc cập nhật văn bản quy phạm pháp luật do Chủ tịch UBND tỉnh và HĐND, UBND cấp xã ban hành.</w:t>
            </w:r>
          </w:p>
        </w:tc>
        <w:tc>
          <w:tcPr>
            <w:tcW w:w="1968" w:type="dxa"/>
          </w:tcPr>
          <w:p w14:paraId="0B42B969"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C. Sửa đổi, bổ sung, thay thế, ban hành mới VBQPPL (theo trình tự, thủ tục rút gọn ban hành VBQPPL của Luật Ban hành VBQPPL)</w:t>
            </w:r>
          </w:p>
        </w:tc>
        <w:tc>
          <w:tcPr>
            <w:tcW w:w="1597" w:type="dxa"/>
          </w:tcPr>
          <w:p w14:paraId="19CFB003"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Sở Tư pháp tỉnh Tuyên Quang</w:t>
            </w:r>
          </w:p>
        </w:tc>
        <w:tc>
          <w:tcPr>
            <w:tcW w:w="2368" w:type="dxa"/>
          </w:tcPr>
          <w:p w14:paraId="4DD61018" w14:textId="5C0A3413"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xml:space="preserve">Nhất trí với kiến nghị của địa phương, Bộ Tư pháp đang triển khai thực hiện tổng kết thi hành Nghị định số 52/2015/NĐ-CP để tham mưu, đề xuất việc ban hành Nghị định của Chính phủ thay thế Nghị định số 52/2015/NĐ-CP. Theo đó, Bộ Tư pháp sẽ đề xuất sửa đổi tổng thể các nội dung của Nghị định số 52/2015/NĐ-CP trong văn bản thay thế bảo đảm phù hợp với quy định của văn bản QPPL có hiệu lực pháp lý cao hơn được ban hành thời gian qua (trong đó có Luật Ban hành văn bản QPPL năm 2025), đồng thời, bảo đảm các quy định </w:t>
            </w:r>
            <w:r w:rsidRPr="002C357E">
              <w:rPr>
                <w:rFonts w:ascii="Times New Roman" w:eastAsia="Times New Roman" w:hAnsi="Times New Roman" w:cs="Times New Roman"/>
                <w:color w:val="000000"/>
                <w:sz w:val="24"/>
                <w:szCs w:val="24"/>
              </w:rPr>
              <w:lastRenderedPageBreak/>
              <w:t xml:space="preserve">về việc xây dựng Cơ sở dữ liệu quốc gia về pháp luật bảo đảm phù hợp với nhu cầu thực tiễn, sự phát triển của khoa học công nghệ và giải quyết được những khó khăn vướng mắc trong công tác này thời gian qua. Bên cạnh đó, Cơ sở dữ liệu quốc gia về pháp luật là Cơ sở dữ liệu văn bản điện tử, được tạo lập dữ liệu thông qua Phần mềm xây dựng, quản lý Cơ sở dữ liệu quốc gia về pháp luật. Hiện nay, Bộ Tư pháp đang khẩn trương thực hiện việc nâng cấp Phần mềm để bảo đảm các tính năng của phần mềm đáp ứng yêu cầu mới của thể chế hiện hành, </w:t>
            </w:r>
            <w:r w:rsidRPr="002C357E">
              <w:rPr>
                <w:rFonts w:ascii="Times New Roman" w:eastAsia="Times New Roman" w:hAnsi="Times New Roman" w:cs="Times New Roman"/>
                <w:color w:val="000000"/>
                <w:sz w:val="24"/>
                <w:szCs w:val="24"/>
              </w:rPr>
              <w:lastRenderedPageBreak/>
              <w:t>đồng thời nâng cao hiệu quả, chất lượng việc xây dựng dữ liệu và ứng dụng khoa học công nghệ trong công tác này (dự kiến Phần mềm hoàn thành trong năm 2025). Theo đó, việc xây dựng Nghị định thay thế Nghị định số 52/2015/NĐ-CP trong năm 2026 (dự kiến tháng 4/2026).</w:t>
            </w:r>
          </w:p>
        </w:tc>
        <w:tc>
          <w:tcPr>
            <w:tcW w:w="2472" w:type="dxa"/>
          </w:tcPr>
          <w:p w14:paraId="0677F61F" w14:textId="77777777" w:rsidR="009D4311" w:rsidRPr="009D4311" w:rsidRDefault="009D4311" w:rsidP="00C91272">
            <w:pPr>
              <w:jc w:val="both"/>
              <w:rPr>
                <w:rFonts w:ascii="Times New Roman" w:eastAsia="Times New Roman" w:hAnsi="Times New Roman" w:cs="Times New Roman"/>
                <w:b/>
                <w:color w:val="000000"/>
                <w:sz w:val="24"/>
                <w:szCs w:val="24"/>
              </w:rPr>
            </w:pPr>
            <w:r w:rsidRPr="009D4311">
              <w:rPr>
                <w:rFonts w:ascii="Times New Roman" w:eastAsia="Times New Roman" w:hAnsi="Times New Roman" w:cs="Times New Roman"/>
                <w:b/>
                <w:color w:val="000000"/>
                <w:sz w:val="24"/>
                <w:szCs w:val="24"/>
              </w:rPr>
              <w:lastRenderedPageBreak/>
              <w:t>Đang xử lý</w:t>
            </w:r>
          </w:p>
          <w:p w14:paraId="2EB0BD74" w14:textId="4FE45AB0" w:rsidR="00C91272" w:rsidRPr="002C357E" w:rsidRDefault="00C91272" w:rsidP="00C9127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Bộ Tư pháp đang nghiên cứu xây dựng Nghị định thay thế Nghị định số 52/2015/NĐ-CP trong năm 2026 (dự kiến tháng 4/2026).</w:t>
            </w:r>
          </w:p>
          <w:p w14:paraId="28344987" w14:textId="77777777" w:rsidR="00644562" w:rsidRPr="002C357E" w:rsidRDefault="00644562" w:rsidP="00644562">
            <w:pPr>
              <w:jc w:val="both"/>
              <w:rPr>
                <w:rFonts w:ascii="Times New Roman" w:eastAsia="Times New Roman" w:hAnsi="Times New Roman" w:cs="Times New Roman"/>
                <w:color w:val="000000"/>
                <w:sz w:val="24"/>
                <w:szCs w:val="24"/>
              </w:rPr>
            </w:pPr>
          </w:p>
        </w:tc>
      </w:tr>
      <w:tr w:rsidR="00644562" w:rsidRPr="002C357E" w14:paraId="0203C411" w14:textId="77777777" w:rsidTr="00CF1EAE">
        <w:tc>
          <w:tcPr>
            <w:tcW w:w="736" w:type="dxa"/>
          </w:tcPr>
          <w:p w14:paraId="7F45D9FB" w14:textId="77777777" w:rsidR="00644562" w:rsidRPr="002C357E" w:rsidRDefault="00644562" w:rsidP="00644562">
            <w:pPr>
              <w:pStyle w:val="ListParagraph"/>
              <w:numPr>
                <w:ilvl w:val="0"/>
                <w:numId w:val="8"/>
              </w:numPr>
              <w:jc w:val="center"/>
              <w:rPr>
                <w:rFonts w:ascii="Times New Roman" w:hAnsi="Times New Roman" w:cs="Times New Roman"/>
                <w:sz w:val="24"/>
                <w:szCs w:val="24"/>
              </w:rPr>
            </w:pPr>
          </w:p>
        </w:tc>
        <w:tc>
          <w:tcPr>
            <w:tcW w:w="2013" w:type="dxa"/>
          </w:tcPr>
          <w:p w14:paraId="35C86367"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Chưa có quy định pháp luật (Nghị định số 19/2020/NĐ-CP)</w:t>
            </w:r>
          </w:p>
        </w:tc>
        <w:tc>
          <w:tcPr>
            <w:tcW w:w="4269" w:type="dxa"/>
          </w:tcPr>
          <w:p w14:paraId="639A2B93"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xml:space="preserve">Điều 15 Thông tư 18/2023/TT-BTC ngày 21/3/2023 của Bộ Tài chính quy định trách nhiệm của các cơ quan, đơn vị: “1. Kho bạc Nhà nước có trách nhiệm tổ chức thu tiền phạt theo đúng quyết định xử phạt vi phạm hành chính của người có thẩm quyền, đảm bảo hạch toán đầy đủ, kịp thời và quản lý chặt chẽ số tiền thu phạt vi phạm hành chính. Định kỳ hàng tháng, Kho bạc Nhà nước có trách nhiệm gửi cho cơ quan của người có thẩm quyền ra quyết định xử phạt bảng kê thu tiền phạt chi tiết </w:t>
            </w:r>
            <w:r w:rsidRPr="002C357E">
              <w:rPr>
                <w:rFonts w:ascii="Times New Roman" w:eastAsia="Times New Roman" w:hAnsi="Times New Roman" w:cs="Times New Roman"/>
                <w:color w:val="000000"/>
                <w:sz w:val="24"/>
                <w:szCs w:val="24"/>
              </w:rPr>
              <w:lastRenderedPageBreak/>
              <w:t>trong đó có tiền chậm nộp (nếu có) theo từng cơ quan của người có thẩm quyền ra quyết định xử phạt để đối chiếu. 2. Sau khi nhận được bảng kê thu tiền phạt chi tiết do Kho bạc Nhà nước gửi, cơ quan của người có thẩm quyền ra quyết định xử phạt có trách nhiệm đối chiếu về số liệu thu tiền phạt, theo dõi, kiểm tra việc nộp tiền phạt vi phạm hành chính, tiền chậm nộp (nếu có) của cá nhân, tổ chức vi phạm hành chính. Trường hợp phát sinh số liệu thu tiền phạt không khớp đúng, cơ quan của người có thẩm quyền ra quyết định xử phạt có văn bản gửi Kho bạc Nhà nước để xử lý theo quy định.” Tuy nhiên tại Thông tư không quy định chế tài xử lý nếu thực hiện không đảm báo trách nhiệm. Điều 22 Nghị định 19/2020/NĐ-CP (được sửa đổi bởi Khoản 12 Điều 1 Nghị định 93/2025/NĐ-CP) quy định về các hành vi vi phạm trong thi hành pháp luật về xử lý vi phạm hành chính, cũng không quy định hành vi “thu tiền phạt không đúng, không đầy đủ theo quy định”.</w:t>
            </w:r>
          </w:p>
        </w:tc>
        <w:tc>
          <w:tcPr>
            <w:tcW w:w="1968" w:type="dxa"/>
          </w:tcPr>
          <w:p w14:paraId="2C869958"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lastRenderedPageBreak/>
              <w:t>C. Sửa đổi, bổ sung, thay thế, ban hành mới VBQPPL (theo trình tự, thủ tục rút gọn ban hành VBQPPL của Luật Ban hành VBQPPL)</w:t>
            </w:r>
          </w:p>
        </w:tc>
        <w:tc>
          <w:tcPr>
            <w:tcW w:w="1597" w:type="dxa"/>
          </w:tcPr>
          <w:p w14:paraId="42B590DF"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Sở Tư pháp tỉnh Bắc Ninh</w:t>
            </w:r>
          </w:p>
        </w:tc>
        <w:tc>
          <w:tcPr>
            <w:tcW w:w="2368" w:type="dxa"/>
          </w:tcPr>
          <w:p w14:paraId="34F520BD" w14:textId="2B93ADE3"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xml:space="preserve">Nhất trí với kiến nghị, Điều 22 Nghị định số 19/2020/NĐ-CP (được sửa đổi bởi Khoản 12 Điều 1 Nghị định số 93/2025/NĐ-CP) chỉ quy định về một số hành vi vi phạm có tính chất đặc thù trong thi hành pháp luật về xử lý vi phạm hành chính. Đối </w:t>
            </w:r>
            <w:r w:rsidRPr="002C357E">
              <w:rPr>
                <w:rFonts w:ascii="Times New Roman" w:eastAsia="Times New Roman" w:hAnsi="Times New Roman" w:cs="Times New Roman"/>
                <w:color w:val="000000"/>
                <w:sz w:val="24"/>
                <w:szCs w:val="24"/>
              </w:rPr>
              <w:lastRenderedPageBreak/>
              <w:t>với hành vi “thu tiền phạt không đúng, không đầy đủ theo quy định” chưa được quy định</w:t>
            </w:r>
            <w:r w:rsidR="002C357E" w:rsidRPr="002C357E">
              <w:rPr>
                <w:rFonts w:ascii="Times New Roman" w:eastAsia="Times New Roman" w:hAnsi="Times New Roman" w:cs="Times New Roman"/>
                <w:color w:val="000000"/>
                <w:sz w:val="24"/>
                <w:szCs w:val="24"/>
              </w:rPr>
              <w:t xml:space="preserve"> tại Nghị định số 19/2020/NĐ-CP </w:t>
            </w:r>
            <w:r w:rsidRPr="002C357E">
              <w:rPr>
                <w:rFonts w:ascii="Times New Roman" w:eastAsia="Times New Roman" w:hAnsi="Times New Roman" w:cs="Times New Roman"/>
                <w:color w:val="000000"/>
                <w:sz w:val="24"/>
                <w:szCs w:val="24"/>
              </w:rPr>
              <w:t>(được sửa đổi bởi Khoản 12 Điề</w:t>
            </w:r>
            <w:r w:rsidR="002C357E" w:rsidRPr="002C357E">
              <w:rPr>
                <w:rFonts w:ascii="Times New Roman" w:eastAsia="Times New Roman" w:hAnsi="Times New Roman" w:cs="Times New Roman"/>
                <w:color w:val="000000"/>
                <w:sz w:val="24"/>
                <w:szCs w:val="24"/>
              </w:rPr>
              <w:t xml:space="preserve">u 1 Nghị định số 93/2025/NĐ-CP) </w:t>
            </w:r>
            <w:r w:rsidRPr="002C357E">
              <w:rPr>
                <w:rFonts w:ascii="Times New Roman" w:eastAsia="Times New Roman" w:hAnsi="Times New Roman" w:cs="Times New Roman"/>
                <w:color w:val="000000"/>
                <w:sz w:val="24"/>
                <w:szCs w:val="24"/>
              </w:rPr>
              <w:t xml:space="preserve">nhưng là vi vi phạm trong thi hành công vụ của cán bộ, công chức, viên chức thì có thể xem xét, xử lý kỷ luật theo quy định pháp luật về cán bộ, công chức, viên chức. Trong thời gian tới, khi sửa đổi, bổ sung Nghị định số 19/2020/NĐ-CP (được sửa đổi bởi Khoản 12 Điều 1 Nghị định số 93/2025/NĐ-CP), Bộ Tư pháp sẽ nghiên cứu bổ sung </w:t>
            </w:r>
            <w:r w:rsidRPr="002C357E">
              <w:rPr>
                <w:rFonts w:ascii="Times New Roman" w:eastAsia="Times New Roman" w:hAnsi="Times New Roman" w:cs="Times New Roman"/>
                <w:color w:val="000000"/>
                <w:sz w:val="24"/>
                <w:szCs w:val="24"/>
              </w:rPr>
              <w:lastRenderedPageBreak/>
              <w:t>hành vi nêu trên. Dự kiến Nghị định này sẽ được trình Chính phủ ban hành trong năm 2026.</w:t>
            </w:r>
          </w:p>
        </w:tc>
        <w:tc>
          <w:tcPr>
            <w:tcW w:w="2472" w:type="dxa"/>
          </w:tcPr>
          <w:p w14:paraId="6C5B82D4" w14:textId="77777777" w:rsidR="009D4311" w:rsidRPr="00D37D4B" w:rsidRDefault="009D4311" w:rsidP="002C357E">
            <w:pPr>
              <w:jc w:val="both"/>
              <w:rPr>
                <w:rFonts w:ascii="Times New Roman" w:eastAsia="Times New Roman" w:hAnsi="Times New Roman" w:cs="Times New Roman"/>
                <w:b/>
                <w:color w:val="000000"/>
                <w:sz w:val="24"/>
                <w:szCs w:val="24"/>
              </w:rPr>
            </w:pPr>
            <w:r w:rsidRPr="00D37D4B">
              <w:rPr>
                <w:rFonts w:ascii="Times New Roman" w:eastAsia="Times New Roman" w:hAnsi="Times New Roman" w:cs="Times New Roman"/>
                <w:b/>
                <w:color w:val="000000"/>
                <w:sz w:val="24"/>
                <w:szCs w:val="24"/>
              </w:rPr>
              <w:lastRenderedPageBreak/>
              <w:t>Đang xử lý</w:t>
            </w:r>
          </w:p>
          <w:p w14:paraId="5AE4EE71" w14:textId="08C79994" w:rsidR="002C357E" w:rsidRPr="002C357E" w:rsidRDefault="002C357E" w:rsidP="002C357E">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Bộ Tư pháp đang nghiên cứu xây dựng Nghị định sửa đổi, dự kiến trình Chính phủ ban hành trong năm 2026.</w:t>
            </w:r>
          </w:p>
          <w:p w14:paraId="3AF5C7EE" w14:textId="0116987F" w:rsidR="00644562" w:rsidRPr="002C357E" w:rsidRDefault="00644562" w:rsidP="00644562">
            <w:pPr>
              <w:jc w:val="both"/>
              <w:rPr>
                <w:rFonts w:ascii="Times New Roman" w:eastAsia="Times New Roman" w:hAnsi="Times New Roman" w:cs="Times New Roman"/>
                <w:color w:val="000000"/>
                <w:sz w:val="24"/>
                <w:szCs w:val="24"/>
              </w:rPr>
            </w:pPr>
          </w:p>
        </w:tc>
      </w:tr>
      <w:tr w:rsidR="00644562" w:rsidRPr="002C357E" w14:paraId="5A51B274" w14:textId="77777777" w:rsidTr="00CF1EAE">
        <w:tc>
          <w:tcPr>
            <w:tcW w:w="736" w:type="dxa"/>
          </w:tcPr>
          <w:p w14:paraId="6585620B" w14:textId="77777777" w:rsidR="00644562" w:rsidRPr="002C357E" w:rsidRDefault="00644562" w:rsidP="00644562">
            <w:pPr>
              <w:pStyle w:val="ListParagraph"/>
              <w:numPr>
                <w:ilvl w:val="0"/>
                <w:numId w:val="8"/>
              </w:numPr>
              <w:jc w:val="center"/>
              <w:rPr>
                <w:rFonts w:ascii="Times New Roman" w:hAnsi="Times New Roman" w:cs="Times New Roman"/>
                <w:sz w:val="24"/>
                <w:szCs w:val="24"/>
              </w:rPr>
            </w:pPr>
          </w:p>
        </w:tc>
        <w:tc>
          <w:tcPr>
            <w:tcW w:w="2013" w:type="dxa"/>
          </w:tcPr>
          <w:p w14:paraId="490F1DBC"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Nghị định số 23/2015/NĐ-CP ngày 16/02/2015 của Chính phủ quy định về cấp bản sao từ sổ gốc, chứng thực bản sao từ bản chính, chứng thực chữ ký, chứng thực hợp đồng giao dịch</w:t>
            </w:r>
          </w:p>
        </w:tc>
        <w:tc>
          <w:tcPr>
            <w:tcW w:w="4269" w:type="dxa"/>
          </w:tcPr>
          <w:p w14:paraId="63F488B1"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Đã quy định lời chứng thực di chúc (đối với trường hợp người lập di chúc tự lập). Chưa quy định lời chứng đối với trường hợp việc lập di chúc có người làm chứng. Trường hợp việc lập di chúc có người làm chứng cần bồ sung phần lời chứng đối với người làm chứng về năng lực hành vi, chữ ký của người làm chứng</w:t>
            </w:r>
          </w:p>
        </w:tc>
        <w:tc>
          <w:tcPr>
            <w:tcW w:w="1968" w:type="dxa"/>
          </w:tcPr>
          <w:p w14:paraId="372CCE82"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C. Sửa đổi, bổ sung, thay thế, ban hành mới VBQPPL (theo trình tự, thủ tục rút gọn ban hành VBQPPL của Luật Ban hành VBQPPL)</w:t>
            </w:r>
          </w:p>
        </w:tc>
        <w:tc>
          <w:tcPr>
            <w:tcW w:w="1597" w:type="dxa"/>
          </w:tcPr>
          <w:p w14:paraId="4CFB33C2"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Sở Tư pháp tỉnh Quảng Ngãi</w:t>
            </w:r>
          </w:p>
        </w:tc>
        <w:tc>
          <w:tcPr>
            <w:tcW w:w="2368" w:type="dxa"/>
          </w:tcPr>
          <w:p w14:paraId="5BFD6DD8" w14:textId="77777777" w:rsidR="00644562" w:rsidRPr="002C357E" w:rsidRDefault="00644562" w:rsidP="00644562">
            <w:pPr>
              <w:jc w:val="both"/>
              <w:rPr>
                <w:rFonts w:ascii="Times New Roman" w:eastAsia="Times New Roman" w:hAnsi="Times New Roman" w:cs="Times New Roman"/>
                <w:color w:val="000000"/>
                <w:sz w:val="24"/>
                <w:szCs w:val="24"/>
              </w:rPr>
            </w:pPr>
            <w:r w:rsidRPr="002C357E">
              <w:rPr>
                <w:rFonts w:ascii="Times New Roman" w:eastAsia="Times New Roman" w:hAnsi="Times New Roman" w:cs="Times New Roman"/>
                <w:color w:val="000000"/>
                <w:sz w:val="24"/>
                <w:szCs w:val="24"/>
              </w:rPr>
              <w:t xml:space="preserve">Nhất trí đề xuất. Hiện nay, Bộ Tư pháp đã báo cáo Chính phủ sửa đổi Nghị định số 23/2015/NĐ-CP ngày 16/02/2015 của Chính phủ về cấp bản sao từ sổ gốc, chứng thực bản sao từ bản chính, chứng thực chữ ký và chứng thực hợp đồng, giao dịch được sửa đổi, bổ sung bởi Nghị định số 07/2025/NĐ-CP (Nghị định đã được thẩm định và đang được chỉnh lý, hoàn thiện trình Chính phủ xem xét theo quy định). Về nội dung kiến nghị đã được quy </w:t>
            </w:r>
            <w:r w:rsidRPr="002C357E">
              <w:rPr>
                <w:rFonts w:ascii="Times New Roman" w:eastAsia="Times New Roman" w:hAnsi="Times New Roman" w:cs="Times New Roman"/>
                <w:color w:val="000000"/>
                <w:sz w:val="24"/>
                <w:szCs w:val="24"/>
              </w:rPr>
              <w:lastRenderedPageBreak/>
              <w:t>định tại mẫu lời chứng số 17 về lời chứng chứng thực di chúc của Dự thảo Nghị định sửa đổi, bổ sung một số điều của Nghị định số 23/2015/NĐ-CP.</w:t>
            </w:r>
          </w:p>
        </w:tc>
        <w:tc>
          <w:tcPr>
            <w:tcW w:w="2472" w:type="dxa"/>
          </w:tcPr>
          <w:p w14:paraId="78F626C8" w14:textId="77777777" w:rsidR="009D4311" w:rsidRPr="009D4311" w:rsidRDefault="009D4311" w:rsidP="009D4311">
            <w:pPr>
              <w:jc w:val="both"/>
              <w:rPr>
                <w:rFonts w:ascii="Times New Roman" w:eastAsia="Times New Roman" w:hAnsi="Times New Roman" w:cs="Times New Roman"/>
                <w:b/>
                <w:color w:val="000000"/>
                <w:sz w:val="25"/>
                <w:szCs w:val="25"/>
              </w:rPr>
            </w:pPr>
            <w:r w:rsidRPr="009D4311">
              <w:rPr>
                <w:rFonts w:ascii="Times New Roman" w:eastAsia="Times New Roman" w:hAnsi="Times New Roman" w:cs="Times New Roman"/>
                <w:b/>
                <w:color w:val="000000"/>
                <w:sz w:val="25"/>
                <w:szCs w:val="25"/>
              </w:rPr>
              <w:lastRenderedPageBreak/>
              <w:t>Đã xử lý.</w:t>
            </w:r>
          </w:p>
          <w:p w14:paraId="246BE58A" w14:textId="163AB88D" w:rsidR="00644562" w:rsidRPr="009D4311" w:rsidRDefault="009D4311" w:rsidP="009D4311">
            <w:pPr>
              <w:jc w:val="both"/>
              <w:rPr>
                <w:rFonts w:ascii="Times New Roman" w:eastAsia="Times New Roman" w:hAnsi="Times New Roman" w:cs="Times New Roman"/>
                <w:color w:val="000000"/>
                <w:sz w:val="25"/>
                <w:szCs w:val="25"/>
              </w:rPr>
            </w:pPr>
            <w:r w:rsidRPr="009D4311">
              <w:rPr>
                <w:rFonts w:ascii="Times New Roman" w:eastAsia="Times New Roman" w:hAnsi="Times New Roman" w:cs="Times New Roman"/>
                <w:color w:val="000000"/>
                <w:spacing w:val="-8"/>
                <w:sz w:val="25"/>
                <w:szCs w:val="25"/>
              </w:rPr>
              <w:t xml:space="preserve">Bộ Tư pháp đã tham mưu Chính phủ ban hành Nghị định số 280/2025/NĐ-CP ngày 27/10/2025 sửa đổi, bổ sung một số điều của </w:t>
            </w:r>
            <w:r w:rsidRPr="009D4311">
              <w:rPr>
                <w:rFonts w:ascii="Times New Roman" w:eastAsia="Times New Roman" w:hAnsi="Times New Roman" w:cs="Times New Roman"/>
                <w:color w:val="000000"/>
                <w:spacing w:val="-18"/>
                <w:sz w:val="25"/>
                <w:szCs w:val="25"/>
              </w:rPr>
              <w:t>Nghị định số 23/2015/NĐ-CP</w:t>
            </w:r>
            <w:r w:rsidRPr="009D4311">
              <w:rPr>
                <w:rFonts w:ascii="Times New Roman" w:eastAsia="Times New Roman" w:hAnsi="Times New Roman" w:cs="Times New Roman"/>
                <w:color w:val="000000"/>
                <w:spacing w:val="-8"/>
                <w:sz w:val="25"/>
                <w:szCs w:val="25"/>
              </w:rPr>
              <w:t xml:space="preserve"> về cấp bản sao từ sổ gốc, chứng thực bản sao từ bản chính, chứng thực chữ ký và chứng thực hợp đồng, giao dịch, được sửa đổi, bổ sung bởi Nghị định số 07/2025/NĐ-CP.</w:t>
            </w:r>
          </w:p>
        </w:tc>
      </w:tr>
    </w:tbl>
    <w:p w14:paraId="0B37E562" w14:textId="77777777" w:rsidR="004073D8" w:rsidRDefault="004073D8" w:rsidP="004073D8"/>
    <w:p w14:paraId="61181E7E" w14:textId="04FB7711" w:rsidR="004073D8" w:rsidRDefault="004073D8">
      <w:pPr>
        <w:rPr>
          <w:sz w:val="25"/>
          <w:szCs w:val="25"/>
        </w:rPr>
      </w:pPr>
    </w:p>
    <w:sectPr w:rsidR="004073D8" w:rsidSect="00295A74">
      <w:headerReference w:type="default" r:id="rId8"/>
      <w:pgSz w:w="16840" w:h="11907" w:orient="landscape" w:code="9"/>
      <w:pgMar w:top="1134" w:right="1134"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5DF1" w14:textId="77777777" w:rsidR="00EA56D5" w:rsidRDefault="00EA56D5" w:rsidP="00E40AFF">
      <w:pPr>
        <w:spacing w:after="0" w:line="240" w:lineRule="auto"/>
      </w:pPr>
      <w:r>
        <w:separator/>
      </w:r>
    </w:p>
  </w:endnote>
  <w:endnote w:type="continuationSeparator" w:id="0">
    <w:p w14:paraId="14C9AE3F" w14:textId="77777777" w:rsidR="00EA56D5" w:rsidRDefault="00EA56D5" w:rsidP="00E4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0B83" w14:textId="77777777" w:rsidR="00EA56D5" w:rsidRDefault="00EA56D5" w:rsidP="00E40AFF">
      <w:pPr>
        <w:spacing w:after="0" w:line="240" w:lineRule="auto"/>
      </w:pPr>
      <w:r>
        <w:separator/>
      </w:r>
    </w:p>
  </w:footnote>
  <w:footnote w:type="continuationSeparator" w:id="0">
    <w:p w14:paraId="5BB89052" w14:textId="77777777" w:rsidR="00EA56D5" w:rsidRDefault="00EA56D5" w:rsidP="00E4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30353"/>
      <w:docPartObj>
        <w:docPartGallery w:val="Page Numbers (Top of Page)"/>
        <w:docPartUnique/>
      </w:docPartObj>
    </w:sdtPr>
    <w:sdtEndPr>
      <w:rPr>
        <w:rFonts w:ascii="Times New Roman" w:hAnsi="Times New Roman" w:cs="Times New Roman"/>
        <w:noProof/>
      </w:rPr>
    </w:sdtEndPr>
    <w:sdtContent>
      <w:p w14:paraId="0177EBFE" w14:textId="522E0241" w:rsidR="00CF1EAE" w:rsidRPr="00562593" w:rsidRDefault="00CF1EAE">
        <w:pPr>
          <w:pStyle w:val="Header"/>
          <w:jc w:val="center"/>
          <w:rPr>
            <w:rFonts w:ascii="Times New Roman" w:hAnsi="Times New Roman" w:cs="Times New Roman"/>
          </w:rPr>
        </w:pPr>
        <w:r w:rsidRPr="00562593">
          <w:rPr>
            <w:rFonts w:ascii="Times New Roman" w:hAnsi="Times New Roman" w:cs="Times New Roman"/>
          </w:rPr>
          <w:fldChar w:fldCharType="begin"/>
        </w:r>
        <w:r w:rsidRPr="00562593">
          <w:rPr>
            <w:rFonts w:ascii="Times New Roman" w:hAnsi="Times New Roman" w:cs="Times New Roman"/>
          </w:rPr>
          <w:instrText xml:space="preserve"> PAGE   \* MERGEFORMAT </w:instrText>
        </w:r>
        <w:r w:rsidRPr="00562593">
          <w:rPr>
            <w:rFonts w:ascii="Times New Roman" w:hAnsi="Times New Roman" w:cs="Times New Roman"/>
          </w:rPr>
          <w:fldChar w:fldCharType="separate"/>
        </w:r>
        <w:r w:rsidR="004A2F5B">
          <w:rPr>
            <w:rFonts w:ascii="Times New Roman" w:hAnsi="Times New Roman" w:cs="Times New Roman"/>
            <w:noProof/>
          </w:rPr>
          <w:t>15</w:t>
        </w:r>
        <w:r w:rsidRPr="00562593">
          <w:rPr>
            <w:rFonts w:ascii="Times New Roman" w:hAnsi="Times New Roman" w:cs="Times New Roman"/>
            <w:noProof/>
          </w:rPr>
          <w:fldChar w:fldCharType="end"/>
        </w:r>
      </w:p>
    </w:sdtContent>
  </w:sdt>
  <w:p w14:paraId="70A51A94" w14:textId="77777777" w:rsidR="00CF1EAE" w:rsidRDefault="00CF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7D8"/>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C2859F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79872A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53C54D5"/>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48C1539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60927A5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2D84F9E"/>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75C3062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F647868"/>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447430006">
    <w:abstractNumId w:val="8"/>
  </w:num>
  <w:num w:numId="2" w16cid:durableId="1662156242">
    <w:abstractNumId w:val="4"/>
  </w:num>
  <w:num w:numId="3" w16cid:durableId="1174879376">
    <w:abstractNumId w:val="5"/>
  </w:num>
  <w:num w:numId="4" w16cid:durableId="1033700048">
    <w:abstractNumId w:val="7"/>
  </w:num>
  <w:num w:numId="5" w16cid:durableId="1931155916">
    <w:abstractNumId w:val="2"/>
  </w:num>
  <w:num w:numId="6" w16cid:durableId="1385451289">
    <w:abstractNumId w:val="6"/>
  </w:num>
  <w:num w:numId="7" w16cid:durableId="1078602549">
    <w:abstractNumId w:val="1"/>
  </w:num>
  <w:num w:numId="8" w16cid:durableId="158039877">
    <w:abstractNumId w:val="3"/>
  </w:num>
  <w:num w:numId="9" w16cid:durableId="3362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17"/>
    <w:rsid w:val="0002368F"/>
    <w:rsid w:val="00055EC1"/>
    <w:rsid w:val="00063E6B"/>
    <w:rsid w:val="000F742A"/>
    <w:rsid w:val="00104FDD"/>
    <w:rsid w:val="00142F06"/>
    <w:rsid w:val="00161B68"/>
    <w:rsid w:val="00183331"/>
    <w:rsid w:val="001A0FD8"/>
    <w:rsid w:val="001B7919"/>
    <w:rsid w:val="001D1AD9"/>
    <w:rsid w:val="001E740E"/>
    <w:rsid w:val="00207E9C"/>
    <w:rsid w:val="00295A74"/>
    <w:rsid w:val="00296794"/>
    <w:rsid w:val="002A733D"/>
    <w:rsid w:val="002B15A7"/>
    <w:rsid w:val="002C357E"/>
    <w:rsid w:val="00390812"/>
    <w:rsid w:val="003E362F"/>
    <w:rsid w:val="004073D8"/>
    <w:rsid w:val="004174C4"/>
    <w:rsid w:val="00421099"/>
    <w:rsid w:val="004410FB"/>
    <w:rsid w:val="004719B4"/>
    <w:rsid w:val="004878E7"/>
    <w:rsid w:val="004A2F5B"/>
    <w:rsid w:val="004C0C85"/>
    <w:rsid w:val="004D350D"/>
    <w:rsid w:val="004E68C2"/>
    <w:rsid w:val="00517BF4"/>
    <w:rsid w:val="005220F3"/>
    <w:rsid w:val="00562593"/>
    <w:rsid w:val="00566AD3"/>
    <w:rsid w:val="0057027D"/>
    <w:rsid w:val="005831E7"/>
    <w:rsid w:val="005C4248"/>
    <w:rsid w:val="005C5351"/>
    <w:rsid w:val="00603F46"/>
    <w:rsid w:val="00623552"/>
    <w:rsid w:val="00644562"/>
    <w:rsid w:val="00662D8B"/>
    <w:rsid w:val="00665417"/>
    <w:rsid w:val="006705B7"/>
    <w:rsid w:val="006A36C6"/>
    <w:rsid w:val="006B4FB7"/>
    <w:rsid w:val="006C4C63"/>
    <w:rsid w:val="006C77BF"/>
    <w:rsid w:val="00724F15"/>
    <w:rsid w:val="007444EE"/>
    <w:rsid w:val="00747E5E"/>
    <w:rsid w:val="00775424"/>
    <w:rsid w:val="00775B21"/>
    <w:rsid w:val="00785B1F"/>
    <w:rsid w:val="007B14DC"/>
    <w:rsid w:val="007B7D19"/>
    <w:rsid w:val="007C14E5"/>
    <w:rsid w:val="007C207C"/>
    <w:rsid w:val="007D38F8"/>
    <w:rsid w:val="007E6637"/>
    <w:rsid w:val="0080174C"/>
    <w:rsid w:val="00802B7E"/>
    <w:rsid w:val="008308B5"/>
    <w:rsid w:val="00844592"/>
    <w:rsid w:val="00845982"/>
    <w:rsid w:val="00860EAD"/>
    <w:rsid w:val="00881BAF"/>
    <w:rsid w:val="00886E36"/>
    <w:rsid w:val="00891514"/>
    <w:rsid w:val="008B083A"/>
    <w:rsid w:val="008C2B53"/>
    <w:rsid w:val="008D6385"/>
    <w:rsid w:val="00923F1E"/>
    <w:rsid w:val="00952D26"/>
    <w:rsid w:val="00954DFD"/>
    <w:rsid w:val="00986A00"/>
    <w:rsid w:val="009903CD"/>
    <w:rsid w:val="009B3E63"/>
    <w:rsid w:val="009B4298"/>
    <w:rsid w:val="009D4311"/>
    <w:rsid w:val="009E6E57"/>
    <w:rsid w:val="009E7948"/>
    <w:rsid w:val="00A66A0B"/>
    <w:rsid w:val="00A73890"/>
    <w:rsid w:val="00A766A5"/>
    <w:rsid w:val="00A876C4"/>
    <w:rsid w:val="00AF33BF"/>
    <w:rsid w:val="00B07CCB"/>
    <w:rsid w:val="00B10455"/>
    <w:rsid w:val="00B31912"/>
    <w:rsid w:val="00B44EC4"/>
    <w:rsid w:val="00B8129E"/>
    <w:rsid w:val="00B97436"/>
    <w:rsid w:val="00BB267C"/>
    <w:rsid w:val="00BD5B6A"/>
    <w:rsid w:val="00BF5F9A"/>
    <w:rsid w:val="00C15A67"/>
    <w:rsid w:val="00C219F9"/>
    <w:rsid w:val="00C21D9B"/>
    <w:rsid w:val="00C36FEC"/>
    <w:rsid w:val="00C736C3"/>
    <w:rsid w:val="00C91272"/>
    <w:rsid w:val="00C9333D"/>
    <w:rsid w:val="00CA14D3"/>
    <w:rsid w:val="00CC5FED"/>
    <w:rsid w:val="00CD15E9"/>
    <w:rsid w:val="00CF1EAE"/>
    <w:rsid w:val="00D25DB1"/>
    <w:rsid w:val="00D32C19"/>
    <w:rsid w:val="00D37D4B"/>
    <w:rsid w:val="00D42262"/>
    <w:rsid w:val="00D551AE"/>
    <w:rsid w:val="00D61EDD"/>
    <w:rsid w:val="00D9343F"/>
    <w:rsid w:val="00DA31F6"/>
    <w:rsid w:val="00DA5BC0"/>
    <w:rsid w:val="00DB3F15"/>
    <w:rsid w:val="00DB6A4C"/>
    <w:rsid w:val="00DC0162"/>
    <w:rsid w:val="00E030E0"/>
    <w:rsid w:val="00E40AFF"/>
    <w:rsid w:val="00E72AA1"/>
    <w:rsid w:val="00E738A1"/>
    <w:rsid w:val="00E82FD2"/>
    <w:rsid w:val="00E96E9A"/>
    <w:rsid w:val="00EA4A15"/>
    <w:rsid w:val="00EA56D5"/>
    <w:rsid w:val="00EB78AB"/>
    <w:rsid w:val="00EC248F"/>
    <w:rsid w:val="00ED4B84"/>
    <w:rsid w:val="00ED6FB9"/>
    <w:rsid w:val="00EE07AF"/>
    <w:rsid w:val="00F11923"/>
    <w:rsid w:val="00F23653"/>
    <w:rsid w:val="00F30742"/>
    <w:rsid w:val="00F32BC8"/>
    <w:rsid w:val="00FD5711"/>
    <w:rsid w:val="00FD63A8"/>
    <w:rsid w:val="00FE10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576E"/>
  <w15:docId w15:val="{27806BEF-0704-4787-A5F9-F88DFF0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417"/>
    <w:pPr>
      <w:ind w:left="720"/>
      <w:contextualSpacing/>
    </w:pPr>
  </w:style>
  <w:style w:type="paragraph" w:styleId="BalloonText">
    <w:name w:val="Balloon Text"/>
    <w:basedOn w:val="Normal"/>
    <w:link w:val="BalloonTextChar"/>
    <w:uiPriority w:val="99"/>
    <w:semiHidden/>
    <w:unhideWhenUsed/>
    <w:rsid w:val="00DA5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BC0"/>
    <w:rPr>
      <w:rFonts w:ascii="Segoe UI" w:hAnsi="Segoe UI" w:cs="Segoe UI"/>
      <w:sz w:val="18"/>
      <w:szCs w:val="18"/>
    </w:rPr>
  </w:style>
  <w:style w:type="paragraph" w:styleId="Header">
    <w:name w:val="header"/>
    <w:basedOn w:val="Normal"/>
    <w:link w:val="HeaderChar"/>
    <w:uiPriority w:val="99"/>
    <w:unhideWhenUsed/>
    <w:rsid w:val="00E4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AFF"/>
  </w:style>
  <w:style w:type="paragraph" w:styleId="Footer">
    <w:name w:val="footer"/>
    <w:basedOn w:val="Normal"/>
    <w:link w:val="FooterChar"/>
    <w:uiPriority w:val="99"/>
    <w:unhideWhenUsed/>
    <w:rsid w:val="00E4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AFF"/>
  </w:style>
  <w:style w:type="paragraph" w:styleId="NormalWeb">
    <w:name w:val="Normal (Web)"/>
    <w:basedOn w:val="Normal"/>
    <w:uiPriority w:val="99"/>
    <w:unhideWhenUsed/>
    <w:rsid w:val="007B7D19"/>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7B7D19"/>
    <w:rPr>
      <w:b/>
      <w:bCs/>
    </w:rPr>
  </w:style>
  <w:style w:type="paragraph" w:styleId="FootnoteText">
    <w:name w:val="footnote text"/>
    <w:aliases w:val=" Char9,Char9, Char4,Char4,Geneva 9,Font: Geneva 9,Boston 10,f Char,Footnote Text Char Char Char Char Char,Footnote Text Char Char Char Char Char Char Ch,Footnote Text Char1 Char1,Footnote Text Char Char Char1,Footnote Text Char1 Char Cha"/>
    <w:basedOn w:val="Normal"/>
    <w:link w:val="FootnoteTextChar"/>
    <w:uiPriority w:val="99"/>
    <w:unhideWhenUsed/>
    <w:qFormat/>
    <w:rsid w:val="00D25DB1"/>
    <w:pPr>
      <w:spacing w:after="0" w:line="240" w:lineRule="auto"/>
    </w:pPr>
    <w:rPr>
      <w:rFonts w:ascii="Calibri" w:eastAsia="Calibri" w:hAnsi="Calibri" w:cs="Calibri"/>
      <w:sz w:val="20"/>
      <w:szCs w:val="20"/>
    </w:rPr>
  </w:style>
  <w:style w:type="character" w:customStyle="1" w:styleId="FootnoteTextChar">
    <w:name w:val="Footnote Text Char"/>
    <w:aliases w:val=" Char9 Char,Char9 Char, Char4 Char,Char4 Char,Geneva 9 Char,Font: Geneva 9 Char,Boston 10 Char,f Char Char,Footnote Text Char Char Char Char Char Char,Footnote Text Char Char Char Char Char Char Ch Char,Footnote Text Char1 Char1 Char"/>
    <w:basedOn w:val="DefaultParagraphFont"/>
    <w:link w:val="FootnoteText"/>
    <w:uiPriority w:val="99"/>
    <w:qFormat/>
    <w:rsid w:val="00D25DB1"/>
    <w:rPr>
      <w:rFonts w:ascii="Calibri" w:eastAsia="Calibri" w:hAnsi="Calibri" w:cs="Calibri"/>
      <w:sz w:val="20"/>
      <w:szCs w:val="20"/>
    </w:rPr>
  </w:style>
  <w:style w:type="character" w:styleId="FootnoteReference">
    <w:name w:val="footnote reference"/>
    <w:aliases w:val="Footnote,Footnote text,Footnote dich,ftref,BVI fnr,footnote ref,SUPERS,Footnote Reference Number,Знак сноски 1,(NECG) Footnote Reference,16 Point,Superscript 6 Point,Footnote + Arial,10 pt,Black,Ref,de nota al pie,R,fr,f,Re"/>
    <w:link w:val="RefChar"/>
    <w:uiPriority w:val="99"/>
    <w:unhideWhenUsed/>
    <w:qFormat/>
    <w:rsid w:val="00D25DB1"/>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1E740E"/>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93929">
      <w:bodyDiv w:val="1"/>
      <w:marLeft w:val="0"/>
      <w:marRight w:val="0"/>
      <w:marTop w:val="0"/>
      <w:marBottom w:val="0"/>
      <w:divBdr>
        <w:top w:val="none" w:sz="0" w:space="0" w:color="auto"/>
        <w:left w:val="none" w:sz="0" w:space="0" w:color="auto"/>
        <w:bottom w:val="none" w:sz="0" w:space="0" w:color="auto"/>
        <w:right w:val="none" w:sz="0" w:space="0" w:color="auto"/>
      </w:divBdr>
    </w:div>
    <w:div w:id="10732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7FF72-52FD-45B4-AF21-B637722B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DELL</cp:lastModifiedBy>
  <cp:revision>18</cp:revision>
  <cp:lastPrinted>2025-07-30T08:12:00Z</cp:lastPrinted>
  <dcterms:created xsi:type="dcterms:W3CDTF">2025-09-22T09:05:00Z</dcterms:created>
  <dcterms:modified xsi:type="dcterms:W3CDTF">2025-12-14T03:50:00Z</dcterms:modified>
</cp:coreProperties>
</file>