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6271A" w14:textId="786465ED" w:rsidR="004073D8" w:rsidRDefault="004073D8" w:rsidP="004073D8">
      <w:pPr>
        <w:pStyle w:val="NormalWeb"/>
        <w:spacing w:before="0" w:beforeAutospacing="0" w:after="0" w:afterAutospacing="0"/>
        <w:jc w:val="center"/>
        <w:rPr>
          <w:rStyle w:val="Strong"/>
          <w:color w:val="000000"/>
          <w:sz w:val="25"/>
          <w:szCs w:val="25"/>
        </w:rPr>
      </w:pPr>
      <w:r>
        <w:rPr>
          <w:rStyle w:val="Strong"/>
          <w:color w:val="000000"/>
          <w:sz w:val="25"/>
          <w:szCs w:val="25"/>
        </w:rPr>
        <w:t xml:space="preserve">Phụ lục </w:t>
      </w:r>
      <w:r w:rsidR="008723DD">
        <w:rPr>
          <w:rStyle w:val="Strong"/>
          <w:color w:val="000000"/>
          <w:sz w:val="25"/>
          <w:szCs w:val="25"/>
        </w:rPr>
        <w:t>I.</w:t>
      </w:r>
      <w:r>
        <w:rPr>
          <w:rStyle w:val="Strong"/>
          <w:color w:val="000000"/>
          <w:sz w:val="25"/>
          <w:szCs w:val="25"/>
        </w:rPr>
        <w:t>14.3.A</w:t>
      </w:r>
    </w:p>
    <w:p w14:paraId="0986B6E3" w14:textId="77777777" w:rsidR="004073D8" w:rsidRPr="001D7B55" w:rsidRDefault="004073D8" w:rsidP="004073D8">
      <w:pPr>
        <w:pStyle w:val="NormalWeb"/>
        <w:spacing w:before="0" w:beforeAutospacing="0" w:after="0" w:afterAutospacing="0"/>
        <w:jc w:val="center"/>
        <w:rPr>
          <w:rStyle w:val="Strong"/>
          <w:color w:val="000000"/>
          <w:sz w:val="26"/>
          <w:szCs w:val="26"/>
        </w:rPr>
      </w:pPr>
      <w:r>
        <w:rPr>
          <w:rStyle w:val="Strong"/>
          <w:color w:val="000000"/>
          <w:sz w:val="26"/>
          <w:szCs w:val="26"/>
        </w:rPr>
        <w:t xml:space="preserve">TÌNH HÌNH XỬ LÝ ĐỐI VỚI </w:t>
      </w:r>
      <w:r w:rsidRPr="001D7B55">
        <w:rPr>
          <w:rStyle w:val="Strong"/>
          <w:color w:val="000000"/>
          <w:sz w:val="26"/>
          <w:szCs w:val="26"/>
        </w:rPr>
        <w:t>KHÓ KHĂN, VƯỚNG MẮC DO QUY ĐỊNH PHÁP LUẬT</w:t>
      </w:r>
    </w:p>
    <w:p w14:paraId="1022DCEA" w14:textId="77777777" w:rsidR="004073D8" w:rsidRPr="001D7B55" w:rsidRDefault="004073D8" w:rsidP="004073D8">
      <w:pPr>
        <w:pStyle w:val="NormalWeb"/>
        <w:spacing w:before="0" w:beforeAutospacing="0" w:after="0" w:afterAutospacing="0"/>
        <w:jc w:val="center"/>
        <w:rPr>
          <w:sz w:val="26"/>
          <w:szCs w:val="26"/>
        </w:rPr>
      </w:pPr>
      <w:r w:rsidRPr="001D7B55">
        <w:rPr>
          <w:rStyle w:val="Strong"/>
          <w:color w:val="000000"/>
          <w:sz w:val="26"/>
          <w:szCs w:val="26"/>
        </w:rPr>
        <w:t>THUỘC PHẠM VI PHỤ TRÁCH CỦA BỘ TƯ PHÁP</w:t>
      </w:r>
    </w:p>
    <w:p w14:paraId="2481A433" w14:textId="77777777" w:rsidR="004073D8" w:rsidRDefault="004073D8" w:rsidP="004073D8">
      <w:pPr>
        <w:pStyle w:val="NormalWeb"/>
        <w:spacing w:before="0" w:beforeAutospacing="0" w:after="0" w:afterAutospacing="0"/>
        <w:jc w:val="center"/>
        <w:rPr>
          <w:b/>
          <w:bCs/>
          <w:sz w:val="26"/>
          <w:szCs w:val="26"/>
        </w:rPr>
      </w:pPr>
      <w:r w:rsidRPr="001D7B55">
        <w:rPr>
          <w:rStyle w:val="Strong"/>
          <w:color w:val="000000"/>
          <w:sz w:val="26"/>
          <w:szCs w:val="26"/>
        </w:rPr>
        <w:t xml:space="preserve">Tiêu chí: </w:t>
      </w:r>
      <w:r w:rsidRPr="001D7B55">
        <w:rPr>
          <w:b/>
          <w:bCs/>
          <w:sz w:val="26"/>
          <w:szCs w:val="26"/>
        </w:rPr>
        <w:t xml:space="preserve">Nội dung quy định được phản ánh tạo gánh nặng chi phí tuân thủ; chưa có quy định hoặc có quy định của VBQPPL nhưng hạn chế việc đổi mới sáng tạo, phát triển động lực tăng trưởng mới, khơi thông nguồn lực, </w:t>
      </w:r>
    </w:p>
    <w:p w14:paraId="1C84EBEE" w14:textId="77777777" w:rsidR="004073D8" w:rsidRPr="001D7B55" w:rsidRDefault="004073D8" w:rsidP="004073D8">
      <w:pPr>
        <w:pStyle w:val="NormalWeb"/>
        <w:spacing w:before="0" w:beforeAutospacing="0" w:after="0" w:afterAutospacing="0"/>
        <w:jc w:val="center"/>
        <w:rPr>
          <w:rStyle w:val="Strong"/>
          <w:sz w:val="26"/>
          <w:szCs w:val="26"/>
        </w:rPr>
      </w:pPr>
      <w:r w:rsidRPr="001D7B55">
        <w:rPr>
          <w:b/>
          <w:bCs/>
          <w:sz w:val="26"/>
          <w:szCs w:val="26"/>
        </w:rPr>
        <w:t>thúc đẩy tăng trưởng kinh tế và hội nhập quốc tế</w:t>
      </w:r>
    </w:p>
    <w:p w14:paraId="325BD42A" w14:textId="77777777" w:rsidR="004073D8" w:rsidRDefault="004073D8" w:rsidP="004073D8">
      <w:pPr>
        <w:pStyle w:val="NormalWeb"/>
        <w:spacing w:before="0" w:beforeAutospacing="0" w:after="0" w:afterAutospacing="0"/>
        <w:jc w:val="center"/>
        <w:rPr>
          <w:b/>
          <w:sz w:val="26"/>
          <w:szCs w:val="26"/>
        </w:rPr>
      </w:pPr>
      <w:r w:rsidRPr="001D7B55">
        <w:rPr>
          <w:rStyle w:val="Strong"/>
          <w:color w:val="000000"/>
          <w:sz w:val="26"/>
          <w:szCs w:val="26"/>
        </w:rPr>
        <w:t xml:space="preserve">Nhóm A. </w:t>
      </w:r>
      <w:r w:rsidRPr="001D7B55">
        <w:rPr>
          <w:b/>
          <w:sz w:val="26"/>
          <w:szCs w:val="26"/>
        </w:rPr>
        <w:t>Nhóm các nội dung cho ý kiến nhất trí và đề xuất xử lý theo phương án, quy trình</w:t>
      </w:r>
    </w:p>
    <w:p w14:paraId="07E72CC6" w14:textId="77777777" w:rsidR="004073D8" w:rsidRDefault="004073D8" w:rsidP="004073D8">
      <w:pPr>
        <w:pStyle w:val="NormalWeb"/>
        <w:spacing w:before="0" w:beforeAutospacing="0" w:after="0" w:afterAutospacing="0"/>
        <w:jc w:val="center"/>
        <w:rPr>
          <w:b/>
          <w:sz w:val="26"/>
          <w:szCs w:val="26"/>
        </w:rPr>
      </w:pPr>
      <w:r w:rsidRPr="001D7B55">
        <w:rPr>
          <w:b/>
          <w:sz w:val="26"/>
          <w:szCs w:val="26"/>
        </w:rPr>
        <w:t xml:space="preserve"> nêu tại khoản 1 Điều 4 Nghị quyết số 206/2025/QH15 (thực hiện trong năm 2025)</w:t>
      </w:r>
    </w:p>
    <w:p w14:paraId="4AAD4F6B" w14:textId="31822E40" w:rsidR="004073D8" w:rsidRDefault="004073D8" w:rsidP="004073D8">
      <w:pPr>
        <w:rPr>
          <w:rFonts w:ascii="Times New Roman" w:eastAsia="Times New Roman" w:hAnsi="Times New Roman" w:cs="Times New Roman"/>
          <w:b/>
          <w:bCs/>
          <w:color w:val="000000"/>
          <w:sz w:val="28"/>
          <w:szCs w:val="28"/>
        </w:rPr>
      </w:pPr>
    </w:p>
    <w:tbl>
      <w:tblPr>
        <w:tblStyle w:val="TableGrid"/>
        <w:tblW w:w="15310" w:type="dxa"/>
        <w:tblInd w:w="-176" w:type="dxa"/>
        <w:tblLayout w:type="fixed"/>
        <w:tblLook w:val="04A0" w:firstRow="1" w:lastRow="0" w:firstColumn="1" w:lastColumn="0" w:noHBand="0" w:noVBand="1"/>
      </w:tblPr>
      <w:tblGrid>
        <w:gridCol w:w="736"/>
        <w:gridCol w:w="1899"/>
        <w:gridCol w:w="3773"/>
        <w:gridCol w:w="1731"/>
        <w:gridCol w:w="1790"/>
        <w:gridCol w:w="2660"/>
        <w:gridCol w:w="2721"/>
      </w:tblGrid>
      <w:tr w:rsidR="004073D8" w:rsidRPr="00E558EA" w14:paraId="37F3E96C" w14:textId="77777777" w:rsidTr="00953F95">
        <w:trPr>
          <w:tblHeader/>
        </w:trPr>
        <w:tc>
          <w:tcPr>
            <w:tcW w:w="736" w:type="dxa"/>
            <w:shd w:val="clear" w:color="auto" w:fill="F7CAAC" w:themeFill="accent2" w:themeFillTint="66"/>
            <w:vAlign w:val="center"/>
          </w:tcPr>
          <w:p w14:paraId="75CC8B24" w14:textId="77777777" w:rsidR="004073D8" w:rsidRPr="00E558EA" w:rsidRDefault="004073D8" w:rsidP="00CF1EAE">
            <w:pPr>
              <w:jc w:val="center"/>
              <w:rPr>
                <w:rFonts w:ascii="Times New Roman" w:hAnsi="Times New Roman" w:cs="Times New Roman"/>
                <w:b/>
                <w:sz w:val="25"/>
                <w:szCs w:val="25"/>
              </w:rPr>
            </w:pPr>
          </w:p>
          <w:p w14:paraId="4302EB06" w14:textId="77777777" w:rsidR="004073D8" w:rsidRPr="00E558EA" w:rsidRDefault="004073D8" w:rsidP="00CF1EAE">
            <w:pPr>
              <w:jc w:val="center"/>
              <w:rPr>
                <w:rFonts w:ascii="Times New Roman" w:hAnsi="Times New Roman" w:cs="Times New Roman"/>
                <w:b/>
                <w:sz w:val="25"/>
                <w:szCs w:val="25"/>
              </w:rPr>
            </w:pPr>
            <w:r w:rsidRPr="00E558EA">
              <w:rPr>
                <w:rFonts w:ascii="Times New Roman" w:hAnsi="Times New Roman" w:cs="Times New Roman"/>
                <w:b/>
                <w:sz w:val="25"/>
                <w:szCs w:val="25"/>
              </w:rPr>
              <w:t>STT</w:t>
            </w:r>
          </w:p>
        </w:tc>
        <w:tc>
          <w:tcPr>
            <w:tcW w:w="1899" w:type="dxa"/>
            <w:shd w:val="clear" w:color="auto" w:fill="F7CAAC" w:themeFill="accent2" w:themeFillTint="66"/>
            <w:vAlign w:val="center"/>
          </w:tcPr>
          <w:p w14:paraId="61FF2443" w14:textId="77777777" w:rsidR="004073D8" w:rsidRDefault="004073D8" w:rsidP="00CF1EAE">
            <w:pPr>
              <w:jc w:val="center"/>
              <w:rPr>
                <w:rFonts w:ascii="Times New Roman" w:eastAsia="Times New Roman" w:hAnsi="Times New Roman" w:cs="Times New Roman"/>
                <w:b/>
                <w:bCs/>
                <w:color w:val="000000"/>
                <w:sz w:val="25"/>
                <w:szCs w:val="25"/>
              </w:rPr>
            </w:pPr>
            <w:r w:rsidRPr="00E558EA">
              <w:rPr>
                <w:rFonts w:ascii="Times New Roman" w:eastAsia="Times New Roman" w:hAnsi="Times New Roman" w:cs="Times New Roman"/>
                <w:b/>
                <w:bCs/>
                <w:color w:val="000000"/>
                <w:sz w:val="25"/>
                <w:szCs w:val="25"/>
              </w:rPr>
              <w:t xml:space="preserve">Điều, khoản, điểm, tên văn bản đề xuất </w:t>
            </w:r>
          </w:p>
          <w:p w14:paraId="141F0B70" w14:textId="77777777" w:rsidR="004073D8" w:rsidRPr="00E558EA" w:rsidRDefault="004073D8" w:rsidP="00CF1EAE">
            <w:pPr>
              <w:jc w:val="center"/>
              <w:rPr>
                <w:rFonts w:ascii="Times New Roman" w:hAnsi="Times New Roman" w:cs="Times New Roman"/>
                <w:b/>
                <w:sz w:val="25"/>
                <w:szCs w:val="25"/>
              </w:rPr>
            </w:pPr>
            <w:r w:rsidRPr="00E558EA">
              <w:rPr>
                <w:rFonts w:ascii="Times New Roman" w:eastAsia="Times New Roman" w:hAnsi="Times New Roman" w:cs="Times New Roman"/>
                <w:b/>
                <w:bCs/>
                <w:color w:val="000000"/>
                <w:sz w:val="25"/>
                <w:szCs w:val="25"/>
              </w:rPr>
              <w:t>xử lý</w:t>
            </w:r>
          </w:p>
        </w:tc>
        <w:tc>
          <w:tcPr>
            <w:tcW w:w="3773" w:type="dxa"/>
            <w:shd w:val="clear" w:color="auto" w:fill="F7CAAC" w:themeFill="accent2" w:themeFillTint="66"/>
            <w:vAlign w:val="center"/>
          </w:tcPr>
          <w:p w14:paraId="17AFA416" w14:textId="4CA43083" w:rsidR="004073D8" w:rsidRPr="00953F95" w:rsidRDefault="004073D8" w:rsidP="00953F95">
            <w:pPr>
              <w:pStyle w:val="NormalWeb"/>
              <w:spacing w:before="0" w:beforeAutospacing="0" w:after="0" w:afterAutospacing="0"/>
              <w:jc w:val="center"/>
              <w:rPr>
                <w:b/>
                <w:bCs/>
                <w:sz w:val="25"/>
                <w:szCs w:val="25"/>
              </w:rPr>
            </w:pPr>
            <w:r w:rsidRPr="00E558EA">
              <w:rPr>
                <w:b/>
                <w:bCs/>
                <w:sz w:val="25"/>
                <w:szCs w:val="25"/>
              </w:rPr>
              <w:t>Nội dung quy định được phản ánh tạo gánh nặng chi phí tuân thủ</w:t>
            </w:r>
            <w:r>
              <w:rPr>
                <w:b/>
                <w:bCs/>
                <w:sz w:val="25"/>
                <w:szCs w:val="25"/>
              </w:rPr>
              <w:t xml:space="preserve">; chưa có </w:t>
            </w:r>
            <w:r w:rsidRPr="00E558EA">
              <w:rPr>
                <w:b/>
                <w:bCs/>
                <w:sz w:val="25"/>
                <w:szCs w:val="25"/>
              </w:rPr>
              <w:t>quy định hoặc có quy định củ</w:t>
            </w:r>
            <w:r>
              <w:rPr>
                <w:b/>
                <w:bCs/>
                <w:sz w:val="25"/>
                <w:szCs w:val="25"/>
              </w:rPr>
              <w:t xml:space="preserve">a </w:t>
            </w:r>
            <w:r w:rsidRPr="00E558EA">
              <w:rPr>
                <w:b/>
                <w:bCs/>
                <w:sz w:val="25"/>
                <w:szCs w:val="25"/>
              </w:rPr>
              <w:t>VBQPPL nhưng hạn chế việc đổi mới sáng tạo, phát triển động lực tăng trưởng mới, khơi thông nguồn lực,</w:t>
            </w:r>
            <w:r w:rsidR="00953F95">
              <w:rPr>
                <w:b/>
                <w:bCs/>
                <w:sz w:val="25"/>
                <w:szCs w:val="25"/>
              </w:rPr>
              <w:t xml:space="preserve"> </w:t>
            </w:r>
            <w:r w:rsidRPr="00E558EA">
              <w:rPr>
                <w:b/>
                <w:bCs/>
                <w:sz w:val="25"/>
                <w:szCs w:val="25"/>
              </w:rPr>
              <w:t>thúc đẩy tăng trưởng kinh tế và hội nhập quốc tế</w:t>
            </w:r>
          </w:p>
        </w:tc>
        <w:tc>
          <w:tcPr>
            <w:tcW w:w="1731" w:type="dxa"/>
            <w:shd w:val="clear" w:color="auto" w:fill="F7CAAC" w:themeFill="accent2" w:themeFillTint="66"/>
            <w:vAlign w:val="center"/>
          </w:tcPr>
          <w:p w14:paraId="4836AA8C" w14:textId="77777777" w:rsidR="004073D8" w:rsidRPr="00E558EA" w:rsidRDefault="004073D8" w:rsidP="00CF1EAE">
            <w:pPr>
              <w:jc w:val="center"/>
              <w:rPr>
                <w:rFonts w:ascii="Times New Roman" w:hAnsi="Times New Roman" w:cs="Times New Roman"/>
                <w:b/>
                <w:sz w:val="25"/>
                <w:szCs w:val="25"/>
              </w:rPr>
            </w:pPr>
            <w:r w:rsidRPr="00E558EA">
              <w:rPr>
                <w:rFonts w:ascii="Times New Roman" w:eastAsia="Times New Roman" w:hAnsi="Times New Roman" w:cs="Times New Roman"/>
                <w:b/>
                <w:bCs/>
                <w:color w:val="000000"/>
                <w:sz w:val="25"/>
                <w:szCs w:val="25"/>
              </w:rPr>
              <w:t>Phương án xử lý được đề xuất</w:t>
            </w:r>
          </w:p>
        </w:tc>
        <w:tc>
          <w:tcPr>
            <w:tcW w:w="1790" w:type="dxa"/>
            <w:shd w:val="clear" w:color="auto" w:fill="F7CAAC" w:themeFill="accent2" w:themeFillTint="66"/>
            <w:vAlign w:val="center"/>
          </w:tcPr>
          <w:p w14:paraId="5ECD546A" w14:textId="70764805" w:rsidR="004073D8" w:rsidRPr="00953F95" w:rsidRDefault="004073D8" w:rsidP="00953F95">
            <w:pPr>
              <w:jc w:val="center"/>
              <w:rPr>
                <w:rFonts w:ascii="Times New Roman" w:eastAsia="Times New Roman" w:hAnsi="Times New Roman" w:cs="Times New Roman"/>
                <w:b/>
                <w:bCs/>
                <w:color w:val="000000"/>
                <w:sz w:val="25"/>
                <w:szCs w:val="25"/>
              </w:rPr>
            </w:pPr>
            <w:r w:rsidRPr="00E558EA">
              <w:rPr>
                <w:rFonts w:ascii="Times New Roman" w:eastAsia="Times New Roman" w:hAnsi="Times New Roman" w:cs="Times New Roman"/>
                <w:b/>
                <w:bCs/>
                <w:color w:val="000000"/>
                <w:sz w:val="25"/>
                <w:szCs w:val="25"/>
              </w:rPr>
              <w:t>Cơ quan,</w:t>
            </w:r>
            <w:r w:rsidR="00953F95">
              <w:rPr>
                <w:rFonts w:ascii="Times New Roman" w:eastAsia="Times New Roman" w:hAnsi="Times New Roman" w:cs="Times New Roman"/>
                <w:b/>
                <w:bCs/>
                <w:color w:val="000000"/>
                <w:sz w:val="25"/>
                <w:szCs w:val="25"/>
              </w:rPr>
              <w:t xml:space="preserve"> tổ chức rà </w:t>
            </w:r>
            <w:r w:rsidRPr="00E558EA">
              <w:rPr>
                <w:rFonts w:ascii="Times New Roman" w:eastAsia="Times New Roman" w:hAnsi="Times New Roman" w:cs="Times New Roman"/>
                <w:b/>
                <w:bCs/>
                <w:color w:val="000000"/>
                <w:sz w:val="25"/>
                <w:szCs w:val="25"/>
              </w:rPr>
              <w:t>soát, phản ánh</w:t>
            </w:r>
          </w:p>
        </w:tc>
        <w:tc>
          <w:tcPr>
            <w:tcW w:w="2660" w:type="dxa"/>
            <w:shd w:val="clear" w:color="auto" w:fill="F7CAAC" w:themeFill="accent2" w:themeFillTint="66"/>
            <w:vAlign w:val="center"/>
          </w:tcPr>
          <w:p w14:paraId="090D842D" w14:textId="57AECCC4" w:rsidR="004073D8" w:rsidRPr="00953F95" w:rsidRDefault="004073D8" w:rsidP="00953F95">
            <w:pPr>
              <w:pStyle w:val="NormalWeb"/>
              <w:spacing w:before="0" w:beforeAutospacing="0" w:after="0" w:afterAutospacing="0"/>
              <w:jc w:val="center"/>
              <w:rPr>
                <w:rFonts w:eastAsia="Times New Roman"/>
                <w:b/>
                <w:bCs/>
                <w:color w:val="000000"/>
                <w:sz w:val="25"/>
                <w:szCs w:val="25"/>
              </w:rPr>
            </w:pPr>
            <w:r w:rsidRPr="00953F95">
              <w:rPr>
                <w:b/>
                <w:bCs/>
                <w:sz w:val="25"/>
                <w:szCs w:val="25"/>
              </w:rPr>
              <w:t>Ý kiến của Bộ Tư pháp về nội dung kiến nghị, phản ánh</w:t>
            </w:r>
            <w:r w:rsidR="00953F95" w:rsidRPr="00953F95">
              <w:rPr>
                <w:b/>
                <w:bCs/>
                <w:sz w:val="25"/>
                <w:szCs w:val="25"/>
              </w:rPr>
              <w:t xml:space="preserve"> </w:t>
            </w:r>
            <w:r w:rsidRPr="00953F95">
              <w:rPr>
                <w:b/>
                <w:bCs/>
                <w:sz w:val="25"/>
                <w:szCs w:val="25"/>
              </w:rPr>
              <w:t>của các cơ quan, tổ chức khác</w:t>
            </w:r>
          </w:p>
        </w:tc>
        <w:tc>
          <w:tcPr>
            <w:tcW w:w="2721" w:type="dxa"/>
            <w:shd w:val="clear" w:color="auto" w:fill="F7CAAC" w:themeFill="accent2" w:themeFillTint="66"/>
            <w:vAlign w:val="center"/>
          </w:tcPr>
          <w:p w14:paraId="676C11CE" w14:textId="71584553" w:rsidR="004073D8" w:rsidRPr="00E558EA" w:rsidRDefault="004073D8" w:rsidP="007D2138">
            <w:pPr>
              <w:jc w:val="center"/>
              <w:rPr>
                <w:rFonts w:ascii="Times New Roman" w:eastAsia="Times New Roman" w:hAnsi="Times New Roman" w:cs="Times New Roman"/>
                <w:b/>
                <w:bCs/>
                <w:color w:val="000000"/>
                <w:sz w:val="25"/>
                <w:szCs w:val="25"/>
              </w:rPr>
            </w:pPr>
            <w:r>
              <w:rPr>
                <w:rFonts w:ascii="Times New Roman" w:hAnsi="Times New Roman" w:cs="Times New Roman"/>
                <w:b/>
                <w:bCs/>
                <w:sz w:val="25"/>
                <w:szCs w:val="25"/>
              </w:rPr>
              <w:t xml:space="preserve">Tình hình xử lý </w:t>
            </w:r>
          </w:p>
        </w:tc>
      </w:tr>
      <w:tr w:rsidR="00953F95" w:rsidRPr="00E558EA" w14:paraId="64F78BCF" w14:textId="77777777" w:rsidTr="00953F95">
        <w:tc>
          <w:tcPr>
            <w:tcW w:w="736" w:type="dxa"/>
          </w:tcPr>
          <w:p w14:paraId="234EA90E" w14:textId="77777777" w:rsidR="00953F95" w:rsidRPr="00E558EA" w:rsidRDefault="00953F95" w:rsidP="00953F95">
            <w:pPr>
              <w:pStyle w:val="ListParagraph"/>
              <w:numPr>
                <w:ilvl w:val="0"/>
                <w:numId w:val="7"/>
              </w:numPr>
              <w:jc w:val="center"/>
              <w:rPr>
                <w:rFonts w:ascii="Times New Roman" w:hAnsi="Times New Roman" w:cs="Times New Roman"/>
                <w:sz w:val="25"/>
                <w:szCs w:val="25"/>
              </w:rPr>
            </w:pPr>
          </w:p>
        </w:tc>
        <w:tc>
          <w:tcPr>
            <w:tcW w:w="1899" w:type="dxa"/>
          </w:tcPr>
          <w:p w14:paraId="1BB8493E" w14:textId="77777777" w:rsidR="00953F95" w:rsidRPr="00E558EA" w:rsidRDefault="00953F95" w:rsidP="00953F95">
            <w:pPr>
              <w:jc w:val="both"/>
              <w:rPr>
                <w:rFonts w:ascii="Times New Roman" w:eastAsia="Times New Roman" w:hAnsi="Times New Roman" w:cs="Times New Roman"/>
                <w:color w:val="000000"/>
                <w:sz w:val="25"/>
                <w:szCs w:val="25"/>
              </w:rPr>
            </w:pPr>
            <w:r w:rsidRPr="00E558EA">
              <w:rPr>
                <w:rFonts w:ascii="Times New Roman" w:eastAsia="Times New Roman" w:hAnsi="Times New Roman" w:cs="Times New Roman"/>
                <w:color w:val="000000"/>
                <w:sz w:val="25"/>
                <w:szCs w:val="25"/>
              </w:rPr>
              <w:t>Luật Giám định tư pháp năm 2012 (được sửa đổi, bổ sung năm 2020) chưa có quy định</w:t>
            </w:r>
          </w:p>
        </w:tc>
        <w:tc>
          <w:tcPr>
            <w:tcW w:w="3773" w:type="dxa"/>
          </w:tcPr>
          <w:p w14:paraId="07DE8A1F" w14:textId="77777777" w:rsidR="00953F95" w:rsidRPr="00E558EA" w:rsidRDefault="00953F95" w:rsidP="00953F95">
            <w:pPr>
              <w:jc w:val="both"/>
              <w:rPr>
                <w:rFonts w:ascii="Times New Roman" w:eastAsia="Times New Roman" w:hAnsi="Times New Roman" w:cs="Times New Roman"/>
                <w:color w:val="000000"/>
                <w:sz w:val="25"/>
                <w:szCs w:val="25"/>
              </w:rPr>
            </w:pPr>
            <w:r w:rsidRPr="00E558EA">
              <w:rPr>
                <w:rFonts w:ascii="Times New Roman" w:eastAsia="Times New Roman" w:hAnsi="Times New Roman" w:cs="Times New Roman"/>
                <w:color w:val="000000"/>
                <w:sz w:val="25"/>
                <w:szCs w:val="25"/>
              </w:rPr>
              <w:t xml:space="preserve">Thiếu quy định về chế tài xử lý đối với cơ quan trưng cầu giám định, cá nhân, tổ chức thực hiện giám định. Việc sửa đổi, bổ sung các quy định về miễn trừ trách nhiệm công vụ cho người thực hiện giám định, nâng cao chế độ, chính sách cho người thực hiện giám định cần đi đôi với việc có chế tài xử lý khi có vi phạm trong việc tiếp nhận, thực hiện giám định tư pháp. Bên cạnh đó, việc bổ sung quy định này còn nhằm nâng cao trách nhiệm của các cá nhân, tổ chức trong hoạt động </w:t>
            </w:r>
            <w:r w:rsidRPr="00E558EA">
              <w:rPr>
                <w:rFonts w:ascii="Times New Roman" w:eastAsia="Times New Roman" w:hAnsi="Times New Roman" w:cs="Times New Roman"/>
                <w:color w:val="000000"/>
                <w:sz w:val="25"/>
                <w:szCs w:val="25"/>
              </w:rPr>
              <w:lastRenderedPageBreak/>
              <w:t>giám định; góp phần nâng cao hiệu quả của việc trưng cầu, tiếp nhận và thực hiện giám định trên thực tế.</w:t>
            </w:r>
          </w:p>
        </w:tc>
        <w:tc>
          <w:tcPr>
            <w:tcW w:w="1731" w:type="dxa"/>
          </w:tcPr>
          <w:p w14:paraId="7F657C62" w14:textId="77777777" w:rsidR="00953F95" w:rsidRPr="00E558EA" w:rsidRDefault="00953F95" w:rsidP="00953F95">
            <w:pPr>
              <w:jc w:val="both"/>
              <w:rPr>
                <w:rFonts w:ascii="Times New Roman" w:eastAsia="Times New Roman" w:hAnsi="Times New Roman" w:cs="Times New Roman"/>
                <w:color w:val="000000"/>
                <w:sz w:val="25"/>
                <w:szCs w:val="25"/>
              </w:rPr>
            </w:pPr>
            <w:r w:rsidRPr="00E558EA">
              <w:rPr>
                <w:rFonts w:ascii="Times New Roman" w:eastAsia="Times New Roman" w:hAnsi="Times New Roman" w:cs="Times New Roman"/>
                <w:color w:val="000000"/>
                <w:sz w:val="25"/>
                <w:szCs w:val="25"/>
              </w:rPr>
              <w:lastRenderedPageBreak/>
              <w:t>C. Sửa đổi, bổ sung, thay thế, ban hành mới VBQPPL (theo trình tự, thủ tục rút gọn ban hành VBQPPL của Luật Ban hành VBQPPL)</w:t>
            </w:r>
          </w:p>
        </w:tc>
        <w:tc>
          <w:tcPr>
            <w:tcW w:w="1790" w:type="dxa"/>
          </w:tcPr>
          <w:p w14:paraId="7361B37C" w14:textId="77777777" w:rsidR="00953F95" w:rsidRPr="00E558EA" w:rsidRDefault="00953F95" w:rsidP="00953F95">
            <w:pPr>
              <w:jc w:val="both"/>
              <w:rPr>
                <w:rFonts w:ascii="Times New Roman" w:eastAsia="Times New Roman" w:hAnsi="Times New Roman" w:cs="Times New Roman"/>
                <w:color w:val="000000"/>
                <w:sz w:val="25"/>
                <w:szCs w:val="25"/>
              </w:rPr>
            </w:pPr>
            <w:r w:rsidRPr="00E558EA">
              <w:rPr>
                <w:rFonts w:ascii="Times New Roman" w:eastAsia="Times New Roman" w:hAnsi="Times New Roman" w:cs="Times New Roman"/>
                <w:color w:val="000000"/>
                <w:sz w:val="25"/>
                <w:szCs w:val="25"/>
              </w:rPr>
              <w:t>Bộ Tư pháp</w:t>
            </w:r>
          </w:p>
        </w:tc>
        <w:tc>
          <w:tcPr>
            <w:tcW w:w="2660" w:type="dxa"/>
          </w:tcPr>
          <w:p w14:paraId="062F8DDE" w14:textId="77777777" w:rsidR="00953F95" w:rsidRDefault="00953F95" w:rsidP="00953F95">
            <w:pPr>
              <w:jc w:val="both"/>
              <w:rPr>
                <w:rFonts w:ascii="Times New Roman" w:eastAsia="Times New Roman" w:hAnsi="Times New Roman" w:cs="Times New Roman"/>
                <w:color w:val="000000"/>
                <w:sz w:val="26"/>
                <w:szCs w:val="26"/>
              </w:rPr>
            </w:pPr>
            <w:r w:rsidRPr="00E15051">
              <w:rPr>
                <w:rFonts w:ascii="Times New Roman" w:eastAsia="Times New Roman" w:hAnsi="Times New Roman" w:cs="Times New Roman"/>
                <w:color w:val="000000"/>
                <w:sz w:val="26"/>
                <w:szCs w:val="26"/>
              </w:rPr>
              <w:t>Nhất trí đề xuất. Dự án Luật Giám định tư pháp sửa đổi đã được Ủy ban Thường vụ Quốc hội bổ sung vào Chương trình trình Quốc hội cho ý kiến và thông qua tại kỳ họp thứ 10 (theo trình tự, thủ tục rút gọn). Về nội dung kiến nghị đã được quy định tại Điều</w:t>
            </w:r>
            <w:r w:rsidRPr="00971111">
              <w:rPr>
                <w:rFonts w:ascii="Times New Roman" w:eastAsia="Times New Roman" w:hAnsi="Times New Roman" w:cs="Times New Roman"/>
                <w:color w:val="000000"/>
                <w:sz w:val="26"/>
                <w:szCs w:val="26"/>
                <w:lang w:val="vi-VN"/>
              </w:rPr>
              <w:t xml:space="preserve"> 42 </w:t>
            </w:r>
            <w:r w:rsidRPr="00E15051">
              <w:rPr>
                <w:rFonts w:ascii="Times New Roman" w:eastAsia="Times New Roman" w:hAnsi="Times New Roman" w:cs="Times New Roman"/>
                <w:color w:val="000000"/>
                <w:sz w:val="26"/>
                <w:szCs w:val="26"/>
              </w:rPr>
              <w:t>Dự thảo Luật Giám định tư pháp sửa đổi</w:t>
            </w:r>
          </w:p>
          <w:p w14:paraId="69622DD3" w14:textId="77777777" w:rsidR="00953F95" w:rsidRPr="00E558EA" w:rsidRDefault="00953F95" w:rsidP="00953F95">
            <w:pPr>
              <w:jc w:val="both"/>
              <w:rPr>
                <w:rFonts w:ascii="Times New Roman" w:eastAsia="Times New Roman" w:hAnsi="Times New Roman" w:cs="Times New Roman"/>
                <w:color w:val="000000"/>
                <w:sz w:val="25"/>
                <w:szCs w:val="25"/>
              </w:rPr>
            </w:pPr>
          </w:p>
        </w:tc>
        <w:tc>
          <w:tcPr>
            <w:tcW w:w="2721" w:type="dxa"/>
          </w:tcPr>
          <w:p w14:paraId="31CB118A" w14:textId="77777777" w:rsidR="00226379" w:rsidRPr="00514622" w:rsidRDefault="00226379" w:rsidP="00E64D5D">
            <w:pPr>
              <w:jc w:val="both"/>
              <w:rPr>
                <w:rFonts w:ascii="Times New Roman" w:eastAsia="Times New Roman" w:hAnsi="Times New Roman"/>
                <w:b/>
                <w:color w:val="000000" w:themeColor="text1"/>
                <w:sz w:val="26"/>
                <w:szCs w:val="26"/>
              </w:rPr>
            </w:pPr>
            <w:r w:rsidRPr="00514622">
              <w:rPr>
                <w:rFonts w:ascii="Times New Roman" w:eastAsia="Times New Roman" w:hAnsi="Times New Roman"/>
                <w:b/>
                <w:color w:val="000000" w:themeColor="text1"/>
                <w:sz w:val="26"/>
                <w:szCs w:val="26"/>
              </w:rPr>
              <w:lastRenderedPageBreak/>
              <w:t>Đã xử lý.</w:t>
            </w:r>
          </w:p>
          <w:p w14:paraId="7684EFFC" w14:textId="7627FDB9" w:rsidR="00953F95" w:rsidRPr="00953F95" w:rsidRDefault="00CA66A2" w:rsidP="00E64D5D">
            <w:pPr>
              <w:jc w:val="both"/>
              <w:rPr>
                <w:rFonts w:ascii="Times New Roman" w:eastAsia="Times New Roman" w:hAnsi="Times New Roman" w:cs="Times New Roman"/>
                <w:color w:val="000000"/>
                <w:sz w:val="25"/>
                <w:szCs w:val="25"/>
              </w:rPr>
            </w:pPr>
            <w:r w:rsidRPr="00514622">
              <w:rPr>
                <w:rFonts w:ascii="Times New Roman" w:eastAsia="Times New Roman" w:hAnsi="Times New Roman"/>
                <w:color w:val="000000" w:themeColor="text1"/>
                <w:sz w:val="26"/>
                <w:szCs w:val="26"/>
              </w:rPr>
              <w:t>Luật Giám định tư pháp (sửa đổi) đã được Quốc hội khóa XV thông qua tại Kỳ họp thứ 10 (ngày 05/12/2025) và có hiệu lực thi hành từ ngày 01/5/2026.</w:t>
            </w:r>
          </w:p>
        </w:tc>
      </w:tr>
      <w:tr w:rsidR="00953F95" w:rsidRPr="00E558EA" w14:paraId="63C7319D" w14:textId="77777777" w:rsidTr="00953F95">
        <w:tc>
          <w:tcPr>
            <w:tcW w:w="736" w:type="dxa"/>
          </w:tcPr>
          <w:p w14:paraId="07BB6862" w14:textId="77777777" w:rsidR="00953F95" w:rsidRPr="00E558EA" w:rsidRDefault="00953F95" w:rsidP="00953F95">
            <w:pPr>
              <w:pStyle w:val="ListParagraph"/>
              <w:numPr>
                <w:ilvl w:val="0"/>
                <w:numId w:val="7"/>
              </w:numPr>
              <w:jc w:val="center"/>
              <w:rPr>
                <w:rFonts w:ascii="Times New Roman" w:hAnsi="Times New Roman" w:cs="Times New Roman"/>
                <w:sz w:val="25"/>
                <w:szCs w:val="25"/>
              </w:rPr>
            </w:pPr>
          </w:p>
        </w:tc>
        <w:tc>
          <w:tcPr>
            <w:tcW w:w="1899" w:type="dxa"/>
          </w:tcPr>
          <w:p w14:paraId="3BA02575" w14:textId="77777777" w:rsidR="00953F95" w:rsidRPr="00E558EA" w:rsidRDefault="00953F95" w:rsidP="00953F95">
            <w:pPr>
              <w:jc w:val="both"/>
              <w:rPr>
                <w:rFonts w:ascii="Times New Roman" w:eastAsia="Times New Roman" w:hAnsi="Times New Roman" w:cs="Times New Roman"/>
                <w:color w:val="000000"/>
                <w:sz w:val="25"/>
                <w:szCs w:val="25"/>
              </w:rPr>
            </w:pPr>
            <w:r w:rsidRPr="00E558EA">
              <w:rPr>
                <w:rFonts w:ascii="Times New Roman" w:eastAsia="Times New Roman" w:hAnsi="Times New Roman" w:cs="Times New Roman"/>
                <w:color w:val="000000"/>
                <w:sz w:val="25"/>
                <w:szCs w:val="25"/>
              </w:rPr>
              <w:t>Điều 21 Luật Giám định tư pháp năm 2012 (được sửa đổi, bổ sung năm 2020)</w:t>
            </w:r>
          </w:p>
        </w:tc>
        <w:tc>
          <w:tcPr>
            <w:tcW w:w="3773" w:type="dxa"/>
            <w:vAlign w:val="center"/>
          </w:tcPr>
          <w:p w14:paraId="09C9D9A4" w14:textId="77777777" w:rsidR="00953F95" w:rsidRPr="00E558EA" w:rsidRDefault="00953F95" w:rsidP="00953F95">
            <w:pPr>
              <w:jc w:val="both"/>
              <w:rPr>
                <w:rFonts w:ascii="Times New Roman" w:eastAsia="Times New Roman" w:hAnsi="Times New Roman" w:cs="Times New Roman"/>
                <w:color w:val="000000"/>
                <w:spacing w:val="-6"/>
                <w:sz w:val="25"/>
                <w:szCs w:val="25"/>
              </w:rPr>
            </w:pPr>
            <w:r w:rsidRPr="00E558EA">
              <w:rPr>
                <w:rFonts w:ascii="Times New Roman" w:eastAsia="Times New Roman" w:hAnsi="Times New Roman" w:cs="Times New Roman"/>
                <w:color w:val="000000"/>
                <w:spacing w:val="-6"/>
                <w:sz w:val="25"/>
                <w:szCs w:val="25"/>
              </w:rPr>
              <w:t xml:space="preserve">Điều 21 Luật Giám định tư pháp năm 2012 (được sửa đổi, bổ sung năm 2020) quy định về quyền và nghĩa vụ của người trưng cầu chưa đầy đủ, chưa có quy định về trách nhiệm của người trưng cầu khi tạm dừng việc giải quyết vụ việc hoặc dừng việc thực hiện giám định.Thời gian qua, Ban Chỉ đạo Trung ương về phòng, chống tham nhũng, lãng phí tiêu cực đã có các chỉ đạo đề nghị quy định chặt chẽ hơn quyền và nghĩa vụ của người trưng cầu giám định nhằm khắc phục những tồn tại, vướng mắc trên thực tế, nhất là việc một số cơ quan trưng cầu không thông báo việc tạm dừng giải quyết vụ án, không cần kết luận giám định nữa đến cơ quan thực hiện giám định. Dẫn đến việc lãng phí thời gian, nhân lực, chi phí thực hiện giám định trong bối cảnh công việc ngày càng </w:t>
            </w:r>
            <w:r w:rsidRPr="00E558EA">
              <w:rPr>
                <w:rFonts w:ascii="Times New Roman" w:eastAsia="Times New Roman" w:hAnsi="Times New Roman" w:cs="Times New Roman"/>
                <w:color w:val="000000"/>
                <w:spacing w:val="-6"/>
                <w:sz w:val="25"/>
                <w:szCs w:val="25"/>
              </w:rPr>
              <w:lastRenderedPageBreak/>
              <w:t>nhiều, áp lực và việc giám định cũng cần nhiều thời gian nghiên cứu, thực hiện.</w:t>
            </w:r>
          </w:p>
        </w:tc>
        <w:tc>
          <w:tcPr>
            <w:tcW w:w="1731" w:type="dxa"/>
          </w:tcPr>
          <w:p w14:paraId="1FAF1DC8" w14:textId="77777777" w:rsidR="00953F95" w:rsidRPr="00E558EA" w:rsidRDefault="00953F95" w:rsidP="00953F95">
            <w:pPr>
              <w:jc w:val="both"/>
              <w:rPr>
                <w:rFonts w:ascii="Times New Roman" w:eastAsia="Times New Roman" w:hAnsi="Times New Roman" w:cs="Times New Roman"/>
                <w:color w:val="000000"/>
                <w:sz w:val="25"/>
                <w:szCs w:val="25"/>
              </w:rPr>
            </w:pPr>
            <w:r w:rsidRPr="00E558EA">
              <w:rPr>
                <w:rFonts w:ascii="Times New Roman" w:eastAsia="Times New Roman" w:hAnsi="Times New Roman" w:cs="Times New Roman"/>
                <w:color w:val="000000"/>
                <w:sz w:val="25"/>
                <w:szCs w:val="25"/>
              </w:rPr>
              <w:lastRenderedPageBreak/>
              <w:t>C. Sửa đổi, bổ sung, thay thế, ban hành mới VBQPPL (theo trình tự, thủ tục rút gọn ban hành VBQPPL của Luật Ban hành VBQPPL)</w:t>
            </w:r>
          </w:p>
        </w:tc>
        <w:tc>
          <w:tcPr>
            <w:tcW w:w="1790" w:type="dxa"/>
          </w:tcPr>
          <w:p w14:paraId="1C1633C9" w14:textId="77777777" w:rsidR="00953F95" w:rsidRPr="00E558EA" w:rsidRDefault="00953F95" w:rsidP="00953F95">
            <w:pPr>
              <w:jc w:val="both"/>
              <w:rPr>
                <w:rFonts w:ascii="Times New Roman" w:eastAsia="Times New Roman" w:hAnsi="Times New Roman" w:cs="Times New Roman"/>
                <w:color w:val="000000"/>
                <w:sz w:val="25"/>
                <w:szCs w:val="25"/>
              </w:rPr>
            </w:pPr>
            <w:r w:rsidRPr="00E558EA">
              <w:rPr>
                <w:rFonts w:ascii="Times New Roman" w:eastAsia="Times New Roman" w:hAnsi="Times New Roman" w:cs="Times New Roman"/>
                <w:color w:val="000000"/>
                <w:sz w:val="25"/>
                <w:szCs w:val="25"/>
              </w:rPr>
              <w:t>Bộ Tư pháp</w:t>
            </w:r>
          </w:p>
        </w:tc>
        <w:tc>
          <w:tcPr>
            <w:tcW w:w="2660" w:type="dxa"/>
          </w:tcPr>
          <w:p w14:paraId="1ACD6D5B" w14:textId="77777777" w:rsidR="00953F95" w:rsidRPr="00E558EA" w:rsidRDefault="00953F95" w:rsidP="00953F95">
            <w:pPr>
              <w:jc w:val="both"/>
              <w:rPr>
                <w:rFonts w:ascii="Times New Roman" w:eastAsia="Times New Roman" w:hAnsi="Times New Roman" w:cs="Times New Roman"/>
                <w:color w:val="000000"/>
                <w:sz w:val="25"/>
                <w:szCs w:val="25"/>
              </w:rPr>
            </w:pPr>
            <w:r w:rsidRPr="00E15051">
              <w:rPr>
                <w:rFonts w:ascii="Times New Roman" w:eastAsia="Times New Roman" w:hAnsi="Times New Roman" w:cs="Times New Roman"/>
                <w:color w:val="000000"/>
                <w:sz w:val="26"/>
                <w:szCs w:val="26"/>
              </w:rPr>
              <w:t xml:space="preserve">Nhất trí đề xuất. Dự án Luật Giám định tư pháp sửa đổi đã được Ủy ban Thường vụ Quốc hội bổ sung vào Chương trình trình Quốc hội cho ý kiến và thông qua tại kỳ họp thứ 10 (theo trình tự, thủ tục rút gọn). Về nội dung kiến nghị đã được quy định </w:t>
            </w:r>
            <w:r w:rsidRPr="00971111">
              <w:rPr>
                <w:rFonts w:ascii="Times New Roman" w:eastAsia="Times New Roman" w:hAnsi="Times New Roman" w:cs="Times New Roman"/>
                <w:color w:val="000000"/>
                <w:sz w:val="26"/>
                <w:szCs w:val="26"/>
              </w:rPr>
              <w:t>tại Điều</w:t>
            </w:r>
            <w:r w:rsidRPr="00971111">
              <w:rPr>
                <w:rFonts w:ascii="Times New Roman" w:eastAsia="Times New Roman" w:hAnsi="Times New Roman" w:cs="Times New Roman"/>
                <w:color w:val="000000"/>
                <w:sz w:val="26"/>
                <w:szCs w:val="26"/>
                <w:lang w:val="vi-VN"/>
              </w:rPr>
              <w:t xml:space="preserve"> 20 </w:t>
            </w:r>
            <w:r w:rsidRPr="00971111">
              <w:rPr>
                <w:rFonts w:ascii="Times New Roman" w:eastAsia="Times New Roman" w:hAnsi="Times New Roman" w:cs="Times New Roman"/>
                <w:color w:val="000000"/>
                <w:sz w:val="26"/>
                <w:szCs w:val="26"/>
              </w:rPr>
              <w:t>Dự thảo Luật Giám định tư pháp sửa đổi</w:t>
            </w:r>
          </w:p>
        </w:tc>
        <w:tc>
          <w:tcPr>
            <w:tcW w:w="2721" w:type="dxa"/>
          </w:tcPr>
          <w:p w14:paraId="3B2DE04B" w14:textId="5376CC53" w:rsidR="00226379" w:rsidRPr="00514622" w:rsidRDefault="00226379" w:rsidP="00E64D5D">
            <w:pPr>
              <w:jc w:val="both"/>
              <w:rPr>
                <w:rFonts w:ascii="Times New Roman" w:eastAsia="Times New Roman" w:hAnsi="Times New Roman"/>
                <w:b/>
                <w:color w:val="000000" w:themeColor="text1"/>
                <w:sz w:val="26"/>
                <w:szCs w:val="26"/>
              </w:rPr>
            </w:pPr>
            <w:r w:rsidRPr="00514622">
              <w:rPr>
                <w:rFonts w:ascii="Times New Roman" w:eastAsia="Times New Roman" w:hAnsi="Times New Roman"/>
                <w:b/>
                <w:color w:val="000000" w:themeColor="text1"/>
                <w:sz w:val="26"/>
                <w:szCs w:val="26"/>
              </w:rPr>
              <w:t>Đã xử lý.</w:t>
            </w:r>
          </w:p>
          <w:p w14:paraId="55E8EC89" w14:textId="022C032C" w:rsidR="00953F95" w:rsidRPr="00E558EA" w:rsidRDefault="00CA66A2" w:rsidP="00E64D5D">
            <w:pPr>
              <w:jc w:val="both"/>
              <w:rPr>
                <w:rFonts w:ascii="Times New Roman" w:eastAsia="Times New Roman" w:hAnsi="Times New Roman" w:cs="Times New Roman"/>
                <w:color w:val="000000"/>
                <w:sz w:val="25"/>
                <w:szCs w:val="25"/>
              </w:rPr>
            </w:pPr>
            <w:r w:rsidRPr="00514622">
              <w:rPr>
                <w:rFonts w:ascii="Times New Roman" w:eastAsia="Times New Roman" w:hAnsi="Times New Roman"/>
                <w:color w:val="000000" w:themeColor="text1"/>
                <w:sz w:val="26"/>
                <w:szCs w:val="26"/>
              </w:rPr>
              <w:t>Luật Giám định tư pháp (sửa đổi) đã được Quốc hội khóa XV thông qua tại Kỳ họp thứ 10 (ngày 05/12/2025) và có hiệu lực thi hành từ ngày 01/5/2026.</w:t>
            </w:r>
          </w:p>
        </w:tc>
      </w:tr>
      <w:tr w:rsidR="00953F95" w:rsidRPr="00E558EA" w14:paraId="7C2F1A8F" w14:textId="77777777" w:rsidTr="00953F95">
        <w:tc>
          <w:tcPr>
            <w:tcW w:w="736" w:type="dxa"/>
          </w:tcPr>
          <w:p w14:paraId="6BC738D0" w14:textId="77777777" w:rsidR="00953F95" w:rsidRPr="00E558EA" w:rsidRDefault="00953F95" w:rsidP="00953F95">
            <w:pPr>
              <w:pStyle w:val="ListParagraph"/>
              <w:numPr>
                <w:ilvl w:val="0"/>
                <w:numId w:val="7"/>
              </w:numPr>
              <w:jc w:val="center"/>
              <w:rPr>
                <w:rFonts w:ascii="Times New Roman" w:hAnsi="Times New Roman" w:cs="Times New Roman"/>
                <w:sz w:val="25"/>
                <w:szCs w:val="25"/>
              </w:rPr>
            </w:pPr>
          </w:p>
        </w:tc>
        <w:tc>
          <w:tcPr>
            <w:tcW w:w="1899" w:type="dxa"/>
          </w:tcPr>
          <w:p w14:paraId="54DB692A" w14:textId="77777777" w:rsidR="00953F95" w:rsidRPr="00E558EA" w:rsidRDefault="00953F95" w:rsidP="00953F95">
            <w:pPr>
              <w:jc w:val="both"/>
              <w:rPr>
                <w:rFonts w:ascii="Times New Roman" w:eastAsia="Times New Roman" w:hAnsi="Times New Roman" w:cs="Times New Roman"/>
                <w:color w:val="000000"/>
                <w:sz w:val="25"/>
                <w:szCs w:val="25"/>
              </w:rPr>
            </w:pPr>
            <w:r w:rsidRPr="00E558EA">
              <w:rPr>
                <w:rFonts w:ascii="Times New Roman" w:eastAsia="Times New Roman" w:hAnsi="Times New Roman" w:cs="Times New Roman"/>
                <w:color w:val="000000"/>
                <w:sz w:val="25"/>
                <w:szCs w:val="25"/>
              </w:rPr>
              <w:t xml:space="preserve">Điều 23 Luật Giám định tư pháp năm 2012 (được sửa đổi, bổ sung năm 2020) </w:t>
            </w:r>
          </w:p>
        </w:tc>
        <w:tc>
          <w:tcPr>
            <w:tcW w:w="3773" w:type="dxa"/>
            <w:vAlign w:val="center"/>
          </w:tcPr>
          <w:p w14:paraId="005E55CA" w14:textId="77777777" w:rsidR="00953F95" w:rsidRPr="00E558EA" w:rsidRDefault="00953F95" w:rsidP="00953F95">
            <w:pPr>
              <w:jc w:val="both"/>
              <w:rPr>
                <w:rFonts w:ascii="Times New Roman" w:eastAsia="Times New Roman" w:hAnsi="Times New Roman" w:cs="Times New Roman"/>
                <w:color w:val="000000"/>
                <w:sz w:val="25"/>
                <w:szCs w:val="25"/>
              </w:rPr>
            </w:pPr>
            <w:r w:rsidRPr="00E558EA">
              <w:rPr>
                <w:rFonts w:ascii="Times New Roman" w:eastAsia="Times New Roman" w:hAnsi="Times New Roman" w:cs="Times New Roman"/>
                <w:color w:val="000000"/>
                <w:sz w:val="25"/>
                <w:szCs w:val="25"/>
              </w:rPr>
              <w:t xml:space="preserve">Điều 23 Luật Giám định tư pháp năm 2012 (được sửa đổi, bổ sung năm 2020) quy định về quyền của người thực hiện giám định tư pháp còn chưa đầy đủ, chưa có quyền miễn trừ trách nhiệm pháp lý khi thực hiện giám định. Kết luận giám định là một trong những nguồn chứng cứ và người thực hiện giám định phải chịu trách nhiệm cá nhân đối với kết luận giám định do mình đưa ra; trách nhiệm pháp lý của người giám định tư pháp là rất lớn. Thực tế, hiện nay người thực hiện giám định tư pháp trong các lĩnh vực chưa có tổ chức giám định tư pháp công lập (tài chính, ngân hàng, xây dựng, nông nghiệp, môi trường…) còn có tâm lý e ngại, né tránh, không muốn tham gia thực hiện giám định. Do đó, việc bổ sung </w:t>
            </w:r>
            <w:r w:rsidRPr="00E558EA">
              <w:rPr>
                <w:rFonts w:ascii="Times New Roman" w:eastAsia="Times New Roman" w:hAnsi="Times New Roman" w:cs="Times New Roman"/>
                <w:color w:val="000000"/>
                <w:sz w:val="25"/>
                <w:szCs w:val="25"/>
              </w:rPr>
              <w:lastRenderedPageBreak/>
              <w:t>quy định “được miễn trừ trách nhiệm công vụ, trách nhiệm pháp lý khi đưa ra kết luận giám định trừ trường hợp cố ý làm sai lệch kết luận giám định” có thể thu hút thêm nhiều người có chuyên môn tham gia vào lĩnh vực giám định, để người thực hiện giám định không còn tâm lý lo sợ trách nhiệm pháp lý, tập trung hơn vào chuyên môn, đưa ra các kết luận khách quan, chính xác hơn.</w:t>
            </w:r>
          </w:p>
        </w:tc>
        <w:tc>
          <w:tcPr>
            <w:tcW w:w="1731" w:type="dxa"/>
          </w:tcPr>
          <w:p w14:paraId="3E0DDE94" w14:textId="77777777" w:rsidR="00953F95" w:rsidRPr="00E558EA" w:rsidRDefault="00953F95" w:rsidP="00953F95">
            <w:pPr>
              <w:jc w:val="both"/>
              <w:rPr>
                <w:rFonts w:ascii="Times New Roman" w:eastAsia="Times New Roman" w:hAnsi="Times New Roman" w:cs="Times New Roman"/>
                <w:color w:val="000000"/>
                <w:sz w:val="25"/>
                <w:szCs w:val="25"/>
              </w:rPr>
            </w:pPr>
            <w:r w:rsidRPr="00E558EA">
              <w:rPr>
                <w:rFonts w:ascii="Times New Roman" w:eastAsia="Times New Roman" w:hAnsi="Times New Roman" w:cs="Times New Roman"/>
                <w:color w:val="000000"/>
                <w:sz w:val="25"/>
                <w:szCs w:val="25"/>
              </w:rPr>
              <w:lastRenderedPageBreak/>
              <w:t>C. Sửa đổi, bổ sung, thay thế, ban hành mới VBQPPL (theo trình tự, thủ tục rút gọn ban hành VBQPPL của Luật Ban hành VBQPPL)</w:t>
            </w:r>
          </w:p>
        </w:tc>
        <w:tc>
          <w:tcPr>
            <w:tcW w:w="1790" w:type="dxa"/>
          </w:tcPr>
          <w:p w14:paraId="3520B673" w14:textId="77777777" w:rsidR="00953F95" w:rsidRPr="00E558EA" w:rsidRDefault="00953F95" w:rsidP="00953F95">
            <w:pPr>
              <w:jc w:val="both"/>
              <w:rPr>
                <w:rFonts w:ascii="Times New Roman" w:eastAsia="Times New Roman" w:hAnsi="Times New Roman" w:cs="Times New Roman"/>
                <w:color w:val="000000"/>
                <w:sz w:val="25"/>
                <w:szCs w:val="25"/>
              </w:rPr>
            </w:pPr>
            <w:r w:rsidRPr="00E558EA">
              <w:rPr>
                <w:rFonts w:ascii="Times New Roman" w:eastAsia="Times New Roman" w:hAnsi="Times New Roman" w:cs="Times New Roman"/>
                <w:color w:val="000000"/>
                <w:sz w:val="25"/>
                <w:szCs w:val="25"/>
              </w:rPr>
              <w:t>Bộ Tư pháp</w:t>
            </w:r>
          </w:p>
        </w:tc>
        <w:tc>
          <w:tcPr>
            <w:tcW w:w="2660" w:type="dxa"/>
          </w:tcPr>
          <w:p w14:paraId="4304241B" w14:textId="77777777" w:rsidR="00953F95" w:rsidRPr="00E558EA" w:rsidRDefault="00953F95" w:rsidP="00953F95">
            <w:pPr>
              <w:jc w:val="both"/>
              <w:rPr>
                <w:rFonts w:ascii="Times New Roman" w:eastAsia="Times New Roman" w:hAnsi="Times New Roman" w:cs="Times New Roman"/>
                <w:color w:val="000000"/>
                <w:sz w:val="25"/>
                <w:szCs w:val="25"/>
              </w:rPr>
            </w:pPr>
            <w:r w:rsidRPr="00E15051">
              <w:rPr>
                <w:rFonts w:ascii="Times New Roman" w:eastAsia="Times New Roman" w:hAnsi="Times New Roman" w:cs="Times New Roman"/>
                <w:color w:val="000000"/>
                <w:sz w:val="26"/>
                <w:szCs w:val="26"/>
              </w:rPr>
              <w:t xml:space="preserve">Nhất trí đề xuất. Dự án Luật Giám định tư pháp sửa đổi đã được Ủy ban Thường vụ Quốc hội bổ sung vào Chương trình trình Quốc hội cho ý kiến và thông qua tại kỳ họp thứ 10 (theo trình tự, thủ tục rút gọn). Về nội dung kiến nghị đã được quy định </w:t>
            </w:r>
            <w:r w:rsidRPr="00971111">
              <w:rPr>
                <w:rFonts w:ascii="Times New Roman" w:eastAsia="Times New Roman" w:hAnsi="Times New Roman" w:cs="Times New Roman"/>
                <w:color w:val="000000"/>
                <w:sz w:val="26"/>
                <w:szCs w:val="26"/>
              </w:rPr>
              <w:t>tại Điều</w:t>
            </w:r>
            <w:r w:rsidRPr="00971111">
              <w:rPr>
                <w:rFonts w:ascii="Times New Roman" w:eastAsia="Times New Roman" w:hAnsi="Times New Roman" w:cs="Times New Roman"/>
                <w:color w:val="000000"/>
                <w:sz w:val="26"/>
                <w:szCs w:val="26"/>
                <w:lang w:val="vi-VN"/>
              </w:rPr>
              <w:t xml:space="preserve"> 22 </w:t>
            </w:r>
            <w:r w:rsidRPr="00971111">
              <w:rPr>
                <w:rFonts w:ascii="Times New Roman" w:eastAsia="Times New Roman" w:hAnsi="Times New Roman" w:cs="Times New Roman"/>
                <w:color w:val="000000"/>
                <w:sz w:val="26"/>
                <w:szCs w:val="26"/>
              </w:rPr>
              <w:t>Dự thảo Luật Giám định tư pháp sửa đổi</w:t>
            </w:r>
            <w:r w:rsidRPr="00E15051">
              <w:rPr>
                <w:rFonts w:ascii="Times New Roman" w:eastAsia="Times New Roman" w:hAnsi="Times New Roman" w:cs="Times New Roman"/>
                <w:color w:val="000000"/>
                <w:sz w:val="26"/>
                <w:szCs w:val="26"/>
              </w:rPr>
              <w:t>.</w:t>
            </w:r>
          </w:p>
        </w:tc>
        <w:tc>
          <w:tcPr>
            <w:tcW w:w="2721" w:type="dxa"/>
          </w:tcPr>
          <w:p w14:paraId="122E4651" w14:textId="77777777" w:rsidR="00226379" w:rsidRPr="00827167" w:rsidRDefault="00226379" w:rsidP="00226379">
            <w:pPr>
              <w:jc w:val="both"/>
              <w:rPr>
                <w:rFonts w:ascii="Times New Roman" w:eastAsia="Times New Roman" w:hAnsi="Times New Roman"/>
                <w:b/>
                <w:color w:val="000000" w:themeColor="text1"/>
                <w:sz w:val="26"/>
                <w:szCs w:val="26"/>
              </w:rPr>
            </w:pPr>
            <w:r w:rsidRPr="00827167">
              <w:rPr>
                <w:rFonts w:ascii="Times New Roman" w:eastAsia="Times New Roman" w:hAnsi="Times New Roman"/>
                <w:b/>
                <w:color w:val="000000" w:themeColor="text1"/>
                <w:sz w:val="26"/>
                <w:szCs w:val="26"/>
              </w:rPr>
              <w:t>Đã xử lý.</w:t>
            </w:r>
          </w:p>
          <w:p w14:paraId="10EA00D8" w14:textId="1F3A17FE" w:rsidR="00953F95" w:rsidRPr="00E558EA" w:rsidRDefault="00226379" w:rsidP="00E64D5D">
            <w:pPr>
              <w:jc w:val="both"/>
              <w:rPr>
                <w:rFonts w:ascii="Times New Roman" w:eastAsia="Times New Roman" w:hAnsi="Times New Roman" w:cs="Times New Roman"/>
                <w:color w:val="000000"/>
                <w:sz w:val="25"/>
                <w:szCs w:val="25"/>
              </w:rPr>
            </w:pPr>
            <w:r w:rsidRPr="00827167">
              <w:rPr>
                <w:rFonts w:ascii="Times New Roman" w:eastAsia="Times New Roman" w:hAnsi="Times New Roman"/>
                <w:color w:val="000000" w:themeColor="text1"/>
                <w:sz w:val="26"/>
                <w:szCs w:val="26"/>
              </w:rPr>
              <w:t>Luật Giám định tư pháp (sửa đổi) đã được Quốc hội khóa XV thông qua tại Kỳ họp thứ 10 (ngày 05/12/2025) và có hiệu lực thi hành từ ngày 01/5/2026.</w:t>
            </w:r>
          </w:p>
        </w:tc>
      </w:tr>
      <w:tr w:rsidR="00953F95" w:rsidRPr="00E558EA" w14:paraId="47744F6F" w14:textId="77777777" w:rsidTr="00953F95">
        <w:tc>
          <w:tcPr>
            <w:tcW w:w="736" w:type="dxa"/>
          </w:tcPr>
          <w:p w14:paraId="361AD3B7" w14:textId="77777777" w:rsidR="00953F95" w:rsidRPr="00E558EA" w:rsidRDefault="00953F95" w:rsidP="00953F95">
            <w:pPr>
              <w:pStyle w:val="ListParagraph"/>
              <w:numPr>
                <w:ilvl w:val="0"/>
                <w:numId w:val="7"/>
              </w:numPr>
              <w:jc w:val="center"/>
              <w:rPr>
                <w:rFonts w:ascii="Times New Roman" w:hAnsi="Times New Roman" w:cs="Times New Roman"/>
                <w:sz w:val="25"/>
                <w:szCs w:val="25"/>
              </w:rPr>
            </w:pPr>
          </w:p>
        </w:tc>
        <w:tc>
          <w:tcPr>
            <w:tcW w:w="1899" w:type="dxa"/>
          </w:tcPr>
          <w:p w14:paraId="3E38DF62" w14:textId="77777777" w:rsidR="00953F95" w:rsidRPr="00E558EA" w:rsidRDefault="00953F95" w:rsidP="00953F95">
            <w:pPr>
              <w:jc w:val="both"/>
              <w:rPr>
                <w:rFonts w:ascii="Times New Roman" w:eastAsia="Times New Roman" w:hAnsi="Times New Roman" w:cs="Times New Roman"/>
                <w:color w:val="000000"/>
                <w:sz w:val="25"/>
                <w:szCs w:val="25"/>
              </w:rPr>
            </w:pPr>
            <w:r w:rsidRPr="00E558EA">
              <w:rPr>
                <w:rFonts w:ascii="Times New Roman" w:eastAsia="Times New Roman" w:hAnsi="Times New Roman" w:cs="Times New Roman"/>
                <w:color w:val="000000"/>
                <w:sz w:val="25"/>
                <w:szCs w:val="25"/>
              </w:rPr>
              <w:t>Điều 70 Luật Đấu giá tài sản năm 2016 (sửa đổi, bổ sung năm 2024)</w:t>
            </w:r>
          </w:p>
        </w:tc>
        <w:tc>
          <w:tcPr>
            <w:tcW w:w="3773" w:type="dxa"/>
          </w:tcPr>
          <w:p w14:paraId="26DE8C84" w14:textId="77777777" w:rsidR="00953F95" w:rsidRPr="00E558EA" w:rsidRDefault="00953F95" w:rsidP="00953F95">
            <w:pPr>
              <w:jc w:val="both"/>
              <w:rPr>
                <w:rFonts w:ascii="Times New Roman" w:eastAsia="Times New Roman" w:hAnsi="Times New Roman" w:cs="Times New Roman"/>
                <w:color w:val="000000"/>
                <w:sz w:val="25"/>
                <w:szCs w:val="25"/>
              </w:rPr>
            </w:pPr>
            <w:r w:rsidRPr="00E558EA">
              <w:rPr>
                <w:rFonts w:ascii="Times New Roman" w:eastAsia="Times New Roman" w:hAnsi="Times New Roman" w:cs="Times New Roman"/>
                <w:color w:val="000000"/>
                <w:sz w:val="25"/>
                <w:szCs w:val="25"/>
              </w:rPr>
              <w:t xml:space="preserve">Điều 70 Luật Đấu giá tài sản năm 2016 (sửa đổi, bổ sung năm 2024) mới chỉ quy định chế tài cấm tổ chức (doanh nghiệp) tham gia đấu giá quyền sử dụng đất để thực hiện dự án đầu tư và quyền khai thác khoáng sản trúng đấu giá nhưng sau đó bỏ cọc, không thanh toán tiền trúng đấu giá với thời hạn cấm từ 06 tháng đến 05 năm. Tuy nhiên, thời gian qua, nhiều người tham gia đấu giá đã lợi dụng các quy định nêu </w:t>
            </w:r>
            <w:r w:rsidRPr="00E558EA">
              <w:rPr>
                <w:rFonts w:ascii="Times New Roman" w:eastAsia="Times New Roman" w:hAnsi="Times New Roman" w:cs="Times New Roman"/>
                <w:color w:val="000000"/>
                <w:sz w:val="25"/>
                <w:szCs w:val="25"/>
              </w:rPr>
              <w:lastRenderedPageBreak/>
              <w:t>trên để trả giá cao rồi bỏ cọc nhằm trục lợi hoặc mục đích riêng, tác động tiêu cực đến thị trường bất động sản, ảnh hưởng đến việc khai thác có hiệu quả nguồn lực đất đai phục vụ phát triển kinh tế, xã hội.</w:t>
            </w:r>
          </w:p>
        </w:tc>
        <w:tc>
          <w:tcPr>
            <w:tcW w:w="1731" w:type="dxa"/>
          </w:tcPr>
          <w:p w14:paraId="42C17C98" w14:textId="77777777" w:rsidR="00953F95" w:rsidRPr="00E558EA" w:rsidRDefault="00953F95" w:rsidP="00953F95">
            <w:pPr>
              <w:jc w:val="both"/>
              <w:rPr>
                <w:rFonts w:ascii="Times New Roman" w:eastAsia="Times New Roman" w:hAnsi="Times New Roman" w:cs="Times New Roman"/>
                <w:color w:val="000000"/>
                <w:sz w:val="25"/>
                <w:szCs w:val="25"/>
              </w:rPr>
            </w:pPr>
            <w:r w:rsidRPr="00E558EA">
              <w:rPr>
                <w:rFonts w:ascii="Times New Roman" w:eastAsia="Times New Roman" w:hAnsi="Times New Roman" w:cs="Times New Roman"/>
                <w:color w:val="000000"/>
                <w:sz w:val="25"/>
                <w:szCs w:val="25"/>
              </w:rPr>
              <w:lastRenderedPageBreak/>
              <w:t>D. Ban hành nghị quyết QPPL của Chính phủ, nghị quyết của UBTVQH theo quy định tại điểm c khoản 1 Điều 4 Nghị quyết số 206/2025/QH15</w:t>
            </w:r>
          </w:p>
        </w:tc>
        <w:tc>
          <w:tcPr>
            <w:tcW w:w="1790" w:type="dxa"/>
          </w:tcPr>
          <w:p w14:paraId="13D5A87D" w14:textId="77777777" w:rsidR="00953F95" w:rsidRPr="00E558EA" w:rsidRDefault="00953F95" w:rsidP="00953F95">
            <w:pPr>
              <w:jc w:val="center"/>
              <w:rPr>
                <w:rFonts w:ascii="Times New Roman" w:eastAsia="Times New Roman" w:hAnsi="Times New Roman" w:cs="Times New Roman"/>
                <w:color w:val="000000"/>
                <w:sz w:val="25"/>
                <w:szCs w:val="25"/>
              </w:rPr>
            </w:pPr>
            <w:r w:rsidRPr="00E558EA">
              <w:rPr>
                <w:rFonts w:ascii="Times New Roman" w:eastAsia="Times New Roman" w:hAnsi="Times New Roman" w:cs="Times New Roman"/>
                <w:color w:val="000000"/>
                <w:sz w:val="25"/>
                <w:szCs w:val="25"/>
              </w:rPr>
              <w:t>Bộ Tư pháp</w:t>
            </w:r>
          </w:p>
        </w:tc>
        <w:tc>
          <w:tcPr>
            <w:tcW w:w="2660" w:type="dxa"/>
          </w:tcPr>
          <w:p w14:paraId="06AD9204" w14:textId="77777777" w:rsidR="00953F95" w:rsidRPr="00763A28" w:rsidDel="00E50E27" w:rsidRDefault="00953F95" w:rsidP="00953F95">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Nhất trí đề xuất. Hiện nay, thực hiện </w:t>
            </w:r>
            <w:r w:rsidRPr="00763A28">
              <w:rPr>
                <w:rFonts w:ascii="Times New Roman" w:eastAsia="Times New Roman" w:hAnsi="Times New Roman" w:cs="Times New Roman"/>
                <w:color w:val="000000"/>
                <w:sz w:val="26"/>
                <w:szCs w:val="26"/>
              </w:rPr>
              <w:t>quy định tại điểm c khoản 1 Điều 4 Nghị quyết số 206/2025/QH15</w:t>
            </w:r>
            <w:r>
              <w:rPr>
                <w:rFonts w:ascii="Times New Roman" w:eastAsia="Times New Roman" w:hAnsi="Times New Roman" w:cs="Times New Roman"/>
                <w:color w:val="000000"/>
                <w:sz w:val="26"/>
                <w:szCs w:val="26"/>
              </w:rPr>
              <w:t xml:space="preserve"> của Quốc hội,</w:t>
            </w:r>
            <w:r w:rsidRPr="00763A28">
              <w:rPr>
                <w:rFonts w:ascii="Times New Roman" w:eastAsia="Times New Roman" w:hAnsi="Times New Roman" w:cs="Times New Roman"/>
                <w:color w:val="000000"/>
                <w:sz w:val="26"/>
                <w:szCs w:val="26"/>
              </w:rPr>
              <w:t xml:space="preserve"> Bộ Tư pháp </w:t>
            </w:r>
            <w:r>
              <w:rPr>
                <w:rFonts w:ascii="Times New Roman" w:eastAsia="Times New Roman" w:hAnsi="Times New Roman" w:cs="Times New Roman"/>
                <w:color w:val="000000"/>
                <w:sz w:val="26"/>
                <w:szCs w:val="26"/>
              </w:rPr>
              <w:t>đang</w:t>
            </w:r>
            <w:r w:rsidRPr="00763A28">
              <w:rPr>
                <w:rFonts w:ascii="Times New Roman" w:eastAsia="Times New Roman" w:hAnsi="Times New Roman" w:cs="Times New Roman"/>
                <w:color w:val="000000"/>
                <w:sz w:val="26"/>
                <w:szCs w:val="26"/>
              </w:rPr>
              <w:t xml:space="preserve"> báo cáo Chính phủ để ban hành nghị quyết của Chính phủ để khắc phục bất cập của thực tiễn,</w:t>
            </w:r>
            <w:r>
              <w:rPr>
                <w:rFonts w:ascii="Times New Roman" w:eastAsia="Times New Roman" w:hAnsi="Times New Roman" w:cs="Times New Roman"/>
                <w:color w:val="000000"/>
                <w:sz w:val="26"/>
                <w:szCs w:val="26"/>
              </w:rPr>
              <w:t xml:space="preserve"> </w:t>
            </w:r>
            <w:r w:rsidRPr="00763A28">
              <w:rPr>
                <w:rFonts w:ascii="Times New Roman" w:eastAsia="Times New Roman" w:hAnsi="Times New Roman" w:cs="Times New Roman"/>
                <w:color w:val="000000"/>
                <w:sz w:val="26"/>
                <w:szCs w:val="26"/>
              </w:rPr>
              <w:t xml:space="preserve">trong đó điều </w:t>
            </w:r>
            <w:r w:rsidRPr="00763A28">
              <w:rPr>
                <w:rFonts w:ascii="Times New Roman" w:eastAsia="Times New Roman" w:hAnsi="Times New Roman" w:cs="Times New Roman"/>
                <w:color w:val="000000"/>
                <w:sz w:val="26"/>
                <w:szCs w:val="26"/>
              </w:rPr>
              <w:lastRenderedPageBreak/>
              <w:t>chỉnh một số quy định của Luật Đấu giá tài sản liên quan đến tăng mức tiền đặt cọc và cấm tham gia đấu giá đối với trường hợp bỏ cọc không có lý do chính đáng</w:t>
            </w:r>
            <w:r>
              <w:rPr>
                <w:rFonts w:ascii="Times New Roman" w:eastAsia="Times New Roman" w:hAnsi="Times New Roman" w:cs="Times New Roman"/>
                <w:color w:val="000000"/>
                <w:sz w:val="26"/>
                <w:szCs w:val="26"/>
              </w:rPr>
              <w:t>.</w:t>
            </w:r>
          </w:p>
          <w:p w14:paraId="4BC74552" w14:textId="77777777" w:rsidR="00953F95" w:rsidRPr="00E558EA" w:rsidRDefault="00953F95" w:rsidP="00953F95">
            <w:pPr>
              <w:jc w:val="both"/>
              <w:rPr>
                <w:rFonts w:ascii="Times New Roman" w:eastAsia="Times New Roman" w:hAnsi="Times New Roman" w:cs="Times New Roman"/>
                <w:color w:val="000000"/>
                <w:sz w:val="25"/>
                <w:szCs w:val="25"/>
              </w:rPr>
            </w:pPr>
          </w:p>
        </w:tc>
        <w:tc>
          <w:tcPr>
            <w:tcW w:w="2721" w:type="dxa"/>
          </w:tcPr>
          <w:p w14:paraId="6850E202" w14:textId="6754586A" w:rsidR="004E5105" w:rsidRPr="00514622" w:rsidRDefault="00DF0247">
            <w:pPr>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lastRenderedPageBreak/>
              <w:t>Đã xử lý</w:t>
            </w:r>
          </w:p>
          <w:p w14:paraId="36BB3886" w14:textId="67B706EC" w:rsidR="00953F95" w:rsidRPr="00953F95" w:rsidRDefault="00CA66A2">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Ngày 21/10/2025, Bộ Tư pháp đã tổ chức Hội đồng thẩm định độc lập thẩm định dự thảo </w:t>
            </w:r>
            <w:r w:rsidRPr="00CA66A2">
              <w:rPr>
                <w:rFonts w:ascii="Times New Roman" w:eastAsia="Times New Roman" w:hAnsi="Times New Roman" w:cs="Times New Roman"/>
                <w:color w:val="000000"/>
                <w:sz w:val="25"/>
                <w:szCs w:val="25"/>
              </w:rPr>
              <w:t>Nghị quyết của Chính phủ quy định xử lý khó khăn, vướng mắc về đấu giá quyền sử dụng đất trong trường hợp giao đất, cho thuê đất</w:t>
            </w:r>
            <w:r>
              <w:rPr>
                <w:rFonts w:ascii="Times New Roman" w:eastAsia="Times New Roman" w:hAnsi="Times New Roman" w:cs="Times New Roman"/>
                <w:color w:val="000000"/>
                <w:sz w:val="25"/>
                <w:szCs w:val="25"/>
              </w:rPr>
              <w:t xml:space="preserve"> theo quy định của Luật Đất đai.</w:t>
            </w:r>
            <w:r w:rsidRPr="00CA66A2">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N</w:t>
            </w:r>
            <w:r w:rsidRPr="00CA66A2">
              <w:rPr>
                <w:rFonts w:ascii="Times New Roman" w:eastAsia="Times New Roman" w:hAnsi="Times New Roman" w:cs="Times New Roman"/>
                <w:color w:val="000000"/>
                <w:sz w:val="25"/>
                <w:szCs w:val="25"/>
              </w:rPr>
              <w:t xml:space="preserve">gày </w:t>
            </w:r>
            <w:r w:rsidRPr="00CA66A2">
              <w:rPr>
                <w:rFonts w:ascii="Times New Roman" w:eastAsia="Times New Roman" w:hAnsi="Times New Roman" w:cs="Times New Roman"/>
                <w:color w:val="000000"/>
                <w:sz w:val="25"/>
                <w:szCs w:val="25"/>
              </w:rPr>
              <w:lastRenderedPageBreak/>
              <w:t>27/11/2025, Bộ Tư pháp đã có Tờ trình số 159/TTr-BTP trình Chính phủ dự thảo Nghị quyết. Hiện nay, Chính phủ đang thực hiện việc lấy ý kiến thành viên Chính phủ đối với dự thảo Nghị quyết</w:t>
            </w:r>
            <w:r>
              <w:rPr>
                <w:rFonts w:ascii="Times New Roman" w:eastAsia="Times New Roman" w:hAnsi="Times New Roman" w:cs="Times New Roman"/>
                <w:color w:val="000000"/>
                <w:sz w:val="25"/>
                <w:szCs w:val="25"/>
              </w:rPr>
              <w:t>.</w:t>
            </w:r>
          </w:p>
        </w:tc>
      </w:tr>
      <w:tr w:rsidR="00953F95" w:rsidRPr="00E558EA" w14:paraId="72AFC87D" w14:textId="77777777" w:rsidTr="00953F95">
        <w:tc>
          <w:tcPr>
            <w:tcW w:w="736" w:type="dxa"/>
          </w:tcPr>
          <w:p w14:paraId="54183E99" w14:textId="77777777" w:rsidR="00953F95" w:rsidRPr="00E558EA" w:rsidRDefault="00953F95" w:rsidP="00953F95">
            <w:pPr>
              <w:pStyle w:val="ListParagraph"/>
              <w:numPr>
                <w:ilvl w:val="0"/>
                <w:numId w:val="7"/>
              </w:numPr>
              <w:jc w:val="center"/>
              <w:rPr>
                <w:rFonts w:ascii="Times New Roman" w:hAnsi="Times New Roman" w:cs="Times New Roman"/>
                <w:sz w:val="25"/>
                <w:szCs w:val="25"/>
              </w:rPr>
            </w:pPr>
          </w:p>
        </w:tc>
        <w:tc>
          <w:tcPr>
            <w:tcW w:w="1899" w:type="dxa"/>
          </w:tcPr>
          <w:p w14:paraId="4126554A" w14:textId="5E6EEC16" w:rsidR="00953F95" w:rsidRPr="00E558EA" w:rsidRDefault="00953F95" w:rsidP="00953F95">
            <w:pPr>
              <w:jc w:val="both"/>
              <w:rPr>
                <w:rFonts w:ascii="Times New Roman" w:eastAsia="Times New Roman" w:hAnsi="Times New Roman" w:cs="Times New Roman"/>
                <w:color w:val="000000"/>
                <w:sz w:val="25"/>
                <w:szCs w:val="25"/>
              </w:rPr>
            </w:pPr>
            <w:r w:rsidRPr="00E558EA">
              <w:rPr>
                <w:rFonts w:ascii="Times New Roman" w:eastAsia="Times New Roman" w:hAnsi="Times New Roman" w:cs="Times New Roman"/>
                <w:color w:val="000000"/>
                <w:sz w:val="25"/>
                <w:szCs w:val="25"/>
              </w:rPr>
              <w:t>Điều 73</w:t>
            </w:r>
            <w:r>
              <w:rPr>
                <w:rFonts w:ascii="Times New Roman" w:eastAsia="Times New Roman" w:hAnsi="Times New Roman" w:cs="Times New Roman"/>
                <w:color w:val="000000"/>
                <w:sz w:val="25"/>
                <w:szCs w:val="25"/>
              </w:rPr>
              <w:t xml:space="preserve"> </w:t>
            </w:r>
            <w:r w:rsidRPr="00E558EA">
              <w:rPr>
                <w:rFonts w:ascii="Times New Roman" w:eastAsia="Times New Roman" w:hAnsi="Times New Roman" w:cs="Times New Roman"/>
                <w:color w:val="000000"/>
                <w:sz w:val="25"/>
                <w:szCs w:val="25"/>
              </w:rPr>
              <w:t>Luật Đấu giá tài sản năm 2016 (sửa đổi, bổ sung năm 2024)</w:t>
            </w:r>
          </w:p>
        </w:tc>
        <w:tc>
          <w:tcPr>
            <w:tcW w:w="3773" w:type="dxa"/>
          </w:tcPr>
          <w:p w14:paraId="76A2CC53" w14:textId="77777777" w:rsidR="00953F95" w:rsidRPr="00E558EA" w:rsidRDefault="00953F95" w:rsidP="00953F95">
            <w:pPr>
              <w:jc w:val="both"/>
              <w:rPr>
                <w:rFonts w:ascii="Times New Roman" w:hAnsi="Times New Roman" w:cs="Times New Roman"/>
                <w:sz w:val="25"/>
                <w:szCs w:val="25"/>
              </w:rPr>
            </w:pPr>
            <w:r w:rsidRPr="00E558EA">
              <w:rPr>
                <w:rFonts w:ascii="Times New Roman" w:hAnsi="Times New Roman" w:cs="Times New Roman"/>
                <w:sz w:val="25"/>
                <w:szCs w:val="25"/>
              </w:rPr>
              <w:t xml:space="preserve">Luật Đấu giá tài sản hiện nay tại Điều 73 mới chỉ quy định về trách nhiệm bồi thường thiệt </w:t>
            </w:r>
            <w:r w:rsidRPr="00E558EA">
              <w:rPr>
                <w:rFonts w:ascii="Times New Roman" w:eastAsia="Times New Roman" w:hAnsi="Times New Roman" w:cs="Times New Roman"/>
                <w:color w:val="000000"/>
                <w:sz w:val="25"/>
                <w:szCs w:val="25"/>
              </w:rPr>
              <w:t>hại</w:t>
            </w:r>
            <w:r w:rsidRPr="00E558EA">
              <w:rPr>
                <w:rFonts w:ascii="Times New Roman" w:hAnsi="Times New Roman" w:cs="Times New Roman"/>
                <w:sz w:val="25"/>
                <w:szCs w:val="25"/>
              </w:rPr>
              <w:t xml:space="preserve"> theo quy định của pháp luật trong trường hợp </w:t>
            </w:r>
            <w:r w:rsidRPr="00E558EA">
              <w:rPr>
                <w:rFonts w:ascii="Times New Roman" w:hAnsi="Times New Roman" w:cs="Times New Roman"/>
                <w:color w:val="000000"/>
                <w:sz w:val="25"/>
                <w:szCs w:val="25"/>
              </w:rPr>
              <w:t xml:space="preserve">hủy kết quả đấu giá tài sản do người tham gia đấu giá có hành vi vi phạm trình tự, thủ tục đấu giá, thông đồng, dìm giá, nâng giá mà chưa có quy định phải thanh toán các chi phí mà người có tài sản đấu giá và tổ chức hành nghề đấu giá đã bỏ ra để tổ chức cuộc đấu giá. Do đó, cần bổ sung chế tài </w:t>
            </w:r>
            <w:r w:rsidRPr="00E558EA">
              <w:rPr>
                <w:rFonts w:ascii="Times New Roman" w:hAnsi="Times New Roman" w:cs="Times New Roman"/>
                <w:sz w:val="25"/>
                <w:szCs w:val="25"/>
              </w:rPr>
              <w:t xml:space="preserve">người bỏ cọc phải thanh toán toàn bộ chi phí tổ chức </w:t>
            </w:r>
            <w:r w:rsidRPr="00E558EA">
              <w:rPr>
                <w:rFonts w:ascii="Times New Roman" w:hAnsi="Times New Roman" w:cs="Times New Roman"/>
                <w:sz w:val="25"/>
                <w:szCs w:val="25"/>
              </w:rPr>
              <w:lastRenderedPageBreak/>
              <w:t xml:space="preserve">đấu giá ngoài khoản tiền đặt cọc không được nhận lại theo quy định. </w:t>
            </w:r>
          </w:p>
        </w:tc>
        <w:tc>
          <w:tcPr>
            <w:tcW w:w="1731" w:type="dxa"/>
          </w:tcPr>
          <w:p w14:paraId="5E858130" w14:textId="77777777" w:rsidR="00953F95" w:rsidRPr="00E558EA" w:rsidRDefault="00953F95" w:rsidP="00953F95">
            <w:pPr>
              <w:jc w:val="both"/>
              <w:rPr>
                <w:rFonts w:ascii="Times New Roman" w:eastAsia="Times New Roman" w:hAnsi="Times New Roman" w:cs="Times New Roman"/>
                <w:color w:val="000000"/>
                <w:sz w:val="25"/>
                <w:szCs w:val="25"/>
              </w:rPr>
            </w:pPr>
            <w:r w:rsidRPr="00E558EA">
              <w:rPr>
                <w:rFonts w:ascii="Times New Roman" w:eastAsia="Times New Roman" w:hAnsi="Times New Roman" w:cs="Times New Roman"/>
                <w:color w:val="000000"/>
                <w:sz w:val="25"/>
                <w:szCs w:val="25"/>
              </w:rPr>
              <w:lastRenderedPageBreak/>
              <w:t>D. Ban hành nghị quyết QPPL của Chính phủ, nghị quyết của UBTVQH theo quy định tại điểm c khoản 1 Điều 4 Nghị quyết số 206/2025/QH15</w:t>
            </w:r>
          </w:p>
        </w:tc>
        <w:tc>
          <w:tcPr>
            <w:tcW w:w="1790" w:type="dxa"/>
          </w:tcPr>
          <w:p w14:paraId="42BA0426" w14:textId="77777777" w:rsidR="00953F95" w:rsidRPr="00E558EA" w:rsidRDefault="00953F95" w:rsidP="00953F95">
            <w:pPr>
              <w:jc w:val="center"/>
              <w:rPr>
                <w:rFonts w:ascii="Times New Roman" w:eastAsia="Times New Roman" w:hAnsi="Times New Roman" w:cs="Times New Roman"/>
                <w:color w:val="000000"/>
                <w:sz w:val="25"/>
                <w:szCs w:val="25"/>
              </w:rPr>
            </w:pPr>
            <w:r w:rsidRPr="00E558EA">
              <w:rPr>
                <w:rFonts w:ascii="Times New Roman" w:eastAsia="Times New Roman" w:hAnsi="Times New Roman" w:cs="Times New Roman"/>
                <w:color w:val="000000"/>
                <w:sz w:val="25"/>
                <w:szCs w:val="25"/>
              </w:rPr>
              <w:t>Bộ Tư pháp</w:t>
            </w:r>
          </w:p>
        </w:tc>
        <w:tc>
          <w:tcPr>
            <w:tcW w:w="2660" w:type="dxa"/>
          </w:tcPr>
          <w:p w14:paraId="753E0D5A" w14:textId="77777777" w:rsidR="00953F95" w:rsidRPr="00E558EA" w:rsidRDefault="00953F95" w:rsidP="00953F95">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6"/>
                <w:szCs w:val="26"/>
              </w:rPr>
              <w:t xml:space="preserve">Nhất trí đề xuất. Hiện nay, thực hiện </w:t>
            </w:r>
            <w:r w:rsidRPr="00763A28">
              <w:rPr>
                <w:rFonts w:ascii="Times New Roman" w:eastAsia="Times New Roman" w:hAnsi="Times New Roman" w:cs="Times New Roman"/>
                <w:color w:val="000000"/>
                <w:sz w:val="26"/>
                <w:szCs w:val="26"/>
              </w:rPr>
              <w:t>quy định tại điểm c khoản 1 Điều 4 Nghị quyết số 206/2025/QH15</w:t>
            </w:r>
            <w:r>
              <w:rPr>
                <w:rFonts w:ascii="Times New Roman" w:eastAsia="Times New Roman" w:hAnsi="Times New Roman" w:cs="Times New Roman"/>
                <w:color w:val="000000"/>
                <w:sz w:val="26"/>
                <w:szCs w:val="26"/>
              </w:rPr>
              <w:t xml:space="preserve"> của Quốc hội,</w:t>
            </w:r>
            <w:r w:rsidRPr="00763A28">
              <w:rPr>
                <w:rFonts w:ascii="Times New Roman" w:eastAsia="Times New Roman" w:hAnsi="Times New Roman" w:cs="Times New Roman"/>
                <w:color w:val="000000"/>
                <w:sz w:val="26"/>
                <w:szCs w:val="26"/>
              </w:rPr>
              <w:t xml:space="preserve"> Bộ Tư pháp </w:t>
            </w:r>
            <w:r>
              <w:rPr>
                <w:rFonts w:ascii="Times New Roman" w:eastAsia="Times New Roman" w:hAnsi="Times New Roman" w:cs="Times New Roman"/>
                <w:color w:val="000000"/>
                <w:sz w:val="26"/>
                <w:szCs w:val="26"/>
              </w:rPr>
              <w:t>đang</w:t>
            </w:r>
            <w:r w:rsidRPr="00763A28">
              <w:rPr>
                <w:rFonts w:ascii="Times New Roman" w:eastAsia="Times New Roman" w:hAnsi="Times New Roman" w:cs="Times New Roman"/>
                <w:color w:val="000000"/>
                <w:sz w:val="26"/>
                <w:szCs w:val="26"/>
              </w:rPr>
              <w:t xml:space="preserve"> báo cáo Chính phủ để ban hành nghị quyết của Chính phủ để khắc phục bất cập của thực tiễn,</w:t>
            </w:r>
            <w:r>
              <w:rPr>
                <w:rFonts w:ascii="Times New Roman" w:eastAsia="Times New Roman" w:hAnsi="Times New Roman" w:cs="Times New Roman"/>
                <w:color w:val="000000"/>
                <w:sz w:val="26"/>
                <w:szCs w:val="26"/>
              </w:rPr>
              <w:t xml:space="preserve"> </w:t>
            </w:r>
            <w:r w:rsidRPr="00763A28">
              <w:rPr>
                <w:rFonts w:ascii="Times New Roman" w:eastAsia="Times New Roman" w:hAnsi="Times New Roman" w:cs="Times New Roman"/>
                <w:color w:val="000000"/>
                <w:sz w:val="26"/>
                <w:szCs w:val="26"/>
              </w:rPr>
              <w:t xml:space="preserve">trong đó điều chỉnh một số quy định của Luật Đấu giá tài sản liên quan đến </w:t>
            </w:r>
            <w:r w:rsidRPr="00763A28">
              <w:rPr>
                <w:rFonts w:ascii="Times New Roman" w:hAnsi="Times New Roman" w:cs="Times New Roman"/>
                <w:color w:val="000000"/>
                <w:sz w:val="26"/>
                <w:szCs w:val="26"/>
              </w:rPr>
              <w:t xml:space="preserve">chế tài </w:t>
            </w:r>
            <w:r>
              <w:rPr>
                <w:rFonts w:ascii="Times New Roman" w:hAnsi="Times New Roman" w:cs="Times New Roman"/>
                <w:color w:val="000000"/>
                <w:sz w:val="26"/>
                <w:szCs w:val="26"/>
              </w:rPr>
              <w:lastRenderedPageBreak/>
              <w:t xml:space="preserve">đối với </w:t>
            </w:r>
            <w:r w:rsidRPr="00763A28">
              <w:rPr>
                <w:rFonts w:ascii="Times New Roman" w:hAnsi="Times New Roman" w:cs="Times New Roman"/>
                <w:sz w:val="26"/>
                <w:szCs w:val="26"/>
              </w:rPr>
              <w:t xml:space="preserve">người bỏ cọc phải thanh toán toàn bộ chi phí tổ chức đấu giá ngoài khoản tiền đặt cọc không được nhận lại theo quy định. </w:t>
            </w:r>
          </w:p>
        </w:tc>
        <w:tc>
          <w:tcPr>
            <w:tcW w:w="2721" w:type="dxa"/>
          </w:tcPr>
          <w:p w14:paraId="0A200B22" w14:textId="0703B882" w:rsidR="004E5105" w:rsidRPr="00514622" w:rsidRDefault="00DF0247" w:rsidP="00953F95">
            <w:pPr>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Đã xử lý</w:t>
            </w:r>
          </w:p>
          <w:p w14:paraId="689336F2" w14:textId="075D923D" w:rsidR="00953F95" w:rsidRPr="00514622" w:rsidRDefault="00141872" w:rsidP="00953F95">
            <w:pPr>
              <w:jc w:val="both"/>
              <w:rPr>
                <w:rFonts w:ascii="Times New Roman" w:hAnsi="Times New Roman" w:cs="Times New Roman"/>
                <w:sz w:val="26"/>
                <w:szCs w:val="26"/>
              </w:rPr>
            </w:pPr>
            <w:r w:rsidRPr="00514622">
              <w:rPr>
                <w:rFonts w:ascii="Times New Roman" w:eastAsia="Times New Roman" w:hAnsi="Times New Roman" w:cs="Times New Roman"/>
                <w:color w:val="000000"/>
                <w:sz w:val="26"/>
                <w:szCs w:val="26"/>
              </w:rPr>
              <w:t xml:space="preserve">Ngày 21/10/2025, Bộ Tư pháp đã tổ chức Hội đồng thẩm định độc lập thẩm định dự thảo Nghị quyết của Chính phủ quy định xử lý khó khăn, vướng mắc về đấu giá quyền sử dụng đất trong trường hợp giao đất, cho thuê đất theo quy định của Luật Đất đai. Ngày 27/11/2025, Bộ Tư pháp đã có Tờ </w:t>
            </w:r>
            <w:r w:rsidRPr="00514622">
              <w:rPr>
                <w:rFonts w:ascii="Times New Roman" w:eastAsia="Times New Roman" w:hAnsi="Times New Roman" w:cs="Times New Roman"/>
                <w:color w:val="000000"/>
                <w:sz w:val="26"/>
                <w:szCs w:val="26"/>
              </w:rPr>
              <w:lastRenderedPageBreak/>
              <w:t>trình số 159/TTr-BTP trình Chính phủ dự thảo Nghị quyết. Hiện nay, Chính phủ đang thực hiện việc lấy ý kiến thành viên Chính phủ đối với dự thảo Nghị quyết.</w:t>
            </w:r>
          </w:p>
        </w:tc>
      </w:tr>
      <w:tr w:rsidR="00953F95" w:rsidRPr="00E558EA" w14:paraId="306862BC" w14:textId="77777777" w:rsidTr="00953F95">
        <w:tc>
          <w:tcPr>
            <w:tcW w:w="736" w:type="dxa"/>
          </w:tcPr>
          <w:p w14:paraId="5CAB56CC" w14:textId="77777777" w:rsidR="00953F95" w:rsidRPr="00E558EA" w:rsidRDefault="00953F95" w:rsidP="00953F95">
            <w:pPr>
              <w:pStyle w:val="ListParagraph"/>
              <w:numPr>
                <w:ilvl w:val="0"/>
                <w:numId w:val="7"/>
              </w:numPr>
              <w:jc w:val="center"/>
              <w:rPr>
                <w:rFonts w:ascii="Times New Roman" w:hAnsi="Times New Roman" w:cs="Times New Roman"/>
                <w:sz w:val="25"/>
                <w:szCs w:val="25"/>
              </w:rPr>
            </w:pPr>
          </w:p>
        </w:tc>
        <w:tc>
          <w:tcPr>
            <w:tcW w:w="1899" w:type="dxa"/>
          </w:tcPr>
          <w:p w14:paraId="342DC5D3" w14:textId="77777777" w:rsidR="00953F95" w:rsidRPr="00E558EA" w:rsidRDefault="00953F95" w:rsidP="00953F95">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6"/>
                <w:szCs w:val="26"/>
              </w:rPr>
              <w:t>Điều 66 Luật Công chứng</w:t>
            </w:r>
          </w:p>
        </w:tc>
        <w:tc>
          <w:tcPr>
            <w:tcW w:w="3773" w:type="dxa"/>
          </w:tcPr>
          <w:p w14:paraId="5B0AF0D7" w14:textId="77777777" w:rsidR="00953F95" w:rsidRPr="00E558EA" w:rsidRDefault="00953F95" w:rsidP="00953F95">
            <w:pPr>
              <w:jc w:val="both"/>
              <w:rPr>
                <w:rFonts w:ascii="Times New Roman" w:hAnsi="Times New Roman" w:cs="Times New Roman"/>
                <w:sz w:val="25"/>
                <w:szCs w:val="25"/>
              </w:rPr>
            </w:pPr>
            <w:r w:rsidRPr="00CA3E6B">
              <w:rPr>
                <w:rFonts w:ascii="Times New Roman" w:hAnsi="Times New Roman" w:cs="Times New Roman"/>
                <w:sz w:val="26"/>
                <w:szCs w:val="26"/>
              </w:rPr>
              <w:t xml:space="preserve">Theo quy định tại Luật Công chứng thì cơ sở dữ liệu công chứng (CSDLCC) được xây dựng theo mô hình phân tán - xây dựng và vận hành 35 CSDLCC (01 CSDLCC của Bộ Tư pháp và 34 CSDL của địa phương) mà chưa tập hợp các CSDLCC về một hệ thống CSDLCC tập trung, thống nhất, dùng chung dẫn đến hạn chế đổi mới sáng tạo, phát triển động lực tăng trưởng mới, chưa khơi thông nguồn lực, thúc đẩy tăng trưởng kinh tế, chưa sử dụng hiệu quả tối đa nguồn lực như: (1) Về </w:t>
            </w:r>
            <w:r w:rsidRPr="00CA3E6B">
              <w:rPr>
                <w:rFonts w:ascii="Times New Roman" w:hAnsi="Times New Roman" w:cs="Times New Roman"/>
                <w:sz w:val="26"/>
                <w:szCs w:val="26"/>
              </w:rPr>
              <w:lastRenderedPageBreak/>
              <w:t xml:space="preserve">kinh phí thực hiện, ngân sách trung ương cần đầu tư một khoản kinh phí để xây dựng CSDLCC của Bộ Tư pháp. Đồng thời, ngân sách 34 địa phương cũng cần bố trí một khoản kinh phí để xây dựng CSDLCC của địa phương. Ngoài ra, các cơ quan còn phải bố trí kinh phí để đảm bảo hoạt động của CSDLCC; (2) Về nguồn nhân lực, Bộ Tư pháp cần bố trí cán bộ để vận hành, khai thác, sử dụng CSDLCC của Bộ Tư pháp. Cùng với đó, 34 địa phương cũng bố trí cán bộ để vận hành, khai thác, sử dụng CSDLCC tại địa phương mình. Phương án đề xuất xử lý là phương án D: Xây dựng Nghị quyết của Chính phru để sửa đổi, bổ sung Luật Công chứng năm 2024 và các văn bản hướng dẫn thi hành theo hướng xây dựng Cơ sở </w:t>
            </w:r>
            <w:r w:rsidRPr="00CA3E6B">
              <w:rPr>
                <w:rFonts w:ascii="Times New Roman" w:hAnsi="Times New Roman" w:cs="Times New Roman"/>
                <w:sz w:val="26"/>
                <w:szCs w:val="26"/>
              </w:rPr>
              <w:lastRenderedPageBreak/>
              <w:t>dữ liệu công chứng tập trung theo Nghị quyết số 206/2025/QH15.</w:t>
            </w:r>
          </w:p>
        </w:tc>
        <w:tc>
          <w:tcPr>
            <w:tcW w:w="1731" w:type="dxa"/>
          </w:tcPr>
          <w:p w14:paraId="4DC642FE" w14:textId="77777777" w:rsidR="00953F95" w:rsidRPr="00E558EA" w:rsidRDefault="00953F95" w:rsidP="00953F95">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6"/>
                <w:szCs w:val="26"/>
              </w:rPr>
              <w:lastRenderedPageBreak/>
              <w:t xml:space="preserve">D. </w:t>
            </w:r>
            <w:r w:rsidRPr="00763A28">
              <w:rPr>
                <w:rFonts w:ascii="Times New Roman" w:eastAsia="Times New Roman" w:hAnsi="Times New Roman" w:cs="Times New Roman"/>
                <w:color w:val="000000"/>
                <w:sz w:val="26"/>
                <w:szCs w:val="26"/>
              </w:rPr>
              <w:t>Ban hành nghị quyết QPPL của Chính phủ, nghị quyết của UBTVQH theo quy định tại điểm c khoản 1 Điều 4 Nghị quyết số 206/2025/QH15</w:t>
            </w:r>
          </w:p>
        </w:tc>
        <w:tc>
          <w:tcPr>
            <w:tcW w:w="1790" w:type="dxa"/>
          </w:tcPr>
          <w:p w14:paraId="4A04F0C6" w14:textId="77777777" w:rsidR="00953F95" w:rsidRPr="00E558EA" w:rsidRDefault="00953F95" w:rsidP="00953F95">
            <w:pPr>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6"/>
                <w:szCs w:val="26"/>
              </w:rPr>
              <w:t>Bộ Tư pháp</w:t>
            </w:r>
          </w:p>
        </w:tc>
        <w:tc>
          <w:tcPr>
            <w:tcW w:w="2660" w:type="dxa"/>
          </w:tcPr>
          <w:p w14:paraId="3A95C85A" w14:textId="77777777" w:rsidR="00953F95" w:rsidRDefault="00953F95" w:rsidP="00953F95">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Nhất trí đề xuất. Hiện nay, thực hiện </w:t>
            </w:r>
            <w:r w:rsidRPr="00763A28">
              <w:rPr>
                <w:rFonts w:ascii="Times New Roman" w:eastAsia="Times New Roman" w:hAnsi="Times New Roman" w:cs="Times New Roman"/>
                <w:color w:val="000000"/>
                <w:sz w:val="26"/>
                <w:szCs w:val="26"/>
              </w:rPr>
              <w:t>quy định tại điểm c khoản 1 Điều 4 Nghị quyết số 206/2025/QH15</w:t>
            </w:r>
            <w:r>
              <w:rPr>
                <w:rFonts w:ascii="Times New Roman" w:eastAsia="Times New Roman" w:hAnsi="Times New Roman" w:cs="Times New Roman"/>
                <w:color w:val="000000"/>
                <w:sz w:val="26"/>
                <w:szCs w:val="26"/>
              </w:rPr>
              <w:t xml:space="preserve"> của Quốc hội,</w:t>
            </w:r>
            <w:r w:rsidRPr="00763A28">
              <w:rPr>
                <w:rFonts w:ascii="Times New Roman" w:eastAsia="Times New Roman" w:hAnsi="Times New Roman" w:cs="Times New Roman"/>
                <w:color w:val="000000"/>
                <w:sz w:val="26"/>
                <w:szCs w:val="26"/>
              </w:rPr>
              <w:t xml:space="preserve"> Bộ Tư pháp </w:t>
            </w:r>
            <w:r>
              <w:rPr>
                <w:rFonts w:ascii="Times New Roman" w:eastAsia="Times New Roman" w:hAnsi="Times New Roman" w:cs="Times New Roman"/>
                <w:color w:val="000000"/>
                <w:sz w:val="26"/>
                <w:szCs w:val="26"/>
              </w:rPr>
              <w:t>đang</w:t>
            </w:r>
            <w:r w:rsidRPr="00763A28">
              <w:rPr>
                <w:rFonts w:ascii="Times New Roman" w:eastAsia="Times New Roman" w:hAnsi="Times New Roman" w:cs="Times New Roman"/>
                <w:color w:val="000000"/>
                <w:sz w:val="26"/>
                <w:szCs w:val="26"/>
              </w:rPr>
              <w:t xml:space="preserve"> báo cáo Chính phủ để ban hành nghị quyết của Chính phủ để khắc phục bất cập của thực tiễn,</w:t>
            </w:r>
            <w:r>
              <w:rPr>
                <w:rFonts w:ascii="Times New Roman" w:eastAsia="Times New Roman" w:hAnsi="Times New Roman" w:cs="Times New Roman"/>
                <w:color w:val="000000"/>
                <w:sz w:val="26"/>
                <w:szCs w:val="26"/>
              </w:rPr>
              <w:t xml:space="preserve"> </w:t>
            </w:r>
            <w:r w:rsidRPr="00763A28">
              <w:rPr>
                <w:rFonts w:ascii="Times New Roman" w:eastAsia="Times New Roman" w:hAnsi="Times New Roman" w:cs="Times New Roman"/>
                <w:color w:val="000000"/>
                <w:sz w:val="26"/>
                <w:szCs w:val="26"/>
              </w:rPr>
              <w:t xml:space="preserve">trong đó điều chỉnh một số quy định của Luật </w:t>
            </w:r>
            <w:r>
              <w:rPr>
                <w:rFonts w:ascii="Times New Roman" w:eastAsia="Times New Roman" w:hAnsi="Times New Roman" w:cs="Times New Roman"/>
                <w:color w:val="000000"/>
                <w:sz w:val="26"/>
                <w:szCs w:val="26"/>
              </w:rPr>
              <w:t>Công chứng sửa đổi</w:t>
            </w:r>
            <w:r w:rsidRPr="00763A28">
              <w:rPr>
                <w:rFonts w:ascii="Times New Roman" w:eastAsia="Times New Roman" w:hAnsi="Times New Roman" w:cs="Times New Roman"/>
                <w:color w:val="000000"/>
                <w:sz w:val="26"/>
                <w:szCs w:val="26"/>
              </w:rPr>
              <w:t xml:space="preserve"> liên quan đến </w:t>
            </w:r>
            <w:r>
              <w:rPr>
                <w:rFonts w:ascii="Times New Roman" w:eastAsia="Times New Roman" w:hAnsi="Times New Roman" w:cs="Times New Roman"/>
                <w:color w:val="000000"/>
                <w:sz w:val="26"/>
                <w:szCs w:val="26"/>
              </w:rPr>
              <w:t xml:space="preserve">cơ sở dữ liệu của công </w:t>
            </w:r>
            <w:r>
              <w:rPr>
                <w:rFonts w:ascii="Times New Roman" w:eastAsia="Times New Roman" w:hAnsi="Times New Roman" w:cs="Times New Roman"/>
                <w:color w:val="000000"/>
                <w:sz w:val="26"/>
                <w:szCs w:val="26"/>
              </w:rPr>
              <w:lastRenderedPageBreak/>
              <w:t>chứng để khắc phục vướng mắc, bất cập của thực tiễn.</w:t>
            </w:r>
          </w:p>
          <w:p w14:paraId="1F33F82B" w14:textId="77777777" w:rsidR="00953F95" w:rsidRPr="00E558EA" w:rsidRDefault="00953F95" w:rsidP="00953F95">
            <w:pPr>
              <w:jc w:val="both"/>
              <w:rPr>
                <w:rFonts w:ascii="Times New Roman" w:hAnsi="Times New Roman" w:cs="Times New Roman"/>
                <w:sz w:val="25"/>
                <w:szCs w:val="25"/>
              </w:rPr>
            </w:pPr>
          </w:p>
        </w:tc>
        <w:tc>
          <w:tcPr>
            <w:tcW w:w="2721" w:type="dxa"/>
          </w:tcPr>
          <w:p w14:paraId="55F4342D" w14:textId="59150FD0" w:rsidR="00DF0247" w:rsidRDefault="002772B8" w:rsidP="0000409E">
            <w:pPr>
              <w:jc w:val="both"/>
              <w:rPr>
                <w:rFonts w:ascii="Times New Roman" w:hAnsi="Times New Roman" w:cs="Times New Roman"/>
                <w:b/>
                <w:sz w:val="26"/>
                <w:szCs w:val="26"/>
              </w:rPr>
            </w:pPr>
            <w:r>
              <w:rPr>
                <w:rFonts w:ascii="Times New Roman" w:hAnsi="Times New Roman" w:cs="Times New Roman"/>
                <w:b/>
                <w:sz w:val="26"/>
                <w:szCs w:val="26"/>
              </w:rPr>
              <w:lastRenderedPageBreak/>
              <w:t>Đã</w:t>
            </w:r>
            <w:r w:rsidR="00DF0247">
              <w:rPr>
                <w:rFonts w:ascii="Times New Roman" w:hAnsi="Times New Roman" w:cs="Times New Roman"/>
                <w:b/>
                <w:sz w:val="26"/>
                <w:szCs w:val="26"/>
              </w:rPr>
              <w:t xml:space="preserve"> xử lý</w:t>
            </w:r>
          </w:p>
          <w:p w14:paraId="062D1888" w14:textId="46AC2AD6" w:rsidR="0000409E" w:rsidRPr="0000409E" w:rsidRDefault="0000409E" w:rsidP="0000409E">
            <w:pPr>
              <w:jc w:val="both"/>
              <w:rPr>
                <w:rFonts w:ascii="Times New Roman" w:hAnsi="Times New Roman" w:cs="Times New Roman"/>
                <w:sz w:val="26"/>
                <w:szCs w:val="26"/>
              </w:rPr>
            </w:pPr>
            <w:r w:rsidRPr="0000409E">
              <w:rPr>
                <w:rFonts w:ascii="Times New Roman" w:hAnsi="Times New Roman" w:cs="Times New Roman"/>
                <w:sz w:val="26"/>
                <w:szCs w:val="26"/>
              </w:rPr>
              <w:t xml:space="preserve">Ngày 14/10/2025, Bộ Tư pháp đã có Báo cáo số 589/BC-BTP trình Thủ tướng Chính phủ về việc xây dựng CSDLCC. Theo đó, Bộ Tư pháp báo cáo đề xuất Thủ tướng Chính phủ trong thời gian chưa sửa đổi, bổ sung Luật Công chứng năm 2024 thì giao Bộ Tư pháp xây dựng CSDLCC thống nhất, dùng chung. </w:t>
            </w:r>
          </w:p>
          <w:p w14:paraId="0B12C338" w14:textId="7D30DA6B" w:rsidR="0000409E" w:rsidRPr="0000409E" w:rsidRDefault="0000409E" w:rsidP="0000409E">
            <w:pPr>
              <w:jc w:val="both"/>
              <w:rPr>
                <w:rFonts w:ascii="Times New Roman" w:hAnsi="Times New Roman" w:cs="Times New Roman"/>
                <w:sz w:val="26"/>
                <w:szCs w:val="26"/>
              </w:rPr>
            </w:pPr>
            <w:r w:rsidRPr="0000409E">
              <w:rPr>
                <w:rFonts w:ascii="Times New Roman" w:hAnsi="Times New Roman" w:cs="Times New Roman"/>
                <w:sz w:val="26"/>
                <w:szCs w:val="26"/>
              </w:rPr>
              <w:lastRenderedPageBreak/>
              <w:t xml:space="preserve">Ngày 18/10/2025, Văn phòng Chính phủ đã có Phiếu báo số 3644/PB-VPCP gửi Bộ Tư pháp đề nghị Bộ Tư pháp bổ sung ý kiến của các Bộ ngành và địa phương. </w:t>
            </w:r>
          </w:p>
          <w:p w14:paraId="69D7FC74" w14:textId="6F730712" w:rsidR="0000409E" w:rsidRPr="0000409E" w:rsidRDefault="0000409E" w:rsidP="0000409E">
            <w:pPr>
              <w:jc w:val="both"/>
              <w:rPr>
                <w:rFonts w:ascii="Times New Roman" w:hAnsi="Times New Roman" w:cs="Times New Roman"/>
                <w:sz w:val="26"/>
                <w:szCs w:val="26"/>
              </w:rPr>
            </w:pPr>
            <w:r w:rsidRPr="0000409E">
              <w:rPr>
                <w:rFonts w:ascii="Times New Roman" w:hAnsi="Times New Roman" w:cs="Times New Roman"/>
                <w:sz w:val="26"/>
                <w:szCs w:val="26"/>
              </w:rPr>
              <w:t xml:space="preserve">Thực hiện yêu cầu tại hiếu báo số 3644/PB-VPCP, ngày 23/10/2025. Bộ Tư pháp đã có Công văn số 6742/BTP-BTTP xin ý kiến về việc xây dựng CSDLCC gửi các Bộ: Bộ Công an, Bộ Khoa học và công nghệ, Bộ Tài chính và các địa phương: Hà Nội, TP. HCM, Đà Nẵng, Hà Tĩnh, Bắc Ninh, Lâm Đồng. </w:t>
            </w:r>
          </w:p>
          <w:p w14:paraId="1DFCE86D" w14:textId="31492D46" w:rsidR="0000409E" w:rsidRPr="0000409E" w:rsidRDefault="0000409E" w:rsidP="0000409E">
            <w:pPr>
              <w:jc w:val="both"/>
              <w:rPr>
                <w:rFonts w:ascii="Times New Roman" w:hAnsi="Times New Roman" w:cs="Times New Roman"/>
                <w:sz w:val="26"/>
                <w:szCs w:val="26"/>
              </w:rPr>
            </w:pPr>
            <w:r w:rsidRPr="0000409E">
              <w:rPr>
                <w:rFonts w:ascii="Times New Roman" w:hAnsi="Times New Roman" w:cs="Times New Roman"/>
                <w:sz w:val="26"/>
                <w:szCs w:val="26"/>
              </w:rPr>
              <w:lastRenderedPageBreak/>
              <w:t xml:space="preserve">Sau khi các Bộ, ngành, địa phương có ý kiến, ngày 02/12/2025, Bộ Tư pháp đã có Báo cáo số 729/BC-BTP về việc tiếp thu ý kiến của các Bộ và địa phương về xây dựng CSDLCC. Tại Báo cáo số 729/BC-BTP, Bộ Tư pháp đề xuất Thủ tướng Chính phủ giao Bộ Tư pháp xây dựng CSDLCC thống nhất, dùng chung trong thời gian chưa sửa đổi, bổ sung Luật Công chứng năm 2024. </w:t>
            </w:r>
          </w:p>
          <w:p w14:paraId="27C44A70" w14:textId="6E8D1714" w:rsidR="00953F95" w:rsidRPr="00953F95" w:rsidRDefault="0000409E" w:rsidP="0000409E">
            <w:pPr>
              <w:jc w:val="both"/>
              <w:rPr>
                <w:rFonts w:ascii="Times New Roman" w:hAnsi="Times New Roman" w:cs="Times New Roman"/>
                <w:sz w:val="26"/>
                <w:szCs w:val="26"/>
              </w:rPr>
            </w:pPr>
            <w:r w:rsidRPr="0000409E">
              <w:rPr>
                <w:rFonts w:ascii="Times New Roman" w:hAnsi="Times New Roman" w:cs="Times New Roman"/>
                <w:sz w:val="26"/>
                <w:szCs w:val="26"/>
              </w:rPr>
              <w:t xml:space="preserve">Hiện nay, Bộ Tư pháp đã xây dựng dự thảo Quyết định ban hành Quy định về kỹ thuật, cấu trúc CSDLCC và </w:t>
            </w:r>
            <w:r w:rsidRPr="0000409E">
              <w:rPr>
                <w:rFonts w:ascii="Times New Roman" w:hAnsi="Times New Roman" w:cs="Times New Roman"/>
                <w:sz w:val="26"/>
                <w:szCs w:val="26"/>
              </w:rPr>
              <w:lastRenderedPageBreak/>
              <w:t>đang lấy ý kiến của một số cơ quan, tổ chức.</w:t>
            </w:r>
          </w:p>
        </w:tc>
      </w:tr>
      <w:tr w:rsidR="00953F95" w:rsidRPr="00E558EA" w14:paraId="1350A6CE" w14:textId="77777777" w:rsidTr="00953F95">
        <w:tc>
          <w:tcPr>
            <w:tcW w:w="736" w:type="dxa"/>
          </w:tcPr>
          <w:p w14:paraId="2FA09B0B" w14:textId="77777777" w:rsidR="00953F95" w:rsidRPr="00E558EA" w:rsidRDefault="00953F95" w:rsidP="00953F95">
            <w:pPr>
              <w:pStyle w:val="ListParagraph"/>
              <w:numPr>
                <w:ilvl w:val="0"/>
                <w:numId w:val="7"/>
              </w:numPr>
              <w:jc w:val="center"/>
              <w:rPr>
                <w:rFonts w:ascii="Times New Roman" w:hAnsi="Times New Roman" w:cs="Times New Roman"/>
                <w:sz w:val="25"/>
                <w:szCs w:val="25"/>
              </w:rPr>
            </w:pPr>
          </w:p>
        </w:tc>
        <w:tc>
          <w:tcPr>
            <w:tcW w:w="1899" w:type="dxa"/>
          </w:tcPr>
          <w:p w14:paraId="3F68B92E" w14:textId="77777777" w:rsidR="00953F95" w:rsidRPr="00E558EA" w:rsidRDefault="00953F95" w:rsidP="00953F95">
            <w:pPr>
              <w:jc w:val="both"/>
              <w:rPr>
                <w:rFonts w:ascii="Times New Roman" w:eastAsia="Times New Roman" w:hAnsi="Times New Roman" w:cs="Times New Roman"/>
                <w:color w:val="000000"/>
                <w:sz w:val="25"/>
                <w:szCs w:val="25"/>
              </w:rPr>
            </w:pPr>
            <w:r w:rsidRPr="00E558EA">
              <w:rPr>
                <w:rFonts w:ascii="Times New Roman" w:eastAsia="Times New Roman" w:hAnsi="Times New Roman" w:cs="Times New Roman"/>
                <w:color w:val="000000"/>
                <w:sz w:val="25"/>
                <w:szCs w:val="25"/>
              </w:rPr>
              <w:t>Nghị định số 23/2015/NĐ-CP ngày 16/02/2015 của Chính phủ về cấp bản sao từ sổ gốc, chứng thực bản sao từ bản chính, chứng thực chữ ký và chứng thực hợp đồng, giao dịch</w:t>
            </w:r>
          </w:p>
        </w:tc>
        <w:tc>
          <w:tcPr>
            <w:tcW w:w="3773" w:type="dxa"/>
          </w:tcPr>
          <w:p w14:paraId="2F94FECA" w14:textId="667D1641" w:rsidR="00953F95" w:rsidRPr="00E558EA" w:rsidRDefault="00953F95" w:rsidP="00953F95">
            <w:pPr>
              <w:jc w:val="both"/>
              <w:rPr>
                <w:rFonts w:ascii="Times New Roman" w:eastAsia="Times New Roman" w:hAnsi="Times New Roman" w:cs="Times New Roman"/>
                <w:color w:val="000000"/>
                <w:sz w:val="25"/>
                <w:szCs w:val="25"/>
              </w:rPr>
            </w:pPr>
            <w:r w:rsidRPr="00E558EA">
              <w:rPr>
                <w:rFonts w:ascii="Times New Roman" w:eastAsia="Times New Roman" w:hAnsi="Times New Roman" w:cs="Times New Roman"/>
                <w:color w:val="000000"/>
                <w:sz w:val="25"/>
                <w:szCs w:val="25"/>
              </w:rPr>
              <w:t xml:space="preserve">Điểm h Khoản 2 Điều 5 Nghị định số 23/2015/NĐ-CP ngày 16/02/2015 của Chính phủ quy định Chủ tịch, Phó Chủ tịch Ủy ban nhân dân cấp xã thực hiện ký chứng thực và đóng dấu của Ủy ban nhân dân cấp xã. Theo quy định tại Điều 13 Nghị định số 120/2025/NĐ-CP của Chính phủ quy định về việc phân định thẩm quyền của chính quyền địa 02 cấp trong lĩnh vực quản lý nhà nước của Bộ Tư pháp, người thực hiện chứng thực theo quy định tại khoản 9 Điều 2 của Nghị định số 23/2015/NĐ-CP ngày 16 tháng 02 năm 2015 của Chính phủ về cấp bản sao từ sổ gốc, chứng thực bản sao từ bản chính, chứng thực chữ ký và chứng thực hợp đồng, giao dịch được sửa đổi, bổ sung năm 2025 (sau đây gọi là Nghị định số 23/2015/NĐ-CP) bao gồm: Chủ </w:t>
            </w:r>
            <w:r w:rsidRPr="00E558EA">
              <w:rPr>
                <w:rFonts w:ascii="Times New Roman" w:eastAsia="Times New Roman" w:hAnsi="Times New Roman" w:cs="Times New Roman"/>
                <w:color w:val="000000"/>
                <w:sz w:val="25"/>
                <w:szCs w:val="25"/>
              </w:rPr>
              <w:lastRenderedPageBreak/>
              <w:t xml:space="preserve">tịch, Phó Chủ tịch Ủy ban nhân dân cấp xã; công chứng viên của tổ chức hành nghề công chứng; viên chức ngoại giao, viên chức lãnh sự của Cơ quan đại diện ngoại giao, Cơ quan đại diện lãnh sự và cơ quan khác được ủy quyền thực hiện chức năng lãnh sự của Việt Nam ở nước ngoài. Thực hiện mô hình chính quyền địa phương 02 cấp, nhiệm vụ của Chủ tịch, Phó Chủ tịch UBND cấp xã là rất nhiều, do quy mô cấp xã lớn do vậy số lượng hồ sơ chứng thực của công dân lớn, nếu không quy định cơ chế ủy quyền thì Chủ tịch, Phó Chủ tịch UBND xã sẽ phải dành nhiều thời gian cho việc ký chứng thực (bản giấy và cả trên phần mềm Dịch vụ công) dẫn đến việc ảnh hưởng đến thực hiện nhiệm vụ khác của lãnh đạo UBND cấp xã. Đề nghị Bộ Tư pháp nghiên cứu, tham mưu sửa đổi quy định Chủ tịch, Phó Chủ tịch UBND xã </w:t>
            </w:r>
            <w:r w:rsidRPr="00E558EA">
              <w:rPr>
                <w:rFonts w:ascii="Times New Roman" w:eastAsia="Times New Roman" w:hAnsi="Times New Roman" w:cs="Times New Roman"/>
                <w:color w:val="000000"/>
                <w:sz w:val="25"/>
                <w:szCs w:val="25"/>
              </w:rPr>
              <w:lastRenderedPageBreak/>
              <w:t>được uỷ quyền cho Phó Giám đốc Trung tâm phục vụ hành chính công hoặc công chức tư pháp ký chứng thực bản sao, chứng thực chữ ký để giảm bớt công việc, sự vụ cho lãnh đạo cấp xã, (Hiện nay hoạt động chứng thực liên quan đến nhiều bộ phận như: Bộ phận tiếp nhận; Lãnh đạo Văn phòng; Chuyên viên Văn phòng; Lãnh đạo UBND) qua nhiều bộ phận nên việc giải quyết hồ sơ sẽ bị chậm cho người dân.</w:t>
            </w:r>
          </w:p>
        </w:tc>
        <w:tc>
          <w:tcPr>
            <w:tcW w:w="1731" w:type="dxa"/>
          </w:tcPr>
          <w:p w14:paraId="01FF6680" w14:textId="77777777" w:rsidR="00953F95" w:rsidRPr="00E558EA" w:rsidRDefault="00953F95" w:rsidP="00953F95">
            <w:pPr>
              <w:jc w:val="both"/>
              <w:rPr>
                <w:rFonts w:ascii="Times New Roman" w:eastAsia="Times New Roman" w:hAnsi="Times New Roman" w:cs="Times New Roman"/>
                <w:color w:val="000000"/>
                <w:sz w:val="25"/>
                <w:szCs w:val="25"/>
              </w:rPr>
            </w:pPr>
            <w:r w:rsidRPr="00E558EA">
              <w:rPr>
                <w:rFonts w:ascii="Times New Roman" w:eastAsia="Times New Roman" w:hAnsi="Times New Roman" w:cs="Times New Roman"/>
                <w:color w:val="000000"/>
                <w:sz w:val="25"/>
                <w:szCs w:val="25"/>
              </w:rPr>
              <w:lastRenderedPageBreak/>
              <w:t>C. Sửa đổi, bổ sung, thay thế, ban hành mới VBQPPL (theo trình tự, thủ tục rút gọn ban hành VBQPPL của Luật Ban hành VBQPPL)</w:t>
            </w:r>
          </w:p>
        </w:tc>
        <w:tc>
          <w:tcPr>
            <w:tcW w:w="1790" w:type="dxa"/>
          </w:tcPr>
          <w:p w14:paraId="3E0BEB2E" w14:textId="77777777" w:rsidR="00953F95" w:rsidRPr="00E558EA" w:rsidRDefault="00953F95" w:rsidP="00953F95">
            <w:pPr>
              <w:jc w:val="both"/>
              <w:rPr>
                <w:rFonts w:ascii="Times New Roman" w:eastAsia="Times New Roman" w:hAnsi="Times New Roman" w:cs="Times New Roman"/>
                <w:color w:val="000000"/>
                <w:sz w:val="25"/>
                <w:szCs w:val="25"/>
              </w:rPr>
            </w:pPr>
            <w:r w:rsidRPr="00E558EA">
              <w:rPr>
                <w:rFonts w:ascii="Times New Roman" w:eastAsia="Times New Roman" w:hAnsi="Times New Roman" w:cs="Times New Roman"/>
                <w:color w:val="000000"/>
                <w:sz w:val="25"/>
                <w:szCs w:val="25"/>
              </w:rPr>
              <w:t>Sở Tư pháp tỉnh Lào Cai</w:t>
            </w:r>
          </w:p>
        </w:tc>
        <w:tc>
          <w:tcPr>
            <w:tcW w:w="2660" w:type="dxa"/>
          </w:tcPr>
          <w:p w14:paraId="6A4A23C5" w14:textId="77777777" w:rsidR="00953F95" w:rsidRPr="00E558EA" w:rsidRDefault="00953F95" w:rsidP="00953F95">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6"/>
                <w:szCs w:val="26"/>
              </w:rPr>
              <w:t xml:space="preserve">Nhất trí đề xuất. </w:t>
            </w:r>
            <w:r w:rsidRPr="00763A28">
              <w:rPr>
                <w:rFonts w:ascii="Times New Roman" w:eastAsia="Times New Roman" w:hAnsi="Times New Roman" w:cs="Times New Roman"/>
                <w:color w:val="000000"/>
                <w:sz w:val="26"/>
                <w:szCs w:val="26"/>
              </w:rPr>
              <w:t xml:space="preserve">Hiện nay, Bộ Tư pháp </w:t>
            </w:r>
            <w:r>
              <w:rPr>
                <w:rFonts w:ascii="Times New Roman" w:eastAsia="Times New Roman" w:hAnsi="Times New Roman" w:cs="Times New Roman"/>
                <w:color w:val="000000"/>
                <w:sz w:val="26"/>
                <w:szCs w:val="26"/>
              </w:rPr>
              <w:t>đã báo cáo Chính phủ</w:t>
            </w:r>
            <w:r w:rsidRPr="00763A28">
              <w:rPr>
                <w:rFonts w:ascii="Times New Roman" w:eastAsia="Times New Roman" w:hAnsi="Times New Roman" w:cs="Times New Roman"/>
                <w:color w:val="000000"/>
                <w:sz w:val="26"/>
                <w:szCs w:val="26"/>
              </w:rPr>
              <w:t xml:space="preserve"> sửa đổi Nghị định số 23/2015/NĐ-CP ngày 16/02/2015 của Chính phủ về cấp bản sao từ sổ gốc, chứng thực bản sao từ bản chính, chứng thực chữ ký và chứng thực hợp đồng, giao dịch được sửa đổi, bổ sung bởi Nghị định số 07/2025/NĐ-CP</w:t>
            </w:r>
            <w:r>
              <w:rPr>
                <w:rFonts w:ascii="Times New Roman" w:eastAsia="Times New Roman" w:hAnsi="Times New Roman" w:cs="Times New Roman"/>
                <w:color w:val="000000"/>
                <w:sz w:val="26"/>
                <w:szCs w:val="26"/>
              </w:rPr>
              <w:t xml:space="preserve"> (Nghị định đã được thẩm định và đang được chỉnh lý, hoàn thiện trình Chính phủ xem xét theo quy định). </w:t>
            </w:r>
            <w:r w:rsidRPr="00971111">
              <w:rPr>
                <w:rFonts w:ascii="Times New Roman" w:eastAsia="Times New Roman" w:hAnsi="Times New Roman" w:cs="Times New Roman"/>
                <w:color w:val="000000"/>
                <w:sz w:val="26"/>
                <w:szCs w:val="26"/>
              </w:rPr>
              <w:t xml:space="preserve">Về nội dung kiến nghị đã được quy định tại mẫu lời chứng số 17 </w:t>
            </w:r>
            <w:r w:rsidRPr="00971111">
              <w:rPr>
                <w:rFonts w:ascii="Times New Roman" w:eastAsia="Times New Roman" w:hAnsi="Times New Roman" w:cs="Times New Roman"/>
                <w:color w:val="000000"/>
                <w:sz w:val="26"/>
                <w:szCs w:val="26"/>
              </w:rPr>
              <w:lastRenderedPageBreak/>
              <w:t>về lời chứng chứng thực di chúc của Dự thảo Nghị định sửa đổi, bổ sung một số điều của Nghị định số 23/2015/NĐ-CP.</w:t>
            </w:r>
          </w:p>
        </w:tc>
        <w:tc>
          <w:tcPr>
            <w:tcW w:w="2721" w:type="dxa"/>
          </w:tcPr>
          <w:p w14:paraId="18708380" w14:textId="77777777" w:rsidR="00141872" w:rsidRPr="00514622" w:rsidRDefault="00141872" w:rsidP="00953F95">
            <w:pPr>
              <w:jc w:val="both"/>
              <w:rPr>
                <w:rFonts w:ascii="Times New Roman" w:eastAsia="Times New Roman" w:hAnsi="Times New Roman" w:cs="Times New Roman"/>
                <w:b/>
                <w:color w:val="000000"/>
                <w:sz w:val="26"/>
                <w:szCs w:val="26"/>
              </w:rPr>
            </w:pPr>
            <w:r w:rsidRPr="00514622">
              <w:rPr>
                <w:rFonts w:ascii="Times New Roman" w:eastAsia="Times New Roman" w:hAnsi="Times New Roman" w:cs="Times New Roman"/>
                <w:b/>
                <w:color w:val="000000"/>
                <w:sz w:val="26"/>
                <w:szCs w:val="26"/>
              </w:rPr>
              <w:lastRenderedPageBreak/>
              <w:t>Đã xử lý.</w:t>
            </w:r>
          </w:p>
          <w:p w14:paraId="394B282A" w14:textId="4A59AA61" w:rsidR="00953F95" w:rsidRPr="00953F95" w:rsidRDefault="00141872">
            <w:pPr>
              <w:jc w:val="both"/>
              <w:rPr>
                <w:rFonts w:ascii="Times New Roman" w:eastAsia="Times New Roman" w:hAnsi="Times New Roman" w:cs="Times New Roman"/>
                <w:color w:val="000000"/>
                <w:sz w:val="26"/>
                <w:szCs w:val="26"/>
              </w:rPr>
            </w:pPr>
            <w:r w:rsidRPr="00514622">
              <w:rPr>
                <w:rFonts w:ascii="Times New Roman" w:eastAsia="Times New Roman" w:hAnsi="Times New Roman" w:cs="Times New Roman"/>
                <w:color w:val="000000"/>
                <w:spacing w:val="-8"/>
                <w:sz w:val="26"/>
                <w:szCs w:val="26"/>
              </w:rPr>
              <w:t xml:space="preserve">Bộ Tư pháp đã tham mưu Chính phủ ban hành Nghị định số 280/2025/NĐ-CP ngày 27/10/2025 sửa đổi, bổ sung một số điều của </w:t>
            </w:r>
            <w:r w:rsidRPr="00514622">
              <w:rPr>
                <w:rFonts w:ascii="Times New Roman" w:eastAsia="Times New Roman" w:hAnsi="Times New Roman" w:cs="Times New Roman"/>
                <w:color w:val="000000"/>
                <w:spacing w:val="-18"/>
                <w:sz w:val="26"/>
                <w:szCs w:val="26"/>
              </w:rPr>
              <w:t>Nghị định số 23/2015/NĐ-CP</w:t>
            </w:r>
            <w:r w:rsidRPr="00514622">
              <w:rPr>
                <w:rFonts w:ascii="Times New Roman" w:eastAsia="Times New Roman" w:hAnsi="Times New Roman" w:cs="Times New Roman"/>
                <w:color w:val="000000"/>
                <w:spacing w:val="-8"/>
                <w:sz w:val="26"/>
                <w:szCs w:val="26"/>
              </w:rPr>
              <w:t xml:space="preserve"> về cấp bản sao từ sổ gốc, chứng thực bản sao từ bản chính, chứng thực chữ ký và chứng thực hợp đồng, giao dịch, được sửa đổi, bổ sung bởi Nghị định số 07/2025/NĐ-CP.</w:t>
            </w:r>
            <w:r>
              <w:rPr>
                <w:rFonts w:ascii="Times New Roman" w:eastAsia="Times New Roman" w:hAnsi="Times New Roman" w:cs="Times New Roman"/>
                <w:color w:val="000000"/>
                <w:sz w:val="26"/>
                <w:szCs w:val="26"/>
              </w:rPr>
              <w:t xml:space="preserve"> </w:t>
            </w:r>
            <w:r w:rsidR="00953F95" w:rsidRPr="00953F95">
              <w:rPr>
                <w:rFonts w:ascii="Times New Roman" w:eastAsia="Times New Roman" w:hAnsi="Times New Roman" w:cs="Times New Roman"/>
                <w:color w:val="000000"/>
                <w:sz w:val="26"/>
                <w:szCs w:val="26"/>
              </w:rPr>
              <w:t xml:space="preserve">Theo đó, đã bổ quy định theo hướng sửa đổi thẩm quyền và trách nhiệm chứng thực từ tập thể (Ủy ban nhân dân cấp xã) thành cá nhân (Chủ tịch Ủy ban nhân </w:t>
            </w:r>
            <w:r w:rsidR="00953F95" w:rsidRPr="00953F95">
              <w:rPr>
                <w:rFonts w:ascii="Times New Roman" w:eastAsia="Times New Roman" w:hAnsi="Times New Roman" w:cs="Times New Roman"/>
                <w:color w:val="000000"/>
                <w:sz w:val="26"/>
                <w:szCs w:val="26"/>
              </w:rPr>
              <w:lastRenderedPageBreak/>
              <w:t xml:space="preserve">dân cấp xã) và nêu rõ trách nhiệm của Chủ tịch Ủy ban nhân dân cấp xã trong việc chỉ đạo và tổ chức thực hiện hoạt động chứng thực trên địa bàn; đồng thời, bổ sung quy định vể cơ chế ủy quyền, phân công thực hiện các việc chứng thực, qua đó góp phần cải cách thủ tục chứng thực. Ngoài ra, dự thảo Nghị định còn bổ sung quy định về việc Ủy ban nhân dân cấp tỉnh xem xét, chuyển giao toàn bộ hoặc một phần việc chứng thực bản sao từ bản chính, chứng thực chữ ký cho các tổ chức hành nghề công chứng </w:t>
            </w:r>
            <w:r w:rsidR="00953F95" w:rsidRPr="00953F95">
              <w:rPr>
                <w:rFonts w:ascii="Times New Roman" w:eastAsia="Times New Roman" w:hAnsi="Times New Roman" w:cs="Times New Roman"/>
                <w:color w:val="000000"/>
                <w:sz w:val="26"/>
                <w:szCs w:val="26"/>
              </w:rPr>
              <w:lastRenderedPageBreak/>
              <w:t>tại những địa bàn cấp xã đã phát triển được tổ chức hành nghề công chứng nhằm giảm tải công việc cho Chủ tịch Ủy ban nhân dân cấp xã.</w:t>
            </w:r>
          </w:p>
        </w:tc>
      </w:tr>
    </w:tbl>
    <w:p w14:paraId="5C0F38E7" w14:textId="584018C7" w:rsidR="004073D8" w:rsidRPr="002E550A" w:rsidRDefault="004073D8" w:rsidP="002E550A">
      <w:pPr>
        <w:rPr>
          <w:sz w:val="25"/>
          <w:szCs w:val="25"/>
        </w:rPr>
      </w:pPr>
    </w:p>
    <w:sectPr w:rsidR="004073D8" w:rsidRPr="002E550A" w:rsidSect="00295A74">
      <w:headerReference w:type="default" r:id="rId8"/>
      <w:pgSz w:w="16840" w:h="11907" w:orient="landscape" w:code="9"/>
      <w:pgMar w:top="1134" w:right="1134"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83B5B" w14:textId="77777777" w:rsidR="0003681F" w:rsidRDefault="0003681F" w:rsidP="00E40AFF">
      <w:pPr>
        <w:spacing w:after="0" w:line="240" w:lineRule="auto"/>
      </w:pPr>
      <w:r>
        <w:separator/>
      </w:r>
    </w:p>
  </w:endnote>
  <w:endnote w:type="continuationSeparator" w:id="0">
    <w:p w14:paraId="7C689EBE" w14:textId="77777777" w:rsidR="0003681F" w:rsidRDefault="0003681F" w:rsidP="00E40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45168" w14:textId="77777777" w:rsidR="0003681F" w:rsidRDefault="0003681F" w:rsidP="00E40AFF">
      <w:pPr>
        <w:spacing w:after="0" w:line="240" w:lineRule="auto"/>
      </w:pPr>
      <w:r>
        <w:separator/>
      </w:r>
    </w:p>
  </w:footnote>
  <w:footnote w:type="continuationSeparator" w:id="0">
    <w:p w14:paraId="2892D4BE" w14:textId="77777777" w:rsidR="0003681F" w:rsidRDefault="0003681F" w:rsidP="00E40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130353"/>
      <w:docPartObj>
        <w:docPartGallery w:val="Page Numbers (Top of Page)"/>
        <w:docPartUnique/>
      </w:docPartObj>
    </w:sdtPr>
    <w:sdtEndPr>
      <w:rPr>
        <w:rFonts w:ascii="Times New Roman" w:hAnsi="Times New Roman" w:cs="Times New Roman"/>
        <w:noProof/>
      </w:rPr>
    </w:sdtEndPr>
    <w:sdtContent>
      <w:p w14:paraId="0177EBFE" w14:textId="7DE95E31" w:rsidR="00CF1EAE" w:rsidRPr="00562593" w:rsidRDefault="00CF1EAE">
        <w:pPr>
          <w:pStyle w:val="Header"/>
          <w:jc w:val="center"/>
          <w:rPr>
            <w:rFonts w:ascii="Times New Roman" w:hAnsi="Times New Roman" w:cs="Times New Roman"/>
          </w:rPr>
        </w:pPr>
        <w:r w:rsidRPr="00562593">
          <w:rPr>
            <w:rFonts w:ascii="Times New Roman" w:hAnsi="Times New Roman" w:cs="Times New Roman"/>
          </w:rPr>
          <w:fldChar w:fldCharType="begin"/>
        </w:r>
        <w:r w:rsidRPr="00562593">
          <w:rPr>
            <w:rFonts w:ascii="Times New Roman" w:hAnsi="Times New Roman" w:cs="Times New Roman"/>
          </w:rPr>
          <w:instrText xml:space="preserve"> PAGE   \* MERGEFORMAT </w:instrText>
        </w:r>
        <w:r w:rsidRPr="00562593">
          <w:rPr>
            <w:rFonts w:ascii="Times New Roman" w:hAnsi="Times New Roman" w:cs="Times New Roman"/>
          </w:rPr>
          <w:fldChar w:fldCharType="separate"/>
        </w:r>
        <w:r w:rsidR="002772B8">
          <w:rPr>
            <w:rFonts w:ascii="Times New Roman" w:hAnsi="Times New Roman" w:cs="Times New Roman"/>
            <w:noProof/>
          </w:rPr>
          <w:t>11</w:t>
        </w:r>
        <w:r w:rsidRPr="00562593">
          <w:rPr>
            <w:rFonts w:ascii="Times New Roman" w:hAnsi="Times New Roman" w:cs="Times New Roman"/>
            <w:noProof/>
          </w:rPr>
          <w:fldChar w:fldCharType="end"/>
        </w:r>
      </w:p>
    </w:sdtContent>
  </w:sdt>
  <w:p w14:paraId="70A51A94" w14:textId="77777777" w:rsidR="00CF1EAE" w:rsidRDefault="00CF1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7D8"/>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C2859F6"/>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379872A0"/>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453C54D5"/>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48C15396"/>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60927A50"/>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62D84F9E"/>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75C30626"/>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7F647868"/>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578104700">
    <w:abstractNumId w:val="8"/>
  </w:num>
  <w:num w:numId="2" w16cid:durableId="983121807">
    <w:abstractNumId w:val="4"/>
  </w:num>
  <w:num w:numId="3" w16cid:durableId="725682183">
    <w:abstractNumId w:val="5"/>
  </w:num>
  <w:num w:numId="4" w16cid:durableId="139080004">
    <w:abstractNumId w:val="7"/>
  </w:num>
  <w:num w:numId="5" w16cid:durableId="888493190">
    <w:abstractNumId w:val="2"/>
  </w:num>
  <w:num w:numId="6" w16cid:durableId="2136676375">
    <w:abstractNumId w:val="6"/>
  </w:num>
  <w:num w:numId="7" w16cid:durableId="1296787736">
    <w:abstractNumId w:val="1"/>
  </w:num>
  <w:num w:numId="8" w16cid:durableId="669410798">
    <w:abstractNumId w:val="3"/>
  </w:num>
  <w:num w:numId="9" w16cid:durableId="1556044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417"/>
    <w:rsid w:val="0000409E"/>
    <w:rsid w:val="0002368F"/>
    <w:rsid w:val="0003681F"/>
    <w:rsid w:val="00055EC1"/>
    <w:rsid w:val="00063E6B"/>
    <w:rsid w:val="000E461A"/>
    <w:rsid w:val="000F742A"/>
    <w:rsid w:val="00104FDD"/>
    <w:rsid w:val="00141872"/>
    <w:rsid w:val="00142F06"/>
    <w:rsid w:val="001A0FD8"/>
    <w:rsid w:val="001D1AD9"/>
    <w:rsid w:val="001E740E"/>
    <w:rsid w:val="00207E9C"/>
    <w:rsid w:val="00226379"/>
    <w:rsid w:val="002772B8"/>
    <w:rsid w:val="00295A74"/>
    <w:rsid w:val="00296794"/>
    <w:rsid w:val="002A733D"/>
    <w:rsid w:val="002E550A"/>
    <w:rsid w:val="0032781B"/>
    <w:rsid w:val="00330087"/>
    <w:rsid w:val="00360F80"/>
    <w:rsid w:val="0038457F"/>
    <w:rsid w:val="003F45A5"/>
    <w:rsid w:val="004073D8"/>
    <w:rsid w:val="004174C4"/>
    <w:rsid w:val="00421099"/>
    <w:rsid w:val="004410FB"/>
    <w:rsid w:val="004719B4"/>
    <w:rsid w:val="004B39E3"/>
    <w:rsid w:val="004B7411"/>
    <w:rsid w:val="004D350D"/>
    <w:rsid w:val="004E5105"/>
    <w:rsid w:val="004E68C2"/>
    <w:rsid w:val="00514622"/>
    <w:rsid w:val="00517BF4"/>
    <w:rsid w:val="005220F3"/>
    <w:rsid w:val="00525534"/>
    <w:rsid w:val="00562593"/>
    <w:rsid w:val="00565BC2"/>
    <w:rsid w:val="00566AD3"/>
    <w:rsid w:val="005831E7"/>
    <w:rsid w:val="005C4248"/>
    <w:rsid w:val="005C5351"/>
    <w:rsid w:val="00603F46"/>
    <w:rsid w:val="00623552"/>
    <w:rsid w:val="00665417"/>
    <w:rsid w:val="006705B7"/>
    <w:rsid w:val="006C4C63"/>
    <w:rsid w:val="006C77BF"/>
    <w:rsid w:val="00724F15"/>
    <w:rsid w:val="007321D9"/>
    <w:rsid w:val="007444EE"/>
    <w:rsid w:val="00747E5E"/>
    <w:rsid w:val="00775B21"/>
    <w:rsid w:val="007B14DC"/>
    <w:rsid w:val="007B7D19"/>
    <w:rsid w:val="007C207C"/>
    <w:rsid w:val="007D2138"/>
    <w:rsid w:val="007D38F8"/>
    <w:rsid w:val="007E6637"/>
    <w:rsid w:val="0080174C"/>
    <w:rsid w:val="00802B7E"/>
    <w:rsid w:val="008308B5"/>
    <w:rsid w:val="00844592"/>
    <w:rsid w:val="00845982"/>
    <w:rsid w:val="008509F2"/>
    <w:rsid w:val="00860EAD"/>
    <w:rsid w:val="008723DD"/>
    <w:rsid w:val="00881BAF"/>
    <w:rsid w:val="00886E36"/>
    <w:rsid w:val="008B083A"/>
    <w:rsid w:val="008D6385"/>
    <w:rsid w:val="00923F1E"/>
    <w:rsid w:val="00952D26"/>
    <w:rsid w:val="00953F95"/>
    <w:rsid w:val="00954DFD"/>
    <w:rsid w:val="00983BF8"/>
    <w:rsid w:val="009903CD"/>
    <w:rsid w:val="009B3E63"/>
    <w:rsid w:val="009B4298"/>
    <w:rsid w:val="009E7948"/>
    <w:rsid w:val="00A04F4F"/>
    <w:rsid w:val="00A66A0B"/>
    <w:rsid w:val="00A73890"/>
    <w:rsid w:val="00A766A5"/>
    <w:rsid w:val="00A876C4"/>
    <w:rsid w:val="00AF33BF"/>
    <w:rsid w:val="00B07CCB"/>
    <w:rsid w:val="00B31912"/>
    <w:rsid w:val="00B44EC4"/>
    <w:rsid w:val="00B97436"/>
    <w:rsid w:val="00BD5B6A"/>
    <w:rsid w:val="00BF5F9A"/>
    <w:rsid w:val="00C049B6"/>
    <w:rsid w:val="00C15A67"/>
    <w:rsid w:val="00C219F9"/>
    <w:rsid w:val="00C21D9B"/>
    <w:rsid w:val="00C36FEC"/>
    <w:rsid w:val="00C736C3"/>
    <w:rsid w:val="00C9333D"/>
    <w:rsid w:val="00CA14D3"/>
    <w:rsid w:val="00CA62BD"/>
    <w:rsid w:val="00CA66A2"/>
    <w:rsid w:val="00CC5FED"/>
    <w:rsid w:val="00CD15E9"/>
    <w:rsid w:val="00CF1EAE"/>
    <w:rsid w:val="00D25DB1"/>
    <w:rsid w:val="00D42262"/>
    <w:rsid w:val="00D551AE"/>
    <w:rsid w:val="00D61EDD"/>
    <w:rsid w:val="00D9343F"/>
    <w:rsid w:val="00DA31F6"/>
    <w:rsid w:val="00DA5BC0"/>
    <w:rsid w:val="00DB3F15"/>
    <w:rsid w:val="00DB6A4C"/>
    <w:rsid w:val="00DF0247"/>
    <w:rsid w:val="00E030E0"/>
    <w:rsid w:val="00E22B31"/>
    <w:rsid w:val="00E40AFF"/>
    <w:rsid w:val="00E64D5D"/>
    <w:rsid w:val="00E72AA1"/>
    <w:rsid w:val="00E738A1"/>
    <w:rsid w:val="00E82FD2"/>
    <w:rsid w:val="00E96E9A"/>
    <w:rsid w:val="00EB78AB"/>
    <w:rsid w:val="00EC248F"/>
    <w:rsid w:val="00ED4B84"/>
    <w:rsid w:val="00EE07AF"/>
    <w:rsid w:val="00F23653"/>
    <w:rsid w:val="00F30742"/>
    <w:rsid w:val="00F32BC8"/>
    <w:rsid w:val="00F84603"/>
    <w:rsid w:val="00FC5F3C"/>
    <w:rsid w:val="00FD63A8"/>
    <w:rsid w:val="00FE10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576E"/>
  <w15:docId w15:val="{27806BEF-0704-4787-A5F9-F88DFF0C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4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5417"/>
    <w:pPr>
      <w:ind w:left="720"/>
      <w:contextualSpacing/>
    </w:pPr>
  </w:style>
  <w:style w:type="paragraph" w:styleId="BalloonText">
    <w:name w:val="Balloon Text"/>
    <w:basedOn w:val="Normal"/>
    <w:link w:val="BalloonTextChar"/>
    <w:uiPriority w:val="99"/>
    <w:semiHidden/>
    <w:unhideWhenUsed/>
    <w:rsid w:val="00DA5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BC0"/>
    <w:rPr>
      <w:rFonts w:ascii="Segoe UI" w:hAnsi="Segoe UI" w:cs="Segoe UI"/>
      <w:sz w:val="18"/>
      <w:szCs w:val="18"/>
    </w:rPr>
  </w:style>
  <w:style w:type="paragraph" w:styleId="Header">
    <w:name w:val="header"/>
    <w:basedOn w:val="Normal"/>
    <w:link w:val="HeaderChar"/>
    <w:uiPriority w:val="99"/>
    <w:unhideWhenUsed/>
    <w:rsid w:val="00E40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AFF"/>
  </w:style>
  <w:style w:type="paragraph" w:styleId="Footer">
    <w:name w:val="footer"/>
    <w:basedOn w:val="Normal"/>
    <w:link w:val="FooterChar"/>
    <w:uiPriority w:val="99"/>
    <w:unhideWhenUsed/>
    <w:rsid w:val="00E40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AFF"/>
  </w:style>
  <w:style w:type="paragraph" w:styleId="NormalWeb">
    <w:name w:val="Normal (Web)"/>
    <w:basedOn w:val="Normal"/>
    <w:uiPriority w:val="99"/>
    <w:unhideWhenUsed/>
    <w:rsid w:val="007B7D19"/>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7B7D19"/>
    <w:rPr>
      <w:b/>
      <w:bCs/>
    </w:rPr>
  </w:style>
  <w:style w:type="paragraph" w:styleId="FootnoteText">
    <w:name w:val="footnote text"/>
    <w:aliases w:val=" Char9,Char9, Char4,Char4,Geneva 9,Font: Geneva 9,Boston 10,f Char,Footnote Text Char Char Char Char Char,Footnote Text Char Char Char Char Char Char Ch,Footnote Text Char1 Char1,Footnote Text Char Char Char1,Footnote Text Char1 Char Cha"/>
    <w:basedOn w:val="Normal"/>
    <w:link w:val="FootnoteTextChar"/>
    <w:uiPriority w:val="99"/>
    <w:unhideWhenUsed/>
    <w:qFormat/>
    <w:rsid w:val="00D25DB1"/>
    <w:pPr>
      <w:spacing w:after="0" w:line="240" w:lineRule="auto"/>
    </w:pPr>
    <w:rPr>
      <w:rFonts w:ascii="Calibri" w:eastAsia="Calibri" w:hAnsi="Calibri" w:cs="Calibri"/>
      <w:sz w:val="20"/>
      <w:szCs w:val="20"/>
    </w:rPr>
  </w:style>
  <w:style w:type="character" w:customStyle="1" w:styleId="FootnoteTextChar">
    <w:name w:val="Footnote Text Char"/>
    <w:aliases w:val=" Char9 Char,Char9 Char, Char4 Char,Char4 Char,Geneva 9 Char,Font: Geneva 9 Char,Boston 10 Char,f Char Char,Footnote Text Char Char Char Char Char Char,Footnote Text Char Char Char Char Char Char Ch Char,Footnote Text Char1 Char1 Char"/>
    <w:basedOn w:val="DefaultParagraphFont"/>
    <w:link w:val="FootnoteText"/>
    <w:uiPriority w:val="99"/>
    <w:qFormat/>
    <w:rsid w:val="00D25DB1"/>
    <w:rPr>
      <w:rFonts w:ascii="Calibri" w:eastAsia="Calibri" w:hAnsi="Calibri" w:cs="Calibri"/>
      <w:sz w:val="20"/>
      <w:szCs w:val="20"/>
    </w:rPr>
  </w:style>
  <w:style w:type="character" w:styleId="FootnoteReference">
    <w:name w:val="footnote reference"/>
    <w:aliases w:val="Footnote,Footnote text,Footnote dich,ftref,BVI fnr,footnote ref,SUPERS,Footnote Reference Number,Знак сноски 1,(NECG) Footnote Reference,16 Point,Superscript 6 Point,Footnote + Arial,10 pt,Black,Ref,de nota al pie,R,fr,f,Re"/>
    <w:link w:val="RefChar"/>
    <w:uiPriority w:val="99"/>
    <w:unhideWhenUsed/>
    <w:qFormat/>
    <w:rsid w:val="00D25DB1"/>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1E740E"/>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993929">
      <w:bodyDiv w:val="1"/>
      <w:marLeft w:val="0"/>
      <w:marRight w:val="0"/>
      <w:marTop w:val="0"/>
      <w:marBottom w:val="0"/>
      <w:divBdr>
        <w:top w:val="none" w:sz="0" w:space="0" w:color="auto"/>
        <w:left w:val="none" w:sz="0" w:space="0" w:color="auto"/>
        <w:bottom w:val="none" w:sz="0" w:space="0" w:color="auto"/>
        <w:right w:val="none" w:sz="0" w:space="0" w:color="auto"/>
      </w:divBdr>
    </w:div>
    <w:div w:id="107323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09DFA-8B3A-4D36-A2DF-C5DE25A4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2351</Words>
  <Characters>13406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DELL</cp:lastModifiedBy>
  <cp:revision>18</cp:revision>
  <cp:lastPrinted>2025-07-30T08:12:00Z</cp:lastPrinted>
  <dcterms:created xsi:type="dcterms:W3CDTF">2025-09-22T09:04:00Z</dcterms:created>
  <dcterms:modified xsi:type="dcterms:W3CDTF">2025-12-14T03:49:00Z</dcterms:modified>
</cp:coreProperties>
</file>