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1F817" w14:textId="7BFE4FA2" w:rsidR="004073D8" w:rsidRDefault="004073D8" w:rsidP="004073D8">
      <w:pPr>
        <w:spacing w:after="0"/>
        <w:jc w:val="center"/>
        <w:rPr>
          <w:rFonts w:ascii="Times New Roman" w:hAnsi="Times New Roman" w:cs="Times New Roman"/>
          <w:b/>
          <w:sz w:val="26"/>
          <w:szCs w:val="26"/>
        </w:rPr>
      </w:pPr>
      <w:r w:rsidRPr="007A4232">
        <w:rPr>
          <w:rFonts w:ascii="Times New Roman" w:hAnsi="Times New Roman" w:cs="Times New Roman"/>
          <w:b/>
          <w:sz w:val="26"/>
          <w:szCs w:val="26"/>
        </w:rPr>
        <w:t xml:space="preserve">Phụ lục </w:t>
      </w:r>
      <w:r w:rsidR="0041126E">
        <w:rPr>
          <w:rFonts w:ascii="Times New Roman" w:hAnsi="Times New Roman" w:cs="Times New Roman"/>
          <w:b/>
          <w:sz w:val="26"/>
          <w:szCs w:val="26"/>
        </w:rPr>
        <w:t>I.</w:t>
      </w:r>
      <w:r>
        <w:rPr>
          <w:rFonts w:ascii="Times New Roman" w:hAnsi="Times New Roman" w:cs="Times New Roman"/>
          <w:b/>
          <w:sz w:val="26"/>
          <w:szCs w:val="26"/>
        </w:rPr>
        <w:t>14.2.A</w:t>
      </w:r>
    </w:p>
    <w:p w14:paraId="52D77FEB" w14:textId="77777777" w:rsidR="004073D8" w:rsidRPr="00EE2E59" w:rsidRDefault="004073D8" w:rsidP="004073D8">
      <w:pPr>
        <w:pStyle w:val="NormalWeb"/>
        <w:spacing w:before="0" w:beforeAutospacing="0" w:after="0" w:afterAutospacing="0"/>
        <w:jc w:val="center"/>
        <w:rPr>
          <w:rStyle w:val="Strong"/>
          <w:color w:val="000000"/>
          <w:sz w:val="26"/>
          <w:szCs w:val="26"/>
        </w:rPr>
      </w:pPr>
      <w:r w:rsidRPr="00EE2E59">
        <w:rPr>
          <w:rStyle w:val="Strong"/>
          <w:color w:val="000000"/>
          <w:sz w:val="26"/>
          <w:szCs w:val="26"/>
        </w:rPr>
        <w:t>TÌNH HÌNH XỬ LÝ ĐỐI VỚI KHÓ KHĂN, VƯỚNG MẮC DO QUY ĐỊNH PHÁP LUẬT</w:t>
      </w:r>
    </w:p>
    <w:p w14:paraId="305333FD" w14:textId="77777777" w:rsidR="004073D8" w:rsidRPr="00EE2E59" w:rsidRDefault="004073D8" w:rsidP="004073D8">
      <w:pPr>
        <w:spacing w:after="0"/>
        <w:jc w:val="center"/>
        <w:rPr>
          <w:rFonts w:ascii="Times New Roman" w:hAnsi="Times New Roman" w:cs="Times New Roman"/>
          <w:b/>
          <w:sz w:val="26"/>
          <w:szCs w:val="26"/>
        </w:rPr>
      </w:pPr>
      <w:r w:rsidRPr="00EE2E59">
        <w:rPr>
          <w:rStyle w:val="Strong"/>
          <w:rFonts w:ascii="Times New Roman" w:hAnsi="Times New Roman" w:cs="Times New Roman"/>
          <w:color w:val="000000"/>
          <w:sz w:val="26"/>
          <w:szCs w:val="26"/>
        </w:rPr>
        <w:t>THUỘC PHẠM VI PHỤ TRÁCH CỦA BỘ TƯ PHÁP</w:t>
      </w:r>
    </w:p>
    <w:p w14:paraId="02FE2DAE" w14:textId="77777777" w:rsidR="004073D8" w:rsidRPr="007A4232" w:rsidRDefault="004073D8" w:rsidP="004073D8">
      <w:pPr>
        <w:pStyle w:val="NormalWeb"/>
        <w:spacing w:before="0" w:beforeAutospacing="0" w:after="0" w:afterAutospacing="0"/>
        <w:jc w:val="center"/>
        <w:rPr>
          <w:rStyle w:val="Strong"/>
          <w:color w:val="000000"/>
          <w:sz w:val="26"/>
          <w:szCs w:val="26"/>
        </w:rPr>
      </w:pPr>
      <w:r w:rsidRPr="007A4232">
        <w:rPr>
          <w:rStyle w:val="Strong"/>
          <w:color w:val="000000"/>
          <w:sz w:val="26"/>
          <w:szCs w:val="26"/>
        </w:rPr>
        <w:t xml:space="preserve">Tiêu chí: Quy định của VBQPPL không rõ ràng, có nhiều cách hiểu khác nhau, không hợp lý, không khả thi, </w:t>
      </w:r>
    </w:p>
    <w:p w14:paraId="6C2B2B99" w14:textId="77777777" w:rsidR="004073D8" w:rsidRPr="007A4232" w:rsidRDefault="004073D8" w:rsidP="004073D8">
      <w:pPr>
        <w:pStyle w:val="NormalWeb"/>
        <w:spacing w:before="0" w:beforeAutospacing="0" w:after="0" w:afterAutospacing="0"/>
        <w:jc w:val="center"/>
        <w:rPr>
          <w:rStyle w:val="Strong"/>
          <w:color w:val="000000"/>
          <w:sz w:val="26"/>
          <w:szCs w:val="26"/>
        </w:rPr>
      </w:pPr>
      <w:r w:rsidRPr="007A4232">
        <w:rPr>
          <w:rStyle w:val="Strong"/>
          <w:color w:val="000000"/>
          <w:sz w:val="26"/>
          <w:szCs w:val="26"/>
        </w:rPr>
        <w:t>gây khó khăn trong áp dụng, thực hiện pháp luật</w:t>
      </w:r>
    </w:p>
    <w:p w14:paraId="4F34800C" w14:textId="77777777" w:rsidR="004073D8" w:rsidRDefault="004073D8" w:rsidP="004073D8">
      <w:pPr>
        <w:pStyle w:val="NormalWeb"/>
        <w:spacing w:before="0" w:beforeAutospacing="0" w:after="0" w:afterAutospacing="0"/>
        <w:jc w:val="center"/>
        <w:rPr>
          <w:b/>
          <w:sz w:val="26"/>
          <w:szCs w:val="26"/>
        </w:rPr>
      </w:pPr>
      <w:r w:rsidRPr="007A4232">
        <w:rPr>
          <w:rStyle w:val="Strong"/>
          <w:color w:val="000000"/>
          <w:sz w:val="26"/>
          <w:szCs w:val="26"/>
        </w:rPr>
        <w:t xml:space="preserve">Nhóm A. </w:t>
      </w:r>
      <w:r w:rsidRPr="007A4232">
        <w:rPr>
          <w:b/>
          <w:sz w:val="26"/>
          <w:szCs w:val="26"/>
        </w:rPr>
        <w:t>Nhóm các nội dung cho ý kiến nhất trí và đề xuất xử lý theo phương án, quy trình</w:t>
      </w:r>
    </w:p>
    <w:p w14:paraId="2C2139AE" w14:textId="77777777" w:rsidR="004073D8" w:rsidRDefault="004073D8" w:rsidP="004073D8">
      <w:pPr>
        <w:pStyle w:val="NormalWeb"/>
        <w:spacing w:before="0" w:beforeAutospacing="0" w:after="0" w:afterAutospacing="0"/>
        <w:jc w:val="center"/>
        <w:rPr>
          <w:b/>
          <w:sz w:val="26"/>
          <w:szCs w:val="26"/>
        </w:rPr>
      </w:pPr>
      <w:r w:rsidRPr="007A4232">
        <w:rPr>
          <w:b/>
          <w:sz w:val="26"/>
          <w:szCs w:val="26"/>
        </w:rPr>
        <w:t xml:space="preserve"> nêu tại khoản 1 Điều 4 Nghị quyết số 206/2025/QH15 (thực hiện trong năm 2025)</w:t>
      </w:r>
    </w:p>
    <w:p w14:paraId="11AEA294" w14:textId="0748251C" w:rsidR="004073D8" w:rsidRPr="00C11F82" w:rsidRDefault="004073D8" w:rsidP="004073D8">
      <w:pPr>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noProof/>
          <w:color w:val="000000"/>
          <w:sz w:val="28"/>
          <w:szCs w:val="28"/>
        </w:rPr>
        <mc:AlternateContent>
          <mc:Choice Requires="wps">
            <w:drawing>
              <wp:anchor distT="4294967295" distB="4294967295" distL="114300" distR="114300" simplePos="0" relativeHeight="251663360" behindDoc="0" locked="0" layoutInCell="1" allowOverlap="1" wp14:anchorId="05AD0268" wp14:editId="63DF4432">
                <wp:simplePos x="0" y="0"/>
                <wp:positionH relativeFrom="margin">
                  <wp:align>center</wp:align>
                </wp:positionH>
                <wp:positionV relativeFrom="paragraph">
                  <wp:posOffset>52069</wp:posOffset>
                </wp:positionV>
                <wp:extent cx="3275965" cy="0"/>
                <wp:effectExtent l="0" t="0" r="1968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759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03C30E5" id="Straight Connector 3" o:spid="_x0000_s1026" style="position:absolute;z-index:251663360;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margin;mso-height-relative:page" from="0,4.1pt" to="257.9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" strokecolor="black [3200]" strokeweight=".5pt">
                <v:stroke joinstyle="miter"/>
                <o:lock v:ext="edit" shapetype="f"/>
                <w10:wrap anchorx="margin"/>
              </v:line>
            </w:pict>
          </mc:Fallback>
        </mc:AlternateContent>
      </w:r>
    </w:p>
    <w:tbl>
      <w:tblPr>
        <w:tblStyle w:val="TableGrid"/>
        <w:tblW w:w="14822" w:type="dxa"/>
        <w:tblInd w:w="-318" w:type="dxa"/>
        <w:tblLook w:val="04A0" w:firstRow="1" w:lastRow="0" w:firstColumn="1" w:lastColumn="0" w:noHBand="0" w:noVBand="1"/>
      </w:tblPr>
      <w:tblGrid>
        <w:gridCol w:w="736"/>
        <w:gridCol w:w="1660"/>
        <w:gridCol w:w="3621"/>
        <w:gridCol w:w="2078"/>
        <w:gridCol w:w="1434"/>
        <w:gridCol w:w="2784"/>
        <w:gridCol w:w="2509"/>
      </w:tblGrid>
      <w:tr w:rsidR="004073D8" w:rsidRPr="00FC6A50" w14:paraId="61997EC8" w14:textId="77777777" w:rsidTr="00CF1EAE">
        <w:trPr>
          <w:tblHeader/>
        </w:trPr>
        <w:tc>
          <w:tcPr>
            <w:tcW w:w="736" w:type="dxa"/>
            <w:shd w:val="clear" w:color="auto" w:fill="FBE4D5" w:themeFill="accent2" w:themeFillTint="33"/>
          </w:tcPr>
          <w:p w14:paraId="739FBD7D" w14:textId="77777777" w:rsidR="004073D8" w:rsidRPr="00FC6A50" w:rsidRDefault="004073D8" w:rsidP="00CF1EAE">
            <w:pPr>
              <w:jc w:val="center"/>
              <w:rPr>
                <w:rFonts w:ascii="Times New Roman" w:hAnsi="Times New Roman" w:cs="Times New Roman"/>
                <w:b/>
                <w:sz w:val="25"/>
                <w:szCs w:val="25"/>
              </w:rPr>
            </w:pPr>
            <w:r w:rsidRPr="00FC6A50">
              <w:rPr>
                <w:rFonts w:ascii="Times New Roman" w:hAnsi="Times New Roman" w:cs="Times New Roman"/>
                <w:b/>
                <w:sz w:val="25"/>
                <w:szCs w:val="25"/>
              </w:rPr>
              <w:t>STT</w:t>
            </w:r>
          </w:p>
        </w:tc>
        <w:tc>
          <w:tcPr>
            <w:tcW w:w="1660" w:type="dxa"/>
            <w:shd w:val="clear" w:color="auto" w:fill="FBE4D5" w:themeFill="accent2" w:themeFillTint="33"/>
          </w:tcPr>
          <w:p w14:paraId="52354751" w14:textId="77777777" w:rsidR="004073D8" w:rsidRDefault="004073D8" w:rsidP="00CF1EAE">
            <w:pPr>
              <w:jc w:val="center"/>
              <w:rPr>
                <w:rFonts w:ascii="Times New Roman" w:eastAsia="Times New Roman" w:hAnsi="Times New Roman" w:cs="Times New Roman"/>
                <w:b/>
                <w:bCs/>
                <w:color w:val="000000"/>
                <w:sz w:val="25"/>
                <w:szCs w:val="25"/>
              </w:rPr>
            </w:pPr>
            <w:r w:rsidRPr="00FC6A50">
              <w:rPr>
                <w:rFonts w:ascii="Times New Roman" w:eastAsia="Times New Roman" w:hAnsi="Times New Roman" w:cs="Times New Roman"/>
                <w:b/>
                <w:bCs/>
                <w:color w:val="000000"/>
                <w:sz w:val="25"/>
                <w:szCs w:val="25"/>
              </w:rPr>
              <w:t xml:space="preserve">Điều, khoản, điểm, tên văn bản đề xuất </w:t>
            </w:r>
          </w:p>
          <w:p w14:paraId="60FDBF46" w14:textId="77777777" w:rsidR="004073D8" w:rsidRPr="00FC6A50" w:rsidRDefault="004073D8" w:rsidP="00CF1EAE">
            <w:pPr>
              <w:jc w:val="center"/>
              <w:rPr>
                <w:rFonts w:ascii="Times New Roman" w:hAnsi="Times New Roman" w:cs="Times New Roman"/>
                <w:b/>
                <w:sz w:val="25"/>
                <w:szCs w:val="25"/>
              </w:rPr>
            </w:pPr>
            <w:r w:rsidRPr="00FC6A50">
              <w:rPr>
                <w:rFonts w:ascii="Times New Roman" w:eastAsia="Times New Roman" w:hAnsi="Times New Roman" w:cs="Times New Roman"/>
                <w:b/>
                <w:bCs/>
                <w:color w:val="000000"/>
                <w:sz w:val="25"/>
                <w:szCs w:val="25"/>
              </w:rPr>
              <w:t>xử lý</w:t>
            </w:r>
          </w:p>
        </w:tc>
        <w:tc>
          <w:tcPr>
            <w:tcW w:w="3621" w:type="dxa"/>
            <w:shd w:val="clear" w:color="auto" w:fill="FBE4D5" w:themeFill="accent2" w:themeFillTint="33"/>
          </w:tcPr>
          <w:p w14:paraId="019FB9E6" w14:textId="77777777" w:rsidR="004073D8" w:rsidRPr="00FC6A50" w:rsidRDefault="004073D8" w:rsidP="00CF1EAE">
            <w:pPr>
              <w:pStyle w:val="NormalWeb"/>
              <w:spacing w:before="0" w:beforeAutospacing="0" w:after="0" w:afterAutospacing="0"/>
              <w:jc w:val="center"/>
              <w:rPr>
                <w:rStyle w:val="Strong"/>
                <w:color w:val="000000"/>
                <w:sz w:val="25"/>
                <w:szCs w:val="25"/>
              </w:rPr>
            </w:pPr>
            <w:r w:rsidRPr="00FC6A50">
              <w:rPr>
                <w:rStyle w:val="Strong"/>
                <w:color w:val="000000"/>
                <w:sz w:val="25"/>
                <w:szCs w:val="25"/>
              </w:rPr>
              <w:t>Quy định của VBQPPL không rõ ràng, có nhiều cách hiểu khác nhau, không hợp lý, không khả thi, gây khó khăn trong áp dụng, thực hiện pháp luật</w:t>
            </w:r>
          </w:p>
          <w:p w14:paraId="67AB5B62" w14:textId="77777777" w:rsidR="004073D8" w:rsidRPr="00FC6A50" w:rsidRDefault="004073D8" w:rsidP="00CF1EAE">
            <w:pPr>
              <w:jc w:val="center"/>
              <w:rPr>
                <w:rFonts w:ascii="Times New Roman" w:hAnsi="Times New Roman" w:cs="Times New Roman"/>
                <w:b/>
                <w:sz w:val="25"/>
                <w:szCs w:val="25"/>
              </w:rPr>
            </w:pPr>
          </w:p>
        </w:tc>
        <w:tc>
          <w:tcPr>
            <w:tcW w:w="2078" w:type="dxa"/>
            <w:shd w:val="clear" w:color="auto" w:fill="FBE4D5" w:themeFill="accent2" w:themeFillTint="33"/>
          </w:tcPr>
          <w:p w14:paraId="33DDAC99" w14:textId="77777777" w:rsidR="004073D8" w:rsidRPr="00FC6A50" w:rsidRDefault="004073D8" w:rsidP="00CF1EAE">
            <w:pPr>
              <w:jc w:val="center"/>
              <w:rPr>
                <w:rFonts w:ascii="Times New Roman" w:hAnsi="Times New Roman" w:cs="Times New Roman"/>
                <w:b/>
                <w:sz w:val="25"/>
                <w:szCs w:val="25"/>
              </w:rPr>
            </w:pPr>
            <w:r w:rsidRPr="00FC6A50">
              <w:rPr>
                <w:rFonts w:ascii="Times New Roman" w:eastAsia="Times New Roman" w:hAnsi="Times New Roman" w:cs="Times New Roman"/>
                <w:b/>
                <w:bCs/>
                <w:color w:val="000000"/>
                <w:sz w:val="25"/>
                <w:szCs w:val="25"/>
              </w:rPr>
              <w:t>Phương án xử lý được đề xuất</w:t>
            </w:r>
          </w:p>
        </w:tc>
        <w:tc>
          <w:tcPr>
            <w:tcW w:w="1434" w:type="dxa"/>
            <w:shd w:val="clear" w:color="auto" w:fill="FBE4D5" w:themeFill="accent2" w:themeFillTint="33"/>
          </w:tcPr>
          <w:p w14:paraId="5A334166" w14:textId="77777777" w:rsidR="004073D8" w:rsidRDefault="004073D8" w:rsidP="00CF1EAE">
            <w:pPr>
              <w:jc w:val="center"/>
              <w:rPr>
                <w:rFonts w:ascii="Times New Roman" w:eastAsia="Times New Roman" w:hAnsi="Times New Roman" w:cs="Times New Roman"/>
                <w:b/>
                <w:bCs/>
                <w:color w:val="000000"/>
                <w:sz w:val="25"/>
                <w:szCs w:val="25"/>
              </w:rPr>
            </w:pPr>
            <w:r w:rsidRPr="00FC6A50">
              <w:rPr>
                <w:rFonts w:ascii="Times New Roman" w:eastAsia="Times New Roman" w:hAnsi="Times New Roman" w:cs="Times New Roman"/>
                <w:b/>
                <w:bCs/>
                <w:color w:val="000000"/>
                <w:sz w:val="25"/>
                <w:szCs w:val="25"/>
              </w:rPr>
              <w:t xml:space="preserve">Cơ quan, </w:t>
            </w:r>
          </w:p>
          <w:p w14:paraId="7B60BB65" w14:textId="77777777" w:rsidR="004073D8" w:rsidRDefault="004073D8" w:rsidP="00CF1EAE">
            <w:pPr>
              <w:jc w:val="center"/>
              <w:rPr>
                <w:rFonts w:ascii="Times New Roman" w:eastAsia="Times New Roman" w:hAnsi="Times New Roman" w:cs="Times New Roman"/>
                <w:b/>
                <w:bCs/>
                <w:color w:val="000000"/>
                <w:sz w:val="25"/>
                <w:szCs w:val="25"/>
              </w:rPr>
            </w:pPr>
            <w:r w:rsidRPr="00FC6A50">
              <w:rPr>
                <w:rFonts w:ascii="Times New Roman" w:eastAsia="Times New Roman" w:hAnsi="Times New Roman" w:cs="Times New Roman"/>
                <w:b/>
                <w:bCs/>
                <w:color w:val="000000"/>
                <w:sz w:val="25"/>
                <w:szCs w:val="25"/>
              </w:rPr>
              <w:t xml:space="preserve">tổ chức </w:t>
            </w:r>
          </w:p>
          <w:p w14:paraId="49020D9F" w14:textId="77777777" w:rsidR="004073D8" w:rsidRDefault="004073D8" w:rsidP="00CF1EAE">
            <w:pPr>
              <w:jc w:val="center"/>
              <w:rPr>
                <w:rFonts w:ascii="Times New Roman" w:eastAsia="Times New Roman" w:hAnsi="Times New Roman" w:cs="Times New Roman"/>
                <w:b/>
                <w:bCs/>
                <w:color w:val="000000"/>
                <w:sz w:val="25"/>
                <w:szCs w:val="25"/>
              </w:rPr>
            </w:pPr>
            <w:r w:rsidRPr="00FC6A50">
              <w:rPr>
                <w:rFonts w:ascii="Times New Roman" w:eastAsia="Times New Roman" w:hAnsi="Times New Roman" w:cs="Times New Roman"/>
                <w:b/>
                <w:bCs/>
                <w:color w:val="000000"/>
                <w:sz w:val="25"/>
                <w:szCs w:val="25"/>
              </w:rPr>
              <w:t>rà soát,</w:t>
            </w:r>
          </w:p>
          <w:p w14:paraId="6ED17762" w14:textId="77777777" w:rsidR="004073D8" w:rsidRPr="00FC6A50" w:rsidRDefault="004073D8" w:rsidP="00CF1EAE">
            <w:pPr>
              <w:jc w:val="center"/>
              <w:rPr>
                <w:rFonts w:ascii="Times New Roman" w:hAnsi="Times New Roman" w:cs="Times New Roman"/>
                <w:b/>
                <w:sz w:val="25"/>
                <w:szCs w:val="25"/>
              </w:rPr>
            </w:pPr>
            <w:r w:rsidRPr="00FC6A50">
              <w:rPr>
                <w:rFonts w:ascii="Times New Roman" w:eastAsia="Times New Roman" w:hAnsi="Times New Roman" w:cs="Times New Roman"/>
                <w:b/>
                <w:bCs/>
                <w:color w:val="000000"/>
                <w:sz w:val="25"/>
                <w:szCs w:val="25"/>
              </w:rPr>
              <w:t xml:space="preserve"> phản ánh</w:t>
            </w:r>
          </w:p>
        </w:tc>
        <w:tc>
          <w:tcPr>
            <w:tcW w:w="2784" w:type="dxa"/>
            <w:shd w:val="clear" w:color="auto" w:fill="FBE4D5" w:themeFill="accent2" w:themeFillTint="33"/>
          </w:tcPr>
          <w:p w14:paraId="74DDD6A5" w14:textId="77777777" w:rsidR="004073D8" w:rsidRDefault="004073D8" w:rsidP="00CF1EAE">
            <w:pPr>
              <w:jc w:val="center"/>
              <w:rPr>
                <w:rFonts w:ascii="Times New Roman" w:eastAsia="Times New Roman" w:hAnsi="Times New Roman" w:cs="Times New Roman"/>
                <w:b/>
                <w:bCs/>
                <w:color w:val="000000"/>
                <w:sz w:val="25"/>
                <w:szCs w:val="25"/>
              </w:rPr>
            </w:pPr>
            <w:r w:rsidRPr="00FC6A50">
              <w:rPr>
                <w:rFonts w:ascii="Times New Roman" w:eastAsia="Times New Roman" w:hAnsi="Times New Roman" w:cs="Times New Roman"/>
                <w:b/>
                <w:bCs/>
                <w:color w:val="000000"/>
                <w:sz w:val="25"/>
                <w:szCs w:val="25"/>
              </w:rPr>
              <w:t>Ý kiến của Bộ Tư pháp</w:t>
            </w:r>
          </w:p>
          <w:p w14:paraId="7D807571" w14:textId="77777777" w:rsidR="004073D8" w:rsidRPr="00FC6A50" w:rsidRDefault="004073D8" w:rsidP="00CF1EAE">
            <w:pPr>
              <w:jc w:val="center"/>
              <w:rPr>
                <w:rFonts w:ascii="Times New Roman" w:hAnsi="Times New Roman" w:cs="Times New Roman"/>
                <w:b/>
                <w:sz w:val="25"/>
                <w:szCs w:val="25"/>
              </w:rPr>
            </w:pPr>
            <w:r w:rsidRPr="00FC6A50">
              <w:rPr>
                <w:rFonts w:ascii="Times New Roman" w:eastAsia="Times New Roman" w:hAnsi="Times New Roman" w:cs="Times New Roman"/>
                <w:b/>
                <w:bCs/>
                <w:color w:val="000000"/>
                <w:sz w:val="25"/>
                <w:szCs w:val="25"/>
              </w:rPr>
              <w:t xml:space="preserve"> về nội dung kiến nghị, phản ánh của các cơ quan, tổ chức khác</w:t>
            </w:r>
          </w:p>
        </w:tc>
        <w:tc>
          <w:tcPr>
            <w:tcW w:w="2509" w:type="dxa"/>
            <w:shd w:val="clear" w:color="auto" w:fill="FBE4D5" w:themeFill="accent2" w:themeFillTint="33"/>
          </w:tcPr>
          <w:p w14:paraId="131D2ECF" w14:textId="49E0C731" w:rsidR="004073D8" w:rsidRPr="00FC6A50" w:rsidRDefault="004073D8" w:rsidP="00D31182">
            <w:pPr>
              <w:jc w:val="center"/>
              <w:rPr>
                <w:rFonts w:ascii="Times New Roman" w:eastAsia="Times New Roman" w:hAnsi="Times New Roman" w:cs="Times New Roman"/>
                <w:b/>
                <w:bCs/>
                <w:color w:val="000000"/>
                <w:sz w:val="25"/>
                <w:szCs w:val="25"/>
              </w:rPr>
            </w:pPr>
            <w:r>
              <w:rPr>
                <w:rFonts w:ascii="Times New Roman" w:hAnsi="Times New Roman" w:cs="Times New Roman"/>
                <w:b/>
                <w:bCs/>
                <w:sz w:val="25"/>
                <w:szCs w:val="25"/>
              </w:rPr>
              <w:t xml:space="preserve">Tình hình xử lý </w:t>
            </w:r>
          </w:p>
        </w:tc>
      </w:tr>
      <w:tr w:rsidR="006222B2" w:rsidRPr="00FC6A50" w14:paraId="165BBFA7" w14:textId="77777777" w:rsidTr="00CF1EAE">
        <w:tc>
          <w:tcPr>
            <w:tcW w:w="736" w:type="dxa"/>
          </w:tcPr>
          <w:p w14:paraId="58A1B8B7" w14:textId="77777777" w:rsidR="006222B2" w:rsidRPr="00FC6A50" w:rsidRDefault="006222B2" w:rsidP="006222B2">
            <w:pPr>
              <w:pStyle w:val="ListParagraph"/>
              <w:numPr>
                <w:ilvl w:val="0"/>
                <w:numId w:val="4"/>
              </w:numPr>
              <w:jc w:val="center"/>
              <w:rPr>
                <w:rFonts w:ascii="Times New Roman" w:hAnsi="Times New Roman" w:cs="Times New Roman"/>
                <w:sz w:val="25"/>
                <w:szCs w:val="25"/>
              </w:rPr>
            </w:pPr>
          </w:p>
        </w:tc>
        <w:tc>
          <w:tcPr>
            <w:tcW w:w="1660" w:type="dxa"/>
          </w:tcPr>
          <w:p w14:paraId="4F381A33" w14:textId="77777777" w:rsidR="006222B2" w:rsidRPr="00FC6A50" w:rsidRDefault="006222B2" w:rsidP="006222B2">
            <w:pPr>
              <w:jc w:val="both"/>
              <w:rPr>
                <w:rFonts w:ascii="Times New Roman" w:eastAsia="Times New Roman" w:hAnsi="Times New Roman" w:cs="Times New Roman"/>
                <w:color w:val="000000"/>
                <w:sz w:val="25"/>
                <w:szCs w:val="25"/>
              </w:rPr>
            </w:pPr>
            <w:r w:rsidRPr="00FC6A50">
              <w:rPr>
                <w:rFonts w:ascii="Times New Roman" w:eastAsia="Times New Roman" w:hAnsi="Times New Roman" w:cs="Times New Roman"/>
                <w:color w:val="000000"/>
                <w:sz w:val="25"/>
                <w:szCs w:val="25"/>
              </w:rPr>
              <w:t>Điều 14 Luật Giám định tư pháp năm 2012 (được sửa đổi, bổ sung năm 2020)</w:t>
            </w:r>
          </w:p>
        </w:tc>
        <w:tc>
          <w:tcPr>
            <w:tcW w:w="3621" w:type="dxa"/>
          </w:tcPr>
          <w:p w14:paraId="3651E893" w14:textId="77777777" w:rsidR="006222B2" w:rsidRPr="00FC6A50" w:rsidRDefault="006222B2" w:rsidP="006222B2">
            <w:pPr>
              <w:jc w:val="both"/>
              <w:rPr>
                <w:rFonts w:ascii="Times New Roman" w:eastAsia="Times New Roman" w:hAnsi="Times New Roman" w:cs="Times New Roman"/>
                <w:color w:val="000000"/>
                <w:sz w:val="25"/>
                <w:szCs w:val="25"/>
              </w:rPr>
            </w:pPr>
            <w:r w:rsidRPr="00FC6A50">
              <w:rPr>
                <w:rFonts w:ascii="Times New Roman" w:eastAsia="Times New Roman" w:hAnsi="Times New Roman" w:cs="Times New Roman"/>
                <w:color w:val="000000"/>
                <w:sz w:val="25"/>
                <w:szCs w:val="25"/>
              </w:rPr>
              <w:t>Điều 14 Luật Giám định tư pháp năm 2012 (được sửa đổi, bổ sung năm 2020): Phạm vi các lĩnh vực được phép thành lập Văn phòng giám định tư pháp không thực sự có nhu cầu lớn, thường xuyên, chưa phù hợp với quy luật cung cầu của thị trường dịch vụ chuyên môn mà xã hội cần; điều kiện thành lập Văn phòng giám định tư pháp không khả thi; chưa phù hợp với chủ trương, đường lối của Đảng trong thời gian qua về việc “mở rộng phạm vi xã hội hóa trong các lĩnh vực có nhu cầu lớn, thường xuyên”.</w:t>
            </w:r>
          </w:p>
        </w:tc>
        <w:tc>
          <w:tcPr>
            <w:tcW w:w="2078" w:type="dxa"/>
          </w:tcPr>
          <w:p w14:paraId="7F542544" w14:textId="77777777" w:rsidR="006222B2" w:rsidRPr="00FC6A50" w:rsidRDefault="006222B2" w:rsidP="006222B2">
            <w:pPr>
              <w:jc w:val="both"/>
              <w:rPr>
                <w:rFonts w:ascii="Times New Roman" w:eastAsia="Times New Roman" w:hAnsi="Times New Roman" w:cs="Times New Roman"/>
                <w:color w:val="000000"/>
                <w:sz w:val="25"/>
                <w:szCs w:val="25"/>
              </w:rPr>
            </w:pPr>
            <w:r w:rsidRPr="00FC6A50">
              <w:rPr>
                <w:rFonts w:ascii="Times New Roman" w:eastAsia="Times New Roman" w:hAnsi="Times New Roman" w:cs="Times New Roman"/>
                <w:color w:val="000000"/>
                <w:sz w:val="25"/>
                <w:szCs w:val="25"/>
              </w:rPr>
              <w:t>C. Sửa đổi, bổ sung, thay thế, ban hành mới VBQPPL (theo trình tự, thủ tục rút gọn ban hành VBQPPL của Luật Ban hành VBQPPL)</w:t>
            </w:r>
          </w:p>
        </w:tc>
        <w:tc>
          <w:tcPr>
            <w:tcW w:w="1434" w:type="dxa"/>
          </w:tcPr>
          <w:p w14:paraId="5A26A80C" w14:textId="77777777" w:rsidR="006222B2" w:rsidRPr="00FC6A50" w:rsidRDefault="006222B2" w:rsidP="006222B2">
            <w:pPr>
              <w:jc w:val="both"/>
              <w:rPr>
                <w:rFonts w:ascii="Times New Roman" w:eastAsia="Times New Roman" w:hAnsi="Times New Roman" w:cs="Times New Roman"/>
                <w:color w:val="000000"/>
                <w:sz w:val="25"/>
                <w:szCs w:val="25"/>
              </w:rPr>
            </w:pPr>
            <w:r w:rsidRPr="00FC6A50">
              <w:rPr>
                <w:rFonts w:ascii="Times New Roman" w:eastAsia="Times New Roman" w:hAnsi="Times New Roman" w:cs="Times New Roman"/>
                <w:color w:val="000000"/>
                <w:sz w:val="25"/>
                <w:szCs w:val="25"/>
              </w:rPr>
              <w:t>Bộ Tư pháp</w:t>
            </w:r>
          </w:p>
        </w:tc>
        <w:tc>
          <w:tcPr>
            <w:tcW w:w="2784" w:type="dxa"/>
          </w:tcPr>
          <w:p w14:paraId="1809C86D" w14:textId="77777777" w:rsidR="006222B2" w:rsidRPr="00FC6A50" w:rsidRDefault="006222B2" w:rsidP="006222B2">
            <w:pPr>
              <w:jc w:val="both"/>
              <w:rPr>
                <w:rFonts w:ascii="Times New Roman" w:eastAsia="Times New Roman" w:hAnsi="Times New Roman" w:cs="Times New Roman"/>
                <w:color w:val="000000"/>
                <w:sz w:val="25"/>
                <w:szCs w:val="25"/>
              </w:rPr>
            </w:pPr>
            <w:r w:rsidRPr="00FC6A50">
              <w:rPr>
                <w:rFonts w:ascii="Times New Roman" w:eastAsia="Times New Roman" w:hAnsi="Times New Roman" w:cs="Times New Roman"/>
                <w:color w:val="000000"/>
                <w:sz w:val="25"/>
                <w:szCs w:val="25"/>
              </w:rPr>
              <w:t xml:space="preserve">Nhất trí phương án được đề xuất. Dự án Luật này cũng đã được Bộ Tư pháp báo cáo Chính phủ kiến nghị Ủy ban Thường vụ Quốc hội bổ sung vào Chương trình trình Quốc hội cho ý kiến và thông qua tại kỳ họp thứ 10. Hiện nay, Bộ Tư pháp đang phối hợp với các bộ, cơ quan liên quan nghiên cứu xây dựng dự án Luật Giám định tư pháp (theo trình tự, thủ tục rút gọn) để trình Chính phủ xem </w:t>
            </w:r>
            <w:r w:rsidRPr="00FC6A50">
              <w:rPr>
                <w:rFonts w:ascii="Times New Roman" w:eastAsia="Times New Roman" w:hAnsi="Times New Roman" w:cs="Times New Roman"/>
                <w:color w:val="000000"/>
                <w:sz w:val="25"/>
                <w:szCs w:val="25"/>
              </w:rPr>
              <w:lastRenderedPageBreak/>
              <w:t>xét, trình Quốc hội tại kỳ họp thứ 10.</w:t>
            </w:r>
          </w:p>
        </w:tc>
        <w:tc>
          <w:tcPr>
            <w:tcW w:w="2509" w:type="dxa"/>
          </w:tcPr>
          <w:p w14:paraId="592853E8" w14:textId="77777777" w:rsidR="00620113" w:rsidRPr="00D82311" w:rsidRDefault="00620113" w:rsidP="00670255">
            <w:pPr>
              <w:jc w:val="both"/>
              <w:rPr>
                <w:rFonts w:ascii="Times New Roman" w:eastAsia="Times New Roman" w:hAnsi="Times New Roman"/>
                <w:b/>
                <w:color w:val="000000" w:themeColor="text1"/>
                <w:sz w:val="25"/>
                <w:szCs w:val="25"/>
              </w:rPr>
            </w:pPr>
            <w:r w:rsidRPr="00D82311">
              <w:rPr>
                <w:rFonts w:ascii="Times New Roman" w:eastAsia="Times New Roman" w:hAnsi="Times New Roman"/>
                <w:b/>
                <w:color w:val="000000" w:themeColor="text1"/>
                <w:sz w:val="25"/>
                <w:szCs w:val="25"/>
              </w:rPr>
              <w:lastRenderedPageBreak/>
              <w:t>Đã xử lý</w:t>
            </w:r>
          </w:p>
          <w:p w14:paraId="0934B1DC" w14:textId="2E1AE74D" w:rsidR="00670255" w:rsidRPr="00D82311" w:rsidRDefault="00670255" w:rsidP="00670255">
            <w:pPr>
              <w:jc w:val="both"/>
              <w:rPr>
                <w:rFonts w:ascii="Times New Roman" w:eastAsia="Times New Roman" w:hAnsi="Times New Roman"/>
                <w:color w:val="000000" w:themeColor="text1"/>
                <w:sz w:val="25"/>
                <w:szCs w:val="25"/>
              </w:rPr>
            </w:pPr>
            <w:r w:rsidRPr="00D82311">
              <w:rPr>
                <w:rFonts w:ascii="Times New Roman" w:eastAsia="Times New Roman" w:hAnsi="Times New Roman"/>
                <w:color w:val="000000" w:themeColor="text1"/>
                <w:sz w:val="25"/>
                <w:szCs w:val="25"/>
              </w:rPr>
              <w:t>Luật Giám định tư pháp (sửa đổi) đã được Quốc hội khóa XV thông qua tại Kỳ họp thứ 10 (ngày 05/12/2025) và có hiệu lực thi hành từ ngày 01/5/2026.</w:t>
            </w:r>
          </w:p>
          <w:p w14:paraId="4A5ABEEF" w14:textId="6E9C0126" w:rsidR="006222B2" w:rsidRPr="00FC6A50" w:rsidRDefault="006222B2" w:rsidP="0043794B">
            <w:pPr>
              <w:jc w:val="both"/>
              <w:rPr>
                <w:rFonts w:ascii="Times New Roman" w:eastAsia="Times New Roman" w:hAnsi="Times New Roman" w:cs="Times New Roman"/>
                <w:color w:val="000000"/>
                <w:sz w:val="25"/>
                <w:szCs w:val="25"/>
              </w:rPr>
            </w:pPr>
          </w:p>
        </w:tc>
      </w:tr>
      <w:tr w:rsidR="006222B2" w:rsidRPr="00FC6A50" w14:paraId="6471D6E7" w14:textId="77777777" w:rsidTr="00CF1EAE">
        <w:tc>
          <w:tcPr>
            <w:tcW w:w="736" w:type="dxa"/>
          </w:tcPr>
          <w:p w14:paraId="58D42190" w14:textId="77777777" w:rsidR="006222B2" w:rsidRPr="00FC6A50" w:rsidRDefault="006222B2" w:rsidP="006222B2">
            <w:pPr>
              <w:pStyle w:val="ListParagraph"/>
              <w:numPr>
                <w:ilvl w:val="0"/>
                <w:numId w:val="4"/>
              </w:numPr>
              <w:jc w:val="center"/>
              <w:rPr>
                <w:rFonts w:ascii="Times New Roman" w:hAnsi="Times New Roman" w:cs="Times New Roman"/>
                <w:sz w:val="25"/>
                <w:szCs w:val="25"/>
              </w:rPr>
            </w:pPr>
          </w:p>
        </w:tc>
        <w:tc>
          <w:tcPr>
            <w:tcW w:w="1660" w:type="dxa"/>
          </w:tcPr>
          <w:p w14:paraId="5D187E7B" w14:textId="77777777" w:rsidR="006222B2" w:rsidRPr="00FC6A50" w:rsidRDefault="006222B2" w:rsidP="006222B2">
            <w:pPr>
              <w:jc w:val="both"/>
              <w:rPr>
                <w:rFonts w:ascii="Times New Roman" w:eastAsia="Times New Roman" w:hAnsi="Times New Roman" w:cs="Times New Roman"/>
                <w:color w:val="000000"/>
                <w:sz w:val="25"/>
                <w:szCs w:val="25"/>
              </w:rPr>
            </w:pPr>
            <w:r w:rsidRPr="00FC6A50">
              <w:rPr>
                <w:rFonts w:ascii="Times New Roman" w:eastAsia="Times New Roman" w:hAnsi="Times New Roman" w:cs="Times New Roman"/>
                <w:color w:val="000000"/>
                <w:sz w:val="25"/>
                <w:szCs w:val="25"/>
              </w:rPr>
              <w:t xml:space="preserve">Điều 36 Luật Giám định tư pháp năm 2012 (được sửa đổi, bổ sung năm 2020) </w:t>
            </w:r>
          </w:p>
        </w:tc>
        <w:tc>
          <w:tcPr>
            <w:tcW w:w="3621" w:type="dxa"/>
            <w:vAlign w:val="center"/>
          </w:tcPr>
          <w:p w14:paraId="0FB9277A" w14:textId="77777777" w:rsidR="006222B2" w:rsidRPr="00FC6A50" w:rsidRDefault="006222B2" w:rsidP="006222B2">
            <w:pPr>
              <w:jc w:val="both"/>
              <w:rPr>
                <w:rFonts w:ascii="Times New Roman" w:eastAsia="Times New Roman" w:hAnsi="Times New Roman" w:cs="Times New Roman"/>
                <w:color w:val="000000"/>
                <w:sz w:val="25"/>
                <w:szCs w:val="25"/>
              </w:rPr>
            </w:pPr>
            <w:r w:rsidRPr="00FC6A50">
              <w:rPr>
                <w:rFonts w:ascii="Times New Roman" w:eastAsia="Times New Roman" w:hAnsi="Times New Roman" w:cs="Times New Roman"/>
                <w:color w:val="000000"/>
                <w:sz w:val="25"/>
                <w:szCs w:val="25"/>
              </w:rPr>
              <w:t>Điều 36 Luật Giám định tư pháp năm 2012 (được sửa đổi, bổ sung năm 2020) quy định về cơ chế thanh toán chi phí giám định tư pháp gián tiếp qua cơ quan tiến hành tố tụng còn chưa phù hợp với nguyên tắc việc thực hiện giám định tư pháp của công chức, viên chức là nhiệm vụ công vụ; chưa phát huy được trách nhiệm của cơ quan, tổ chức chủ quản của công chức, viên chức khi cử người tham gia thực hiện giám định; còn rườm rà về thủ tục thanh toán chi phí giám định tư pháp trên thực tế; ở một số nơi còn thanh toán chưa đầy đủ, kịp thời.</w:t>
            </w:r>
          </w:p>
        </w:tc>
        <w:tc>
          <w:tcPr>
            <w:tcW w:w="2078" w:type="dxa"/>
          </w:tcPr>
          <w:p w14:paraId="4D2C3149" w14:textId="77777777" w:rsidR="006222B2" w:rsidRPr="00FC6A50" w:rsidRDefault="006222B2" w:rsidP="006222B2">
            <w:pPr>
              <w:jc w:val="both"/>
              <w:rPr>
                <w:rFonts w:ascii="Times New Roman" w:eastAsia="Times New Roman" w:hAnsi="Times New Roman" w:cs="Times New Roman"/>
                <w:color w:val="000000"/>
                <w:sz w:val="25"/>
                <w:szCs w:val="25"/>
              </w:rPr>
            </w:pPr>
            <w:r w:rsidRPr="00FC6A50">
              <w:rPr>
                <w:rFonts w:ascii="Times New Roman" w:eastAsia="Times New Roman" w:hAnsi="Times New Roman" w:cs="Times New Roman"/>
                <w:color w:val="000000"/>
                <w:sz w:val="25"/>
                <w:szCs w:val="25"/>
              </w:rPr>
              <w:t>C. Sửa đổi, bổ sung, thay thế, ban hành mới VBQPPL (theo trình tự, thủ tục rút gọn ban hành VBQPPL của Luật Ban hành VBQPPL)</w:t>
            </w:r>
          </w:p>
        </w:tc>
        <w:tc>
          <w:tcPr>
            <w:tcW w:w="1434" w:type="dxa"/>
          </w:tcPr>
          <w:p w14:paraId="336B9FAD" w14:textId="77777777" w:rsidR="006222B2" w:rsidRPr="00FC6A50" w:rsidRDefault="006222B2" w:rsidP="006222B2">
            <w:pPr>
              <w:jc w:val="both"/>
              <w:rPr>
                <w:rFonts w:ascii="Times New Roman" w:eastAsia="Times New Roman" w:hAnsi="Times New Roman" w:cs="Times New Roman"/>
                <w:color w:val="000000"/>
                <w:sz w:val="25"/>
                <w:szCs w:val="25"/>
              </w:rPr>
            </w:pPr>
            <w:r w:rsidRPr="00FC6A50">
              <w:rPr>
                <w:rFonts w:ascii="Times New Roman" w:eastAsia="Times New Roman" w:hAnsi="Times New Roman" w:cs="Times New Roman"/>
                <w:color w:val="000000"/>
                <w:sz w:val="25"/>
                <w:szCs w:val="25"/>
              </w:rPr>
              <w:t>Bộ Tư pháp</w:t>
            </w:r>
          </w:p>
        </w:tc>
        <w:tc>
          <w:tcPr>
            <w:tcW w:w="2784" w:type="dxa"/>
          </w:tcPr>
          <w:p w14:paraId="42D987BD" w14:textId="77777777" w:rsidR="006222B2" w:rsidRPr="00FC6A50" w:rsidRDefault="006222B2" w:rsidP="006222B2">
            <w:pPr>
              <w:jc w:val="both"/>
              <w:rPr>
                <w:rFonts w:ascii="Times New Roman" w:eastAsia="Times New Roman" w:hAnsi="Times New Roman" w:cs="Times New Roman"/>
                <w:color w:val="000000"/>
                <w:sz w:val="25"/>
                <w:szCs w:val="25"/>
              </w:rPr>
            </w:pPr>
            <w:r w:rsidRPr="00FC6A50">
              <w:rPr>
                <w:rFonts w:ascii="Times New Roman" w:eastAsia="Times New Roman" w:hAnsi="Times New Roman" w:cs="Times New Roman"/>
                <w:color w:val="000000"/>
                <w:sz w:val="25"/>
                <w:szCs w:val="25"/>
              </w:rPr>
              <w:t>Nhất trí phương án được đề xuất. Dự án Luật này cũng đã được Bộ Tư pháp báo cáo Chính phủ kiến nghị Ủy ban Thường vụ Quốc hội bổ sung vào Chương trình trình Quốc hội cho ý kiến và thông qua tại kỳ họp thứ 10. Hiện nay, Bộ Tư pháp đang phối hợp với các bộ, cơ quan liên quan nghiên cứu xây dựng dự án Luật Giám định tư pháp (theo trình tự, thủ tục rút gọn) để trình Chính phủ xem xét, trình Quốc hội tại kỳ họp thứ 10.</w:t>
            </w:r>
          </w:p>
        </w:tc>
        <w:tc>
          <w:tcPr>
            <w:tcW w:w="2509" w:type="dxa"/>
          </w:tcPr>
          <w:p w14:paraId="4A8F11FE" w14:textId="77777777" w:rsidR="00620113" w:rsidRPr="00D82311" w:rsidRDefault="00620113" w:rsidP="00670255">
            <w:pPr>
              <w:jc w:val="both"/>
              <w:rPr>
                <w:rFonts w:ascii="Times New Roman" w:eastAsia="Times New Roman" w:hAnsi="Times New Roman"/>
                <w:b/>
                <w:color w:val="000000" w:themeColor="text1"/>
                <w:sz w:val="25"/>
                <w:szCs w:val="25"/>
              </w:rPr>
            </w:pPr>
            <w:r w:rsidRPr="00D82311">
              <w:rPr>
                <w:rFonts w:ascii="Times New Roman" w:eastAsia="Times New Roman" w:hAnsi="Times New Roman"/>
                <w:b/>
                <w:color w:val="000000" w:themeColor="text1"/>
                <w:sz w:val="25"/>
                <w:szCs w:val="25"/>
              </w:rPr>
              <w:t>Đã xử lý</w:t>
            </w:r>
          </w:p>
          <w:p w14:paraId="64AAB66D" w14:textId="3B80782C" w:rsidR="00670255" w:rsidRPr="00D82311" w:rsidRDefault="00670255" w:rsidP="00670255">
            <w:pPr>
              <w:jc w:val="both"/>
              <w:rPr>
                <w:rFonts w:ascii="Times New Roman" w:eastAsia="Times New Roman" w:hAnsi="Times New Roman"/>
                <w:color w:val="000000" w:themeColor="text1"/>
                <w:sz w:val="25"/>
                <w:szCs w:val="25"/>
              </w:rPr>
            </w:pPr>
            <w:r w:rsidRPr="00D82311">
              <w:rPr>
                <w:rFonts w:ascii="Times New Roman" w:eastAsia="Times New Roman" w:hAnsi="Times New Roman"/>
                <w:color w:val="000000" w:themeColor="text1"/>
                <w:sz w:val="25"/>
                <w:szCs w:val="25"/>
              </w:rPr>
              <w:t>Luật Giám định tư pháp (sửa đổi) đã được Quốc hội khóa XV thông qua tại Kỳ họp thứ 10 (ngày 05/12/2025) và có hiệu lực thi hành từ ngày 01/5/2026.</w:t>
            </w:r>
          </w:p>
          <w:p w14:paraId="2E3939F9" w14:textId="46F8AB28" w:rsidR="006222B2" w:rsidRPr="00FC6A50" w:rsidRDefault="006222B2" w:rsidP="0043794B">
            <w:pPr>
              <w:jc w:val="both"/>
              <w:rPr>
                <w:rFonts w:ascii="Times New Roman" w:eastAsia="Times New Roman" w:hAnsi="Times New Roman" w:cs="Times New Roman"/>
                <w:color w:val="000000"/>
                <w:sz w:val="25"/>
                <w:szCs w:val="25"/>
              </w:rPr>
            </w:pPr>
          </w:p>
        </w:tc>
      </w:tr>
      <w:tr w:rsidR="006222B2" w:rsidRPr="00FC6A50" w14:paraId="233E0CC6" w14:textId="77777777" w:rsidTr="00CF1EAE">
        <w:tc>
          <w:tcPr>
            <w:tcW w:w="736" w:type="dxa"/>
          </w:tcPr>
          <w:p w14:paraId="7E4E46C3" w14:textId="77777777" w:rsidR="006222B2" w:rsidRPr="00FC6A50" w:rsidRDefault="006222B2" w:rsidP="006222B2">
            <w:pPr>
              <w:pStyle w:val="ListParagraph"/>
              <w:numPr>
                <w:ilvl w:val="0"/>
                <w:numId w:val="4"/>
              </w:numPr>
              <w:jc w:val="center"/>
              <w:rPr>
                <w:rFonts w:ascii="Times New Roman" w:hAnsi="Times New Roman" w:cs="Times New Roman"/>
                <w:sz w:val="25"/>
                <w:szCs w:val="25"/>
              </w:rPr>
            </w:pPr>
          </w:p>
        </w:tc>
        <w:tc>
          <w:tcPr>
            <w:tcW w:w="1660" w:type="dxa"/>
          </w:tcPr>
          <w:p w14:paraId="1BFDA7CB" w14:textId="77777777" w:rsidR="006222B2" w:rsidRPr="00FC6A50" w:rsidRDefault="006222B2" w:rsidP="006222B2">
            <w:pPr>
              <w:jc w:val="both"/>
              <w:rPr>
                <w:rFonts w:ascii="Times New Roman" w:eastAsia="Times New Roman" w:hAnsi="Times New Roman" w:cs="Times New Roman"/>
                <w:color w:val="000000"/>
                <w:sz w:val="25"/>
                <w:szCs w:val="25"/>
              </w:rPr>
            </w:pPr>
            <w:r w:rsidRPr="00FC6A50">
              <w:rPr>
                <w:rFonts w:ascii="Times New Roman" w:eastAsia="Times New Roman" w:hAnsi="Times New Roman" w:cs="Times New Roman"/>
                <w:color w:val="000000"/>
                <w:sz w:val="25"/>
                <w:szCs w:val="25"/>
              </w:rPr>
              <w:t xml:space="preserve">Điều 44 Luật Giám định tư pháp năm 2012 (được sửa đổi, bổ </w:t>
            </w:r>
            <w:r w:rsidRPr="00FC6A50">
              <w:rPr>
                <w:rFonts w:ascii="Times New Roman" w:eastAsia="Times New Roman" w:hAnsi="Times New Roman" w:cs="Times New Roman"/>
                <w:color w:val="000000"/>
                <w:sz w:val="25"/>
                <w:szCs w:val="25"/>
              </w:rPr>
              <w:lastRenderedPageBreak/>
              <w:t xml:space="preserve">sung năm 2020) </w:t>
            </w:r>
          </w:p>
        </w:tc>
        <w:tc>
          <w:tcPr>
            <w:tcW w:w="3621" w:type="dxa"/>
          </w:tcPr>
          <w:p w14:paraId="6D1AE172" w14:textId="77777777" w:rsidR="006222B2" w:rsidRPr="00FC6A50" w:rsidRDefault="006222B2" w:rsidP="006222B2">
            <w:pPr>
              <w:jc w:val="both"/>
              <w:rPr>
                <w:rFonts w:ascii="Times New Roman" w:eastAsia="Times New Roman" w:hAnsi="Times New Roman" w:cs="Times New Roman"/>
                <w:color w:val="000000"/>
                <w:sz w:val="25"/>
                <w:szCs w:val="25"/>
              </w:rPr>
            </w:pPr>
            <w:r w:rsidRPr="00FC6A50">
              <w:rPr>
                <w:rFonts w:ascii="Times New Roman" w:eastAsia="Times New Roman" w:hAnsi="Times New Roman" w:cs="Times New Roman"/>
                <w:color w:val="000000"/>
                <w:sz w:val="25"/>
                <w:szCs w:val="25"/>
              </w:rPr>
              <w:lastRenderedPageBreak/>
              <w:t xml:space="preserve">Điều 44 Luật Giám định tư pháp năm 2012 (được sửa đổi, bổ sung năm 2020) quy định về cơ chế thông tin, phối hợp giữa cơ quan tiến hành tố tụng với các cơ quan quản lý giám định tư pháp ở cấp </w:t>
            </w:r>
            <w:r w:rsidRPr="00FC6A50">
              <w:rPr>
                <w:rFonts w:ascii="Times New Roman" w:eastAsia="Times New Roman" w:hAnsi="Times New Roman" w:cs="Times New Roman"/>
                <w:color w:val="000000"/>
                <w:sz w:val="25"/>
                <w:szCs w:val="25"/>
              </w:rPr>
              <w:lastRenderedPageBreak/>
              <w:t>Trung ương và cấp tỉnh đối với công tác giám định tư pháp chưa đầy đủ, bảo đảm thực hiện có hiệu quả.</w:t>
            </w:r>
          </w:p>
        </w:tc>
        <w:tc>
          <w:tcPr>
            <w:tcW w:w="2078" w:type="dxa"/>
          </w:tcPr>
          <w:p w14:paraId="3B47D64A" w14:textId="77777777" w:rsidR="006222B2" w:rsidRPr="00FC6A50" w:rsidRDefault="006222B2" w:rsidP="006222B2">
            <w:pPr>
              <w:jc w:val="both"/>
              <w:rPr>
                <w:rFonts w:ascii="Times New Roman" w:eastAsia="Times New Roman" w:hAnsi="Times New Roman" w:cs="Times New Roman"/>
                <w:color w:val="000000"/>
                <w:sz w:val="25"/>
                <w:szCs w:val="25"/>
              </w:rPr>
            </w:pPr>
            <w:r w:rsidRPr="00FC6A50">
              <w:rPr>
                <w:rFonts w:ascii="Times New Roman" w:eastAsia="Times New Roman" w:hAnsi="Times New Roman" w:cs="Times New Roman"/>
                <w:color w:val="000000"/>
                <w:sz w:val="25"/>
                <w:szCs w:val="25"/>
              </w:rPr>
              <w:lastRenderedPageBreak/>
              <w:t xml:space="preserve">C. Sửa đổi, bổ sung, thay thế, ban hành mới VBQPPL (theo trình tự, thủ tục rút gọn ban hành </w:t>
            </w:r>
            <w:r w:rsidRPr="00FC6A50">
              <w:rPr>
                <w:rFonts w:ascii="Times New Roman" w:eastAsia="Times New Roman" w:hAnsi="Times New Roman" w:cs="Times New Roman"/>
                <w:color w:val="000000"/>
                <w:sz w:val="25"/>
                <w:szCs w:val="25"/>
              </w:rPr>
              <w:lastRenderedPageBreak/>
              <w:t>VBQPPL của Luật Ban hành VBQPPL)</w:t>
            </w:r>
          </w:p>
        </w:tc>
        <w:tc>
          <w:tcPr>
            <w:tcW w:w="1434" w:type="dxa"/>
          </w:tcPr>
          <w:p w14:paraId="4DF4A2BC" w14:textId="77777777" w:rsidR="006222B2" w:rsidRPr="00FC6A50" w:rsidRDefault="006222B2" w:rsidP="006222B2">
            <w:pPr>
              <w:jc w:val="both"/>
              <w:rPr>
                <w:rFonts w:ascii="Times New Roman" w:eastAsia="Times New Roman" w:hAnsi="Times New Roman" w:cs="Times New Roman"/>
                <w:color w:val="000000"/>
                <w:sz w:val="25"/>
                <w:szCs w:val="25"/>
              </w:rPr>
            </w:pPr>
            <w:r w:rsidRPr="00FC6A50">
              <w:rPr>
                <w:rFonts w:ascii="Times New Roman" w:eastAsia="Times New Roman" w:hAnsi="Times New Roman" w:cs="Times New Roman"/>
                <w:color w:val="000000"/>
                <w:sz w:val="25"/>
                <w:szCs w:val="25"/>
              </w:rPr>
              <w:lastRenderedPageBreak/>
              <w:t>Bộ Tư pháp</w:t>
            </w:r>
          </w:p>
        </w:tc>
        <w:tc>
          <w:tcPr>
            <w:tcW w:w="2784" w:type="dxa"/>
          </w:tcPr>
          <w:p w14:paraId="3D13D592" w14:textId="77777777" w:rsidR="006222B2" w:rsidRPr="00FC6A50" w:rsidRDefault="006222B2" w:rsidP="006222B2">
            <w:pPr>
              <w:jc w:val="both"/>
              <w:rPr>
                <w:rFonts w:ascii="Times New Roman" w:eastAsia="Times New Roman" w:hAnsi="Times New Roman" w:cs="Times New Roman"/>
                <w:color w:val="000000"/>
                <w:sz w:val="25"/>
                <w:szCs w:val="25"/>
              </w:rPr>
            </w:pPr>
            <w:r w:rsidRPr="00FC6A50">
              <w:rPr>
                <w:rFonts w:ascii="Times New Roman" w:eastAsia="Times New Roman" w:hAnsi="Times New Roman" w:cs="Times New Roman"/>
                <w:color w:val="000000"/>
                <w:sz w:val="25"/>
                <w:szCs w:val="25"/>
              </w:rPr>
              <w:t xml:space="preserve">Nhất trí phương án được đề xuất. Dự án Luật này cũng đã được Bộ Tư pháp báo cáo Chính phủ kiến nghị Ủy ban Thường vụ Quốc hội bổ sung vào </w:t>
            </w:r>
            <w:r w:rsidRPr="00FC6A50">
              <w:rPr>
                <w:rFonts w:ascii="Times New Roman" w:eastAsia="Times New Roman" w:hAnsi="Times New Roman" w:cs="Times New Roman"/>
                <w:color w:val="000000"/>
                <w:sz w:val="25"/>
                <w:szCs w:val="25"/>
              </w:rPr>
              <w:lastRenderedPageBreak/>
              <w:t>Chương trình trình Quốc hội cho ý kiến và thông qua tại kỳ họp thứ 10. Hiện nay, Bộ Tư pháp đang phối hợp với các bộ, cơ quan liên quan nghiên cứu xây dựng dự án Luật Giám định tư pháp (theo trình tự, thủ tục rút gọn) để trình Chính phủ xem xét, trình Quốc hội tại kỳ họp thứ 10.</w:t>
            </w:r>
          </w:p>
        </w:tc>
        <w:tc>
          <w:tcPr>
            <w:tcW w:w="2509" w:type="dxa"/>
          </w:tcPr>
          <w:p w14:paraId="53807D52" w14:textId="77777777" w:rsidR="00620113" w:rsidRPr="00D82311" w:rsidRDefault="00620113" w:rsidP="00670255">
            <w:pPr>
              <w:jc w:val="both"/>
              <w:rPr>
                <w:rFonts w:ascii="Times New Roman" w:eastAsia="Times New Roman" w:hAnsi="Times New Roman"/>
                <w:b/>
                <w:color w:val="000000" w:themeColor="text1"/>
                <w:sz w:val="25"/>
                <w:szCs w:val="25"/>
              </w:rPr>
            </w:pPr>
            <w:r w:rsidRPr="00D82311">
              <w:rPr>
                <w:rFonts w:ascii="Times New Roman" w:eastAsia="Times New Roman" w:hAnsi="Times New Roman"/>
                <w:b/>
                <w:color w:val="000000" w:themeColor="text1"/>
                <w:sz w:val="25"/>
                <w:szCs w:val="25"/>
              </w:rPr>
              <w:lastRenderedPageBreak/>
              <w:t>Đã xử lý</w:t>
            </w:r>
          </w:p>
          <w:p w14:paraId="4D0C7EEB" w14:textId="60AFCE0C" w:rsidR="00670255" w:rsidRPr="00D82311" w:rsidRDefault="00670255" w:rsidP="00670255">
            <w:pPr>
              <w:jc w:val="both"/>
              <w:rPr>
                <w:rFonts w:ascii="Times New Roman" w:eastAsia="Times New Roman" w:hAnsi="Times New Roman"/>
                <w:color w:val="000000" w:themeColor="text1"/>
                <w:sz w:val="25"/>
                <w:szCs w:val="25"/>
              </w:rPr>
            </w:pPr>
            <w:r w:rsidRPr="00D82311">
              <w:rPr>
                <w:rFonts w:ascii="Times New Roman" w:eastAsia="Times New Roman" w:hAnsi="Times New Roman"/>
                <w:color w:val="000000" w:themeColor="text1"/>
                <w:sz w:val="25"/>
                <w:szCs w:val="25"/>
              </w:rPr>
              <w:t xml:space="preserve">Luật Giám định tư pháp (sửa đổi) đã được Quốc hội khóa XV thông qua tại Kỳ họp thứ 10 (ngày </w:t>
            </w:r>
            <w:r w:rsidRPr="00D82311">
              <w:rPr>
                <w:rFonts w:ascii="Times New Roman" w:eastAsia="Times New Roman" w:hAnsi="Times New Roman"/>
                <w:color w:val="000000" w:themeColor="text1"/>
                <w:sz w:val="25"/>
                <w:szCs w:val="25"/>
              </w:rPr>
              <w:lastRenderedPageBreak/>
              <w:t>05/12/2025) và có hiệu lực thi hành từ ngày 01/5/2026.</w:t>
            </w:r>
          </w:p>
          <w:p w14:paraId="3CF5229F" w14:textId="1183BE4E" w:rsidR="006222B2" w:rsidRPr="00FC6A50" w:rsidRDefault="006222B2" w:rsidP="0043794B">
            <w:pPr>
              <w:jc w:val="both"/>
              <w:rPr>
                <w:rFonts w:ascii="Times New Roman" w:eastAsia="Times New Roman" w:hAnsi="Times New Roman" w:cs="Times New Roman"/>
                <w:color w:val="000000"/>
                <w:sz w:val="25"/>
                <w:szCs w:val="25"/>
              </w:rPr>
            </w:pPr>
          </w:p>
        </w:tc>
      </w:tr>
      <w:tr w:rsidR="006222B2" w:rsidRPr="00FC6A50" w14:paraId="46C4A2A7" w14:textId="77777777" w:rsidTr="00CF1EAE">
        <w:tc>
          <w:tcPr>
            <w:tcW w:w="736" w:type="dxa"/>
          </w:tcPr>
          <w:p w14:paraId="1E7CC7B2" w14:textId="77777777" w:rsidR="006222B2" w:rsidRPr="00FC6A50" w:rsidRDefault="006222B2" w:rsidP="006222B2">
            <w:pPr>
              <w:pStyle w:val="ListParagraph"/>
              <w:numPr>
                <w:ilvl w:val="0"/>
                <w:numId w:val="4"/>
              </w:numPr>
              <w:jc w:val="center"/>
              <w:rPr>
                <w:rFonts w:ascii="Times New Roman" w:hAnsi="Times New Roman" w:cs="Times New Roman"/>
                <w:sz w:val="25"/>
                <w:szCs w:val="25"/>
              </w:rPr>
            </w:pPr>
          </w:p>
        </w:tc>
        <w:tc>
          <w:tcPr>
            <w:tcW w:w="1660" w:type="dxa"/>
          </w:tcPr>
          <w:p w14:paraId="3405C13F" w14:textId="77777777" w:rsidR="006222B2" w:rsidRPr="00FC6A50" w:rsidRDefault="006222B2" w:rsidP="006222B2">
            <w:pPr>
              <w:jc w:val="both"/>
              <w:rPr>
                <w:rFonts w:ascii="Times New Roman" w:eastAsia="Times New Roman" w:hAnsi="Times New Roman" w:cs="Times New Roman"/>
                <w:color w:val="000000"/>
                <w:sz w:val="25"/>
                <w:szCs w:val="25"/>
              </w:rPr>
            </w:pPr>
            <w:r w:rsidRPr="00FC6A50">
              <w:rPr>
                <w:rFonts w:ascii="Times New Roman" w:eastAsia="Times New Roman" w:hAnsi="Times New Roman" w:cs="Times New Roman"/>
                <w:color w:val="000000"/>
                <w:sz w:val="25"/>
                <w:szCs w:val="25"/>
              </w:rPr>
              <w:t>Điều 39 Luật Đấu giá tài sản năm 2016 (sửa đổi, bổ sung năm 2024)</w:t>
            </w:r>
          </w:p>
        </w:tc>
        <w:tc>
          <w:tcPr>
            <w:tcW w:w="3621" w:type="dxa"/>
          </w:tcPr>
          <w:p w14:paraId="5BD34F99" w14:textId="77777777" w:rsidR="006222B2" w:rsidRPr="00FC6A50" w:rsidRDefault="006222B2" w:rsidP="006222B2">
            <w:pPr>
              <w:spacing w:after="260"/>
              <w:jc w:val="both"/>
              <w:rPr>
                <w:rFonts w:ascii="Times New Roman" w:eastAsia="Times New Roman" w:hAnsi="Times New Roman" w:cs="Times New Roman"/>
                <w:color w:val="000000"/>
                <w:sz w:val="25"/>
                <w:szCs w:val="25"/>
              </w:rPr>
            </w:pPr>
            <w:r w:rsidRPr="00FC6A50">
              <w:rPr>
                <w:rFonts w:ascii="Times New Roman" w:eastAsia="Times New Roman" w:hAnsi="Times New Roman" w:cs="Times New Roman"/>
                <w:color w:val="000000"/>
                <w:sz w:val="25"/>
                <w:szCs w:val="25"/>
              </w:rPr>
              <w:t xml:space="preserve">Điều 39 Luật Đấu giá tài sản năm 2016 (sửa đổi, bổ sung năm 2024) quy định tiền đặt trước tối thiểu là 10% và tối đa là 20% giá khởi điểm đối với quyền sử dụng đất để thực hiện dự án đầu tư, quyền khai thác khoáng sản. Đối với đấu giá quyền sử dụng đất để giao đất ở cho cá nhân thì tiền đặt trước là 5%-20%. Tuy nhiên, thời gian qua, nhiều người tham gia đấu giá đã lợi dụng các quy định nêu trên để trả giá cao rồi bỏ cọc nhằm trục lợi hoặc mục đích riêng, tác động </w:t>
            </w:r>
            <w:r w:rsidRPr="00FC6A50">
              <w:rPr>
                <w:rFonts w:ascii="Times New Roman" w:eastAsia="Times New Roman" w:hAnsi="Times New Roman" w:cs="Times New Roman"/>
                <w:color w:val="000000"/>
                <w:sz w:val="25"/>
                <w:szCs w:val="25"/>
              </w:rPr>
              <w:lastRenderedPageBreak/>
              <w:t>tiêu cực đến thị trường bất động sản, ảnh hưởng đến việc khai thác có hiệu quả nguồn lực đất đai phục vụ phát triển kinh tế, xã hội.</w:t>
            </w:r>
          </w:p>
        </w:tc>
        <w:tc>
          <w:tcPr>
            <w:tcW w:w="2078" w:type="dxa"/>
          </w:tcPr>
          <w:p w14:paraId="54A185E2" w14:textId="77777777" w:rsidR="006222B2" w:rsidRPr="00FC6A50" w:rsidRDefault="006222B2" w:rsidP="006222B2">
            <w:pPr>
              <w:jc w:val="both"/>
              <w:rPr>
                <w:rFonts w:ascii="Times New Roman" w:eastAsia="Times New Roman" w:hAnsi="Times New Roman" w:cs="Times New Roman"/>
                <w:color w:val="000000"/>
                <w:sz w:val="25"/>
                <w:szCs w:val="25"/>
              </w:rPr>
            </w:pPr>
            <w:r w:rsidRPr="00FC6A50">
              <w:rPr>
                <w:rFonts w:ascii="Times New Roman" w:eastAsia="Times New Roman" w:hAnsi="Times New Roman" w:cs="Times New Roman"/>
                <w:color w:val="000000"/>
                <w:sz w:val="25"/>
                <w:szCs w:val="25"/>
              </w:rPr>
              <w:lastRenderedPageBreak/>
              <w:t>D. Ban hành nghị quyết QPPL của Chính phủ, nghị quyết của UBTVQH theo quy định tại điểm c khoản 1 Điều 4 Nghị quyết số 206/2025/QH15</w:t>
            </w:r>
          </w:p>
          <w:p w14:paraId="539A1F1E" w14:textId="77777777" w:rsidR="006222B2" w:rsidRPr="00FC6A50" w:rsidRDefault="006222B2" w:rsidP="006222B2">
            <w:pPr>
              <w:rPr>
                <w:rFonts w:ascii="Times New Roman" w:eastAsia="Times New Roman" w:hAnsi="Times New Roman" w:cs="Times New Roman"/>
                <w:sz w:val="25"/>
                <w:szCs w:val="25"/>
              </w:rPr>
            </w:pPr>
          </w:p>
          <w:p w14:paraId="5AA8B0F1" w14:textId="77777777" w:rsidR="006222B2" w:rsidRPr="00FC6A50" w:rsidRDefault="006222B2" w:rsidP="006222B2">
            <w:pPr>
              <w:rPr>
                <w:rFonts w:ascii="Times New Roman" w:eastAsia="Times New Roman" w:hAnsi="Times New Roman" w:cs="Times New Roman"/>
                <w:sz w:val="25"/>
                <w:szCs w:val="25"/>
              </w:rPr>
            </w:pPr>
          </w:p>
          <w:p w14:paraId="1498EEBC" w14:textId="77777777" w:rsidR="006222B2" w:rsidRPr="00FC6A50" w:rsidRDefault="006222B2" w:rsidP="006222B2">
            <w:pPr>
              <w:rPr>
                <w:rFonts w:ascii="Times New Roman" w:eastAsia="Times New Roman" w:hAnsi="Times New Roman" w:cs="Times New Roman"/>
                <w:sz w:val="25"/>
                <w:szCs w:val="25"/>
              </w:rPr>
            </w:pPr>
          </w:p>
          <w:p w14:paraId="4A0B6C53" w14:textId="77777777" w:rsidR="006222B2" w:rsidRPr="00FC6A50" w:rsidRDefault="006222B2" w:rsidP="006222B2">
            <w:pPr>
              <w:rPr>
                <w:rFonts w:ascii="Times New Roman" w:eastAsia="Times New Roman" w:hAnsi="Times New Roman" w:cs="Times New Roman"/>
                <w:sz w:val="25"/>
                <w:szCs w:val="25"/>
              </w:rPr>
            </w:pPr>
          </w:p>
          <w:p w14:paraId="334797AD" w14:textId="77777777" w:rsidR="006222B2" w:rsidRPr="00FC6A50" w:rsidRDefault="006222B2" w:rsidP="006222B2">
            <w:pPr>
              <w:rPr>
                <w:rFonts w:ascii="Times New Roman" w:eastAsia="Times New Roman" w:hAnsi="Times New Roman" w:cs="Times New Roman"/>
                <w:sz w:val="25"/>
                <w:szCs w:val="25"/>
              </w:rPr>
            </w:pPr>
          </w:p>
          <w:p w14:paraId="5C92946C" w14:textId="77777777" w:rsidR="006222B2" w:rsidRPr="00FC6A50" w:rsidRDefault="006222B2" w:rsidP="006222B2">
            <w:pPr>
              <w:rPr>
                <w:rFonts w:ascii="Times New Roman" w:eastAsia="Times New Roman" w:hAnsi="Times New Roman" w:cs="Times New Roman"/>
                <w:sz w:val="25"/>
                <w:szCs w:val="25"/>
              </w:rPr>
            </w:pPr>
          </w:p>
          <w:p w14:paraId="7E54E57F" w14:textId="77777777" w:rsidR="006222B2" w:rsidRPr="00FC6A50" w:rsidRDefault="006222B2" w:rsidP="006222B2">
            <w:pPr>
              <w:rPr>
                <w:rFonts w:ascii="Times New Roman" w:eastAsia="Times New Roman" w:hAnsi="Times New Roman" w:cs="Times New Roman"/>
                <w:sz w:val="25"/>
                <w:szCs w:val="25"/>
              </w:rPr>
            </w:pPr>
          </w:p>
        </w:tc>
        <w:tc>
          <w:tcPr>
            <w:tcW w:w="1434" w:type="dxa"/>
          </w:tcPr>
          <w:p w14:paraId="19F5396B" w14:textId="77777777" w:rsidR="006222B2" w:rsidRPr="00FC6A50" w:rsidRDefault="006222B2" w:rsidP="006222B2">
            <w:pPr>
              <w:jc w:val="center"/>
              <w:rPr>
                <w:rFonts w:ascii="Times New Roman" w:eastAsia="Times New Roman" w:hAnsi="Times New Roman" w:cs="Times New Roman"/>
                <w:color w:val="000000"/>
                <w:sz w:val="25"/>
                <w:szCs w:val="25"/>
              </w:rPr>
            </w:pPr>
            <w:r w:rsidRPr="00FC6A50">
              <w:rPr>
                <w:rFonts w:ascii="Times New Roman" w:eastAsia="Times New Roman" w:hAnsi="Times New Roman" w:cs="Times New Roman"/>
                <w:color w:val="000000"/>
                <w:sz w:val="25"/>
                <w:szCs w:val="25"/>
              </w:rPr>
              <w:lastRenderedPageBreak/>
              <w:t>Bộ Tư pháp</w:t>
            </w:r>
          </w:p>
        </w:tc>
        <w:tc>
          <w:tcPr>
            <w:tcW w:w="2784" w:type="dxa"/>
          </w:tcPr>
          <w:p w14:paraId="6FA87025" w14:textId="77777777" w:rsidR="006222B2" w:rsidRPr="00FC6A50" w:rsidRDefault="006222B2" w:rsidP="006222B2">
            <w:pP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6"/>
                <w:szCs w:val="26"/>
              </w:rPr>
              <w:t xml:space="preserve">Nhất trí với kiến nghị đề xuất. </w:t>
            </w:r>
            <w:r w:rsidRPr="00763A28">
              <w:rPr>
                <w:rFonts w:ascii="Times New Roman" w:eastAsia="Times New Roman" w:hAnsi="Times New Roman" w:cs="Times New Roman"/>
                <w:color w:val="000000"/>
                <w:sz w:val="26"/>
                <w:szCs w:val="26"/>
              </w:rPr>
              <w:t xml:space="preserve">Bộ Tư pháp đề xuất các giải pháp hoàn thiện pháp luật là sẽ nghiên cứu, báo cáo Chính phủ để ban hành nghị quyết của Chính phủ theo quy định tại điểm c khoản 1 Điều 4 Nghị quyết số 206/2025/QH15 để khắc phục bất cập của thực tiễn, trong đó điều chỉnh một số quy định của </w:t>
            </w:r>
            <w:r w:rsidRPr="00763A28">
              <w:rPr>
                <w:rFonts w:ascii="Times New Roman" w:eastAsia="Times New Roman" w:hAnsi="Times New Roman" w:cs="Times New Roman"/>
                <w:color w:val="000000"/>
                <w:sz w:val="26"/>
                <w:szCs w:val="26"/>
              </w:rPr>
              <w:lastRenderedPageBreak/>
              <w:t xml:space="preserve">Luật Đấu giá tài sản liên quan đến tăng mức tiền đặt cọc và cấm tham gia đấu giá đối với trường hợp bỏ cọc không có lý do chính đáng trong thời gian luật, nghị quyết của Quốc hội chưa được sửa đổi, bổ sung, thay thế đối với </w:t>
            </w:r>
            <w:r>
              <w:rPr>
                <w:rFonts w:ascii="Times New Roman" w:eastAsia="Times New Roman" w:hAnsi="Times New Roman" w:cs="Times New Roman"/>
                <w:color w:val="000000"/>
                <w:sz w:val="26"/>
                <w:szCs w:val="26"/>
              </w:rPr>
              <w:t>một số</w:t>
            </w:r>
            <w:r w:rsidRPr="00763A28">
              <w:rPr>
                <w:rFonts w:ascii="Times New Roman" w:eastAsia="Times New Roman" w:hAnsi="Times New Roman" w:cs="Times New Roman"/>
                <w:color w:val="000000"/>
                <w:sz w:val="26"/>
                <w:szCs w:val="26"/>
              </w:rPr>
              <w:t xml:space="preserve"> nội dung thuộc lĩnh vực đấu giá tài sản</w:t>
            </w:r>
            <w:r>
              <w:rPr>
                <w:rFonts w:ascii="Times New Roman" w:eastAsia="Times New Roman" w:hAnsi="Times New Roman" w:cs="Times New Roman"/>
                <w:color w:val="000000"/>
                <w:sz w:val="26"/>
                <w:szCs w:val="26"/>
              </w:rPr>
              <w:t>.</w:t>
            </w:r>
            <w:r w:rsidRPr="00763A28">
              <w:rPr>
                <w:rFonts w:ascii="Times New Roman" w:eastAsia="Times New Roman" w:hAnsi="Times New Roman" w:cs="Times New Roman"/>
                <w:color w:val="000000"/>
                <w:sz w:val="26"/>
                <w:szCs w:val="26"/>
              </w:rPr>
              <w:t xml:space="preserve"> </w:t>
            </w:r>
          </w:p>
        </w:tc>
        <w:tc>
          <w:tcPr>
            <w:tcW w:w="2509" w:type="dxa"/>
          </w:tcPr>
          <w:p w14:paraId="3BB1BA17" w14:textId="16B63D8D" w:rsidR="00620113" w:rsidRPr="00D82311" w:rsidRDefault="00620113" w:rsidP="006222B2">
            <w:pPr>
              <w:jc w:val="both"/>
              <w:rPr>
                <w:rFonts w:ascii="Times New Roman" w:eastAsia="Times New Roman" w:hAnsi="Times New Roman" w:cs="Times New Roman"/>
                <w:b/>
                <w:color w:val="000000"/>
                <w:sz w:val="25"/>
                <w:szCs w:val="25"/>
              </w:rPr>
            </w:pPr>
            <w:r w:rsidRPr="00D82311">
              <w:rPr>
                <w:rFonts w:ascii="Times New Roman" w:eastAsia="Times New Roman" w:hAnsi="Times New Roman" w:cs="Times New Roman"/>
                <w:b/>
                <w:color w:val="000000"/>
                <w:sz w:val="25"/>
                <w:szCs w:val="25"/>
              </w:rPr>
              <w:lastRenderedPageBreak/>
              <w:t>Đ</w:t>
            </w:r>
            <w:r w:rsidR="00E5711A">
              <w:rPr>
                <w:rFonts w:ascii="Times New Roman" w:eastAsia="Times New Roman" w:hAnsi="Times New Roman" w:cs="Times New Roman"/>
                <w:b/>
                <w:color w:val="000000"/>
                <w:sz w:val="25"/>
                <w:szCs w:val="25"/>
              </w:rPr>
              <w:t>ã xử lý</w:t>
            </w:r>
          </w:p>
          <w:p w14:paraId="2BE33713" w14:textId="1EE650D1" w:rsidR="006222B2" w:rsidRPr="00FC6A50" w:rsidRDefault="00620113" w:rsidP="006222B2">
            <w:pP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Ngày 21/10/2025, Bộ Tư pháp đã tổ chức Hội đồng thẩm định độc lập thẩm định dự thảo </w:t>
            </w:r>
            <w:r w:rsidRPr="00CA66A2">
              <w:rPr>
                <w:rFonts w:ascii="Times New Roman" w:eastAsia="Times New Roman" w:hAnsi="Times New Roman" w:cs="Times New Roman"/>
                <w:color w:val="000000"/>
                <w:sz w:val="25"/>
                <w:szCs w:val="25"/>
              </w:rPr>
              <w:t>Nghị quyết của Chính phủ quy định xử lý khó khăn, vướng mắc về đấu giá quyền sử dụng đất trong trường hợp giao đất, cho thuê đất</w:t>
            </w:r>
            <w:r>
              <w:rPr>
                <w:rFonts w:ascii="Times New Roman" w:eastAsia="Times New Roman" w:hAnsi="Times New Roman" w:cs="Times New Roman"/>
                <w:color w:val="000000"/>
                <w:sz w:val="25"/>
                <w:szCs w:val="25"/>
              </w:rPr>
              <w:t xml:space="preserve"> theo quy định của Luật Đất đai.</w:t>
            </w:r>
            <w:r w:rsidRPr="00CA66A2">
              <w:rPr>
                <w:rFonts w:ascii="Times New Roman" w:eastAsia="Times New Roman" w:hAnsi="Times New Roman" w:cs="Times New Roman"/>
                <w:color w:val="000000"/>
                <w:sz w:val="25"/>
                <w:szCs w:val="25"/>
              </w:rPr>
              <w:t xml:space="preserve"> </w:t>
            </w:r>
            <w:r>
              <w:rPr>
                <w:rFonts w:ascii="Times New Roman" w:eastAsia="Times New Roman" w:hAnsi="Times New Roman" w:cs="Times New Roman"/>
                <w:color w:val="000000"/>
                <w:sz w:val="25"/>
                <w:szCs w:val="25"/>
              </w:rPr>
              <w:t>N</w:t>
            </w:r>
            <w:r w:rsidRPr="00CA66A2">
              <w:rPr>
                <w:rFonts w:ascii="Times New Roman" w:eastAsia="Times New Roman" w:hAnsi="Times New Roman" w:cs="Times New Roman"/>
                <w:color w:val="000000"/>
                <w:sz w:val="25"/>
                <w:szCs w:val="25"/>
              </w:rPr>
              <w:t xml:space="preserve">gày 27/11/2025, Bộ </w:t>
            </w:r>
            <w:r w:rsidRPr="00CA66A2">
              <w:rPr>
                <w:rFonts w:ascii="Times New Roman" w:eastAsia="Times New Roman" w:hAnsi="Times New Roman" w:cs="Times New Roman"/>
                <w:color w:val="000000"/>
                <w:sz w:val="25"/>
                <w:szCs w:val="25"/>
              </w:rPr>
              <w:lastRenderedPageBreak/>
              <w:t>Tư pháp đã có Tờ trình số 159/TTr-BTP trình Chính phủ dự thảo Nghị quyết. Hiện nay, Chính phủ đang thực hiện việc lấy ý kiến thành viên Chính phủ đối với dự thảo Nghị quyết</w:t>
            </w:r>
            <w:r>
              <w:rPr>
                <w:rFonts w:ascii="Times New Roman" w:eastAsia="Times New Roman" w:hAnsi="Times New Roman" w:cs="Times New Roman"/>
                <w:color w:val="000000"/>
                <w:sz w:val="25"/>
                <w:szCs w:val="25"/>
              </w:rPr>
              <w:t>.</w:t>
            </w:r>
          </w:p>
        </w:tc>
      </w:tr>
      <w:tr w:rsidR="006222B2" w:rsidRPr="00FC6A50" w14:paraId="7C5C173E" w14:textId="77777777" w:rsidTr="00CF1EAE">
        <w:tc>
          <w:tcPr>
            <w:tcW w:w="736" w:type="dxa"/>
          </w:tcPr>
          <w:p w14:paraId="00A0B6D7" w14:textId="77777777" w:rsidR="006222B2" w:rsidRPr="00FC6A50" w:rsidRDefault="006222B2" w:rsidP="006222B2">
            <w:pPr>
              <w:pStyle w:val="ListParagraph"/>
              <w:numPr>
                <w:ilvl w:val="0"/>
                <w:numId w:val="4"/>
              </w:numPr>
              <w:jc w:val="center"/>
              <w:rPr>
                <w:rFonts w:ascii="Times New Roman" w:hAnsi="Times New Roman" w:cs="Times New Roman"/>
                <w:sz w:val="25"/>
                <w:szCs w:val="25"/>
              </w:rPr>
            </w:pPr>
          </w:p>
        </w:tc>
        <w:tc>
          <w:tcPr>
            <w:tcW w:w="1660" w:type="dxa"/>
          </w:tcPr>
          <w:p w14:paraId="3093053D" w14:textId="77777777" w:rsidR="006222B2" w:rsidRPr="00FC6A50" w:rsidRDefault="006222B2" w:rsidP="006222B2">
            <w:pPr>
              <w:jc w:val="both"/>
              <w:rPr>
                <w:rFonts w:ascii="Times New Roman" w:eastAsia="Times New Roman" w:hAnsi="Times New Roman" w:cs="Times New Roman"/>
                <w:color w:val="000000"/>
                <w:sz w:val="25"/>
                <w:szCs w:val="25"/>
              </w:rPr>
            </w:pPr>
            <w:r w:rsidRPr="00FC6A50">
              <w:rPr>
                <w:rFonts w:ascii="Times New Roman" w:eastAsia="Times New Roman" w:hAnsi="Times New Roman" w:cs="Times New Roman"/>
                <w:color w:val="000000"/>
                <w:sz w:val="25"/>
                <w:szCs w:val="25"/>
              </w:rPr>
              <w:t>Điều 5, Điều 77 Luật Đấu giá tài sản năm 2016 (sửa đổi, bổ sung năm 2024)</w:t>
            </w:r>
          </w:p>
        </w:tc>
        <w:tc>
          <w:tcPr>
            <w:tcW w:w="3621" w:type="dxa"/>
          </w:tcPr>
          <w:p w14:paraId="133CB24E" w14:textId="77777777" w:rsidR="006222B2" w:rsidRPr="00FC6A50" w:rsidRDefault="006222B2" w:rsidP="006222B2">
            <w:pPr>
              <w:jc w:val="both"/>
              <w:rPr>
                <w:rFonts w:ascii="Times New Roman" w:hAnsi="Times New Roman" w:cs="Times New Roman"/>
                <w:sz w:val="25"/>
                <w:szCs w:val="25"/>
              </w:rPr>
            </w:pPr>
            <w:r w:rsidRPr="00FC6A50">
              <w:rPr>
                <w:rFonts w:ascii="Times New Roman" w:hAnsi="Times New Roman" w:cs="Times New Roman"/>
                <w:sz w:val="25"/>
                <w:szCs w:val="25"/>
              </w:rPr>
              <w:t xml:space="preserve">Luật Đấu giá tài sản </w:t>
            </w:r>
            <w:r w:rsidRPr="00FC6A50">
              <w:rPr>
                <w:rFonts w:ascii="Times New Roman" w:eastAsia="Times New Roman" w:hAnsi="Times New Roman" w:cs="Times New Roman"/>
                <w:color w:val="000000"/>
                <w:sz w:val="25"/>
                <w:szCs w:val="25"/>
              </w:rPr>
              <w:t>hiện</w:t>
            </w:r>
            <w:r w:rsidRPr="00FC6A50">
              <w:rPr>
                <w:rFonts w:ascii="Times New Roman" w:hAnsi="Times New Roman" w:cs="Times New Roman"/>
                <w:sz w:val="25"/>
                <w:szCs w:val="25"/>
              </w:rPr>
              <w:t xml:space="preserve"> nay tại Điều 5 và Điều 77 quy định </w:t>
            </w:r>
            <w:r w:rsidRPr="00FC6A50">
              <w:rPr>
                <w:rFonts w:ascii="Times New Roman" w:hAnsi="Times New Roman" w:cs="Times New Roman"/>
                <w:i/>
                <w:sz w:val="25"/>
                <w:szCs w:val="25"/>
              </w:rPr>
              <w:t>“</w:t>
            </w:r>
            <w:r w:rsidRPr="00FC6A50">
              <w:rPr>
                <w:rFonts w:ascii="Times New Roman" w:hAnsi="Times New Roman" w:cs="Times New Roman"/>
                <w:i/>
                <w:iCs/>
                <w:color w:val="000000"/>
                <w:sz w:val="25"/>
                <w:szCs w:val="25"/>
                <w:shd w:val="clear" w:color="auto" w:fill="FFFFFF"/>
              </w:rPr>
              <w:t>Cổng Đấu giá tài sản quốc gia</w:t>
            </w:r>
            <w:r w:rsidRPr="00FC6A50">
              <w:rPr>
                <w:rFonts w:ascii="Times New Roman" w:hAnsi="Times New Roman" w:cs="Times New Roman"/>
                <w:i/>
                <w:color w:val="000000"/>
                <w:sz w:val="25"/>
                <w:szCs w:val="25"/>
                <w:shd w:val="clear" w:color="auto" w:fill="FFFFFF"/>
              </w:rPr>
              <w:t> là hệ thống công nghệ thông tin do cơ quan quản lý nhà nước về đấu giá tài sản xây dựng, quản lý và vận hành nhằm mục đích thống nhất quản lý thông tin về đấu giá tài sản và thực hiện đấu giá trực tuyến đáp ứng yêu cầu quản lý, kết nối, chia sẻ dữ liệu theo quy định của Luật này và quy định khác của pháp luật có liên quan”</w:t>
            </w:r>
            <w:r w:rsidRPr="00FC6A50">
              <w:rPr>
                <w:rFonts w:ascii="Times New Roman" w:hAnsi="Times New Roman" w:cs="Times New Roman"/>
                <w:color w:val="000000"/>
                <w:sz w:val="25"/>
                <w:szCs w:val="25"/>
                <w:shd w:val="clear" w:color="auto" w:fill="FFFFFF"/>
              </w:rPr>
              <w:t xml:space="preserve">. Bộ Tư </w:t>
            </w:r>
            <w:r w:rsidRPr="00FC6A50">
              <w:rPr>
                <w:rFonts w:ascii="Times New Roman" w:hAnsi="Times New Roman" w:cs="Times New Roman"/>
                <w:color w:val="000000"/>
                <w:sz w:val="25"/>
                <w:szCs w:val="25"/>
                <w:shd w:val="clear" w:color="auto" w:fill="FFFFFF"/>
              </w:rPr>
              <w:lastRenderedPageBreak/>
              <w:t xml:space="preserve">pháp có nhiệm vụ: </w:t>
            </w:r>
            <w:r w:rsidRPr="00FC6A50">
              <w:rPr>
                <w:rFonts w:ascii="Times New Roman" w:hAnsi="Times New Roman" w:cs="Times New Roman"/>
                <w:i/>
                <w:color w:val="000000"/>
                <w:sz w:val="25"/>
                <w:szCs w:val="25"/>
                <w:shd w:val="clear" w:color="auto" w:fill="FFFFFF"/>
              </w:rPr>
              <w:t>“Xây dựng, quản lý và hướng dẫn sử dụng Cổng Đấu giá tài sản quốc gia đáp ứng yêu cầu về bảo mật, an toàn an ninh thông tin; giao nhiệm vụ vận hành cho cơ quan chuyên môn, đơn vị trực thuộc tổ chức thực hiện”</w:t>
            </w:r>
            <w:r w:rsidRPr="00FC6A50">
              <w:rPr>
                <w:rFonts w:ascii="Times New Roman" w:hAnsi="Times New Roman" w:cs="Times New Roman"/>
                <w:color w:val="000000"/>
                <w:sz w:val="25"/>
                <w:szCs w:val="25"/>
                <w:shd w:val="clear" w:color="auto" w:fill="FFFFFF"/>
              </w:rPr>
              <w:t xml:space="preserve">. Do đó, cần sửa đổi, bổ sung quy định nêu trên để quy định </w:t>
            </w:r>
            <w:r w:rsidRPr="00FC6A50">
              <w:rPr>
                <w:rFonts w:ascii="Times New Roman" w:hAnsi="Times New Roman" w:cs="Times New Roman"/>
                <w:sz w:val="25"/>
                <w:szCs w:val="25"/>
              </w:rPr>
              <w:t>Cổng Đấu giá tài sản quốc gia doBộ Tư pháp xây dựng, quản lý, vận hành để đăng thông báo đấu giá theo quy định của Luật Đấu giá tài sản; còn Sàn đấu giá tài sản công (có chức năng đấu giá trực tuyến) do Bộ Công an xây dựng, quản lý, vận hành (được tích hợp vào Cổng Đấu giá tài sản quốc gia).</w:t>
            </w:r>
          </w:p>
        </w:tc>
        <w:tc>
          <w:tcPr>
            <w:tcW w:w="2078" w:type="dxa"/>
          </w:tcPr>
          <w:p w14:paraId="1A9121B5" w14:textId="77777777" w:rsidR="006222B2" w:rsidRPr="00FC6A50" w:rsidRDefault="006222B2" w:rsidP="006222B2">
            <w:pPr>
              <w:jc w:val="both"/>
              <w:rPr>
                <w:rFonts w:ascii="Times New Roman" w:eastAsia="Times New Roman" w:hAnsi="Times New Roman" w:cs="Times New Roman"/>
                <w:color w:val="000000"/>
                <w:sz w:val="25"/>
                <w:szCs w:val="25"/>
              </w:rPr>
            </w:pPr>
            <w:r w:rsidRPr="00FC6A50">
              <w:rPr>
                <w:rFonts w:ascii="Times New Roman" w:eastAsia="Times New Roman" w:hAnsi="Times New Roman" w:cs="Times New Roman"/>
                <w:color w:val="000000"/>
                <w:sz w:val="25"/>
                <w:szCs w:val="25"/>
              </w:rPr>
              <w:lastRenderedPageBreak/>
              <w:t>D. Ban hành nghị quyết QPPL của Chính phủ, nghị quyết của UBTVQH theo quy định tại điểm c khoản 1 Điều 4 Nghị quyết số 206/2025/QH15</w:t>
            </w:r>
          </w:p>
        </w:tc>
        <w:tc>
          <w:tcPr>
            <w:tcW w:w="1434" w:type="dxa"/>
          </w:tcPr>
          <w:p w14:paraId="4CC6E3E6" w14:textId="77777777" w:rsidR="006222B2" w:rsidRPr="00FC6A50" w:rsidRDefault="006222B2" w:rsidP="006222B2">
            <w:pPr>
              <w:jc w:val="both"/>
              <w:rPr>
                <w:rFonts w:ascii="Times New Roman" w:eastAsia="Times New Roman" w:hAnsi="Times New Roman" w:cs="Times New Roman"/>
                <w:color w:val="000000"/>
                <w:sz w:val="25"/>
                <w:szCs w:val="25"/>
              </w:rPr>
            </w:pPr>
            <w:r w:rsidRPr="00FC6A50">
              <w:rPr>
                <w:rFonts w:ascii="Times New Roman" w:eastAsia="Times New Roman" w:hAnsi="Times New Roman" w:cs="Times New Roman"/>
                <w:color w:val="000000"/>
                <w:sz w:val="25"/>
                <w:szCs w:val="25"/>
              </w:rPr>
              <w:t>Bộ Tư pháp</w:t>
            </w:r>
          </w:p>
        </w:tc>
        <w:tc>
          <w:tcPr>
            <w:tcW w:w="2784" w:type="dxa"/>
          </w:tcPr>
          <w:p w14:paraId="0521C729" w14:textId="77777777" w:rsidR="006222B2" w:rsidRPr="00763A28" w:rsidRDefault="006222B2" w:rsidP="006222B2">
            <w:pPr>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Nhất trí phương án đề xuất. </w:t>
            </w:r>
            <w:r w:rsidRPr="00763A28">
              <w:rPr>
                <w:rFonts w:ascii="Times New Roman" w:hAnsi="Times New Roman" w:cs="Times New Roman"/>
                <w:color w:val="000000"/>
                <w:sz w:val="26"/>
                <w:szCs w:val="26"/>
              </w:rPr>
              <w:t xml:space="preserve">Bộ Tư pháp đề xuất các giải pháp hoàn thiện pháp luật là sẽ nghiên cứu, báo cáo Chính phủ để ban hành nghị quyết của Chính phủ theo quy định tại điểm c khoản 1 Điều 4 Nghị quyết số 206/2025/QH15 để khắc phục bất cập của thực tiễn sửa đổi quy định về chức năng của Cổng Đấu </w:t>
            </w:r>
            <w:r w:rsidRPr="00763A28">
              <w:rPr>
                <w:rFonts w:ascii="Times New Roman" w:hAnsi="Times New Roman" w:cs="Times New Roman"/>
                <w:color w:val="000000"/>
                <w:sz w:val="26"/>
                <w:szCs w:val="26"/>
              </w:rPr>
              <w:lastRenderedPageBreak/>
              <w:t>giá tài sản quốc gia để giao Bộ Công an xây dựng, quản lý, vận hành Sàn đấu giá tài sản công (có chức năng đấu giá trực tuyến, được tích hợp vào Cổng Đấu giá tài sản quốc gia).</w:t>
            </w:r>
          </w:p>
          <w:p w14:paraId="7BE22E88" w14:textId="77777777" w:rsidR="006222B2" w:rsidRPr="00FC6A50" w:rsidRDefault="006222B2" w:rsidP="006222B2">
            <w:pPr>
              <w:jc w:val="both"/>
              <w:rPr>
                <w:rFonts w:ascii="Times New Roman" w:eastAsia="Times New Roman" w:hAnsi="Times New Roman" w:cs="Times New Roman"/>
                <w:color w:val="000000"/>
                <w:sz w:val="25"/>
                <w:szCs w:val="25"/>
              </w:rPr>
            </w:pPr>
          </w:p>
        </w:tc>
        <w:tc>
          <w:tcPr>
            <w:tcW w:w="2509" w:type="dxa"/>
          </w:tcPr>
          <w:p w14:paraId="2314F719" w14:textId="32258F68" w:rsidR="00620113" w:rsidRPr="00D82311" w:rsidRDefault="00E5711A" w:rsidP="006222B2">
            <w:pPr>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lastRenderedPageBreak/>
              <w:t>Đã xử lý</w:t>
            </w:r>
          </w:p>
          <w:p w14:paraId="2F2011EA" w14:textId="129848FC" w:rsidR="006222B2" w:rsidRPr="00D82311" w:rsidRDefault="00620113" w:rsidP="006222B2">
            <w:pPr>
              <w:jc w:val="both"/>
              <w:rPr>
                <w:rFonts w:ascii="Times New Roman" w:hAnsi="Times New Roman" w:cs="Times New Roman"/>
                <w:color w:val="000000"/>
                <w:sz w:val="26"/>
                <w:szCs w:val="26"/>
              </w:rPr>
            </w:pPr>
            <w:r w:rsidRPr="00D82311">
              <w:rPr>
                <w:rFonts w:ascii="Times New Roman" w:eastAsia="Times New Roman" w:hAnsi="Times New Roman" w:cs="Times New Roman"/>
                <w:color w:val="000000"/>
                <w:sz w:val="26"/>
                <w:szCs w:val="26"/>
              </w:rPr>
              <w:t xml:space="preserve">Ngày 21/10/2025, Bộ Tư pháp đã tổ chức Hội đồng thẩm định độc lập thẩm định dự thảo Nghị quyết của Chính phủ quy định xử lý khó khăn, vướng mắc về đấu giá quyền sử dụng đất trong trường hợp giao đất, cho thuê đất theo quy định của Luật Đất </w:t>
            </w:r>
            <w:r w:rsidRPr="00D82311">
              <w:rPr>
                <w:rFonts w:ascii="Times New Roman" w:eastAsia="Times New Roman" w:hAnsi="Times New Roman" w:cs="Times New Roman"/>
                <w:color w:val="000000"/>
                <w:sz w:val="26"/>
                <w:szCs w:val="26"/>
              </w:rPr>
              <w:lastRenderedPageBreak/>
              <w:t>đai. Ngày 27/11/2025, Bộ Tư pháp đã có Tờ trình số 159/TTr-BTP trình Chính phủ dự thảo Nghị quyết. Hiện nay, Chính phủ đang thực hiện việc lấy ý kiến thành viên Chính phủ đối với dự thảo Nghị quyết.</w:t>
            </w:r>
          </w:p>
        </w:tc>
      </w:tr>
    </w:tbl>
    <w:p w14:paraId="0D722C48" w14:textId="77777777" w:rsidR="004073D8" w:rsidRPr="00FC6A50" w:rsidRDefault="004073D8" w:rsidP="004073D8">
      <w:pPr>
        <w:rPr>
          <w:rFonts w:ascii="Times New Roman" w:hAnsi="Times New Roman" w:cs="Times New Roman"/>
          <w:sz w:val="25"/>
          <w:szCs w:val="25"/>
        </w:rPr>
      </w:pPr>
    </w:p>
    <w:sectPr w:rsidR="004073D8" w:rsidRPr="00FC6A50" w:rsidSect="00295A74">
      <w:headerReference w:type="default" r:id="rId8"/>
      <w:pgSz w:w="16840" w:h="11907" w:orient="landscape" w:code="9"/>
      <w:pgMar w:top="1134" w:right="1134" w:bottom="1134" w:left="1418"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23C5F" w14:textId="77777777" w:rsidR="00E32B73" w:rsidRDefault="00E32B73" w:rsidP="00E40AFF">
      <w:pPr>
        <w:spacing w:after="0" w:line="240" w:lineRule="auto"/>
      </w:pPr>
      <w:r>
        <w:separator/>
      </w:r>
    </w:p>
  </w:endnote>
  <w:endnote w:type="continuationSeparator" w:id="0">
    <w:p w14:paraId="41AE5E3A" w14:textId="77777777" w:rsidR="00E32B73" w:rsidRDefault="00E32B73" w:rsidP="00E40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8F959" w14:textId="77777777" w:rsidR="00E32B73" w:rsidRDefault="00E32B73" w:rsidP="00E40AFF">
      <w:pPr>
        <w:spacing w:after="0" w:line="240" w:lineRule="auto"/>
      </w:pPr>
      <w:r>
        <w:separator/>
      </w:r>
    </w:p>
  </w:footnote>
  <w:footnote w:type="continuationSeparator" w:id="0">
    <w:p w14:paraId="7B237DC6" w14:textId="77777777" w:rsidR="00E32B73" w:rsidRDefault="00E32B73" w:rsidP="00E40A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0130353"/>
      <w:docPartObj>
        <w:docPartGallery w:val="Page Numbers (Top of Page)"/>
        <w:docPartUnique/>
      </w:docPartObj>
    </w:sdtPr>
    <w:sdtEndPr>
      <w:rPr>
        <w:rFonts w:ascii="Times New Roman" w:hAnsi="Times New Roman" w:cs="Times New Roman"/>
        <w:noProof/>
      </w:rPr>
    </w:sdtEndPr>
    <w:sdtContent>
      <w:p w14:paraId="0177EBFE" w14:textId="2A53A4AC" w:rsidR="00CF1EAE" w:rsidRPr="00562593" w:rsidRDefault="00CF1EAE">
        <w:pPr>
          <w:pStyle w:val="Header"/>
          <w:jc w:val="center"/>
          <w:rPr>
            <w:rFonts w:ascii="Times New Roman" w:hAnsi="Times New Roman" w:cs="Times New Roman"/>
          </w:rPr>
        </w:pPr>
        <w:r w:rsidRPr="00562593">
          <w:rPr>
            <w:rFonts w:ascii="Times New Roman" w:hAnsi="Times New Roman" w:cs="Times New Roman"/>
          </w:rPr>
          <w:fldChar w:fldCharType="begin"/>
        </w:r>
        <w:r w:rsidRPr="00562593">
          <w:rPr>
            <w:rFonts w:ascii="Times New Roman" w:hAnsi="Times New Roman" w:cs="Times New Roman"/>
          </w:rPr>
          <w:instrText xml:space="preserve"> PAGE   \* MERGEFORMAT </w:instrText>
        </w:r>
        <w:r w:rsidRPr="00562593">
          <w:rPr>
            <w:rFonts w:ascii="Times New Roman" w:hAnsi="Times New Roman" w:cs="Times New Roman"/>
          </w:rPr>
          <w:fldChar w:fldCharType="separate"/>
        </w:r>
        <w:r w:rsidR="00D82311">
          <w:rPr>
            <w:rFonts w:ascii="Times New Roman" w:hAnsi="Times New Roman" w:cs="Times New Roman"/>
            <w:noProof/>
          </w:rPr>
          <w:t>5</w:t>
        </w:r>
        <w:r w:rsidRPr="00562593">
          <w:rPr>
            <w:rFonts w:ascii="Times New Roman" w:hAnsi="Times New Roman" w:cs="Times New Roman"/>
            <w:noProof/>
          </w:rPr>
          <w:fldChar w:fldCharType="end"/>
        </w:r>
      </w:p>
    </w:sdtContent>
  </w:sdt>
  <w:p w14:paraId="70A51A94" w14:textId="77777777" w:rsidR="00CF1EAE" w:rsidRDefault="00CF1E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67D8"/>
    <w:multiLevelType w:val="hybridMultilevel"/>
    <w:tmpl w:val="E7368DCC"/>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1C2859F6"/>
    <w:multiLevelType w:val="hybridMultilevel"/>
    <w:tmpl w:val="E7368DCC"/>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15:restartNumberingAfterBreak="0">
    <w:nsid w:val="379872A0"/>
    <w:multiLevelType w:val="hybridMultilevel"/>
    <w:tmpl w:val="E7368DCC"/>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15:restartNumberingAfterBreak="0">
    <w:nsid w:val="453C54D5"/>
    <w:multiLevelType w:val="hybridMultilevel"/>
    <w:tmpl w:val="E7368DCC"/>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15:restartNumberingAfterBreak="0">
    <w:nsid w:val="48C15396"/>
    <w:multiLevelType w:val="hybridMultilevel"/>
    <w:tmpl w:val="E7368DCC"/>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15:restartNumberingAfterBreak="0">
    <w:nsid w:val="60927A50"/>
    <w:multiLevelType w:val="hybridMultilevel"/>
    <w:tmpl w:val="E7368DCC"/>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15:restartNumberingAfterBreak="0">
    <w:nsid w:val="62D84F9E"/>
    <w:multiLevelType w:val="hybridMultilevel"/>
    <w:tmpl w:val="E7368DCC"/>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15:restartNumberingAfterBreak="0">
    <w:nsid w:val="75C30626"/>
    <w:multiLevelType w:val="hybridMultilevel"/>
    <w:tmpl w:val="E7368DCC"/>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15:restartNumberingAfterBreak="0">
    <w:nsid w:val="7F647868"/>
    <w:multiLevelType w:val="hybridMultilevel"/>
    <w:tmpl w:val="E7368DCC"/>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1303853933">
    <w:abstractNumId w:val="8"/>
  </w:num>
  <w:num w:numId="2" w16cid:durableId="1394934033">
    <w:abstractNumId w:val="4"/>
  </w:num>
  <w:num w:numId="3" w16cid:durableId="1765103501">
    <w:abstractNumId w:val="5"/>
  </w:num>
  <w:num w:numId="4" w16cid:durableId="508056773">
    <w:abstractNumId w:val="7"/>
  </w:num>
  <w:num w:numId="5" w16cid:durableId="1331447021">
    <w:abstractNumId w:val="2"/>
  </w:num>
  <w:num w:numId="6" w16cid:durableId="1941571564">
    <w:abstractNumId w:val="6"/>
  </w:num>
  <w:num w:numId="7" w16cid:durableId="434328296">
    <w:abstractNumId w:val="1"/>
  </w:num>
  <w:num w:numId="8" w16cid:durableId="682323749">
    <w:abstractNumId w:val="3"/>
  </w:num>
  <w:num w:numId="9" w16cid:durableId="1553614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417"/>
    <w:rsid w:val="0002368F"/>
    <w:rsid w:val="00055EC1"/>
    <w:rsid w:val="00063E6B"/>
    <w:rsid w:val="000B7647"/>
    <w:rsid w:val="000C1565"/>
    <w:rsid w:val="000E461A"/>
    <w:rsid w:val="000F742A"/>
    <w:rsid w:val="00104FDD"/>
    <w:rsid w:val="00142F06"/>
    <w:rsid w:val="00146255"/>
    <w:rsid w:val="001A0FD8"/>
    <w:rsid w:val="001E740E"/>
    <w:rsid w:val="00275521"/>
    <w:rsid w:val="00295A74"/>
    <w:rsid w:val="00296794"/>
    <w:rsid w:val="002A24E7"/>
    <w:rsid w:val="002A733D"/>
    <w:rsid w:val="003017B0"/>
    <w:rsid w:val="003604A4"/>
    <w:rsid w:val="004073D8"/>
    <w:rsid w:val="0041126E"/>
    <w:rsid w:val="004136B1"/>
    <w:rsid w:val="004174C4"/>
    <w:rsid w:val="00421099"/>
    <w:rsid w:val="0043794B"/>
    <w:rsid w:val="004410FB"/>
    <w:rsid w:val="004719B4"/>
    <w:rsid w:val="004D350D"/>
    <w:rsid w:val="004E50E6"/>
    <w:rsid w:val="004E68C2"/>
    <w:rsid w:val="00517BF4"/>
    <w:rsid w:val="005220F3"/>
    <w:rsid w:val="00556D98"/>
    <w:rsid w:val="00562593"/>
    <w:rsid w:val="00566AD3"/>
    <w:rsid w:val="005831E7"/>
    <w:rsid w:val="005A3BD9"/>
    <w:rsid w:val="005C4248"/>
    <w:rsid w:val="005C5351"/>
    <w:rsid w:val="005C79B0"/>
    <w:rsid w:val="00603F46"/>
    <w:rsid w:val="00620113"/>
    <w:rsid w:val="006222B2"/>
    <w:rsid w:val="00623552"/>
    <w:rsid w:val="00665417"/>
    <w:rsid w:val="00670255"/>
    <w:rsid w:val="006705B7"/>
    <w:rsid w:val="0068313F"/>
    <w:rsid w:val="006944B6"/>
    <w:rsid w:val="006C125C"/>
    <w:rsid w:val="006C77BF"/>
    <w:rsid w:val="00724F15"/>
    <w:rsid w:val="007444EE"/>
    <w:rsid w:val="00747E5E"/>
    <w:rsid w:val="00775B21"/>
    <w:rsid w:val="007B14DC"/>
    <w:rsid w:val="007B46A6"/>
    <w:rsid w:val="007B7D19"/>
    <w:rsid w:val="007C207C"/>
    <w:rsid w:val="007D38F8"/>
    <w:rsid w:val="007E6637"/>
    <w:rsid w:val="0080174C"/>
    <w:rsid w:val="00802B7E"/>
    <w:rsid w:val="008308B5"/>
    <w:rsid w:val="00844592"/>
    <w:rsid w:val="00845982"/>
    <w:rsid w:val="00860EAD"/>
    <w:rsid w:val="00881BAF"/>
    <w:rsid w:val="00886E36"/>
    <w:rsid w:val="008B083A"/>
    <w:rsid w:val="008D6385"/>
    <w:rsid w:val="00923F1E"/>
    <w:rsid w:val="00952D26"/>
    <w:rsid w:val="00954DFD"/>
    <w:rsid w:val="009903CD"/>
    <w:rsid w:val="009B3E63"/>
    <w:rsid w:val="009B4298"/>
    <w:rsid w:val="009E7948"/>
    <w:rsid w:val="009F289A"/>
    <w:rsid w:val="00A66A0B"/>
    <w:rsid w:val="00A73890"/>
    <w:rsid w:val="00A766A5"/>
    <w:rsid w:val="00A876C4"/>
    <w:rsid w:val="00AF33BF"/>
    <w:rsid w:val="00B07CCB"/>
    <w:rsid w:val="00B31912"/>
    <w:rsid w:val="00B44EC4"/>
    <w:rsid w:val="00B97436"/>
    <w:rsid w:val="00BD5B6A"/>
    <w:rsid w:val="00BF5F9A"/>
    <w:rsid w:val="00C15A67"/>
    <w:rsid w:val="00C219F9"/>
    <w:rsid w:val="00C21D9B"/>
    <w:rsid w:val="00C36FEC"/>
    <w:rsid w:val="00C736C3"/>
    <w:rsid w:val="00C96A40"/>
    <w:rsid w:val="00CA14D3"/>
    <w:rsid w:val="00CC5FED"/>
    <w:rsid w:val="00CD15E9"/>
    <w:rsid w:val="00CF1EAE"/>
    <w:rsid w:val="00D228F9"/>
    <w:rsid w:val="00D25DB1"/>
    <w:rsid w:val="00D31182"/>
    <w:rsid w:val="00D42262"/>
    <w:rsid w:val="00D551AE"/>
    <w:rsid w:val="00D61EDD"/>
    <w:rsid w:val="00D82311"/>
    <w:rsid w:val="00D9343F"/>
    <w:rsid w:val="00DA31F6"/>
    <w:rsid w:val="00DA5BC0"/>
    <w:rsid w:val="00DB3F15"/>
    <w:rsid w:val="00DB6A4C"/>
    <w:rsid w:val="00DD52A7"/>
    <w:rsid w:val="00E030E0"/>
    <w:rsid w:val="00E22B31"/>
    <w:rsid w:val="00E32B73"/>
    <w:rsid w:val="00E40AFF"/>
    <w:rsid w:val="00E45535"/>
    <w:rsid w:val="00E5711A"/>
    <w:rsid w:val="00E72AA1"/>
    <w:rsid w:val="00E738A1"/>
    <w:rsid w:val="00E82FD2"/>
    <w:rsid w:val="00E96E9A"/>
    <w:rsid w:val="00EB78AB"/>
    <w:rsid w:val="00EC248F"/>
    <w:rsid w:val="00ED4B84"/>
    <w:rsid w:val="00EE07AF"/>
    <w:rsid w:val="00F03FF1"/>
    <w:rsid w:val="00F23653"/>
    <w:rsid w:val="00F30742"/>
    <w:rsid w:val="00F32BC8"/>
    <w:rsid w:val="00FB510C"/>
    <w:rsid w:val="00FD63A8"/>
    <w:rsid w:val="00FE103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7576E"/>
  <w15:docId w15:val="{27806BEF-0704-4787-A5F9-F88DFF0CD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4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65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5417"/>
    <w:pPr>
      <w:ind w:left="720"/>
      <w:contextualSpacing/>
    </w:pPr>
  </w:style>
  <w:style w:type="paragraph" w:styleId="BalloonText">
    <w:name w:val="Balloon Text"/>
    <w:basedOn w:val="Normal"/>
    <w:link w:val="BalloonTextChar"/>
    <w:uiPriority w:val="99"/>
    <w:semiHidden/>
    <w:unhideWhenUsed/>
    <w:rsid w:val="00DA5B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5BC0"/>
    <w:rPr>
      <w:rFonts w:ascii="Segoe UI" w:hAnsi="Segoe UI" w:cs="Segoe UI"/>
      <w:sz w:val="18"/>
      <w:szCs w:val="18"/>
    </w:rPr>
  </w:style>
  <w:style w:type="paragraph" w:styleId="Header">
    <w:name w:val="header"/>
    <w:basedOn w:val="Normal"/>
    <w:link w:val="HeaderChar"/>
    <w:uiPriority w:val="99"/>
    <w:unhideWhenUsed/>
    <w:rsid w:val="00E40A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0AFF"/>
  </w:style>
  <w:style w:type="paragraph" w:styleId="Footer">
    <w:name w:val="footer"/>
    <w:basedOn w:val="Normal"/>
    <w:link w:val="FooterChar"/>
    <w:uiPriority w:val="99"/>
    <w:unhideWhenUsed/>
    <w:rsid w:val="00E40A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0AFF"/>
  </w:style>
  <w:style w:type="paragraph" w:styleId="NormalWeb">
    <w:name w:val="Normal (Web)"/>
    <w:basedOn w:val="Normal"/>
    <w:uiPriority w:val="99"/>
    <w:unhideWhenUsed/>
    <w:rsid w:val="007B7D19"/>
    <w:pPr>
      <w:spacing w:before="100" w:beforeAutospacing="1" w:after="100" w:afterAutospacing="1"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sid w:val="007B7D19"/>
    <w:rPr>
      <w:b/>
      <w:bCs/>
    </w:rPr>
  </w:style>
  <w:style w:type="paragraph" w:styleId="FootnoteText">
    <w:name w:val="footnote text"/>
    <w:aliases w:val=" Char9,Char9, Char4,Char4,Geneva 9,Font: Geneva 9,Boston 10,f Char,Footnote Text Char Char Char Char Char,Footnote Text Char Char Char Char Char Char Ch,Footnote Text Char1 Char1,Footnote Text Char Char Char1,Footnote Text Char1 Char Cha"/>
    <w:basedOn w:val="Normal"/>
    <w:link w:val="FootnoteTextChar"/>
    <w:uiPriority w:val="99"/>
    <w:unhideWhenUsed/>
    <w:qFormat/>
    <w:rsid w:val="00D25DB1"/>
    <w:pPr>
      <w:spacing w:after="0" w:line="240" w:lineRule="auto"/>
    </w:pPr>
    <w:rPr>
      <w:rFonts w:ascii="Calibri" w:eastAsia="Calibri" w:hAnsi="Calibri" w:cs="Calibri"/>
      <w:sz w:val="20"/>
      <w:szCs w:val="20"/>
    </w:rPr>
  </w:style>
  <w:style w:type="character" w:customStyle="1" w:styleId="FootnoteTextChar">
    <w:name w:val="Footnote Text Char"/>
    <w:aliases w:val=" Char9 Char,Char9 Char, Char4 Char,Char4 Char,Geneva 9 Char,Font: Geneva 9 Char,Boston 10 Char,f Char Char,Footnote Text Char Char Char Char Char Char,Footnote Text Char Char Char Char Char Char Ch Char,Footnote Text Char1 Char1 Char"/>
    <w:basedOn w:val="DefaultParagraphFont"/>
    <w:link w:val="FootnoteText"/>
    <w:uiPriority w:val="99"/>
    <w:qFormat/>
    <w:rsid w:val="00D25DB1"/>
    <w:rPr>
      <w:rFonts w:ascii="Calibri" w:eastAsia="Calibri" w:hAnsi="Calibri" w:cs="Calibri"/>
      <w:sz w:val="20"/>
      <w:szCs w:val="20"/>
    </w:rPr>
  </w:style>
  <w:style w:type="character" w:styleId="FootnoteReference">
    <w:name w:val="footnote reference"/>
    <w:aliases w:val="Footnote,Footnote text,Footnote dich,ftref,BVI fnr,footnote ref,SUPERS,Footnote Reference Number,Знак сноски 1,(NECG) Footnote Reference,16 Point,Superscript 6 Point,Footnote + Arial,10 pt,Black,Ref,de nota al pie,R,fr,f,Re"/>
    <w:link w:val="RefChar"/>
    <w:uiPriority w:val="99"/>
    <w:unhideWhenUsed/>
    <w:qFormat/>
    <w:rsid w:val="00D25DB1"/>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uiPriority w:val="99"/>
    <w:rsid w:val="001E740E"/>
    <w:pPr>
      <w:spacing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993929">
      <w:bodyDiv w:val="1"/>
      <w:marLeft w:val="0"/>
      <w:marRight w:val="0"/>
      <w:marTop w:val="0"/>
      <w:marBottom w:val="0"/>
      <w:divBdr>
        <w:top w:val="none" w:sz="0" w:space="0" w:color="auto"/>
        <w:left w:val="none" w:sz="0" w:space="0" w:color="auto"/>
        <w:bottom w:val="none" w:sz="0" w:space="0" w:color="auto"/>
        <w:right w:val="none" w:sz="0" w:space="0" w:color="auto"/>
      </w:divBdr>
    </w:div>
    <w:div w:id="107323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F2E319-5512-48F4-8D36-CD23F6743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1265</Words>
  <Characters>7213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FPT</dc:creator>
  <cp:keywords/>
  <dc:description/>
  <cp:lastModifiedBy>DELL</cp:lastModifiedBy>
  <cp:revision>13</cp:revision>
  <cp:lastPrinted>2025-07-30T08:12:00Z</cp:lastPrinted>
  <dcterms:created xsi:type="dcterms:W3CDTF">2025-09-30T11:27:00Z</dcterms:created>
  <dcterms:modified xsi:type="dcterms:W3CDTF">2025-12-14T03:50:00Z</dcterms:modified>
</cp:coreProperties>
</file>