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A36E" w14:textId="533B1517" w:rsidR="007B7D19" w:rsidRPr="00DA31F6" w:rsidRDefault="007B7D19" w:rsidP="007B7D19">
      <w:pPr>
        <w:spacing w:after="0" w:line="240" w:lineRule="auto"/>
        <w:jc w:val="center"/>
        <w:rPr>
          <w:rFonts w:ascii="Times New Roman" w:hAnsi="Times New Roman" w:cs="Times New Roman"/>
          <w:b/>
          <w:sz w:val="26"/>
          <w:szCs w:val="26"/>
        </w:rPr>
      </w:pPr>
      <w:bookmarkStart w:id="0" w:name="_Hlk204539614"/>
      <w:r w:rsidRPr="00DA31F6">
        <w:rPr>
          <w:rFonts w:ascii="Times New Roman" w:hAnsi="Times New Roman" w:cs="Times New Roman"/>
          <w:b/>
          <w:sz w:val="26"/>
          <w:szCs w:val="26"/>
        </w:rPr>
        <w:t xml:space="preserve">Phụ lục </w:t>
      </w:r>
      <w:r w:rsidR="00AB58B4">
        <w:rPr>
          <w:rFonts w:ascii="Times New Roman" w:hAnsi="Times New Roman" w:cs="Times New Roman"/>
          <w:b/>
          <w:sz w:val="26"/>
          <w:szCs w:val="26"/>
        </w:rPr>
        <w:t>I.</w:t>
      </w:r>
      <w:r w:rsidR="00CC5FED" w:rsidRPr="00DA31F6">
        <w:rPr>
          <w:rFonts w:ascii="Times New Roman" w:hAnsi="Times New Roman" w:cs="Times New Roman"/>
          <w:b/>
          <w:sz w:val="26"/>
          <w:szCs w:val="26"/>
        </w:rPr>
        <w:t>1</w:t>
      </w:r>
      <w:r w:rsidR="00DA31F6" w:rsidRPr="00DA31F6">
        <w:rPr>
          <w:rFonts w:ascii="Times New Roman" w:hAnsi="Times New Roman" w:cs="Times New Roman"/>
          <w:b/>
          <w:sz w:val="26"/>
          <w:szCs w:val="26"/>
        </w:rPr>
        <w:t>4.1.B</w:t>
      </w:r>
    </w:p>
    <w:p w14:paraId="1948AA79" w14:textId="77719288" w:rsidR="007B7D19" w:rsidRPr="00DA31F6" w:rsidRDefault="0002368F" w:rsidP="007B7D19">
      <w:pPr>
        <w:pStyle w:val="NormalWeb"/>
        <w:spacing w:before="0" w:beforeAutospacing="0" w:after="0" w:afterAutospacing="0"/>
        <w:jc w:val="center"/>
        <w:rPr>
          <w:rStyle w:val="Strong"/>
          <w:color w:val="000000"/>
          <w:sz w:val="26"/>
          <w:szCs w:val="26"/>
        </w:rPr>
      </w:pPr>
      <w:r>
        <w:rPr>
          <w:rStyle w:val="Strong"/>
          <w:color w:val="000000"/>
          <w:sz w:val="26"/>
          <w:szCs w:val="26"/>
        </w:rPr>
        <w:t xml:space="preserve">TÌNH HÌNH XỬ LÝ ĐỐI VỚI </w:t>
      </w:r>
      <w:r w:rsidR="007B7D19" w:rsidRPr="00DA31F6">
        <w:rPr>
          <w:rStyle w:val="Strong"/>
          <w:color w:val="000000"/>
          <w:sz w:val="26"/>
          <w:szCs w:val="26"/>
        </w:rPr>
        <w:t>KHÓ KHĂN, VƯỚNG MẮC DO QUY ĐỊNH PHÁP LUẬT</w:t>
      </w:r>
    </w:p>
    <w:p w14:paraId="13C0B2EF" w14:textId="77777777" w:rsidR="007B7D19" w:rsidRPr="00DA31F6" w:rsidRDefault="007B7D19" w:rsidP="007B7D19">
      <w:pPr>
        <w:pStyle w:val="NormalWeb"/>
        <w:spacing w:before="0" w:beforeAutospacing="0" w:after="0" w:afterAutospacing="0"/>
        <w:jc w:val="center"/>
        <w:rPr>
          <w:sz w:val="26"/>
          <w:szCs w:val="26"/>
        </w:rPr>
      </w:pPr>
      <w:r w:rsidRPr="00DA31F6">
        <w:rPr>
          <w:rStyle w:val="Strong"/>
          <w:color w:val="000000"/>
          <w:sz w:val="26"/>
          <w:szCs w:val="26"/>
        </w:rPr>
        <w:t>THUỘC PHẠM VI PHỤ TRÁCH CỦA BỘ TƯ PHÁP</w:t>
      </w:r>
    </w:p>
    <w:p w14:paraId="629D3F88" w14:textId="77777777" w:rsidR="007B7D19" w:rsidRPr="00DA31F6" w:rsidRDefault="007B7D19" w:rsidP="007B7D19">
      <w:pPr>
        <w:pStyle w:val="NormalWeb"/>
        <w:spacing w:before="0" w:beforeAutospacing="0" w:after="0" w:afterAutospacing="0"/>
        <w:jc w:val="center"/>
        <w:rPr>
          <w:rStyle w:val="Strong"/>
          <w:color w:val="000000"/>
          <w:sz w:val="26"/>
          <w:szCs w:val="26"/>
        </w:rPr>
      </w:pPr>
      <w:r w:rsidRPr="00DA31F6">
        <w:rPr>
          <w:rStyle w:val="Strong"/>
          <w:color w:val="000000"/>
          <w:sz w:val="26"/>
          <w:szCs w:val="26"/>
        </w:rPr>
        <w:t xml:space="preserve">Tiêu chí: </w:t>
      </w:r>
      <w:r w:rsidRPr="00DA31F6">
        <w:rPr>
          <w:b/>
          <w:bCs/>
          <w:sz w:val="26"/>
          <w:szCs w:val="26"/>
        </w:rPr>
        <w:t>Quy định mâu thuẫn, chồng chéo trong cùng một VBQPPL hoặc giữa các VBQPPL</w:t>
      </w:r>
    </w:p>
    <w:p w14:paraId="13909603" w14:textId="77777777" w:rsidR="00C736C3" w:rsidRDefault="007B7D19" w:rsidP="007B7D19">
      <w:pPr>
        <w:pStyle w:val="NormalWeb"/>
        <w:spacing w:before="0" w:beforeAutospacing="0" w:after="0" w:afterAutospacing="0"/>
        <w:jc w:val="center"/>
        <w:rPr>
          <w:b/>
          <w:sz w:val="26"/>
          <w:szCs w:val="26"/>
        </w:rPr>
      </w:pPr>
      <w:r w:rsidRPr="00DA31F6">
        <w:rPr>
          <w:rFonts w:eastAsia="Times New Roman"/>
          <w:b/>
          <w:bCs/>
          <w:color w:val="000000"/>
          <w:sz w:val="26"/>
          <w:szCs w:val="26"/>
        </w:rPr>
        <w:t xml:space="preserve">Nhóm B. </w:t>
      </w:r>
      <w:r w:rsidRPr="00DA31F6">
        <w:rPr>
          <w:b/>
          <w:sz w:val="26"/>
          <w:szCs w:val="26"/>
        </w:rPr>
        <w:t>Nhóm các nội dung cho ý kiến nhất trí nhưng không áp dụng phương án, quy trình xử lý</w:t>
      </w:r>
    </w:p>
    <w:p w14:paraId="6E22E32E" w14:textId="2CD7BAAC" w:rsidR="007B7D19" w:rsidRDefault="007B7D19" w:rsidP="00C736C3">
      <w:pPr>
        <w:pStyle w:val="NormalWeb"/>
        <w:spacing w:before="0" w:beforeAutospacing="0" w:after="0" w:afterAutospacing="0"/>
        <w:jc w:val="center"/>
        <w:rPr>
          <w:b/>
          <w:sz w:val="26"/>
          <w:szCs w:val="26"/>
        </w:rPr>
      </w:pPr>
      <w:r w:rsidRPr="00DA31F6">
        <w:rPr>
          <w:b/>
          <w:sz w:val="26"/>
          <w:szCs w:val="26"/>
        </w:rPr>
        <w:t xml:space="preserve"> nêu tại khoản 1 Điều 4 Nghị quyết số 206/2025/QH15 (xử lý theo quy trình thông thường)</w:t>
      </w:r>
    </w:p>
    <w:p w14:paraId="4B7259BD" w14:textId="45734EEE" w:rsidR="00C219F9" w:rsidRPr="00C11F82" w:rsidRDefault="00D61EDD" w:rsidP="00665417">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Cs/>
          <w:i/>
          <w:noProof/>
          <w:color w:val="000000"/>
          <w:sz w:val="28"/>
          <w:szCs w:val="28"/>
        </w:rPr>
        <mc:AlternateContent>
          <mc:Choice Requires="wps">
            <w:drawing>
              <wp:anchor distT="4294967295" distB="4294967295" distL="114300" distR="114300" simplePos="0" relativeHeight="251659264" behindDoc="0" locked="0" layoutInCell="1" allowOverlap="1" wp14:anchorId="7F0BAFE9" wp14:editId="02A31543">
                <wp:simplePos x="0" y="0"/>
                <wp:positionH relativeFrom="margin">
                  <wp:align>center</wp:align>
                </wp:positionH>
                <wp:positionV relativeFrom="paragraph">
                  <wp:posOffset>57149</wp:posOffset>
                </wp:positionV>
                <wp:extent cx="3707765" cy="0"/>
                <wp:effectExtent l="0" t="0" r="698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07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BEB84"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4.5pt" to="291.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" strokecolor="black [3200]" strokeweight=".5pt">
                <v:stroke joinstyle="miter"/>
                <o:lock v:ext="edit" shapetype="f"/>
                <w10:wrap anchorx="margin"/>
              </v:line>
            </w:pict>
          </mc:Fallback>
        </mc:AlternateContent>
      </w:r>
    </w:p>
    <w:tbl>
      <w:tblPr>
        <w:tblStyle w:val="TableGrid"/>
        <w:tblW w:w="15139" w:type="dxa"/>
        <w:tblInd w:w="-289" w:type="dxa"/>
        <w:tblLook w:val="04A0" w:firstRow="1" w:lastRow="0" w:firstColumn="1" w:lastColumn="0" w:noHBand="0" w:noVBand="1"/>
      </w:tblPr>
      <w:tblGrid>
        <w:gridCol w:w="737"/>
        <w:gridCol w:w="1787"/>
        <w:gridCol w:w="3967"/>
        <w:gridCol w:w="2239"/>
        <w:gridCol w:w="1696"/>
        <w:gridCol w:w="2282"/>
        <w:gridCol w:w="2431"/>
      </w:tblGrid>
      <w:tr w:rsidR="0002368F" w:rsidRPr="00A876C4" w14:paraId="465385E1" w14:textId="40BA9913" w:rsidTr="0002368F">
        <w:tc>
          <w:tcPr>
            <w:tcW w:w="737" w:type="dxa"/>
            <w:shd w:val="clear" w:color="auto" w:fill="FBE4D5" w:themeFill="accent2" w:themeFillTint="33"/>
            <w:vAlign w:val="center"/>
          </w:tcPr>
          <w:bookmarkEnd w:id="0"/>
          <w:p w14:paraId="7CE99594" w14:textId="77777777" w:rsidR="0002368F" w:rsidRPr="00A876C4" w:rsidRDefault="0002368F" w:rsidP="00562593">
            <w:pPr>
              <w:jc w:val="center"/>
              <w:rPr>
                <w:rFonts w:ascii="Times New Roman" w:hAnsi="Times New Roman" w:cs="Times New Roman"/>
                <w:b/>
                <w:sz w:val="25"/>
                <w:szCs w:val="25"/>
              </w:rPr>
            </w:pPr>
            <w:r w:rsidRPr="00A876C4">
              <w:rPr>
                <w:rFonts w:ascii="Times New Roman" w:hAnsi="Times New Roman" w:cs="Times New Roman"/>
                <w:b/>
                <w:sz w:val="25"/>
                <w:szCs w:val="25"/>
              </w:rPr>
              <w:t>STT</w:t>
            </w:r>
          </w:p>
        </w:tc>
        <w:tc>
          <w:tcPr>
            <w:tcW w:w="1787" w:type="dxa"/>
            <w:shd w:val="clear" w:color="auto" w:fill="FBE4D5" w:themeFill="accent2" w:themeFillTint="33"/>
            <w:vAlign w:val="center"/>
          </w:tcPr>
          <w:p w14:paraId="4AE464BF" w14:textId="77777777" w:rsidR="0002368F" w:rsidRDefault="0002368F" w:rsidP="00562593">
            <w:pPr>
              <w:jc w:val="center"/>
              <w:rPr>
                <w:rFonts w:ascii="Times New Roman" w:eastAsia="Times New Roman" w:hAnsi="Times New Roman" w:cs="Times New Roman"/>
                <w:b/>
                <w:bCs/>
                <w:color w:val="000000"/>
                <w:sz w:val="25"/>
                <w:szCs w:val="25"/>
              </w:rPr>
            </w:pPr>
            <w:r w:rsidRPr="00A876C4">
              <w:rPr>
                <w:rFonts w:ascii="Times New Roman" w:eastAsia="Times New Roman" w:hAnsi="Times New Roman" w:cs="Times New Roman"/>
                <w:b/>
                <w:bCs/>
                <w:color w:val="000000"/>
                <w:sz w:val="25"/>
                <w:szCs w:val="25"/>
              </w:rPr>
              <w:t xml:space="preserve">Điều, khoản, điểm, tên văn bản đề xuất </w:t>
            </w:r>
          </w:p>
          <w:p w14:paraId="281C3A84" w14:textId="28BF386D" w:rsidR="0002368F" w:rsidRPr="00A876C4" w:rsidRDefault="0002368F" w:rsidP="00562593">
            <w:pPr>
              <w:jc w:val="center"/>
              <w:rPr>
                <w:rFonts w:ascii="Times New Roman" w:hAnsi="Times New Roman" w:cs="Times New Roman"/>
                <w:b/>
                <w:sz w:val="25"/>
                <w:szCs w:val="25"/>
              </w:rPr>
            </w:pPr>
            <w:r w:rsidRPr="00A876C4">
              <w:rPr>
                <w:rFonts w:ascii="Times New Roman" w:eastAsia="Times New Roman" w:hAnsi="Times New Roman" w:cs="Times New Roman"/>
                <w:b/>
                <w:bCs/>
                <w:color w:val="000000"/>
                <w:sz w:val="25"/>
                <w:szCs w:val="25"/>
              </w:rPr>
              <w:t>xử lý</w:t>
            </w:r>
          </w:p>
        </w:tc>
        <w:tc>
          <w:tcPr>
            <w:tcW w:w="3967" w:type="dxa"/>
            <w:shd w:val="clear" w:color="auto" w:fill="FBE4D5" w:themeFill="accent2" w:themeFillTint="33"/>
            <w:vAlign w:val="center"/>
          </w:tcPr>
          <w:p w14:paraId="6B68263F" w14:textId="77777777" w:rsidR="0002368F" w:rsidRDefault="0002368F" w:rsidP="00562593">
            <w:pPr>
              <w:jc w:val="center"/>
              <w:rPr>
                <w:rFonts w:ascii="Times New Roman" w:eastAsia="Times New Roman" w:hAnsi="Times New Roman" w:cs="Times New Roman"/>
                <w:b/>
                <w:bCs/>
                <w:color w:val="000000"/>
                <w:sz w:val="25"/>
                <w:szCs w:val="25"/>
              </w:rPr>
            </w:pPr>
            <w:r w:rsidRPr="00A876C4">
              <w:rPr>
                <w:rFonts w:ascii="Times New Roman" w:eastAsia="Times New Roman" w:hAnsi="Times New Roman" w:cs="Times New Roman"/>
                <w:b/>
                <w:bCs/>
                <w:color w:val="000000"/>
                <w:sz w:val="25"/>
                <w:szCs w:val="25"/>
              </w:rPr>
              <w:t xml:space="preserve">Nội dung quy định được phản ánh </w:t>
            </w:r>
          </w:p>
          <w:p w14:paraId="5DFD9538" w14:textId="6FF6D577" w:rsidR="0002368F" w:rsidRPr="00A876C4" w:rsidRDefault="0002368F" w:rsidP="00562593">
            <w:pPr>
              <w:jc w:val="center"/>
              <w:rPr>
                <w:rFonts w:ascii="Times New Roman" w:hAnsi="Times New Roman" w:cs="Times New Roman"/>
                <w:b/>
                <w:sz w:val="25"/>
                <w:szCs w:val="25"/>
              </w:rPr>
            </w:pPr>
            <w:r w:rsidRPr="00A876C4">
              <w:rPr>
                <w:rFonts w:ascii="Times New Roman" w:eastAsia="Times New Roman" w:hAnsi="Times New Roman" w:cs="Times New Roman"/>
                <w:b/>
                <w:bCs/>
                <w:color w:val="000000"/>
                <w:sz w:val="25"/>
                <w:szCs w:val="25"/>
              </w:rPr>
              <w:t>mâu thuẫn, chồng chéo</w:t>
            </w:r>
          </w:p>
        </w:tc>
        <w:tc>
          <w:tcPr>
            <w:tcW w:w="2239" w:type="dxa"/>
            <w:shd w:val="clear" w:color="auto" w:fill="FBE4D5" w:themeFill="accent2" w:themeFillTint="33"/>
            <w:vAlign w:val="center"/>
          </w:tcPr>
          <w:p w14:paraId="6452792E" w14:textId="77777777" w:rsidR="0002368F" w:rsidRPr="00A876C4" w:rsidRDefault="0002368F" w:rsidP="00562593">
            <w:pPr>
              <w:jc w:val="center"/>
              <w:rPr>
                <w:rFonts w:ascii="Times New Roman" w:hAnsi="Times New Roman" w:cs="Times New Roman"/>
                <w:b/>
                <w:sz w:val="25"/>
                <w:szCs w:val="25"/>
              </w:rPr>
            </w:pPr>
            <w:r w:rsidRPr="00A876C4">
              <w:rPr>
                <w:rFonts w:ascii="Times New Roman" w:eastAsia="Times New Roman" w:hAnsi="Times New Roman" w:cs="Times New Roman"/>
                <w:b/>
                <w:bCs/>
                <w:color w:val="000000"/>
                <w:sz w:val="25"/>
                <w:szCs w:val="25"/>
              </w:rPr>
              <w:t>Phương án xử lý được đề xuất</w:t>
            </w:r>
          </w:p>
        </w:tc>
        <w:tc>
          <w:tcPr>
            <w:tcW w:w="1696" w:type="dxa"/>
            <w:shd w:val="clear" w:color="auto" w:fill="FBE4D5" w:themeFill="accent2" w:themeFillTint="33"/>
            <w:vAlign w:val="center"/>
          </w:tcPr>
          <w:p w14:paraId="3B32D918" w14:textId="77777777" w:rsidR="0002368F" w:rsidRDefault="0002368F" w:rsidP="00562593">
            <w:pPr>
              <w:jc w:val="center"/>
              <w:rPr>
                <w:rFonts w:ascii="Times New Roman" w:eastAsia="Times New Roman" w:hAnsi="Times New Roman" w:cs="Times New Roman"/>
                <w:b/>
                <w:bCs/>
                <w:color w:val="000000"/>
                <w:sz w:val="25"/>
                <w:szCs w:val="25"/>
              </w:rPr>
            </w:pPr>
            <w:r w:rsidRPr="00A876C4">
              <w:rPr>
                <w:rFonts w:ascii="Times New Roman" w:eastAsia="Times New Roman" w:hAnsi="Times New Roman" w:cs="Times New Roman"/>
                <w:b/>
                <w:bCs/>
                <w:color w:val="000000"/>
                <w:sz w:val="25"/>
                <w:szCs w:val="25"/>
              </w:rPr>
              <w:t xml:space="preserve">Cơ quan, </w:t>
            </w:r>
          </w:p>
          <w:p w14:paraId="26771070" w14:textId="77777777" w:rsidR="0002368F" w:rsidRDefault="0002368F" w:rsidP="00562593">
            <w:pPr>
              <w:jc w:val="center"/>
              <w:rPr>
                <w:rFonts w:ascii="Times New Roman" w:eastAsia="Times New Roman" w:hAnsi="Times New Roman" w:cs="Times New Roman"/>
                <w:b/>
                <w:bCs/>
                <w:color w:val="000000"/>
                <w:sz w:val="25"/>
                <w:szCs w:val="25"/>
              </w:rPr>
            </w:pPr>
            <w:r w:rsidRPr="00A876C4">
              <w:rPr>
                <w:rFonts w:ascii="Times New Roman" w:eastAsia="Times New Roman" w:hAnsi="Times New Roman" w:cs="Times New Roman"/>
                <w:b/>
                <w:bCs/>
                <w:color w:val="000000"/>
                <w:sz w:val="25"/>
                <w:szCs w:val="25"/>
              </w:rPr>
              <w:t>tổ chức</w:t>
            </w:r>
          </w:p>
          <w:p w14:paraId="4AFFD2DF" w14:textId="6B211A32" w:rsidR="0002368F" w:rsidRPr="00A876C4" w:rsidRDefault="0002368F" w:rsidP="00562593">
            <w:pPr>
              <w:jc w:val="center"/>
              <w:rPr>
                <w:rFonts w:ascii="Times New Roman" w:hAnsi="Times New Roman" w:cs="Times New Roman"/>
                <w:b/>
                <w:sz w:val="25"/>
                <w:szCs w:val="25"/>
              </w:rPr>
            </w:pPr>
            <w:r w:rsidRPr="00A876C4">
              <w:rPr>
                <w:rFonts w:ascii="Times New Roman" w:eastAsia="Times New Roman" w:hAnsi="Times New Roman" w:cs="Times New Roman"/>
                <w:b/>
                <w:bCs/>
                <w:color w:val="000000"/>
                <w:sz w:val="25"/>
                <w:szCs w:val="25"/>
              </w:rPr>
              <w:t xml:space="preserve"> rà soát, phản ánh</w:t>
            </w:r>
          </w:p>
        </w:tc>
        <w:tc>
          <w:tcPr>
            <w:tcW w:w="2282" w:type="dxa"/>
            <w:shd w:val="clear" w:color="auto" w:fill="FBE4D5" w:themeFill="accent2" w:themeFillTint="33"/>
            <w:vAlign w:val="center"/>
          </w:tcPr>
          <w:p w14:paraId="233EADC3" w14:textId="77777777" w:rsidR="0002368F" w:rsidRDefault="0002368F" w:rsidP="00562593">
            <w:pPr>
              <w:jc w:val="center"/>
              <w:rPr>
                <w:rFonts w:ascii="Times New Roman" w:eastAsia="Times New Roman" w:hAnsi="Times New Roman" w:cs="Times New Roman"/>
                <w:b/>
                <w:bCs/>
                <w:color w:val="000000"/>
                <w:sz w:val="25"/>
                <w:szCs w:val="25"/>
              </w:rPr>
            </w:pPr>
            <w:r w:rsidRPr="00A876C4">
              <w:rPr>
                <w:rFonts w:ascii="Times New Roman" w:eastAsia="Times New Roman" w:hAnsi="Times New Roman" w:cs="Times New Roman"/>
                <w:b/>
                <w:bCs/>
                <w:color w:val="000000"/>
                <w:sz w:val="25"/>
                <w:szCs w:val="25"/>
              </w:rPr>
              <w:t>Ý kiến của Bộ Tư pháp</w:t>
            </w:r>
          </w:p>
          <w:p w14:paraId="534983D6" w14:textId="140BC985" w:rsidR="0002368F" w:rsidRPr="00A876C4" w:rsidRDefault="0002368F" w:rsidP="00562593">
            <w:pPr>
              <w:jc w:val="center"/>
              <w:rPr>
                <w:rFonts w:ascii="Times New Roman" w:hAnsi="Times New Roman" w:cs="Times New Roman"/>
                <w:b/>
                <w:sz w:val="25"/>
                <w:szCs w:val="25"/>
              </w:rPr>
            </w:pPr>
            <w:r w:rsidRPr="00A876C4">
              <w:rPr>
                <w:rFonts w:ascii="Times New Roman" w:eastAsia="Times New Roman" w:hAnsi="Times New Roman" w:cs="Times New Roman"/>
                <w:b/>
                <w:bCs/>
                <w:color w:val="000000"/>
                <w:sz w:val="25"/>
                <w:szCs w:val="25"/>
              </w:rPr>
              <w:t xml:space="preserve"> về nội dung kiến nghị, phản ánh của các cơ quan, tổ chức khác</w:t>
            </w:r>
          </w:p>
        </w:tc>
        <w:tc>
          <w:tcPr>
            <w:tcW w:w="2431" w:type="dxa"/>
            <w:shd w:val="clear" w:color="auto" w:fill="FBE4D5" w:themeFill="accent2" w:themeFillTint="33"/>
          </w:tcPr>
          <w:p w14:paraId="518F41E5" w14:textId="4C5F94D5" w:rsidR="0002368F" w:rsidRPr="00A876C4" w:rsidRDefault="00D25DB1" w:rsidP="0056449C">
            <w:pPr>
              <w:jc w:val="center"/>
              <w:rPr>
                <w:rFonts w:ascii="Times New Roman" w:eastAsia="Times New Roman" w:hAnsi="Times New Roman" w:cs="Times New Roman"/>
                <w:b/>
                <w:bCs/>
                <w:color w:val="000000"/>
                <w:sz w:val="25"/>
                <w:szCs w:val="25"/>
              </w:rPr>
            </w:pPr>
            <w:r>
              <w:rPr>
                <w:rFonts w:ascii="Times New Roman" w:hAnsi="Times New Roman" w:cs="Times New Roman"/>
                <w:b/>
                <w:bCs/>
                <w:sz w:val="25"/>
                <w:szCs w:val="25"/>
              </w:rPr>
              <w:t xml:space="preserve">Tình hình xử lý </w:t>
            </w:r>
          </w:p>
        </w:tc>
      </w:tr>
      <w:tr w:rsidR="0002368F" w:rsidRPr="00A876C4" w14:paraId="7247973E" w14:textId="7FDFDFC7" w:rsidTr="0002368F">
        <w:tc>
          <w:tcPr>
            <w:tcW w:w="737" w:type="dxa"/>
          </w:tcPr>
          <w:p w14:paraId="0D43DA1D" w14:textId="77777777" w:rsidR="0002368F" w:rsidRPr="00A876C4" w:rsidRDefault="0002368F" w:rsidP="00665417">
            <w:pPr>
              <w:pStyle w:val="ListParagraph"/>
              <w:numPr>
                <w:ilvl w:val="0"/>
                <w:numId w:val="1"/>
              </w:numPr>
              <w:jc w:val="center"/>
              <w:rPr>
                <w:rFonts w:ascii="Times New Roman" w:hAnsi="Times New Roman" w:cs="Times New Roman"/>
                <w:sz w:val="25"/>
                <w:szCs w:val="25"/>
              </w:rPr>
            </w:pPr>
          </w:p>
        </w:tc>
        <w:tc>
          <w:tcPr>
            <w:tcW w:w="1787" w:type="dxa"/>
          </w:tcPr>
          <w:p w14:paraId="7F13480C" w14:textId="77777777" w:rsidR="0002368F" w:rsidRPr="00A876C4" w:rsidRDefault="0002368F" w:rsidP="00802B7E">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Luật Hộ tịch năm 2014</w:t>
            </w:r>
          </w:p>
        </w:tc>
        <w:tc>
          <w:tcPr>
            <w:tcW w:w="3967" w:type="dxa"/>
          </w:tcPr>
          <w:p w14:paraId="21BFF96F" w14:textId="77777777" w:rsidR="0002368F" w:rsidRPr="00A876C4" w:rsidRDefault="0002368F" w:rsidP="00CC5FED">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 xml:space="preserve"> Luật Hộ tịch và các văn bản hướng dẫn thì hành quy định chức danh Công chức tư pháp - hộ tịch cấp xã, khoản 3 Điều 71 Nghị định 170/2025/NĐ-CP ngày 30/6/2025 của Chính phủ ban hành Nghị định quy định về tuyển dụng, sử dụng và quản lý công chức “Bãi bỏ các quy định liên quan về công chức cấp xã tại Nghị định số 33/2023/NĐ-CP ngày 10 tháng 6 năm 2023 của Chính phủ quy định về cán bộ, công chức cấp xã và người hoạt động không chuyên trách ở cấp xã, ở thôn, tổ dân phố”. Vậy, hiện nay không còn các chức danh công chức tư pháp cấp xã trong đó có công chức tư pháp hộ tịch.</w:t>
            </w:r>
          </w:p>
        </w:tc>
        <w:tc>
          <w:tcPr>
            <w:tcW w:w="2239" w:type="dxa"/>
          </w:tcPr>
          <w:p w14:paraId="5CD0E194" w14:textId="77777777" w:rsidR="0002368F" w:rsidRPr="00A876C4" w:rsidRDefault="0002368F" w:rsidP="00665417">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C. Sửa đổi, bổ sung, thay thế, ban hành mới VBQPPL (theo trình tự, thủ tục rút gọn ban hành VBQPPL của Luật Ban hành VBQPPL)</w:t>
            </w:r>
          </w:p>
        </w:tc>
        <w:tc>
          <w:tcPr>
            <w:tcW w:w="1696" w:type="dxa"/>
          </w:tcPr>
          <w:p w14:paraId="546AC4D4" w14:textId="77777777" w:rsidR="0002368F" w:rsidRPr="00A876C4" w:rsidRDefault="0002368F" w:rsidP="00665417">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Sở Tư pháp tỉnh Bắc Ninh</w:t>
            </w:r>
          </w:p>
        </w:tc>
        <w:tc>
          <w:tcPr>
            <w:tcW w:w="2282" w:type="dxa"/>
          </w:tcPr>
          <w:p w14:paraId="397C9936" w14:textId="77777777" w:rsidR="00063E6B" w:rsidRDefault="00063E6B" w:rsidP="00063E6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Nhất trí với kiến nghị của địa phương, Bộ Tư pháp sẽ nghiên cứu xử lý khi sửa đổi, bổ sung Luật Hộ tịch và các văn bản hướng dẫn thi hành trong năm 2026. Đồng thời,  phối hợp với Bộ Nội vụ trong quá trình hoàn thiện pháp luật về công chức, công vụ để bảo đảm tính thống nhất, đồng bộ.</w:t>
            </w:r>
          </w:p>
          <w:p w14:paraId="1F0DDF98" w14:textId="6E7CC855" w:rsidR="0002368F" w:rsidRPr="00A876C4" w:rsidRDefault="0002368F" w:rsidP="00665417">
            <w:pPr>
              <w:jc w:val="both"/>
              <w:rPr>
                <w:rFonts w:ascii="Times New Roman" w:eastAsia="Times New Roman" w:hAnsi="Times New Roman" w:cs="Times New Roman"/>
                <w:color w:val="000000"/>
                <w:sz w:val="25"/>
                <w:szCs w:val="25"/>
              </w:rPr>
            </w:pPr>
          </w:p>
        </w:tc>
        <w:tc>
          <w:tcPr>
            <w:tcW w:w="2431" w:type="dxa"/>
          </w:tcPr>
          <w:p w14:paraId="24A1A6B2" w14:textId="77777777" w:rsidR="00B83A8D" w:rsidRPr="00534005" w:rsidRDefault="00B83A8D" w:rsidP="00B83A8D">
            <w:pPr>
              <w:jc w:val="both"/>
              <w:rPr>
                <w:rFonts w:ascii="Times New Roman" w:eastAsia="Times New Roman" w:hAnsi="Times New Roman"/>
                <w:b/>
                <w:color w:val="000000"/>
                <w:sz w:val="25"/>
                <w:szCs w:val="25"/>
              </w:rPr>
            </w:pPr>
            <w:r w:rsidRPr="00534005">
              <w:rPr>
                <w:rFonts w:ascii="Times New Roman" w:eastAsia="Times New Roman" w:hAnsi="Times New Roman"/>
                <w:b/>
                <w:color w:val="000000"/>
                <w:sz w:val="25"/>
                <w:szCs w:val="25"/>
              </w:rPr>
              <w:t>Đang xử lý</w:t>
            </w:r>
          </w:p>
          <w:p w14:paraId="4A98E395" w14:textId="4512655D" w:rsidR="0002368F" w:rsidRPr="00A876C4" w:rsidRDefault="00B83A8D" w:rsidP="00B83A8D">
            <w:pPr>
              <w:jc w:val="both"/>
              <w:rPr>
                <w:rFonts w:ascii="Times New Roman" w:eastAsia="Times New Roman" w:hAnsi="Times New Roman" w:cs="Times New Roman"/>
                <w:color w:val="000000"/>
                <w:sz w:val="25"/>
                <w:szCs w:val="25"/>
              </w:rPr>
            </w:pPr>
            <w:r>
              <w:rPr>
                <w:rFonts w:ascii="Times New Roman" w:eastAsia="Times New Roman" w:hAnsi="Times New Roman"/>
                <w:color w:val="000000"/>
                <w:sz w:val="25"/>
                <w:szCs w:val="25"/>
              </w:rPr>
              <w:t>Bộ Tư pháp đang nghiên cứu xử lý khi sửa đổi, bổ sung Luật Hộ tịch và các văn bản hướng dẫn thi hành (đã được đăng ký vào Chương trình lập pháp năm 2026). Hiện nay, Bộ Tư pháp đã xây dựng hồ sơ chính sách, dự kiến trình Chính phủ trong tháng 12/2025.</w:t>
            </w:r>
          </w:p>
        </w:tc>
      </w:tr>
      <w:tr w:rsidR="0002368F" w:rsidRPr="00A876C4" w14:paraId="6F77A518" w14:textId="665FA291" w:rsidTr="0002368F">
        <w:tc>
          <w:tcPr>
            <w:tcW w:w="737" w:type="dxa"/>
          </w:tcPr>
          <w:p w14:paraId="3F821B3C" w14:textId="77777777" w:rsidR="0002368F" w:rsidRPr="00A876C4" w:rsidRDefault="0002368F" w:rsidP="00665417">
            <w:pPr>
              <w:pStyle w:val="ListParagraph"/>
              <w:numPr>
                <w:ilvl w:val="0"/>
                <w:numId w:val="1"/>
              </w:numPr>
              <w:jc w:val="center"/>
              <w:rPr>
                <w:rFonts w:ascii="Times New Roman" w:hAnsi="Times New Roman" w:cs="Times New Roman"/>
                <w:sz w:val="25"/>
                <w:szCs w:val="25"/>
              </w:rPr>
            </w:pPr>
          </w:p>
        </w:tc>
        <w:tc>
          <w:tcPr>
            <w:tcW w:w="1787" w:type="dxa"/>
          </w:tcPr>
          <w:p w14:paraId="7D5BB46B" w14:textId="77777777" w:rsidR="0002368F" w:rsidRPr="00A876C4" w:rsidRDefault="0002368F" w:rsidP="00CF1EAE">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Luật Hộ tịch năm 2014</w:t>
            </w:r>
          </w:p>
        </w:tc>
        <w:tc>
          <w:tcPr>
            <w:tcW w:w="3967" w:type="dxa"/>
          </w:tcPr>
          <w:p w14:paraId="42257517" w14:textId="77777777" w:rsidR="0002368F" w:rsidRPr="00A876C4" w:rsidRDefault="0002368F" w:rsidP="00CF1EAE">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 xml:space="preserve">Luật Hộ tịch năm 2014 đang sử dụng cụm từ “Công chức Tư pháp – Hộ </w:t>
            </w:r>
            <w:r w:rsidRPr="00A876C4">
              <w:rPr>
                <w:rFonts w:ascii="Times New Roman" w:eastAsia="Times New Roman" w:hAnsi="Times New Roman" w:cs="Times New Roman"/>
                <w:color w:val="000000"/>
                <w:sz w:val="25"/>
                <w:szCs w:val="25"/>
              </w:rPr>
              <w:lastRenderedPageBreak/>
              <w:t>tịch” để gọi chức danh công chức cấp xã làm công tác tư pháp, hộ tịch. Tuy nhiên, theo quy định của Luật Cán bộ công chức năm 2025, không có chức danh công chức tư pháp – hộ tịch, chỉ có chức danh công chức thuộc Văn phòng HĐND, UBND cấp xã. Kiến nghị cần quy định tên gọi thống nhất giữa các văn bản quy phạm pháp luật cho vị trí công chức cấp xã thực hiện nhiệm vụ Tư pháp, hộ tịch.</w:t>
            </w:r>
          </w:p>
        </w:tc>
        <w:tc>
          <w:tcPr>
            <w:tcW w:w="2239" w:type="dxa"/>
          </w:tcPr>
          <w:p w14:paraId="3209D5E3" w14:textId="77777777" w:rsidR="0002368F" w:rsidRPr="00A876C4" w:rsidRDefault="0002368F" w:rsidP="00CF1EAE">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lastRenderedPageBreak/>
              <w:t xml:space="preserve">C. Sửa đổi, bổ sung, thay thế, ban hành </w:t>
            </w:r>
            <w:r w:rsidRPr="00A876C4">
              <w:rPr>
                <w:rFonts w:ascii="Times New Roman" w:eastAsia="Times New Roman" w:hAnsi="Times New Roman" w:cs="Times New Roman"/>
                <w:color w:val="000000"/>
                <w:sz w:val="25"/>
                <w:szCs w:val="25"/>
              </w:rPr>
              <w:lastRenderedPageBreak/>
              <w:t>mới VBQPPL (theo trình tự, thủ tục rút gọn ban hành VBQPPL của Luật Ban hành VBQPPL)</w:t>
            </w:r>
          </w:p>
        </w:tc>
        <w:tc>
          <w:tcPr>
            <w:tcW w:w="1696" w:type="dxa"/>
          </w:tcPr>
          <w:p w14:paraId="3E5F39D6" w14:textId="77777777" w:rsidR="0002368F" w:rsidRPr="00A876C4" w:rsidRDefault="0002368F" w:rsidP="00CF1EAE">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lastRenderedPageBreak/>
              <w:t>Sở Tư pháp tỉnh Nghệ An</w:t>
            </w:r>
          </w:p>
        </w:tc>
        <w:tc>
          <w:tcPr>
            <w:tcW w:w="2282" w:type="dxa"/>
          </w:tcPr>
          <w:p w14:paraId="663A8E72" w14:textId="6BCA58AC" w:rsidR="0002368F" w:rsidRPr="007C207C" w:rsidRDefault="00063E6B" w:rsidP="00CF1EA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Nhất trí với kiến nghị của địa phương, Bộ </w:t>
            </w:r>
            <w:r>
              <w:rPr>
                <w:rFonts w:ascii="Times New Roman" w:eastAsia="Times New Roman" w:hAnsi="Times New Roman" w:cs="Times New Roman"/>
                <w:color w:val="000000"/>
                <w:sz w:val="24"/>
                <w:szCs w:val="24"/>
              </w:rPr>
              <w:lastRenderedPageBreak/>
              <w:t>Tư pháp sẽ nghiên cứu xử lý khi sửa đổi, bổ sung Luật Hộ tịch và các văn bản hướng dẫn thi hành trong năm 2026. Đồng thời,  phối hợp với Bộ Nội vụ trong quá trình hoàn thiện pháp luật về công chức, công vụ để bảo đảm tính thống nhất, đồng bộ.</w:t>
            </w:r>
          </w:p>
        </w:tc>
        <w:tc>
          <w:tcPr>
            <w:tcW w:w="2431" w:type="dxa"/>
          </w:tcPr>
          <w:p w14:paraId="4F1744F1" w14:textId="77777777" w:rsidR="00B83A8D" w:rsidRPr="00534005" w:rsidRDefault="00B83A8D" w:rsidP="00B83A8D">
            <w:pPr>
              <w:jc w:val="both"/>
              <w:rPr>
                <w:rFonts w:ascii="Times New Roman" w:eastAsia="Times New Roman" w:hAnsi="Times New Roman"/>
                <w:b/>
                <w:color w:val="000000"/>
                <w:sz w:val="25"/>
                <w:szCs w:val="25"/>
              </w:rPr>
            </w:pPr>
            <w:r w:rsidRPr="00534005">
              <w:rPr>
                <w:rFonts w:ascii="Times New Roman" w:eastAsia="Times New Roman" w:hAnsi="Times New Roman"/>
                <w:b/>
                <w:color w:val="000000"/>
                <w:sz w:val="25"/>
                <w:szCs w:val="25"/>
              </w:rPr>
              <w:lastRenderedPageBreak/>
              <w:t>Đang xử lý</w:t>
            </w:r>
          </w:p>
          <w:p w14:paraId="7DEC93E7" w14:textId="6DC769FD" w:rsidR="0002368F" w:rsidRPr="00A876C4" w:rsidRDefault="00B83A8D" w:rsidP="00B83A8D">
            <w:pPr>
              <w:jc w:val="both"/>
              <w:rPr>
                <w:rFonts w:ascii="Times New Roman" w:eastAsia="Times New Roman" w:hAnsi="Times New Roman" w:cs="Times New Roman"/>
                <w:color w:val="000000"/>
                <w:sz w:val="25"/>
                <w:szCs w:val="25"/>
              </w:rPr>
            </w:pPr>
            <w:r>
              <w:rPr>
                <w:rFonts w:ascii="Times New Roman" w:eastAsia="Times New Roman" w:hAnsi="Times New Roman"/>
                <w:color w:val="000000"/>
                <w:sz w:val="25"/>
                <w:szCs w:val="25"/>
              </w:rPr>
              <w:lastRenderedPageBreak/>
              <w:t>Bộ Tư pháp sẽ nghiên cứu xử lý khi sửa đổi, bổ sung Luật Hộ tịch và các văn bản hướng dẫn thi hành (đã được đăng ký vào Chương trình lập pháp năm 2026). Hiện nay, Bộ Tư pháp đã xây dựng hồ sơ chính sách, dự kiến trình Chính phủ trong tháng 12/2025.</w:t>
            </w:r>
          </w:p>
        </w:tc>
      </w:tr>
      <w:tr w:rsidR="00CD15E9" w:rsidRPr="00A876C4" w14:paraId="75C3E244" w14:textId="77777777" w:rsidTr="0002368F">
        <w:tc>
          <w:tcPr>
            <w:tcW w:w="737" w:type="dxa"/>
          </w:tcPr>
          <w:p w14:paraId="03885E81" w14:textId="77777777" w:rsidR="00CD15E9" w:rsidRPr="00A876C4" w:rsidRDefault="00CD15E9" w:rsidP="00CD15E9">
            <w:pPr>
              <w:pStyle w:val="ListParagraph"/>
              <w:numPr>
                <w:ilvl w:val="0"/>
                <w:numId w:val="1"/>
              </w:numPr>
              <w:jc w:val="center"/>
              <w:rPr>
                <w:rFonts w:ascii="Times New Roman" w:hAnsi="Times New Roman" w:cs="Times New Roman"/>
                <w:sz w:val="25"/>
                <w:szCs w:val="25"/>
              </w:rPr>
            </w:pPr>
          </w:p>
        </w:tc>
        <w:tc>
          <w:tcPr>
            <w:tcW w:w="1787" w:type="dxa"/>
          </w:tcPr>
          <w:p w14:paraId="219E3F93" w14:textId="7C502431" w:rsidR="00CD15E9" w:rsidRPr="00A876C4" w:rsidRDefault="00CD15E9" w:rsidP="00CD15E9">
            <w:pPr>
              <w:jc w:val="both"/>
              <w:rPr>
                <w:rFonts w:ascii="Times New Roman" w:eastAsia="Times New Roman" w:hAnsi="Times New Roman" w:cs="Times New Roman"/>
                <w:color w:val="000000"/>
                <w:sz w:val="25"/>
                <w:szCs w:val="25"/>
              </w:rPr>
            </w:pPr>
            <w:r w:rsidRPr="00CD1205">
              <w:rPr>
                <w:rFonts w:ascii="Times New Roman" w:eastAsia="Times New Roman" w:hAnsi="Times New Roman" w:cs="Times New Roman"/>
                <w:color w:val="000000"/>
                <w:sz w:val="25"/>
                <w:szCs w:val="25"/>
              </w:rPr>
              <w:t>Khoản 1 Điều 75 Luật Thi hành án dân sự năm 2008 và các Luật sửa đổi bổ sung</w:t>
            </w:r>
          </w:p>
        </w:tc>
        <w:tc>
          <w:tcPr>
            <w:tcW w:w="3967" w:type="dxa"/>
          </w:tcPr>
          <w:p w14:paraId="4EF9B388" w14:textId="29895381" w:rsidR="00CD15E9" w:rsidRPr="00A876C4" w:rsidRDefault="00CD15E9" w:rsidP="00CD15E9">
            <w:pPr>
              <w:jc w:val="both"/>
              <w:rPr>
                <w:rFonts w:ascii="Times New Roman" w:eastAsia="Times New Roman" w:hAnsi="Times New Roman" w:cs="Times New Roman"/>
                <w:color w:val="000000"/>
                <w:sz w:val="25"/>
                <w:szCs w:val="25"/>
              </w:rPr>
            </w:pPr>
            <w:r w:rsidRPr="00CD1205">
              <w:rPr>
                <w:rFonts w:ascii="Times New Roman" w:eastAsia="Times New Roman" w:hAnsi="Times New Roman" w:cs="Times New Roman"/>
                <w:color w:val="000000"/>
                <w:sz w:val="25"/>
                <w:szCs w:val="25"/>
              </w:rPr>
              <w:t xml:space="preserve">Khoản 1 Điều 75 quy định: 1. Trường hợp tài sản của người phải thi hành án bị cưỡng chế để thi hành án mà có người khác tranh chấp thì Chấp hành viên thông báo cho đương sự, người có tranh chấp về quyền của họ được khởi kiện tại Tòa án hoặc đề nghị cơ quan có thẩm quyền giải quyết. Trường hợp tài sản cưỡng chế thi hành án áp dụng tại điều 75 trên đây là tài sản đã được tuyên xử lý theo Bản án, quyết định có hiệu lực của Tòa thì quy định tại Điều 75, khoản 1 này mâu thuẫn với nguyên tắc: "bảo đảm hiệu lực của Bản án, quyết định của Tòa" quy định tại Điều 4 Luật Thi hành án. Thực tiễn, rất nhiều vụ việc thi hành án, bên phải thi hành án và các bên liên quan cố tình tạo ra các tranh chấp về tài sản thi hành án để kéo dài hoặc làm cho vụ việc thi hành </w:t>
            </w:r>
            <w:r w:rsidRPr="00CD1205">
              <w:rPr>
                <w:rFonts w:ascii="Times New Roman" w:eastAsia="Times New Roman" w:hAnsi="Times New Roman" w:cs="Times New Roman"/>
                <w:color w:val="000000"/>
                <w:sz w:val="25"/>
                <w:szCs w:val="25"/>
              </w:rPr>
              <w:lastRenderedPageBreak/>
              <w:t>án đối với tài sản đó không thể thực hiện được. Khi tài sản thi hành án là tài sản đã được tuyên trong Bản án, quyết định có hiệu lực của Tòa thì các nội dung liên quan đến quyền và nghĩa vụ của các bên liên quan đến tài sản đó cũng đã phải được giải quyết tại Bản án. Các bên có quyền và nghĩa vụ liên quan phải được tham gia vào Vụ án giải quyết có đối tượng là tài sản này. Vì vậy, trường hợp tranh chấp liên quan đến tài sản, quyền và lợi ích của Bên liên quan chưa được giải quyết tại Bản án thì họ có quyền yêu cầu Người có thẩm quyền xem xét lại bản án theo thủ tục giám đốc thẩm, tái thẩm theo quy định tại Bộ luật Tố tụng dân sự. Quy định này chỉ nên áp dụng trọng trường hợp Tài sản thi hành án không được tuyên trong Bản án mà được Chấp hành viên đưa vào thi hành qua xác minh điều kiện thi hành án của người phải thi hành án. Đề xuất: sửa đổi Điều 75, khoản 1 theo hướng: chỉ trong trường hợp đối với tài sản không được tuyên trong Bản án, quyết định của Tòa, do Chấp hành viên xác minh, kê biên, nếu có người khác tranh chấp thì Chấp hành viên thông báo cho đương sự, người có tranh chấp về quyền của họ được khởi kiện tại Tòa án hoặc đề nghị cơ quan có thẩm quyền giải quyết.</w:t>
            </w:r>
          </w:p>
        </w:tc>
        <w:tc>
          <w:tcPr>
            <w:tcW w:w="2239" w:type="dxa"/>
          </w:tcPr>
          <w:p w14:paraId="5C694D09" w14:textId="14553E54" w:rsidR="00CD15E9" w:rsidRPr="00A876C4" w:rsidRDefault="00CD15E9" w:rsidP="00CD15E9">
            <w:pPr>
              <w:jc w:val="both"/>
              <w:rPr>
                <w:rFonts w:ascii="Times New Roman" w:eastAsia="Times New Roman" w:hAnsi="Times New Roman" w:cs="Times New Roman"/>
                <w:color w:val="000000"/>
                <w:sz w:val="25"/>
                <w:szCs w:val="25"/>
              </w:rPr>
            </w:pPr>
            <w:r w:rsidRPr="00CD1205">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696" w:type="dxa"/>
          </w:tcPr>
          <w:p w14:paraId="4EBD29EF" w14:textId="2544D46A" w:rsidR="00CD15E9" w:rsidRPr="00A876C4" w:rsidRDefault="00CD15E9" w:rsidP="00CD15E9">
            <w:pPr>
              <w:jc w:val="both"/>
              <w:rPr>
                <w:rFonts w:ascii="Times New Roman" w:eastAsia="Times New Roman" w:hAnsi="Times New Roman" w:cs="Times New Roman"/>
                <w:color w:val="000000"/>
                <w:sz w:val="25"/>
                <w:szCs w:val="25"/>
              </w:rPr>
            </w:pPr>
            <w:r w:rsidRPr="00CD1205">
              <w:rPr>
                <w:rFonts w:ascii="Times New Roman" w:eastAsia="Times New Roman" w:hAnsi="Times New Roman" w:cs="Times New Roman"/>
                <w:color w:val="000000"/>
                <w:sz w:val="25"/>
                <w:szCs w:val="25"/>
              </w:rPr>
              <w:t xml:space="preserve">Ngân hàng TMCP Đầu tư và Phát triển Việt Nam </w:t>
            </w:r>
          </w:p>
        </w:tc>
        <w:tc>
          <w:tcPr>
            <w:tcW w:w="2282" w:type="dxa"/>
          </w:tcPr>
          <w:p w14:paraId="1350EE24" w14:textId="77777777" w:rsidR="00063E6B" w:rsidRPr="0008765E" w:rsidRDefault="00063E6B" w:rsidP="00063E6B">
            <w:pPr>
              <w:spacing w:after="160" w:line="259" w:lineRule="auto"/>
              <w:jc w:val="both"/>
              <w:rPr>
                <w:rFonts w:ascii="Times New Roman" w:eastAsia="Times New Roman" w:hAnsi="Times New Roman" w:cs="Times New Roman"/>
                <w:iCs/>
                <w:color w:val="000000"/>
                <w:sz w:val="24"/>
                <w:szCs w:val="24"/>
                <w:lang w:val="nl-NL"/>
              </w:rPr>
            </w:pPr>
            <w:r>
              <w:rPr>
                <w:rFonts w:ascii="Times New Roman" w:eastAsia="Times New Roman" w:hAnsi="Times New Roman" w:cs="Times New Roman"/>
                <w:color w:val="000000"/>
                <w:sz w:val="24"/>
                <w:szCs w:val="24"/>
                <w:lang w:val="nl-NL"/>
              </w:rPr>
              <w:t>Nhất trí với kiến nghị, h</w:t>
            </w:r>
            <w:r w:rsidRPr="0008765E">
              <w:rPr>
                <w:rFonts w:ascii="Times New Roman" w:eastAsia="Times New Roman" w:hAnsi="Times New Roman" w:cs="Times New Roman"/>
                <w:color w:val="000000"/>
                <w:sz w:val="24"/>
                <w:szCs w:val="24"/>
                <w:lang w:val="nl-NL"/>
              </w:rPr>
              <w:t xml:space="preserve">iện nay, Bộ Tư pháp đang tham mưu xây dựng Luật THADS (sửa đổi), trong đó đã giải quyết vướng mắc nêu trên của Ngân hàng, cụ thể tại khoản 3 Điều 38 của dự thảo Luật THADS (sửa đổi) quy định: “3. Trường hợp tài sản để thi hành án có người khác tranh chấp thì Chấp hành viên thông báo cho đương sự, người có tranh chấp về quyền khởi kiện tại Tòa án hoặc </w:t>
            </w:r>
            <w:r w:rsidRPr="0008765E">
              <w:rPr>
                <w:rFonts w:ascii="Times New Roman" w:eastAsia="Times New Roman" w:hAnsi="Times New Roman" w:cs="Times New Roman"/>
                <w:color w:val="000000"/>
                <w:sz w:val="24"/>
                <w:szCs w:val="24"/>
                <w:lang w:val="nl-NL"/>
              </w:rPr>
              <w:lastRenderedPageBreak/>
              <w:t xml:space="preserve">đề nghị cơ quan có thẩm quyền giải quyết, </w:t>
            </w:r>
            <w:r w:rsidRPr="0008765E">
              <w:rPr>
                <w:rFonts w:ascii="Times New Roman" w:eastAsia="Times New Roman" w:hAnsi="Times New Roman" w:cs="Times New Roman"/>
                <w:i/>
                <w:color w:val="000000"/>
                <w:sz w:val="24"/>
                <w:szCs w:val="24"/>
                <w:lang w:val="nl-NL"/>
              </w:rPr>
              <w:t>trừ trường hợp tài sản đó đã được tuyên xử lý trong bản án, quyết định có hiệu lực pháp luật”</w:t>
            </w:r>
            <w:r w:rsidRPr="0008765E">
              <w:rPr>
                <w:rFonts w:ascii="Times New Roman" w:eastAsia="Times New Roman" w:hAnsi="Times New Roman" w:cs="Times New Roman"/>
                <w:color w:val="000000"/>
                <w:sz w:val="24"/>
                <w:szCs w:val="24"/>
                <w:lang w:val="nl-NL"/>
              </w:rPr>
              <w:t xml:space="preserve">. Tại điểm c khoản 1 Điều 45 dự thảo Luật THADS (sửa đổi) quy định cơ quan THADS ra Quyết định hoãn thi hành án khi: “Nhận được thông báo của Tòa án hoặc cơ quan có thẩm quyền về việc thụ lý, tiếp nhận để giải quyết yêu cầu xác định quyền sở hữu tài sản, quyền sử dụng đất, phân chia tài sản chung để thi hành án hoặc giải quyết yêu cầu, tranh chấp về quyền sở hữu tài sản, quyền sử dụng đất là tài sản để thi hành án, </w:t>
            </w:r>
            <w:r w:rsidRPr="0008765E">
              <w:rPr>
                <w:rFonts w:ascii="Times New Roman" w:eastAsia="Times New Roman" w:hAnsi="Times New Roman" w:cs="Times New Roman"/>
                <w:i/>
                <w:color w:val="000000"/>
                <w:sz w:val="24"/>
                <w:szCs w:val="24"/>
                <w:lang w:val="nl-NL"/>
              </w:rPr>
              <w:t xml:space="preserve">trừ trường hợp việc xử lý tài sản đó được tuyên rõ trong bản án, quyết định đang </w:t>
            </w:r>
            <w:r w:rsidRPr="0008765E">
              <w:rPr>
                <w:rFonts w:ascii="Times New Roman" w:eastAsia="Times New Roman" w:hAnsi="Times New Roman" w:cs="Times New Roman"/>
                <w:i/>
                <w:color w:val="000000"/>
                <w:sz w:val="24"/>
                <w:szCs w:val="24"/>
                <w:lang w:val="nl-NL"/>
              </w:rPr>
              <w:lastRenderedPageBreak/>
              <w:t xml:space="preserve">được thi hành hoặc trường hợp pháp luật có quy định khác”. </w:t>
            </w:r>
          </w:p>
          <w:p w14:paraId="49FEA398" w14:textId="22CC9872" w:rsidR="00CD15E9" w:rsidRPr="00A876C4" w:rsidRDefault="00063E6B" w:rsidP="00063E6B">
            <w:pPr>
              <w:jc w:val="both"/>
              <w:rPr>
                <w:rFonts w:ascii="Times New Roman" w:eastAsia="Times New Roman" w:hAnsi="Times New Roman" w:cs="Times New Roman"/>
                <w:color w:val="000000"/>
                <w:sz w:val="25"/>
                <w:szCs w:val="25"/>
              </w:rPr>
            </w:pPr>
            <w:r w:rsidRPr="0008765E">
              <w:rPr>
                <w:rFonts w:ascii="Times New Roman" w:eastAsia="Times New Roman" w:hAnsi="Times New Roman" w:cs="Times New Roman"/>
                <w:color w:val="000000"/>
                <w:sz w:val="24"/>
                <w:szCs w:val="24"/>
                <w:lang w:val="nl-NL"/>
              </w:rPr>
              <w:t xml:space="preserve">Về cách thức giải quyết kiến nghị của Ngân hàng: Dự án Luật THADS (sửa đổi) sẽ được trình Quốc hội thông qua tại kỳ họp tháng 10/2025. Hơn nữa, tại Công văn 462/VKSTC-V11 ngày 31/01/2019 của Viện kiểm sát nhân dân tối cao đã có ý kiến thống nhất với Bộ Tư pháp, theo đó cơ quan THADS không ra Quyết định hoãn thi hành án đối với </w:t>
            </w:r>
            <w:r w:rsidRPr="0008765E">
              <w:rPr>
                <w:rFonts w:ascii="Times New Roman" w:eastAsia="Times New Roman" w:hAnsi="Times New Roman" w:cs="Times New Roman"/>
                <w:i/>
                <w:iCs/>
                <w:color w:val="000000"/>
                <w:sz w:val="24"/>
                <w:szCs w:val="24"/>
                <w:lang w:val="nl-NL"/>
              </w:rPr>
              <w:t>“trường hợp xử lý tài sản bảo đảm đã được ghi nhận trong Bản án, quyết định của Tòa án mà quá trình tổ chức thi hành án, quá trình bán đấu giá chưa bị cơ quan có thẩm quyền kết luận có sai phạm”</w:t>
            </w:r>
            <w:r w:rsidRPr="0008765E">
              <w:rPr>
                <w:rFonts w:ascii="Times New Roman" w:eastAsia="Times New Roman" w:hAnsi="Times New Roman" w:cs="Times New Roman"/>
                <w:color w:val="000000"/>
                <w:sz w:val="24"/>
                <w:szCs w:val="24"/>
                <w:lang w:val="nl-NL"/>
              </w:rPr>
              <w:t xml:space="preserve">. Do vậy, Cục Quản lý THADS đề xuất vướng mắc nêu trên </w:t>
            </w:r>
            <w:r w:rsidRPr="0008765E">
              <w:rPr>
                <w:rFonts w:ascii="Times New Roman" w:eastAsia="Times New Roman" w:hAnsi="Times New Roman" w:cs="Times New Roman"/>
                <w:color w:val="000000"/>
                <w:sz w:val="24"/>
                <w:szCs w:val="24"/>
                <w:lang w:val="nl-NL"/>
              </w:rPr>
              <w:lastRenderedPageBreak/>
              <w:t>của Ngân hàng không áp dụng quy trình xử lý tại khoản 1 Điều 4 Nghị quyết 206/2025/QH15 của Quốc hội.</w:t>
            </w:r>
          </w:p>
        </w:tc>
        <w:tc>
          <w:tcPr>
            <w:tcW w:w="2431" w:type="dxa"/>
          </w:tcPr>
          <w:p w14:paraId="4989E484" w14:textId="77777777" w:rsidR="00B83A8D" w:rsidRPr="00E2723E" w:rsidRDefault="00B83A8D" w:rsidP="00B83A8D">
            <w:pPr>
              <w:jc w:val="both"/>
              <w:rPr>
                <w:rFonts w:ascii="Times New Roman" w:eastAsia="Times New Roman" w:hAnsi="Times New Roman"/>
                <w:b/>
                <w:color w:val="000000" w:themeColor="text1"/>
                <w:sz w:val="24"/>
                <w:szCs w:val="24"/>
              </w:rPr>
            </w:pPr>
            <w:r w:rsidRPr="00E2723E">
              <w:rPr>
                <w:rFonts w:ascii="Times New Roman" w:eastAsia="Times New Roman" w:hAnsi="Times New Roman"/>
                <w:b/>
                <w:color w:val="000000" w:themeColor="text1"/>
                <w:sz w:val="24"/>
                <w:szCs w:val="24"/>
              </w:rPr>
              <w:lastRenderedPageBreak/>
              <w:t>Đã xử lý</w:t>
            </w:r>
          </w:p>
          <w:p w14:paraId="4A107A4A" w14:textId="77777777" w:rsidR="00B83A8D" w:rsidRPr="00E2723E" w:rsidRDefault="00B83A8D" w:rsidP="00B83A8D">
            <w:pPr>
              <w:jc w:val="both"/>
              <w:rPr>
                <w:rFonts w:ascii="Times New Roman" w:hAnsi="Times New Roman"/>
                <w:color w:val="000000" w:themeColor="text1"/>
                <w:sz w:val="24"/>
                <w:szCs w:val="24"/>
                <w:lang w:val="nl-NL"/>
              </w:rPr>
            </w:pPr>
            <w:r w:rsidRPr="00E2723E">
              <w:rPr>
                <w:rFonts w:ascii="Times New Roman" w:hAnsi="Times New Roman"/>
                <w:color w:val="000000" w:themeColor="text1"/>
                <w:sz w:val="24"/>
                <w:szCs w:val="24"/>
                <w:lang w:val="nl-NL"/>
              </w:rPr>
              <w:t>Nội dung này đã được quy định tại khoản 3 Điều 39 và điểm d khoản 1 Điều 46 Luật THADS số 106/2025/QH15 được Quốc hội thông qua ngày 05/12/2025, có hiệu lực ngày 01/7/2026. Cụ thể:</w:t>
            </w:r>
          </w:p>
          <w:p w14:paraId="753036A8" w14:textId="77777777" w:rsidR="00B83A8D" w:rsidRPr="00E2723E" w:rsidRDefault="00B83A8D" w:rsidP="00B83A8D">
            <w:pPr>
              <w:jc w:val="both"/>
              <w:rPr>
                <w:rFonts w:ascii="Times New Roman" w:hAnsi="Times New Roman"/>
                <w:color w:val="000000" w:themeColor="text1"/>
                <w:sz w:val="24"/>
                <w:szCs w:val="24"/>
                <w:lang w:val="nl-NL"/>
              </w:rPr>
            </w:pPr>
            <w:r w:rsidRPr="00E2723E">
              <w:rPr>
                <w:rFonts w:ascii="Times New Roman" w:hAnsi="Times New Roman"/>
                <w:color w:val="000000" w:themeColor="text1"/>
                <w:sz w:val="24"/>
                <w:szCs w:val="24"/>
              </w:rPr>
              <w:t xml:space="preserve">- Khoản 3 Điều 39 quy định “Trường hợp tài sản để thi hành án có người khác tranh chấp thì Chấp hành viên thông báo cho đương sự, người có tranh chấp về quyền khởi kiện tại Tòa án hoặc đề nghị cơ quan có thẩm quyền giải quyết, trừ trường </w:t>
            </w:r>
            <w:r w:rsidRPr="00E2723E">
              <w:rPr>
                <w:rFonts w:ascii="Times New Roman" w:hAnsi="Times New Roman"/>
                <w:color w:val="000000" w:themeColor="text1"/>
                <w:sz w:val="24"/>
                <w:szCs w:val="24"/>
              </w:rPr>
              <w:lastRenderedPageBreak/>
              <w:t>hợp bản án, quyết định có hiệu lực pháp luật tuyên kê biên, xử lý, công nhận quyền sở hữu, quyền sử dụng tài sản đó. Sau khi thông báo, Chấp hành viên thực hiện như sau:</w:t>
            </w:r>
          </w:p>
          <w:p w14:paraId="55ADB9B3" w14:textId="77777777" w:rsidR="00B83A8D" w:rsidRPr="00E2723E" w:rsidRDefault="00B83A8D" w:rsidP="00B83A8D">
            <w:pPr>
              <w:jc w:val="both"/>
              <w:rPr>
                <w:rFonts w:ascii="Times New Roman" w:hAnsi="Times New Roman"/>
                <w:color w:val="000000" w:themeColor="text1"/>
                <w:sz w:val="24"/>
                <w:szCs w:val="24"/>
                <w:lang w:val="nl-NL"/>
              </w:rPr>
            </w:pPr>
            <w:r w:rsidRPr="00E2723E">
              <w:rPr>
                <w:rFonts w:ascii="Times New Roman" w:hAnsi="Times New Roman"/>
                <w:color w:val="000000" w:themeColor="text1"/>
                <w:sz w:val="24"/>
                <w:szCs w:val="24"/>
              </w:rPr>
              <w:t>a) Trường hợp đương sự, người có tranh chấp khởi kiện tại Tòa án hoặc đề nghị cơ quan có thẩm quyền giải quyết tranh chấp về quyền sở hữu tài sản, quyền sử dụng đất thì thực hiện theo quy định tại điểm d khoản 1 Điều 46 của Luật này. Việc xử lý tài sản thực hiện theo quyết định của Tòa án hoặc cơ quan có thẩm quyền;</w:t>
            </w:r>
          </w:p>
          <w:p w14:paraId="04B9ECCF" w14:textId="77777777" w:rsidR="00B83A8D" w:rsidRPr="00E2723E" w:rsidRDefault="00B83A8D" w:rsidP="00B83A8D">
            <w:pPr>
              <w:jc w:val="both"/>
              <w:rPr>
                <w:rFonts w:ascii="Times New Roman" w:hAnsi="Times New Roman"/>
                <w:color w:val="000000" w:themeColor="text1"/>
                <w:sz w:val="24"/>
                <w:szCs w:val="24"/>
                <w:lang w:val="nl-NL"/>
              </w:rPr>
            </w:pPr>
            <w:r w:rsidRPr="00E2723E">
              <w:rPr>
                <w:rFonts w:ascii="Times New Roman" w:hAnsi="Times New Roman"/>
                <w:color w:val="000000" w:themeColor="text1"/>
                <w:sz w:val="24"/>
                <w:szCs w:val="24"/>
              </w:rPr>
              <w:t xml:space="preserve">b) Trường hợp hết thời hạn 30 ngày kể từ ngày được thông báo mà các bên không khởi kiện tại Tòa án, không đề nghị cơ quan có thẩm quyền giải quyết hoặc tranh chấp được Tòa án, cơ quan có thẩm quyền thụ lý không liên quan đến quyền sở hữu tài </w:t>
            </w:r>
            <w:r w:rsidRPr="00E2723E">
              <w:rPr>
                <w:rFonts w:ascii="Times New Roman" w:hAnsi="Times New Roman"/>
                <w:color w:val="000000" w:themeColor="text1"/>
                <w:sz w:val="24"/>
                <w:szCs w:val="24"/>
              </w:rPr>
              <w:lastRenderedPageBreak/>
              <w:t>sản, quyền sử dụng đất thì Chấp hành viên xử lý tài sản theo quy định của Luật này.”.</w:t>
            </w:r>
          </w:p>
          <w:p w14:paraId="6BBE8070" w14:textId="77777777" w:rsidR="00B83A8D" w:rsidRPr="00E2723E" w:rsidRDefault="00B83A8D" w:rsidP="00B83A8D">
            <w:pPr>
              <w:jc w:val="both"/>
              <w:rPr>
                <w:rFonts w:ascii="Times New Roman" w:hAnsi="Times New Roman"/>
                <w:color w:val="000000" w:themeColor="text1"/>
                <w:sz w:val="24"/>
                <w:szCs w:val="24"/>
                <w:lang w:val="nl-NL"/>
              </w:rPr>
            </w:pPr>
            <w:r w:rsidRPr="00E2723E">
              <w:rPr>
                <w:rFonts w:ascii="Times New Roman" w:hAnsi="Times New Roman"/>
                <w:color w:val="000000" w:themeColor="text1"/>
                <w:sz w:val="24"/>
                <w:szCs w:val="24"/>
              </w:rPr>
              <w:t xml:space="preserve">- Điểm d khoản 1 Điều 46 quy định về hoãn thi hành án: “d) Nhận được thông báo </w:t>
            </w:r>
            <w:r w:rsidRPr="00E2723E">
              <w:rPr>
                <w:rFonts w:ascii="Times New Roman" w:hAnsi="Times New Roman"/>
                <w:color w:val="000000" w:themeColor="text1"/>
                <w:spacing w:val="-4"/>
                <w:sz w:val="24"/>
                <w:szCs w:val="24"/>
              </w:rPr>
              <w:t xml:space="preserve">thụ lý </w:t>
            </w:r>
            <w:r w:rsidRPr="00E2723E">
              <w:rPr>
                <w:rFonts w:ascii="Times New Roman" w:hAnsi="Times New Roman"/>
                <w:color w:val="000000" w:themeColor="text1"/>
                <w:sz w:val="24"/>
                <w:szCs w:val="24"/>
              </w:rPr>
              <w:t xml:space="preserve">của </w:t>
            </w:r>
            <w:r w:rsidRPr="00E2723E">
              <w:rPr>
                <w:rFonts w:ascii="Times New Roman" w:hAnsi="Times New Roman"/>
                <w:color w:val="000000" w:themeColor="text1"/>
                <w:spacing w:val="-4"/>
                <w:sz w:val="24"/>
                <w:szCs w:val="24"/>
              </w:rPr>
              <w:t>Tòa án về việc giải quyết yêu cầu xác định, phân chia, giải quyết tranh chấp về quyền sở hữu tài sản, quyền sử dụng đất, trừ trường hợp tài sản đó đã được bản án, quyết định có hiệu lực pháp luật tuyên kê biên, xử lý, công nhận quyền sở hữu, quyền sử dụng hoặc trường hợp người phải thi hành án có tài sản, thu nhập khác để thi hành án;</w:t>
            </w:r>
          </w:p>
          <w:p w14:paraId="48D6DC07" w14:textId="71115F94" w:rsidR="00CD15E9" w:rsidRPr="00A876C4" w:rsidRDefault="00CD15E9" w:rsidP="00081933">
            <w:pPr>
              <w:jc w:val="both"/>
              <w:rPr>
                <w:rFonts w:ascii="Times New Roman" w:eastAsia="Times New Roman" w:hAnsi="Times New Roman" w:cs="Times New Roman"/>
                <w:color w:val="000000"/>
                <w:sz w:val="25"/>
                <w:szCs w:val="25"/>
              </w:rPr>
            </w:pPr>
          </w:p>
        </w:tc>
      </w:tr>
      <w:tr w:rsidR="00EE5702" w:rsidRPr="00A876C4" w14:paraId="4FC981F6" w14:textId="77F2EF17" w:rsidTr="0002368F">
        <w:tc>
          <w:tcPr>
            <w:tcW w:w="737" w:type="dxa"/>
          </w:tcPr>
          <w:p w14:paraId="5C058952" w14:textId="77777777" w:rsidR="00EE5702" w:rsidRPr="00A876C4" w:rsidRDefault="00EE5702" w:rsidP="00EE5702">
            <w:pPr>
              <w:pStyle w:val="ListParagraph"/>
              <w:numPr>
                <w:ilvl w:val="0"/>
                <w:numId w:val="1"/>
              </w:numPr>
              <w:jc w:val="center"/>
              <w:rPr>
                <w:rFonts w:ascii="Times New Roman" w:hAnsi="Times New Roman" w:cs="Times New Roman"/>
                <w:sz w:val="25"/>
                <w:szCs w:val="25"/>
              </w:rPr>
            </w:pPr>
          </w:p>
        </w:tc>
        <w:tc>
          <w:tcPr>
            <w:tcW w:w="1787" w:type="dxa"/>
          </w:tcPr>
          <w:p w14:paraId="5B71F584" w14:textId="22FA4F02"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Khoản 4 Điều 3 Nghị định số 118/2021/NĐ-CP ngày 23/12/2021 của Chính phủ quy định chi tiết một số điều và biện pháp thi hành Luật Xử lý vi phạm hành chính và khoản 2 Điều 2 Nghị định số 122/2021/NĐ-CP</w:t>
            </w:r>
            <w:r>
              <w:rPr>
                <w:rFonts w:ascii="Times New Roman" w:eastAsia="Times New Roman" w:hAnsi="Times New Roman" w:cs="Times New Roman"/>
                <w:color w:val="000000"/>
                <w:sz w:val="25"/>
                <w:szCs w:val="25"/>
              </w:rPr>
              <w:t xml:space="preserve"> </w:t>
            </w:r>
            <w:r w:rsidRPr="00A876C4">
              <w:rPr>
                <w:rFonts w:ascii="Times New Roman" w:eastAsia="Times New Roman" w:hAnsi="Times New Roman" w:cs="Times New Roman"/>
                <w:color w:val="000000"/>
                <w:sz w:val="25"/>
                <w:szCs w:val="25"/>
              </w:rPr>
              <w:t>quy định về xử phạt vi phạm hành chính trong lĩnh vực kế hoạch và đầu tư</w:t>
            </w:r>
          </w:p>
        </w:tc>
        <w:tc>
          <w:tcPr>
            <w:tcW w:w="3967" w:type="dxa"/>
          </w:tcPr>
          <w:p w14:paraId="3DE4A3EB"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 xml:space="preserve">Tại khoản 4 Điều 3 Nghị định số 118/2021/NĐ-CP (quy định chi tiết một số điều và biện pháp thi hành Luật xử lý vi phạm hành chính) quy định: “Chi nhánh, văn phòng đại diện, địa điểm kinh doanh của pháp nhân, tổ chức thực hiện hành vi vi phạm hành chính không thuộc phạm vi hoặc thời hạn được pháp nhân, tổ chức ủy quyền hoặc không theo sự chỉ đạo, điều hành, phân công, chấp thuận của pháp nhân, tổ chức, thì chi nhánh, văn phòng đại diện, địa điểm kinh doanh phải chịu trách nhiệm và bị xử phạt vi phạm hành chính theo mức phạt áp dụng đối với tổ chức về những hoạt động do chi nhánh, văn phòng đại diện, địa điểm kinh doanh thực hiện”. Tuy nhiên, tại điểm b khoản 2 Điều 2 Nghị định số 122/2021/NĐ-CP quy định “Chi nhánh, văn phòng đại diện, địa điểm kinh doanh của doanh nghiệp thực hiện hành vi vi phạm hành chính không thuộc phạm vi, thời hạn được doanh nghiệp ủy quyền và không theo sự chỉ đạo, điều hành, phân công, chấp thuận của doanh </w:t>
            </w:r>
            <w:r w:rsidRPr="00A876C4">
              <w:rPr>
                <w:rFonts w:ascii="Times New Roman" w:eastAsia="Times New Roman" w:hAnsi="Times New Roman" w:cs="Times New Roman"/>
                <w:color w:val="000000"/>
                <w:sz w:val="25"/>
                <w:szCs w:val="25"/>
              </w:rPr>
              <w:lastRenderedPageBreak/>
              <w:t>nghiệp thì người đứng đầu chi nhánh, văn phòng đại diện, địa điểm kinh doanh của doanh nghiệp phải chịu trách nhiệm và bị xử phạt vi phạm hành chính theo mức phạt áp dụng đối với cá nhân về những hoạt động do chi nhánh, văn phòng đại diện, địa điểm kinh doanh của doanh nghiệp thực hiện”. Như vậy, chưa có sự thống nhất trong việc xem xét, xử phạt đối với các hành vi vi phạm quy định tại Nghị định 122/2021/NĐ-CP của chi nhánh, văn phòng đại diện, địa điểm kinh doanh trong trường hợp không thuộc phạm vi, thời hạn được doanh nghiệp ủy quyền và không theo sự chỉ đạo, điều hành, phân công, chấp thuận thuận của chủ doanh nghiệp. Do đó, đề nghị xem xét, quy định thống nhất.</w:t>
            </w:r>
          </w:p>
        </w:tc>
        <w:tc>
          <w:tcPr>
            <w:tcW w:w="2239" w:type="dxa"/>
          </w:tcPr>
          <w:p w14:paraId="0771357B"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696" w:type="dxa"/>
          </w:tcPr>
          <w:p w14:paraId="1D1D719F"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Sở Tư pháp tỉnh Hà Tĩnh, Sở Tư pháp tỉnh Thanh Hóa</w:t>
            </w:r>
          </w:p>
        </w:tc>
        <w:tc>
          <w:tcPr>
            <w:tcW w:w="2282" w:type="dxa"/>
          </w:tcPr>
          <w:p w14:paraId="0D9CB49C" w14:textId="29A3A547" w:rsidR="00EE5702" w:rsidRPr="00A876C4" w:rsidRDefault="00EE5702" w:rsidP="00EE5702">
            <w:pPr>
              <w:jc w:val="both"/>
              <w:rPr>
                <w:rFonts w:ascii="Times New Roman" w:eastAsia="Times New Roman" w:hAnsi="Times New Roman" w:cs="Times New Roman"/>
                <w:color w:val="000000"/>
                <w:sz w:val="25"/>
                <w:szCs w:val="25"/>
              </w:rPr>
            </w:pPr>
            <w:r w:rsidRPr="00142F06">
              <w:rPr>
                <w:rFonts w:ascii="Times New Roman" w:eastAsia="Times New Roman" w:hAnsi="Times New Roman" w:cs="Times New Roman"/>
                <w:color w:val="000000"/>
                <w:sz w:val="24"/>
                <w:szCs w:val="24"/>
              </w:rPr>
              <w:t xml:space="preserve">Nhất trí </w:t>
            </w:r>
            <w:r>
              <w:rPr>
                <w:rFonts w:ascii="Times New Roman" w:eastAsia="Times New Roman" w:hAnsi="Times New Roman" w:cs="Times New Roman"/>
                <w:color w:val="000000"/>
                <w:sz w:val="24"/>
                <w:szCs w:val="24"/>
              </w:rPr>
              <w:t xml:space="preserve">với kiến nghị của địa phương. Nội dung này đang được nghiên cứu </w:t>
            </w:r>
            <w:r w:rsidRPr="00190595">
              <w:rPr>
                <w:rFonts w:ascii="Times New Roman" w:eastAsia="Times New Roman" w:hAnsi="Times New Roman" w:cs="Times New Roman"/>
                <w:color w:val="000000"/>
                <w:sz w:val="24"/>
                <w:szCs w:val="24"/>
              </w:rPr>
              <w:t>sửa đổi, bổ sung để bảo đảm tính thống nhất. Theo Quyết định số 1688/QĐ-TTg ngày 06/8/2025 ban hành Kế hoạch triển khai thi hành Luật sửa đổi, bổ sung một số điều của Luật Xử lý vi phạm hành chính, Nghị định sửa đổi, bổ sung Nghị định số 122/2021/NĐ-CP quy định về xử phạt vi phạm hành chính trong lĩnh vực kế hoạch và đầu tư sẽ được xây dựng theo thủ tục thông thường và trình Chính phủ ban hành vào Quý I/2026.</w:t>
            </w:r>
          </w:p>
        </w:tc>
        <w:tc>
          <w:tcPr>
            <w:tcW w:w="2431" w:type="dxa"/>
          </w:tcPr>
          <w:p w14:paraId="3D09902F" w14:textId="713FE0AC" w:rsidR="00B83A8D" w:rsidRPr="00534005" w:rsidRDefault="00B83A8D" w:rsidP="00EE5702">
            <w:pPr>
              <w:jc w:val="both"/>
              <w:rPr>
                <w:rFonts w:ascii="Times New Roman" w:eastAsia="Times New Roman" w:hAnsi="Times New Roman" w:cs="Times New Roman"/>
                <w:b/>
                <w:color w:val="000000"/>
                <w:sz w:val="24"/>
                <w:szCs w:val="24"/>
              </w:rPr>
            </w:pPr>
            <w:r w:rsidRPr="00534005">
              <w:rPr>
                <w:rFonts w:ascii="Times New Roman" w:eastAsia="Times New Roman" w:hAnsi="Times New Roman" w:cs="Times New Roman"/>
                <w:b/>
                <w:color w:val="000000"/>
                <w:sz w:val="24"/>
                <w:szCs w:val="24"/>
              </w:rPr>
              <w:t>Đ</w:t>
            </w:r>
            <w:r w:rsidR="001A6430">
              <w:rPr>
                <w:rFonts w:ascii="Times New Roman" w:eastAsia="Times New Roman" w:hAnsi="Times New Roman" w:cs="Times New Roman"/>
                <w:b/>
                <w:color w:val="000000"/>
                <w:sz w:val="24"/>
                <w:szCs w:val="24"/>
              </w:rPr>
              <w:t>ang xử lý</w:t>
            </w:r>
          </w:p>
          <w:p w14:paraId="3DCB2E08" w14:textId="3AB496CA" w:rsidR="00EE5702" w:rsidRPr="00EE5702" w:rsidRDefault="00EE5702" w:rsidP="00EE5702">
            <w:pPr>
              <w:jc w:val="both"/>
              <w:rPr>
                <w:rFonts w:ascii="Times New Roman" w:eastAsia="Times New Roman" w:hAnsi="Times New Roman" w:cs="Times New Roman"/>
                <w:color w:val="000000"/>
                <w:sz w:val="25"/>
                <w:szCs w:val="25"/>
              </w:rPr>
            </w:pPr>
            <w:r w:rsidRPr="00EE5702">
              <w:rPr>
                <w:rFonts w:ascii="Times New Roman" w:eastAsia="Times New Roman" w:hAnsi="Times New Roman" w:cs="Times New Roman"/>
                <w:color w:val="000000"/>
                <w:sz w:val="24"/>
                <w:szCs w:val="24"/>
              </w:rPr>
              <w:t>Nghị định sửa đổi, bổ sung Nghị định số 122/2021/NĐ-CP quy định về xử phạt vi phạm hành chính trong lĩnh vực kế hoạch và đầu tư đang được xây dựng theo thủ tục thông thường và trình Chính phủ ban hành vào Quý I/2026.</w:t>
            </w:r>
          </w:p>
        </w:tc>
      </w:tr>
      <w:tr w:rsidR="00D714B0" w:rsidRPr="00A876C4" w14:paraId="27A9F708" w14:textId="36B1B94E" w:rsidTr="0002368F">
        <w:tc>
          <w:tcPr>
            <w:tcW w:w="737" w:type="dxa"/>
          </w:tcPr>
          <w:p w14:paraId="008BAA8A" w14:textId="77777777" w:rsidR="00D714B0" w:rsidRPr="00A876C4" w:rsidRDefault="00D714B0" w:rsidP="00D714B0">
            <w:pPr>
              <w:pStyle w:val="ListParagraph"/>
              <w:numPr>
                <w:ilvl w:val="0"/>
                <w:numId w:val="1"/>
              </w:numPr>
              <w:jc w:val="center"/>
              <w:rPr>
                <w:rFonts w:ascii="Times New Roman" w:hAnsi="Times New Roman" w:cs="Times New Roman"/>
                <w:sz w:val="25"/>
                <w:szCs w:val="25"/>
              </w:rPr>
            </w:pPr>
          </w:p>
        </w:tc>
        <w:tc>
          <w:tcPr>
            <w:tcW w:w="1787" w:type="dxa"/>
          </w:tcPr>
          <w:p w14:paraId="091A2064" w14:textId="77777777" w:rsidR="00D714B0" w:rsidRPr="00A876C4" w:rsidRDefault="00D714B0" w:rsidP="00D714B0">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Khoản 1 Điều 5 Quyết định số 25/2021/QĐ-TTg ngày 22/7/2021 của Thủ tướng Chính phủ quy định về xã, phường, thị trấn đạt chuẩn tiếp cận pháp luật</w:t>
            </w:r>
          </w:p>
        </w:tc>
        <w:tc>
          <w:tcPr>
            <w:tcW w:w="3967" w:type="dxa"/>
          </w:tcPr>
          <w:p w14:paraId="4A594EE8" w14:textId="77777777" w:rsidR="00D714B0" w:rsidRPr="00A876C4" w:rsidRDefault="00D714B0" w:rsidP="00D714B0">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 xml:space="preserve">Tại khoản 1 Điều 5 Quyết định số 25/2021/QĐ-TTg ngày 22/7/2021 của Thủ tướng Chính phủ Quy định về xã, phường, thị trấn đạt chuẩn tiếp cận pháp luật: “Việc đánh giá công nhận xã, phường, thị trấn đạt chuẩn tiếp cận pháp luật được thực hiện hàng năm tính từ ngày 01/01 đến ngày 31/12 của năm đánh giá và thời gian thực hiện quy trình đánh giá, công nhận tiếp cận pháp luật vào đầu năm sau, chậm nhất ngày 10/02 của năm liền kề năm đánh giá”. Tại khoản 1 </w:t>
            </w:r>
            <w:r w:rsidRPr="00A876C4">
              <w:rPr>
                <w:rFonts w:ascii="Times New Roman" w:eastAsia="Times New Roman" w:hAnsi="Times New Roman" w:cs="Times New Roman"/>
                <w:color w:val="000000"/>
                <w:sz w:val="25"/>
                <w:szCs w:val="25"/>
              </w:rPr>
              <w:lastRenderedPageBreak/>
              <w:t>Điều 4 Nghị định số 86/2023/NĐ-CP ngày 07/12/2023 của Chính phủ quy định về khung tiêu chuẩn và trình tự, thủ tục, hồ sơ xét tặng danh hiệu “Gia đình văn hóa”, “Thôn, tổ dân phố văn hóa”, “Xã, phường, thị trấn tiêu biểu” quy định việc bình xét “xã, phường, thị trấn tiêu biểu” được thực hiện hàng năm và hoàn thành trước ngày 25/11. Như vậy thời điểm có kết quả đánh giá, công nhận cấp xã hàng năm (trước ngày 10/02 của năm sau liền kề) muộn hơn so với thời điểm hoàn thành việc xét tặng danh hiệu “xã, phường, thị trấn tiêu biểu”. Tiêu chí đạt chuẩn tiếp cận pháp luật được xác định là một trong những chỉ tiêu, tiêu chí trong các bộ tiêu chuẩn, tiêu chí đánh giá chính quyền cấp xã.</w:t>
            </w:r>
          </w:p>
        </w:tc>
        <w:tc>
          <w:tcPr>
            <w:tcW w:w="2239" w:type="dxa"/>
          </w:tcPr>
          <w:p w14:paraId="5F34F08F" w14:textId="77777777" w:rsidR="00D714B0" w:rsidRPr="00A876C4" w:rsidRDefault="00D714B0" w:rsidP="00D714B0">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696" w:type="dxa"/>
          </w:tcPr>
          <w:p w14:paraId="0CFD910B" w14:textId="77777777" w:rsidR="00D714B0" w:rsidRPr="00A876C4" w:rsidRDefault="00D714B0" w:rsidP="00D714B0">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Sở Tư pháp tỉnh Hưng Yên</w:t>
            </w:r>
          </w:p>
        </w:tc>
        <w:tc>
          <w:tcPr>
            <w:tcW w:w="2282" w:type="dxa"/>
          </w:tcPr>
          <w:p w14:paraId="26AF21A1" w14:textId="6967E82A" w:rsidR="00D714B0" w:rsidRPr="00A876C4" w:rsidRDefault="00D714B0" w:rsidP="00D714B0">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4"/>
                <w:szCs w:val="24"/>
              </w:rPr>
              <w:t>Nhất trí với nội dung kiến nghị của địa phương. Nội dung này đã được Bộ Tư pháp tham mưu, xử lý trong Quyết định số 27/2025/QĐ-TTg ngày 04/8/2025</w:t>
            </w:r>
            <w:r w:rsidRPr="00B07C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của Thủ tướng Chính phủ </w:t>
            </w:r>
            <w:r w:rsidRPr="00B07CCB">
              <w:rPr>
                <w:rFonts w:ascii="Times New Roman" w:eastAsia="Times New Roman" w:hAnsi="Times New Roman" w:cs="Times New Roman"/>
                <w:color w:val="000000"/>
                <w:sz w:val="24"/>
                <w:szCs w:val="24"/>
              </w:rPr>
              <w:t>quy định xã, phường, đặc khu đạt chuẩn tiếp cận pháp luật</w:t>
            </w:r>
            <w:r>
              <w:rPr>
                <w:rFonts w:ascii="Times New Roman" w:eastAsia="Times New Roman" w:hAnsi="Times New Roman" w:cs="Times New Roman"/>
                <w:color w:val="000000"/>
                <w:sz w:val="24"/>
                <w:szCs w:val="24"/>
              </w:rPr>
              <w:t xml:space="preserve"> thay thế Quyết định </w:t>
            </w:r>
            <w:r w:rsidRPr="00562593">
              <w:rPr>
                <w:rFonts w:ascii="Times New Roman" w:eastAsia="Times New Roman" w:hAnsi="Times New Roman" w:cs="Times New Roman"/>
                <w:color w:val="000000"/>
                <w:sz w:val="24"/>
                <w:szCs w:val="24"/>
              </w:rPr>
              <w:lastRenderedPageBreak/>
              <w:t>số 25/2021/QĐ-TTg</w:t>
            </w:r>
            <w:r w:rsidRPr="00B07C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Cụ thể</w:t>
            </w:r>
            <w:r w:rsidRPr="00B07CCB">
              <w:rPr>
                <w:rFonts w:ascii="Times New Roman" w:eastAsia="Times New Roman" w:hAnsi="Times New Roman" w:cs="Times New Roman"/>
                <w:color w:val="000000"/>
                <w:sz w:val="24"/>
                <w:szCs w:val="24"/>
              </w:rPr>
              <w:t xml:space="preserve"> Điều 6 Quyết định đã quy định về thời gian đánh giá như sau: </w:t>
            </w:r>
            <w:r>
              <w:rPr>
                <w:rFonts w:ascii="Times New Roman" w:eastAsia="Times New Roman" w:hAnsi="Times New Roman" w:cs="Times New Roman"/>
                <w:i/>
                <w:color w:val="000000"/>
                <w:sz w:val="24"/>
                <w:szCs w:val="24"/>
              </w:rPr>
              <w:t>“</w:t>
            </w:r>
            <w:r w:rsidRPr="00190595">
              <w:rPr>
                <w:rFonts w:ascii="Times New Roman" w:eastAsia="Times New Roman" w:hAnsi="Times New Roman" w:cs="Times New Roman"/>
                <w:i/>
                <w:color w:val="000000"/>
                <w:sz w:val="24"/>
                <w:szCs w:val="24"/>
              </w:rPr>
              <w:t>1.Việc đánh giá, công nhận cấp xã đạt chuẩn tiếp cận pháp luật được thực hiện hằng năm. 2. Ủy ban nhân dân cấp xã tổ chức họp, đánh giá kết quả thực hiện và mức độ đạt của từng tiêu chí tiếp cận pháp luật; niêm yết hoặc đăng tải công khai kết quả tự đánh giá trong ít nhất là 10 ngày để lấy ý kiến của cơ quan, tổ chức, cá nhân trên địa bàn; gửi hồ sơ đề nghị công nhận cấp xã đạt chuẩn tiếp cận pháp luật đến Sở Tư pháp trước ngày 25 tháng 11 của năm đánh giá”</w:t>
            </w:r>
            <w:r w:rsidRPr="00B07CCB">
              <w:rPr>
                <w:rFonts w:ascii="Times New Roman" w:eastAsia="Times New Roman" w:hAnsi="Times New Roman" w:cs="Times New Roman"/>
                <w:color w:val="000000"/>
                <w:sz w:val="24"/>
                <w:szCs w:val="24"/>
              </w:rPr>
              <w:t xml:space="preserve">. Quy định này nhằm tạo sự tương thích giữa thời gian đánh giá cấp xã đạt chuẩn </w:t>
            </w:r>
            <w:r>
              <w:rPr>
                <w:rFonts w:ascii="Times New Roman" w:eastAsia="Times New Roman" w:hAnsi="Times New Roman" w:cs="Times New Roman"/>
                <w:color w:val="000000"/>
                <w:sz w:val="24"/>
                <w:szCs w:val="24"/>
              </w:rPr>
              <w:t xml:space="preserve">tiếp cận pháp luật </w:t>
            </w:r>
            <w:r w:rsidRPr="00B07CCB">
              <w:rPr>
                <w:rFonts w:ascii="Times New Roman" w:eastAsia="Times New Roman" w:hAnsi="Times New Roman" w:cs="Times New Roman"/>
                <w:color w:val="000000"/>
                <w:sz w:val="24"/>
                <w:szCs w:val="24"/>
              </w:rPr>
              <w:t xml:space="preserve">và thời gian bình xét xã, phường, </w:t>
            </w:r>
            <w:r w:rsidRPr="00B07CCB">
              <w:rPr>
                <w:rFonts w:ascii="Times New Roman" w:eastAsia="Times New Roman" w:hAnsi="Times New Roman" w:cs="Times New Roman"/>
                <w:color w:val="000000"/>
                <w:sz w:val="24"/>
                <w:szCs w:val="24"/>
              </w:rPr>
              <w:lastRenderedPageBreak/>
              <w:t xml:space="preserve">đặc khu tiêu biểu để có thể sử dụng kết quả đánh giá cấp xã đạt chuẩn </w:t>
            </w:r>
            <w:r>
              <w:rPr>
                <w:rFonts w:ascii="Times New Roman" w:eastAsia="Times New Roman" w:hAnsi="Times New Roman" w:cs="Times New Roman"/>
                <w:color w:val="000000"/>
                <w:sz w:val="24"/>
                <w:szCs w:val="24"/>
              </w:rPr>
              <w:t xml:space="preserve">tiếp cận pháp luật </w:t>
            </w:r>
            <w:r w:rsidRPr="00B07CCB">
              <w:rPr>
                <w:rFonts w:ascii="Times New Roman" w:eastAsia="Times New Roman" w:hAnsi="Times New Roman" w:cs="Times New Roman"/>
                <w:color w:val="000000"/>
                <w:sz w:val="24"/>
                <w:szCs w:val="24"/>
              </w:rPr>
              <w:t>để xét tặng danh hiệu xã, phường, đặc khu tiêu biểu.</w:t>
            </w:r>
          </w:p>
        </w:tc>
        <w:tc>
          <w:tcPr>
            <w:tcW w:w="2431" w:type="dxa"/>
          </w:tcPr>
          <w:p w14:paraId="3940AC22" w14:textId="428CA79A" w:rsidR="001A6430" w:rsidRPr="00534005" w:rsidRDefault="001A6430" w:rsidP="00D714B0">
            <w:pPr>
              <w:jc w:val="both"/>
              <w:rPr>
                <w:rFonts w:ascii="Times New Roman" w:eastAsia="Times New Roman" w:hAnsi="Times New Roman" w:cs="Times New Roman"/>
                <w:b/>
                <w:sz w:val="25"/>
                <w:szCs w:val="25"/>
              </w:rPr>
            </w:pPr>
            <w:r w:rsidRPr="00534005">
              <w:rPr>
                <w:rFonts w:ascii="Times New Roman" w:eastAsia="Times New Roman" w:hAnsi="Times New Roman" w:cs="Times New Roman"/>
                <w:b/>
                <w:sz w:val="25"/>
                <w:szCs w:val="25"/>
              </w:rPr>
              <w:lastRenderedPageBreak/>
              <w:t>Đã xử lý</w:t>
            </w:r>
          </w:p>
          <w:p w14:paraId="5B1EBB5A" w14:textId="29069C15" w:rsidR="00D714B0" w:rsidRPr="00A876C4" w:rsidRDefault="00D714B0" w:rsidP="00D714B0">
            <w:pPr>
              <w:jc w:val="both"/>
              <w:rPr>
                <w:rFonts w:ascii="Times New Roman" w:eastAsia="Times New Roman" w:hAnsi="Times New Roman" w:cs="Times New Roman"/>
                <w:color w:val="000000"/>
                <w:sz w:val="25"/>
                <w:szCs w:val="25"/>
              </w:rPr>
            </w:pPr>
            <w:r w:rsidRPr="00AD726B">
              <w:rPr>
                <w:rFonts w:ascii="Times New Roman" w:eastAsia="Times New Roman" w:hAnsi="Times New Roman" w:cs="Times New Roman"/>
                <w:sz w:val="25"/>
                <w:szCs w:val="25"/>
              </w:rPr>
              <w:t xml:space="preserve">Bộ Tư pháp đã tham mưu Thủ tướng Chính phủ ban hành Quyết định số 27/2025/QĐ-TTg ngày 04/8/2025 quy định xã, phường, đặc khu đạt chuẩn tiếp cận pháp luật thay thế Quyết định số 25/2021/QĐ-TTg. </w:t>
            </w:r>
          </w:p>
        </w:tc>
      </w:tr>
      <w:tr w:rsidR="00EE5702" w:rsidRPr="00A876C4" w14:paraId="6EC9358D" w14:textId="4506599D" w:rsidTr="0002368F">
        <w:tc>
          <w:tcPr>
            <w:tcW w:w="737" w:type="dxa"/>
          </w:tcPr>
          <w:p w14:paraId="3E76A3B5" w14:textId="77777777" w:rsidR="00EE5702" w:rsidRPr="00A876C4" w:rsidRDefault="00EE5702" w:rsidP="00EE5702">
            <w:pPr>
              <w:pStyle w:val="ListParagraph"/>
              <w:numPr>
                <w:ilvl w:val="0"/>
                <w:numId w:val="1"/>
              </w:numPr>
              <w:jc w:val="center"/>
              <w:rPr>
                <w:rFonts w:ascii="Times New Roman" w:hAnsi="Times New Roman" w:cs="Times New Roman"/>
                <w:sz w:val="25"/>
                <w:szCs w:val="25"/>
              </w:rPr>
            </w:pPr>
          </w:p>
        </w:tc>
        <w:tc>
          <w:tcPr>
            <w:tcW w:w="1787" w:type="dxa"/>
          </w:tcPr>
          <w:p w14:paraId="68731A43"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Khoản 2 Điều 14 Thông tư số 01/2020/TT-BTP ngày 03/3/2020 của Bộ trưởng Bộ Tư pháp</w:t>
            </w:r>
          </w:p>
        </w:tc>
        <w:tc>
          <w:tcPr>
            <w:tcW w:w="3967" w:type="dxa"/>
          </w:tcPr>
          <w:p w14:paraId="22C36F6F" w14:textId="64F70EDE"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Tại điểm d khoản 4</w:t>
            </w:r>
            <w:r>
              <w:rPr>
                <w:rFonts w:ascii="Times New Roman" w:eastAsia="Times New Roman" w:hAnsi="Times New Roman" w:cs="Times New Roman"/>
                <w:color w:val="000000"/>
                <w:sz w:val="25"/>
                <w:szCs w:val="25"/>
              </w:rPr>
              <w:t xml:space="preserve"> </w:t>
            </w:r>
            <w:r w:rsidRPr="00A876C4">
              <w:rPr>
                <w:rFonts w:ascii="Times New Roman" w:eastAsia="Times New Roman" w:hAnsi="Times New Roman" w:cs="Times New Roman"/>
                <w:color w:val="000000"/>
                <w:sz w:val="25"/>
                <w:szCs w:val="25"/>
              </w:rPr>
              <w:t>Điều 24 Nghị định 23/2015/NĐ-CP quy định phạm vi chứng thực chữ ký trên giấy ủy quyền như sau: “Chứng thực chữ ký trong Giấy ủy quyền đối với trường hợp ủy quyền không có thù lao, không có nghĩa vụ bồi thường của bên được ủy quyền và không liên quan đến việc chuyển quyền sở hữu tài sản, quyền sử dụng bất động sản”.</w:t>
            </w:r>
          </w:p>
          <w:p w14:paraId="3E96A8CD"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 xml:space="preserve">Tuy nhiên, theo quy định tại khoản 2, điều 14, Thông tư 01/2020/TT-BTP ngày 03/3/2020 của Bộ Tư pháp quy định chi tiết và hướng dẫn thi hành một số điều của Nghị định 23/2015/NĐ-CP, việc chứng thực chữ ký trên giấy ủy quyền chỉ được thực hiện trong 4 trường hợp sau đây: </w:t>
            </w:r>
            <w:r w:rsidRPr="00A876C4">
              <w:rPr>
                <w:rFonts w:ascii="Times New Roman" w:eastAsia="Times New Roman" w:hAnsi="Times New Roman" w:cs="Times New Roman"/>
                <w:color w:val="000000"/>
                <w:sz w:val="25"/>
                <w:szCs w:val="25"/>
              </w:rPr>
              <w:br/>
              <w:t>“a) Ủy quyền về việc nộp hộ, nhận hộ hồ sơ, giấy tờ, trừ trường hợp pháp luật quy định không được ủy quyền;</w:t>
            </w:r>
          </w:p>
          <w:p w14:paraId="34D69225"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 Ủy quyền nhận hộ lương hưu, bưu phẩm, trợ cấp, phụ cấp;</w:t>
            </w:r>
          </w:p>
          <w:p w14:paraId="26B16ED5"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 Ủy quyền nhờ trông nom nhà cửa;</w:t>
            </w:r>
          </w:p>
          <w:p w14:paraId="7FF5AF9A"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lastRenderedPageBreak/>
              <w:t>- Ủy quyền của thành viên hộ gia đình để vay vốn tại Ngân hàng chính sách xã hội”.</w:t>
            </w:r>
          </w:p>
          <w:p w14:paraId="0F5E9910"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Đối chiếu những quy định nêu trên, có thể nhận thấy không có sự thống nhất trong quy định về phạm vi chứng thực chữ ký trên giấy ủy quyền. Quy định tại khoản 2, điều 14 Thông tư 01/2020/TT-BTP đã thu hẹp phạm vi chứng thực chữ ký trên giấy ủy quyền được quy định tại điểm d, khoản 4, điều 24 Nghị định 23/2015/NĐ-CP.</w:t>
            </w:r>
            <w:r w:rsidRPr="00A876C4">
              <w:rPr>
                <w:rFonts w:ascii="Times New Roman" w:eastAsia="Times New Roman" w:hAnsi="Times New Roman" w:cs="Times New Roman"/>
                <w:color w:val="000000"/>
                <w:sz w:val="25"/>
                <w:szCs w:val="25"/>
              </w:rPr>
              <w:br/>
              <w:t>Ngay cả 4 trường hợp cho phép chứng thực chữ ký trên giấy ủy quyền theo quy định tại khoản 2, điều 14 Thông tư 01/2020/TT-BTP cũng thể hiện nhiều bất cập. Thông tư 01/2020/TT-BTP cho phép chứng thực chữ ký trên giấy ủy quyền nộp hộ, nhận hộ hồ sơ nhưng lại không cho phép chứng thực chữ ký trên giấy ủy quyền rút hồ sơ; cho phép chứng thực chữ ký trên giấy ủy quyền nhờ trông nom nhà cửa nhưng lại không cho phép chứng thực chữ ký trên giấy ủy quyền trông nom tài sản không phải nhà ở; cho phép chứng thực chữ ký trên giấy ủy quyền nhận hộ trợ cấp, phụ cấp, lương hưu nhưng lại không cho phép chứng thực chữ ký trên giấy ủy quyền nhận hộ các khoản cấp dưỡng, lương (không phải lương hưu)</w:t>
            </w:r>
          </w:p>
        </w:tc>
        <w:tc>
          <w:tcPr>
            <w:tcW w:w="2239" w:type="dxa"/>
          </w:tcPr>
          <w:p w14:paraId="3B22C6DE"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696" w:type="dxa"/>
          </w:tcPr>
          <w:p w14:paraId="4033F423"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Sở Tư pháp tỉnh Thanh Hóa</w:t>
            </w:r>
          </w:p>
        </w:tc>
        <w:tc>
          <w:tcPr>
            <w:tcW w:w="2282" w:type="dxa"/>
          </w:tcPr>
          <w:p w14:paraId="2429B31D" w14:textId="5A5A3E80" w:rsidR="00EE5702" w:rsidRPr="00A876C4" w:rsidRDefault="00EE5702" w:rsidP="00EE5702">
            <w:pPr>
              <w:jc w:val="both"/>
              <w:rPr>
                <w:rFonts w:ascii="Times New Roman" w:eastAsia="Times New Roman" w:hAnsi="Times New Roman" w:cs="Times New Roman"/>
                <w:color w:val="000000"/>
                <w:sz w:val="25"/>
                <w:szCs w:val="25"/>
              </w:rPr>
            </w:pPr>
            <w:r w:rsidRPr="00063E6B">
              <w:rPr>
                <w:rFonts w:ascii="Times New Roman" w:eastAsia="Times New Roman" w:hAnsi="Times New Roman" w:cs="Times New Roman"/>
                <w:color w:val="000000"/>
                <w:sz w:val="25"/>
                <w:szCs w:val="25"/>
              </w:rPr>
              <w:t>Nhất trí với kiến nghị của Địa phương. Bộ đang nghiên cứu sửa đổi, bổ sung Nghị định số 23/2015/NĐ-CP trình Chính phủ trong tháng 9/2025. Sau khi Chính phủ ban hành Nghị định sửa đổi, bổ sung Nghị định số 23/2015/NĐ-CP, Bộ Tư pháp sẽ nghiên cứu sửa Thông tư số 01/2020/TT-BTP ngày 03/3/2020 cho phù hợp.</w:t>
            </w:r>
          </w:p>
        </w:tc>
        <w:tc>
          <w:tcPr>
            <w:tcW w:w="2431" w:type="dxa"/>
          </w:tcPr>
          <w:p w14:paraId="0914BB06" w14:textId="5651BA66" w:rsidR="00B26E3D" w:rsidRPr="00534005" w:rsidRDefault="00B26E3D" w:rsidP="00EE5702">
            <w:pPr>
              <w:jc w:val="both"/>
              <w:rPr>
                <w:rFonts w:ascii="Times New Roman" w:eastAsia="Times New Roman" w:hAnsi="Times New Roman" w:cs="Times New Roman"/>
                <w:b/>
                <w:color w:val="000000"/>
                <w:sz w:val="25"/>
                <w:szCs w:val="25"/>
              </w:rPr>
            </w:pPr>
            <w:r w:rsidRPr="00534005">
              <w:rPr>
                <w:rFonts w:ascii="Times New Roman" w:eastAsia="Times New Roman" w:hAnsi="Times New Roman" w:cs="Times New Roman"/>
                <w:b/>
                <w:color w:val="000000"/>
                <w:sz w:val="25"/>
                <w:szCs w:val="25"/>
              </w:rPr>
              <w:t>Đang xử lý</w:t>
            </w:r>
          </w:p>
          <w:p w14:paraId="1FA8C7C9" w14:textId="35740886" w:rsidR="00EE5702" w:rsidRPr="00A876C4" w:rsidRDefault="001A6430">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Sau khi Nghị định số 280/2025/NĐ-CP được ban hành</w:t>
            </w:r>
            <w:r w:rsidR="00B26E3D">
              <w:rPr>
                <w:rFonts w:ascii="Times New Roman" w:eastAsia="Times New Roman" w:hAnsi="Times New Roman" w:cs="Times New Roman"/>
                <w:color w:val="000000"/>
                <w:sz w:val="25"/>
                <w:szCs w:val="25"/>
              </w:rPr>
              <w:t xml:space="preserve">, Bộ Tư pháp đang nghiên cứu xây dựng Thông tư </w:t>
            </w:r>
            <w:r w:rsidR="00EE5702" w:rsidRPr="00AA19D5">
              <w:rPr>
                <w:rFonts w:ascii="Times New Roman" w:eastAsia="Times New Roman" w:hAnsi="Times New Roman" w:cs="Times New Roman"/>
                <w:color w:val="000000"/>
                <w:sz w:val="25"/>
                <w:szCs w:val="25"/>
              </w:rPr>
              <w:t xml:space="preserve">sửa </w:t>
            </w:r>
            <w:r w:rsidR="00D90C52">
              <w:rPr>
                <w:rFonts w:ascii="Times New Roman" w:eastAsia="Times New Roman" w:hAnsi="Times New Roman" w:cs="Times New Roman"/>
                <w:color w:val="000000"/>
                <w:sz w:val="25"/>
                <w:szCs w:val="25"/>
              </w:rPr>
              <w:t xml:space="preserve"> đổi, bổ sung </w:t>
            </w:r>
            <w:r w:rsidR="00EE5702" w:rsidRPr="00AA19D5">
              <w:rPr>
                <w:rFonts w:ascii="Times New Roman" w:eastAsia="Times New Roman" w:hAnsi="Times New Roman" w:cs="Times New Roman"/>
                <w:color w:val="000000"/>
                <w:sz w:val="25"/>
                <w:szCs w:val="25"/>
              </w:rPr>
              <w:t>Thông tư số 01/2020/TT-BTP ngày 03/3/2020 cho phù hợp.</w:t>
            </w:r>
          </w:p>
        </w:tc>
      </w:tr>
      <w:tr w:rsidR="00EE5702" w:rsidRPr="00A876C4" w14:paraId="17AD0E61" w14:textId="29052524" w:rsidTr="0002368F">
        <w:tc>
          <w:tcPr>
            <w:tcW w:w="737" w:type="dxa"/>
          </w:tcPr>
          <w:p w14:paraId="38185025" w14:textId="77777777" w:rsidR="00EE5702" w:rsidRPr="00A876C4" w:rsidRDefault="00EE5702" w:rsidP="00EE5702">
            <w:pPr>
              <w:pStyle w:val="ListParagraph"/>
              <w:numPr>
                <w:ilvl w:val="0"/>
                <w:numId w:val="1"/>
              </w:numPr>
              <w:jc w:val="center"/>
              <w:rPr>
                <w:rFonts w:ascii="Times New Roman" w:hAnsi="Times New Roman" w:cs="Times New Roman"/>
                <w:sz w:val="25"/>
                <w:szCs w:val="25"/>
              </w:rPr>
            </w:pPr>
          </w:p>
        </w:tc>
        <w:tc>
          <w:tcPr>
            <w:tcW w:w="1787" w:type="dxa"/>
          </w:tcPr>
          <w:p w14:paraId="17C760E7"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Thông tư số 07/2025/TT-BTP của Bộ trưởng Bộ Tư pháp để  đảm bảo thống nhất và phù hợp với quy định của Nghị định số 08/2020/NĐ-CP và Luật Công chứng</w:t>
            </w:r>
          </w:p>
        </w:tc>
        <w:tc>
          <w:tcPr>
            <w:tcW w:w="3967" w:type="dxa"/>
          </w:tcPr>
          <w:p w14:paraId="56DD4001" w14:textId="77777777" w:rsidR="00EE5702" w:rsidRPr="00A876C4" w:rsidRDefault="00EE5702" w:rsidP="00EE5702">
            <w:pPr>
              <w:spacing w:after="120"/>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Khoản 2 Điều 68 Luật Công chứng năm 2024: “2. Hồ sơ công chứng phải được lưu trữ tại trụ sở của tổ chức hành nghề công chứng trong thời hạn ít nhất 30 năm đối với các giao dịch có đối tượng là bất động sản, ít nhất 10 năm đối với các loại giao dịch khác kể từ ngày văn bản công chứng có hiệu lực; trường hợp lưu trữ ngoài trụ sở thì phải có sự đồng ý bằng văn bản của Sở Tư pháp nơi tổ chức hành nghề công chứng đặt trụ sở.” Khoản 3 Điều 39 Nghị định 08/2020/NĐ-CP ngày 08 tháng 01 năm 2020 của Chính phủ về tổ chức và hoạt động của Thừa phát lại, quy định: “3. Vi bằng phải được gửi cho người yêu cầu và được lưu trữ tại Văn phòng Thừa phát lại theo quy định của pháp luật về lưu trữ như đối với văn bản công chứng.”</w:t>
            </w:r>
          </w:p>
          <w:p w14:paraId="00ED4826" w14:textId="77777777" w:rsidR="00EE5702" w:rsidRPr="00A876C4" w:rsidRDefault="00EE5702" w:rsidP="00EE5702">
            <w:pPr>
              <w:spacing w:after="260"/>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 xml:space="preserve">Tuy nhiên, Thông tư 07/2025/TT-BTP ngày 10/6/2025 quy định về thời hạn lưu trữ hồ sơ, tài liệu ngành tư pháp: tại mục VIII về hồ sơ, tài liệu THADS; thi hành án hành chính; TPL (stt 86) quy định Hồ sơ thực hiện công việc lập vi bằng lưu trữ vĩnh viễn. Từ đó, cho thấy Khoản 3 Điều 39 Nghị định 08/2020/NĐ-CP, Khoản 2 Điều 68 Luật Công chứng 2024 chưa có sự thống nhất với Thông tư số </w:t>
            </w:r>
            <w:r w:rsidRPr="00A876C4">
              <w:rPr>
                <w:rFonts w:ascii="Times New Roman" w:eastAsia="Times New Roman" w:hAnsi="Times New Roman" w:cs="Times New Roman"/>
                <w:color w:val="000000"/>
                <w:sz w:val="25"/>
                <w:szCs w:val="25"/>
              </w:rPr>
              <w:lastRenderedPageBreak/>
              <w:t>07/2025/TT-BTP trong việc lưu trữ hỗ sơ vi bằng.</w:t>
            </w:r>
          </w:p>
        </w:tc>
        <w:tc>
          <w:tcPr>
            <w:tcW w:w="2239" w:type="dxa"/>
          </w:tcPr>
          <w:p w14:paraId="29F58EDB"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696" w:type="dxa"/>
          </w:tcPr>
          <w:p w14:paraId="4C76321D"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Sở Tư pháp tỉnh Đồng Tháp</w:t>
            </w:r>
          </w:p>
        </w:tc>
        <w:tc>
          <w:tcPr>
            <w:tcW w:w="2282" w:type="dxa"/>
          </w:tcPr>
          <w:p w14:paraId="6D6D5D9C" w14:textId="0D3F26BC" w:rsidR="00EE5702" w:rsidRPr="00A876C4" w:rsidRDefault="00EE5702" w:rsidP="00EE5702">
            <w:pPr>
              <w:jc w:val="both"/>
              <w:rPr>
                <w:rFonts w:ascii="Times New Roman" w:eastAsia="Times New Roman" w:hAnsi="Times New Roman" w:cs="Times New Roman"/>
                <w:color w:val="000000"/>
                <w:sz w:val="25"/>
                <w:szCs w:val="25"/>
                <w:highlight w:val="yellow"/>
              </w:rPr>
            </w:pPr>
            <w:r w:rsidRPr="00063E6B">
              <w:rPr>
                <w:rFonts w:ascii="Times New Roman" w:eastAsia="Times New Roman" w:hAnsi="Times New Roman" w:cs="Times New Roman"/>
                <w:color w:val="000000"/>
                <w:sz w:val="25"/>
                <w:szCs w:val="25"/>
              </w:rPr>
              <w:t>Nhất trí với kiến nghị của Sở Tư pháp, Bộ Tư pháp sẽ nghiên cứu sửa đổi, bổ sung Nghị định số 08/2020/NĐ-CP trong năm 2025 để bảo đảm tính thống nhất, phù hợp với thực tiễn.</w:t>
            </w:r>
          </w:p>
        </w:tc>
        <w:tc>
          <w:tcPr>
            <w:tcW w:w="2431" w:type="dxa"/>
          </w:tcPr>
          <w:p w14:paraId="776C0D85" w14:textId="2E0E5B2F" w:rsidR="00D90C52" w:rsidRPr="00534005" w:rsidRDefault="00D90C52" w:rsidP="00EE5702">
            <w:pPr>
              <w:jc w:val="both"/>
              <w:rPr>
                <w:rFonts w:ascii="Times New Roman" w:eastAsia="Times New Roman" w:hAnsi="Times New Roman"/>
                <w:b/>
                <w:color w:val="000000"/>
                <w:sz w:val="25"/>
                <w:szCs w:val="25"/>
              </w:rPr>
            </w:pPr>
            <w:r w:rsidRPr="00534005">
              <w:rPr>
                <w:rFonts w:ascii="Times New Roman" w:eastAsia="Times New Roman" w:hAnsi="Times New Roman"/>
                <w:b/>
                <w:color w:val="000000"/>
                <w:sz w:val="25"/>
                <w:szCs w:val="25"/>
              </w:rPr>
              <w:t>Đang xử lý</w:t>
            </w:r>
          </w:p>
          <w:p w14:paraId="456E959E" w14:textId="246CA7BF" w:rsidR="00EE5702" w:rsidRPr="00A876C4" w:rsidRDefault="00EE5702" w:rsidP="00EE5702">
            <w:pPr>
              <w:jc w:val="both"/>
              <w:rPr>
                <w:rFonts w:ascii="Times New Roman" w:eastAsia="Times New Roman" w:hAnsi="Times New Roman" w:cs="Times New Roman"/>
                <w:color w:val="000000"/>
                <w:sz w:val="25"/>
                <w:szCs w:val="25"/>
              </w:rPr>
            </w:pPr>
            <w:r w:rsidRPr="004B31E3">
              <w:rPr>
                <w:rFonts w:ascii="Times New Roman" w:eastAsia="Times New Roman" w:hAnsi="Times New Roman"/>
                <w:color w:val="000000"/>
                <w:sz w:val="25"/>
                <w:szCs w:val="25"/>
              </w:rPr>
              <w:t>Bộ Tư pháp đang nghiên cứu sửa đổi, bổ sung Nghị định số 08/2020/NĐ-CP để bảo đảm tính thống nhất, phù hợp với thực tiễ</w:t>
            </w:r>
            <w:r w:rsidRPr="004B31E3">
              <w:rPr>
                <w:rFonts w:ascii="Times New Roman" w:eastAsia="Times New Roman" w:hAnsi="Times New Roman"/>
                <w:color w:val="000000"/>
                <w:sz w:val="25"/>
                <w:szCs w:val="25"/>
                <w:lang w:val="vi-VN"/>
              </w:rPr>
              <w:t>n. Nghị định sửa</w:t>
            </w:r>
            <w:r w:rsidRPr="004B31E3">
              <w:rPr>
                <w:rFonts w:ascii="Times New Roman" w:eastAsia="Times New Roman" w:hAnsi="Times New Roman"/>
                <w:color w:val="000000"/>
                <w:sz w:val="25"/>
                <w:szCs w:val="25"/>
              </w:rPr>
              <w:t xml:space="preserve"> đổi, bổ sung </w:t>
            </w:r>
            <w:r w:rsidRPr="004B31E3">
              <w:rPr>
                <w:rFonts w:ascii="Times New Roman" w:eastAsia="Times New Roman" w:hAnsi="Times New Roman"/>
                <w:color w:val="000000"/>
                <w:sz w:val="25"/>
                <w:szCs w:val="25"/>
                <w:lang w:val="vi-VN"/>
              </w:rPr>
              <w:t>Nghị định số 08/2020/NĐ-CP dự kiến t</w:t>
            </w:r>
            <w:r>
              <w:rPr>
                <w:rFonts w:ascii="Times New Roman" w:eastAsia="Times New Roman" w:hAnsi="Times New Roman"/>
                <w:color w:val="000000"/>
                <w:sz w:val="25"/>
                <w:szCs w:val="25"/>
                <w:lang w:val="vi-VN"/>
              </w:rPr>
              <w:t>rình Chính phủ vào tháng 4/2026.</w:t>
            </w:r>
          </w:p>
        </w:tc>
      </w:tr>
      <w:tr w:rsidR="00EE5702" w:rsidRPr="00A876C4" w14:paraId="6F97D626" w14:textId="3E6EA970" w:rsidTr="0002368F">
        <w:tc>
          <w:tcPr>
            <w:tcW w:w="737" w:type="dxa"/>
          </w:tcPr>
          <w:p w14:paraId="650D5782" w14:textId="77777777" w:rsidR="00EE5702" w:rsidRPr="00A876C4" w:rsidRDefault="00EE5702" w:rsidP="00EE5702">
            <w:pPr>
              <w:pStyle w:val="ListParagraph"/>
              <w:numPr>
                <w:ilvl w:val="0"/>
                <w:numId w:val="1"/>
              </w:numPr>
              <w:jc w:val="center"/>
              <w:rPr>
                <w:rFonts w:ascii="Times New Roman" w:hAnsi="Times New Roman" w:cs="Times New Roman"/>
                <w:sz w:val="25"/>
                <w:szCs w:val="25"/>
              </w:rPr>
            </w:pPr>
          </w:p>
        </w:tc>
        <w:tc>
          <w:tcPr>
            <w:tcW w:w="1787" w:type="dxa"/>
          </w:tcPr>
          <w:p w14:paraId="4BE2FFE0"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Thông tư số 03/2022/TT-BTP ngày 10/02/2022 của Bộ trưởng Bộ Tư pháp hướng dẫn việc đánh giá tác động của thủ tục hành chính trong lập đề nghị xây dựng văn bản quy phạm pháp luật và soạn thảo dự án, dự thảo văn bản quy phạm pháp luật</w:t>
            </w:r>
          </w:p>
        </w:tc>
        <w:tc>
          <w:tcPr>
            <w:tcW w:w="3967" w:type="dxa"/>
          </w:tcPr>
          <w:p w14:paraId="5E7F128F"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"Khi quy định về thời hạn giải quyết thủ tục hành chính thì cần quy định thống nhất về thời gian là “ngày” hoặc “ngày làm việc”. Theo đó, “ngày” là đơn vị chỉ thời gian (kể ngày nghỉ, lễ, tết theo quy định), “ngày làm việc” là đơn vị chỉ thời gian làm việc của cơ quan giải quyết thủ tục hành chính (không kể ngày nghỉ, lễ, tết theo quy định). Đối với thủ tục hành chính có thời hạn giải quyết dưới 7 ngày thì quy định là “ngày làm việc”, đối với thủ tục hành chính có quy định thời hạn giải quyết trên 7 ngày thì quy định là “ngày” để đảm bảo thống nhất trong quá trình quy định và thực hiện thủ tục hành chính". Thời hạn giải quyết thủ tục hành chính quy định cả ngày và ngày làm việc, dẫn đến thiếu thống nhất trong thực hiện thủ tục hành chính, khó xác định trách nhiệm của các cơ quan tham gia giải quyết thủ tục hành chính, đồng thời, gây khó khăn cho việc tái cấu trúc quy trình thực hiện dịch vụ công trực tuyến và đánh giá kết quả việc giải quyết thủ tục hành chính của tổ chức, cá nhân liên quan</w:t>
            </w:r>
          </w:p>
        </w:tc>
        <w:tc>
          <w:tcPr>
            <w:tcW w:w="2239" w:type="dxa"/>
          </w:tcPr>
          <w:p w14:paraId="4BF7DE27"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C. Sửa đổi, bổ sung, thay thế, ban hành mới VBQPPL (theo trình tự, thủ tục rút gọn ban hành VBQPPL của Luật Ban hành VBQPPL)</w:t>
            </w:r>
          </w:p>
        </w:tc>
        <w:tc>
          <w:tcPr>
            <w:tcW w:w="1696" w:type="dxa"/>
          </w:tcPr>
          <w:p w14:paraId="7F124EB6"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Văn phòng Chính phủ</w:t>
            </w:r>
          </w:p>
        </w:tc>
        <w:tc>
          <w:tcPr>
            <w:tcW w:w="2282" w:type="dxa"/>
          </w:tcPr>
          <w:p w14:paraId="5327BF79" w14:textId="77777777" w:rsidR="00EE5702" w:rsidRPr="00AA19D5" w:rsidRDefault="00EE5702" w:rsidP="00EE5702">
            <w:pPr>
              <w:jc w:val="both"/>
              <w:rPr>
                <w:rFonts w:ascii="Times New Roman" w:eastAsia="Times New Roman" w:hAnsi="Times New Roman" w:cs="Times New Roman"/>
                <w:color w:val="000000"/>
                <w:sz w:val="26"/>
                <w:szCs w:val="26"/>
              </w:rPr>
            </w:pPr>
            <w:r w:rsidRPr="00AA19D5">
              <w:rPr>
                <w:rFonts w:ascii="Times New Roman" w:eastAsia="Times New Roman" w:hAnsi="Times New Roman" w:cs="Times New Roman"/>
                <w:color w:val="000000"/>
                <w:sz w:val="26"/>
                <w:szCs w:val="26"/>
              </w:rPr>
              <w:t>Nhất trí với kiến nghị, Bộ Tư pháp đang xây dựng Thông tư hướng dẫn nghiệp vụ soạn thảo văn bản QPPL sẽ nghiên cứu quy định vấn đề này cho phù hợp. Dự kiến Thông tư này sẽ được ban hành trong Quý III/2025.</w:t>
            </w:r>
          </w:p>
          <w:p w14:paraId="7C62A66E" w14:textId="67B80E02" w:rsidR="00EE5702" w:rsidRPr="00A876C4" w:rsidRDefault="00EE5702" w:rsidP="00EE5702">
            <w:pPr>
              <w:jc w:val="both"/>
              <w:rPr>
                <w:rFonts w:ascii="Times New Roman" w:eastAsia="Times New Roman" w:hAnsi="Times New Roman" w:cs="Times New Roman"/>
                <w:color w:val="000000"/>
                <w:sz w:val="25"/>
                <w:szCs w:val="25"/>
              </w:rPr>
            </w:pPr>
          </w:p>
        </w:tc>
        <w:tc>
          <w:tcPr>
            <w:tcW w:w="2431" w:type="dxa"/>
          </w:tcPr>
          <w:p w14:paraId="0029BE81" w14:textId="77777777" w:rsidR="00007676" w:rsidRPr="00534005" w:rsidRDefault="00007676" w:rsidP="00007676">
            <w:pPr>
              <w:jc w:val="both"/>
              <w:rPr>
                <w:rFonts w:ascii="Times New Roman" w:eastAsia="Times New Roman" w:hAnsi="Times New Roman"/>
                <w:b/>
                <w:color w:val="000000"/>
                <w:sz w:val="26"/>
                <w:szCs w:val="26"/>
              </w:rPr>
            </w:pPr>
            <w:r w:rsidRPr="00534005">
              <w:rPr>
                <w:rFonts w:ascii="Times New Roman" w:eastAsia="Times New Roman" w:hAnsi="Times New Roman"/>
                <w:b/>
                <w:color w:val="000000"/>
                <w:sz w:val="26"/>
                <w:szCs w:val="26"/>
              </w:rPr>
              <w:t>Đã xử lý.</w:t>
            </w:r>
          </w:p>
          <w:p w14:paraId="3666FBC4" w14:textId="40E59AE0" w:rsidR="00EE5702" w:rsidRPr="00A876C4" w:rsidRDefault="00007676" w:rsidP="00007676">
            <w:pPr>
              <w:jc w:val="both"/>
              <w:rPr>
                <w:rFonts w:ascii="Times New Roman" w:eastAsia="Times New Roman" w:hAnsi="Times New Roman" w:cs="Times New Roman"/>
                <w:color w:val="000000"/>
                <w:sz w:val="25"/>
                <w:szCs w:val="25"/>
              </w:rPr>
            </w:pPr>
            <w:r w:rsidRPr="00534005">
              <w:rPr>
                <w:rFonts w:ascii="Times New Roman" w:eastAsia="Times New Roman" w:hAnsi="Times New Roman"/>
                <w:color w:val="000000"/>
                <w:sz w:val="26"/>
                <w:szCs w:val="26"/>
              </w:rPr>
              <w:t>Bộ trưởng Bộ Tư pháp đã ký ban hành Thông tư hướng dẫn xây dựng, ban hành văn bản QPPL. Thông tư sẽ có hiệu lực ngày 15/12/2025.</w:t>
            </w:r>
          </w:p>
        </w:tc>
      </w:tr>
      <w:tr w:rsidR="00EE5702" w:rsidRPr="00A876C4" w14:paraId="0DE27C93" w14:textId="27D54C05" w:rsidTr="0002368F">
        <w:tc>
          <w:tcPr>
            <w:tcW w:w="737" w:type="dxa"/>
          </w:tcPr>
          <w:p w14:paraId="2EFF6A50" w14:textId="77777777" w:rsidR="00EE5702" w:rsidRPr="00A876C4" w:rsidRDefault="00EE5702" w:rsidP="00EE5702">
            <w:pPr>
              <w:pStyle w:val="ListParagraph"/>
              <w:numPr>
                <w:ilvl w:val="0"/>
                <w:numId w:val="1"/>
              </w:numPr>
              <w:jc w:val="center"/>
              <w:rPr>
                <w:rFonts w:ascii="Times New Roman" w:hAnsi="Times New Roman" w:cs="Times New Roman"/>
                <w:sz w:val="25"/>
                <w:szCs w:val="25"/>
              </w:rPr>
            </w:pPr>
          </w:p>
        </w:tc>
        <w:tc>
          <w:tcPr>
            <w:tcW w:w="1787" w:type="dxa"/>
          </w:tcPr>
          <w:p w14:paraId="179E584E"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t xml:space="preserve">Điểm c khoản 1 Điều 3,  khoản </w:t>
            </w:r>
            <w:r w:rsidRPr="00A876C4">
              <w:rPr>
                <w:rFonts w:ascii="Times New Roman" w:eastAsia="Times New Roman" w:hAnsi="Times New Roman" w:cs="Times New Roman"/>
                <w:color w:val="000000"/>
                <w:sz w:val="25"/>
                <w:szCs w:val="25"/>
              </w:rPr>
              <w:lastRenderedPageBreak/>
              <w:t>7 Điều 11 Thông tư số 09/2025/TT-BTP ngày 16/6/2025 của Bộ trưởng Bộ Tư pháp hướng dẫn chức năng, nhiệm vụ, quyền hạn của Sở Tư pháp thuộc UBND tỉnh, thành phố thuộc Trung ương và chức năng nhiệm vụ quyền hạn của Văn phòng HĐND và UBND thuộc UBND xã, phường, đặc khu trong lĩnh vực tư pháp</w:t>
            </w:r>
          </w:p>
        </w:tc>
        <w:tc>
          <w:tcPr>
            <w:tcW w:w="3967" w:type="dxa"/>
          </w:tcPr>
          <w:p w14:paraId="30AE68A0" w14:textId="77777777" w:rsidR="00EE5702" w:rsidRPr="00A876C4" w:rsidRDefault="00EE5702" w:rsidP="00EE5702">
            <w:pPr>
              <w:jc w:val="both"/>
              <w:rPr>
                <w:rFonts w:ascii="Times New Roman" w:eastAsia="Times New Roman" w:hAnsi="Times New Roman" w:cs="Times New Roman"/>
                <w:color w:val="000000"/>
                <w:spacing w:val="-4"/>
                <w:sz w:val="25"/>
                <w:szCs w:val="25"/>
              </w:rPr>
            </w:pPr>
            <w:r w:rsidRPr="00A876C4">
              <w:rPr>
                <w:rFonts w:ascii="Times New Roman" w:eastAsia="Times New Roman" w:hAnsi="Times New Roman" w:cs="Times New Roman"/>
                <w:color w:val="000000"/>
                <w:spacing w:val="-4"/>
                <w:sz w:val="25"/>
                <w:szCs w:val="25"/>
              </w:rPr>
              <w:lastRenderedPageBreak/>
              <w:t xml:space="preserve">Tại điểm c khoản 1 Điều 3 Thông tư số 09/2025/TT-BTP quy định: Sở Tư </w:t>
            </w:r>
            <w:r w:rsidRPr="00A876C4">
              <w:rPr>
                <w:rFonts w:ascii="Times New Roman" w:eastAsia="Times New Roman" w:hAnsi="Times New Roman" w:cs="Times New Roman"/>
                <w:color w:val="000000"/>
                <w:spacing w:val="-4"/>
                <w:sz w:val="25"/>
                <w:szCs w:val="25"/>
              </w:rPr>
              <w:lastRenderedPageBreak/>
              <w:t>pháp trình UBND cấp tỉnh dự thảo Quyết định quy định chức năng, nhiệm vụ, quyền hạn và cơ cấu tổ chức đơn vị sự nghiệp công lập. Tuy nhiên, tại khoản 7 Điều 11 Thông tư số 09/2025/TT-BTP quy định: Sở Tư pháp quy định chức năng, nhiệm vụ, quyền hạn đơn vị sự nghiệp công lập thuộc Sở phù hợp với chức năng, nhiệm vụ, quyền hạn của Sở Tư pháp. Do đó, đề nghị rà soát, sửa đổi nội dung này để thống nhất trong các quy định của Thông tư số 09/2025/TT-BTP và thống nhất với quy định tại khoản 2 Điều 19 Nghị định 150/2025/NĐ-CP.</w:t>
            </w:r>
          </w:p>
          <w:p w14:paraId="2DF0961F" w14:textId="77777777" w:rsidR="00EE5702" w:rsidRPr="00A876C4" w:rsidRDefault="00EE5702" w:rsidP="00EE5702">
            <w:pPr>
              <w:jc w:val="both"/>
              <w:rPr>
                <w:rFonts w:ascii="Times New Roman" w:eastAsia="Times New Roman" w:hAnsi="Times New Roman" w:cs="Times New Roman"/>
                <w:color w:val="000000"/>
                <w:spacing w:val="-4"/>
                <w:sz w:val="25"/>
                <w:szCs w:val="25"/>
              </w:rPr>
            </w:pPr>
            <w:r w:rsidRPr="00A876C4">
              <w:rPr>
                <w:rFonts w:ascii="Times New Roman" w:eastAsia="Times New Roman" w:hAnsi="Times New Roman" w:cs="Times New Roman"/>
                <w:color w:val="000000"/>
                <w:spacing w:val="-4"/>
                <w:sz w:val="25"/>
                <w:szCs w:val="25"/>
              </w:rPr>
              <w:t xml:space="preserve">Khoản 7 Điều 11 quy định nhiệm vụ, quyền hạn của Sở Tư pháp như sau: "7. Quy định cụ thể chức năng, nhiệm vụ, quyền hạn của văn phòng và các phòng chuyên môn, nghiệp vụ, đơn vị sự nghiệp công lập thuộc Sở phù hợp với chức năng, nhiệm vụ, quyền hạn của Sở Tư pháp; quản lý tổ chức bộ máy, biên chế công chức, ngạch công chức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Tư pháp theo quy định của pháp luật." Quy định nêu trên không phù hợp với quy định tại điểm c khoản 1 Điều 4 </w:t>
            </w:r>
            <w:r w:rsidRPr="00A876C4">
              <w:rPr>
                <w:rFonts w:ascii="Times New Roman" w:eastAsia="Times New Roman" w:hAnsi="Times New Roman" w:cs="Times New Roman"/>
                <w:color w:val="000000"/>
                <w:spacing w:val="-4"/>
                <w:sz w:val="25"/>
                <w:szCs w:val="25"/>
              </w:rPr>
              <w:lastRenderedPageBreak/>
              <w:t>Nghị định số 150/2025/NĐ-CP của Chính phủ quy định về nhiệm vụ, quyền hạn của cơ quan chuyên môn cấp tỉnh: "c)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 Theo đó, Sở Tư pháp có nhiệm vụ trình UBND cấp tỉnh dự thảo Quyết định quy định chức năng, nhiệm vụ, quyền hạn và cơ cấu tổ chức của đơn vị sự nghiệp công lập, Sở Tư pháp không có thẩm quyền ban hành quy định cụ thể chức năng, nhiệm vụ, quyền hạn của đơn vị sự nghiệp công lập thuộc Sở.</w:t>
            </w:r>
          </w:p>
        </w:tc>
        <w:tc>
          <w:tcPr>
            <w:tcW w:w="2239" w:type="dxa"/>
          </w:tcPr>
          <w:p w14:paraId="01BBEE7E"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lastRenderedPageBreak/>
              <w:t xml:space="preserve">C. Sửa đổi, bổ sung, thay thế, ban hành </w:t>
            </w:r>
            <w:r w:rsidRPr="00A876C4">
              <w:rPr>
                <w:rFonts w:ascii="Times New Roman" w:eastAsia="Times New Roman" w:hAnsi="Times New Roman" w:cs="Times New Roman"/>
                <w:color w:val="000000"/>
                <w:sz w:val="25"/>
                <w:szCs w:val="25"/>
              </w:rPr>
              <w:t>mới VBQPPL (theo trình tự, thủ tục rút gọn ban hành VBQPPL của Luật Ban hành VBQPPL)</w:t>
            </w:r>
          </w:p>
        </w:tc>
        <w:tc>
          <w:tcPr>
            <w:tcW w:w="1696" w:type="dxa"/>
          </w:tcPr>
          <w:p w14:paraId="21B91956" w14:textId="77777777" w:rsidR="00EE5702" w:rsidRPr="00A876C4" w:rsidRDefault="00EE5702" w:rsidP="00EE5702">
            <w:pPr>
              <w:jc w:val="both"/>
              <w:rPr>
                <w:rFonts w:ascii="Times New Roman" w:eastAsia="Times New Roman" w:hAnsi="Times New Roman" w:cs="Times New Roman"/>
                <w:color w:val="000000"/>
                <w:sz w:val="25"/>
                <w:szCs w:val="25"/>
              </w:rPr>
            </w:pPr>
            <w:r w:rsidRPr="00A876C4">
              <w:rPr>
                <w:rFonts w:ascii="Times New Roman" w:eastAsia="Times New Roman" w:hAnsi="Times New Roman" w:cs="Times New Roman"/>
                <w:color w:val="000000"/>
                <w:sz w:val="25"/>
                <w:szCs w:val="25"/>
              </w:rPr>
              <w:lastRenderedPageBreak/>
              <w:t xml:space="preserve">Sở Tư pháp tỉnh Hà Tĩnh, </w:t>
            </w:r>
            <w:r w:rsidRPr="00A876C4">
              <w:rPr>
                <w:rFonts w:ascii="Times New Roman" w:eastAsia="Times New Roman" w:hAnsi="Times New Roman" w:cs="Times New Roman"/>
                <w:color w:val="000000"/>
                <w:sz w:val="25"/>
                <w:szCs w:val="25"/>
              </w:rPr>
              <w:lastRenderedPageBreak/>
              <w:t>Sở Tư pháp tỉnh Đồng Nai</w:t>
            </w:r>
          </w:p>
        </w:tc>
        <w:tc>
          <w:tcPr>
            <w:tcW w:w="2282" w:type="dxa"/>
          </w:tcPr>
          <w:p w14:paraId="5F6DB8EE" w14:textId="77777777" w:rsidR="00EE5702" w:rsidRDefault="00EE5702" w:rsidP="00EE570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Nhất trí với</w:t>
            </w:r>
            <w:r w:rsidRPr="00562593">
              <w:rPr>
                <w:rFonts w:ascii="Times New Roman" w:eastAsia="Times New Roman" w:hAnsi="Times New Roman" w:cs="Times New Roman"/>
                <w:color w:val="000000"/>
                <w:sz w:val="24"/>
                <w:szCs w:val="24"/>
              </w:rPr>
              <w:t xml:space="preserve"> kiến nghị, Bộ Tư pháp </w:t>
            </w:r>
            <w:r>
              <w:rPr>
                <w:rFonts w:ascii="Times New Roman" w:eastAsia="Times New Roman" w:hAnsi="Times New Roman" w:cs="Times New Roman"/>
                <w:color w:val="000000"/>
                <w:sz w:val="24"/>
                <w:szCs w:val="24"/>
              </w:rPr>
              <w:lastRenderedPageBreak/>
              <w:t>đang</w:t>
            </w:r>
            <w:r w:rsidRPr="00562593">
              <w:rPr>
                <w:rFonts w:ascii="Times New Roman" w:eastAsia="Times New Roman" w:hAnsi="Times New Roman" w:cs="Times New Roman"/>
                <w:color w:val="000000"/>
                <w:sz w:val="24"/>
                <w:szCs w:val="24"/>
              </w:rPr>
              <w:t xml:space="preserve"> nghiên cứu để sửa đổi, bổ sung Thông tư số 09/2025/TT-BTP ngày 16/6/2025 của Bộ trưởng Bộ Tư pháp hướng dẫn chức năng, nhiệm vụ, quyền hạn của Sở Tư pháp thuộc UBND tỉnh, thành phố thuộc Trung ương và chức năng nhiệm vụ quyền</w:t>
            </w:r>
            <w:r>
              <w:rPr>
                <w:rFonts w:ascii="Times New Roman" w:eastAsia="Times New Roman" w:hAnsi="Times New Roman" w:cs="Times New Roman"/>
                <w:color w:val="000000"/>
                <w:sz w:val="24"/>
                <w:szCs w:val="24"/>
              </w:rPr>
              <w:t xml:space="preserve"> hạn của Văn phòng HĐND và UBND </w:t>
            </w:r>
            <w:r w:rsidRPr="00562593">
              <w:rPr>
                <w:rFonts w:ascii="Times New Roman" w:eastAsia="Times New Roman" w:hAnsi="Times New Roman" w:cs="Times New Roman"/>
                <w:color w:val="000000"/>
                <w:sz w:val="24"/>
                <w:szCs w:val="24"/>
              </w:rPr>
              <w:t>thuộc UBND xã, phường, đặc khu trong lĩnh vực tư pháp</w:t>
            </w:r>
            <w:r>
              <w:rPr>
                <w:rFonts w:ascii="Times New Roman" w:eastAsia="Times New Roman" w:hAnsi="Times New Roman" w:cs="Times New Roman"/>
                <w:color w:val="000000"/>
                <w:sz w:val="24"/>
                <w:szCs w:val="24"/>
              </w:rPr>
              <w:t>. Dự kiến Thông tư này sẽ được Bộ Tư pháp ban hành trong Quý III/2025.</w:t>
            </w:r>
          </w:p>
          <w:p w14:paraId="550DCF9C" w14:textId="1AFE4D21" w:rsidR="00EE5702" w:rsidRPr="00A876C4" w:rsidRDefault="00EE5702" w:rsidP="00EE5702">
            <w:pPr>
              <w:jc w:val="both"/>
              <w:rPr>
                <w:rFonts w:ascii="Times New Roman" w:eastAsia="Times New Roman" w:hAnsi="Times New Roman" w:cs="Times New Roman"/>
                <w:color w:val="000000"/>
                <w:sz w:val="25"/>
                <w:szCs w:val="25"/>
              </w:rPr>
            </w:pPr>
          </w:p>
        </w:tc>
        <w:tc>
          <w:tcPr>
            <w:tcW w:w="2431" w:type="dxa"/>
          </w:tcPr>
          <w:p w14:paraId="00CC9D99" w14:textId="2C9967EC" w:rsidR="00561C0A" w:rsidRPr="00534005" w:rsidRDefault="00561C0A" w:rsidP="00EE5702">
            <w:pPr>
              <w:jc w:val="both"/>
              <w:rPr>
                <w:rFonts w:ascii="Times New Roman" w:eastAsia="Times New Roman" w:hAnsi="Times New Roman" w:cs="Times New Roman"/>
                <w:b/>
                <w:color w:val="000000"/>
                <w:sz w:val="25"/>
                <w:szCs w:val="25"/>
              </w:rPr>
            </w:pPr>
            <w:r w:rsidRPr="00534005">
              <w:rPr>
                <w:rFonts w:ascii="Times New Roman" w:eastAsia="Times New Roman" w:hAnsi="Times New Roman" w:cs="Times New Roman"/>
                <w:b/>
                <w:color w:val="000000"/>
                <w:sz w:val="25"/>
                <w:szCs w:val="25"/>
              </w:rPr>
              <w:lastRenderedPageBreak/>
              <w:t>Đã xử lý</w:t>
            </w:r>
          </w:p>
          <w:p w14:paraId="73A21D33" w14:textId="4AF6D677" w:rsidR="00561C0A" w:rsidRDefault="00561C0A" w:rsidP="00EE5702">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Ngày 27/11/2025, Bộ trưởng Bộ Tư pháp đã ký ban hành Thông tư số 24/2025/TT-BTP </w:t>
            </w:r>
            <w:r w:rsidRPr="00561C0A">
              <w:rPr>
                <w:rFonts w:ascii="Times New Roman" w:eastAsia="Times New Roman" w:hAnsi="Times New Roman" w:cs="Times New Roman"/>
                <w:color w:val="000000"/>
                <w:sz w:val="25"/>
                <w:szCs w:val="25"/>
              </w:rPr>
              <w:t>sửa đổi, bổ sung, bãi bỏ một số điều của các thông tư thuộc lĩnh vực tổ chức cán bộ và thông tư có liên quan thuộc phạm vi quản lý của Bộ Tư pháp</w:t>
            </w:r>
            <w:r w:rsidR="002E07EE">
              <w:rPr>
                <w:rFonts w:ascii="Times New Roman" w:eastAsia="Times New Roman" w:hAnsi="Times New Roman" w:cs="Times New Roman"/>
                <w:color w:val="000000"/>
                <w:sz w:val="25"/>
                <w:szCs w:val="25"/>
              </w:rPr>
              <w:t>.</w:t>
            </w:r>
          </w:p>
          <w:p w14:paraId="3CD23009" w14:textId="0AD9FFAE" w:rsidR="00EE5702" w:rsidRPr="00561C0A" w:rsidRDefault="00EE5702">
            <w:pPr>
              <w:jc w:val="both"/>
              <w:rPr>
                <w:rFonts w:ascii="Times New Roman" w:eastAsia="Times New Roman" w:hAnsi="Times New Roman" w:cs="Times New Roman"/>
                <w:color w:val="000000"/>
                <w:sz w:val="25"/>
                <w:szCs w:val="25"/>
              </w:rPr>
            </w:pPr>
            <w:r w:rsidRPr="00561C0A">
              <w:rPr>
                <w:rFonts w:ascii="Times New Roman" w:eastAsia="Times New Roman" w:hAnsi="Times New Roman" w:cs="Times New Roman"/>
                <w:color w:val="000000"/>
                <w:sz w:val="25"/>
                <w:szCs w:val="25"/>
              </w:rPr>
              <w:t xml:space="preserve">Theo đó, </w:t>
            </w:r>
            <w:r w:rsidR="002E07EE">
              <w:rPr>
                <w:rFonts w:ascii="Times New Roman" w:eastAsia="Times New Roman" w:hAnsi="Times New Roman" w:cs="Times New Roman"/>
                <w:color w:val="000000"/>
                <w:sz w:val="25"/>
                <w:szCs w:val="25"/>
              </w:rPr>
              <w:t>Thông tư đã</w:t>
            </w:r>
            <w:r w:rsidRPr="00561C0A">
              <w:rPr>
                <w:rFonts w:ascii="Times New Roman" w:eastAsia="Times New Roman" w:hAnsi="Times New Roman" w:cs="Times New Roman"/>
                <w:color w:val="000000"/>
                <w:sz w:val="25"/>
                <w:szCs w:val="25"/>
              </w:rPr>
              <w:t xml:space="preserve"> sửa đổi khoản 7 Điều 11 Thông tư số 09/2025/TT-BTP để bảo đảm thống nhất, đồng bộ với quy định của Thông tư số 09/2025/TT-BTP và Nghị định số 150/2025/NĐ-CP. (được sự nhất trí của Bộ trưởng, ngày 17/9/2025, Vụ trưởng Vụ Tổ chức cán bộ đã ký thừa lệnh Bộ trưởng Công văn số 5745/BTP-TCCB về việc góp ý dự thảo Thông tư sửa đổi, bổ sung, bãi bỏ một số điều của các Thông tư thuộc lĩnh vực tổ chức </w:t>
            </w:r>
            <w:r w:rsidRPr="00561C0A">
              <w:rPr>
                <w:rFonts w:ascii="Times New Roman" w:eastAsia="Times New Roman" w:hAnsi="Times New Roman" w:cs="Times New Roman"/>
                <w:color w:val="000000"/>
                <w:sz w:val="25"/>
                <w:szCs w:val="25"/>
              </w:rPr>
              <w:lastRenderedPageBreak/>
              <w:t>cán bộ của Bộ Tư pháp gửi lấy ý kiến Bộ Nội vụ, Sở Tư pháp các tỉnh, thành phố và các đơn vị thuộc Bộ).</w:t>
            </w:r>
          </w:p>
        </w:tc>
      </w:tr>
    </w:tbl>
    <w:p w14:paraId="03A80274" w14:textId="74BEA888" w:rsidR="00F30742" w:rsidRDefault="00F30742"/>
    <w:sectPr w:rsidR="00F30742" w:rsidSect="00295A74">
      <w:headerReference w:type="default" r:id="rId8"/>
      <w:pgSz w:w="16840" w:h="11907" w:orient="landscape" w:code="9"/>
      <w:pgMar w:top="1134" w:right="1134"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DCF3" w14:textId="77777777" w:rsidR="00516229" w:rsidRDefault="00516229" w:rsidP="00E40AFF">
      <w:pPr>
        <w:spacing w:after="0" w:line="240" w:lineRule="auto"/>
      </w:pPr>
      <w:r>
        <w:separator/>
      </w:r>
    </w:p>
  </w:endnote>
  <w:endnote w:type="continuationSeparator" w:id="0">
    <w:p w14:paraId="334A5B13" w14:textId="77777777" w:rsidR="00516229" w:rsidRDefault="00516229" w:rsidP="00E4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CB50" w14:textId="77777777" w:rsidR="00516229" w:rsidRDefault="00516229" w:rsidP="00E40AFF">
      <w:pPr>
        <w:spacing w:after="0" w:line="240" w:lineRule="auto"/>
      </w:pPr>
      <w:r>
        <w:separator/>
      </w:r>
    </w:p>
  </w:footnote>
  <w:footnote w:type="continuationSeparator" w:id="0">
    <w:p w14:paraId="2DC8907A" w14:textId="77777777" w:rsidR="00516229" w:rsidRDefault="00516229" w:rsidP="00E4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30353"/>
      <w:docPartObj>
        <w:docPartGallery w:val="Page Numbers (Top of Page)"/>
        <w:docPartUnique/>
      </w:docPartObj>
    </w:sdtPr>
    <w:sdtEndPr>
      <w:rPr>
        <w:rFonts w:ascii="Times New Roman" w:hAnsi="Times New Roman" w:cs="Times New Roman"/>
        <w:noProof/>
      </w:rPr>
    </w:sdtEndPr>
    <w:sdtContent>
      <w:p w14:paraId="0177EBFE" w14:textId="0829AD4E" w:rsidR="00CF1EAE" w:rsidRPr="00562593" w:rsidRDefault="00CF1EAE">
        <w:pPr>
          <w:pStyle w:val="Header"/>
          <w:jc w:val="center"/>
          <w:rPr>
            <w:rFonts w:ascii="Times New Roman" w:hAnsi="Times New Roman" w:cs="Times New Roman"/>
          </w:rPr>
        </w:pPr>
        <w:r w:rsidRPr="00562593">
          <w:rPr>
            <w:rFonts w:ascii="Times New Roman" w:hAnsi="Times New Roman" w:cs="Times New Roman"/>
          </w:rPr>
          <w:fldChar w:fldCharType="begin"/>
        </w:r>
        <w:r w:rsidRPr="00562593">
          <w:rPr>
            <w:rFonts w:ascii="Times New Roman" w:hAnsi="Times New Roman" w:cs="Times New Roman"/>
          </w:rPr>
          <w:instrText xml:space="preserve"> PAGE   \* MERGEFORMAT </w:instrText>
        </w:r>
        <w:r w:rsidRPr="00562593">
          <w:rPr>
            <w:rFonts w:ascii="Times New Roman" w:hAnsi="Times New Roman" w:cs="Times New Roman"/>
          </w:rPr>
          <w:fldChar w:fldCharType="separate"/>
        </w:r>
        <w:r w:rsidR="00534005">
          <w:rPr>
            <w:rFonts w:ascii="Times New Roman" w:hAnsi="Times New Roman" w:cs="Times New Roman"/>
            <w:noProof/>
          </w:rPr>
          <w:t>2</w:t>
        </w:r>
        <w:r w:rsidRPr="00562593">
          <w:rPr>
            <w:rFonts w:ascii="Times New Roman" w:hAnsi="Times New Roman" w:cs="Times New Roman"/>
            <w:noProof/>
          </w:rPr>
          <w:fldChar w:fldCharType="end"/>
        </w:r>
      </w:p>
    </w:sdtContent>
  </w:sdt>
  <w:p w14:paraId="70A51A94" w14:textId="77777777" w:rsidR="00CF1EAE" w:rsidRDefault="00CF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7D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C2859F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79872A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53C54D5"/>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8C1539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60927A5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2D84F9E"/>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75C3062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F64786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48977349">
    <w:abstractNumId w:val="8"/>
  </w:num>
  <w:num w:numId="2" w16cid:durableId="973481655">
    <w:abstractNumId w:val="4"/>
  </w:num>
  <w:num w:numId="3" w16cid:durableId="1476294064">
    <w:abstractNumId w:val="5"/>
  </w:num>
  <w:num w:numId="4" w16cid:durableId="488139605">
    <w:abstractNumId w:val="7"/>
  </w:num>
  <w:num w:numId="5" w16cid:durableId="1503398838">
    <w:abstractNumId w:val="2"/>
  </w:num>
  <w:num w:numId="6" w16cid:durableId="1434086412">
    <w:abstractNumId w:val="6"/>
  </w:num>
  <w:num w:numId="7" w16cid:durableId="1265770494">
    <w:abstractNumId w:val="1"/>
  </w:num>
  <w:num w:numId="8" w16cid:durableId="740568401">
    <w:abstractNumId w:val="3"/>
  </w:num>
  <w:num w:numId="9" w16cid:durableId="28508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17"/>
    <w:rsid w:val="00007676"/>
    <w:rsid w:val="0002368F"/>
    <w:rsid w:val="00055EC1"/>
    <w:rsid w:val="00063E6B"/>
    <w:rsid w:val="00081933"/>
    <w:rsid w:val="000F742A"/>
    <w:rsid w:val="00104FDD"/>
    <w:rsid w:val="00120E2B"/>
    <w:rsid w:val="00142F06"/>
    <w:rsid w:val="00186E2E"/>
    <w:rsid w:val="001A0FD8"/>
    <w:rsid w:val="001A6430"/>
    <w:rsid w:val="001C6496"/>
    <w:rsid w:val="001E740E"/>
    <w:rsid w:val="00295A74"/>
    <w:rsid w:val="00296794"/>
    <w:rsid w:val="002A733D"/>
    <w:rsid w:val="002D1A92"/>
    <w:rsid w:val="002E07EE"/>
    <w:rsid w:val="00305FC5"/>
    <w:rsid w:val="00307C2A"/>
    <w:rsid w:val="00363092"/>
    <w:rsid w:val="004073D8"/>
    <w:rsid w:val="004174C4"/>
    <w:rsid w:val="00421099"/>
    <w:rsid w:val="004410FB"/>
    <w:rsid w:val="004719B4"/>
    <w:rsid w:val="004D350D"/>
    <w:rsid w:val="004E68C2"/>
    <w:rsid w:val="004F2B43"/>
    <w:rsid w:val="00516229"/>
    <w:rsid w:val="00517BF4"/>
    <w:rsid w:val="005220F3"/>
    <w:rsid w:val="00534005"/>
    <w:rsid w:val="00557636"/>
    <w:rsid w:val="00561C0A"/>
    <w:rsid w:val="00562593"/>
    <w:rsid w:val="0056449C"/>
    <w:rsid w:val="00566AD3"/>
    <w:rsid w:val="005831E7"/>
    <w:rsid w:val="005C4248"/>
    <w:rsid w:val="005C5351"/>
    <w:rsid w:val="00603F46"/>
    <w:rsid w:val="00623552"/>
    <w:rsid w:val="00652710"/>
    <w:rsid w:val="00665417"/>
    <w:rsid w:val="006705B7"/>
    <w:rsid w:val="006C4C63"/>
    <w:rsid w:val="006C77BF"/>
    <w:rsid w:val="00716F32"/>
    <w:rsid w:val="00724F15"/>
    <w:rsid w:val="007444EE"/>
    <w:rsid w:val="007469A0"/>
    <w:rsid w:val="00747E5E"/>
    <w:rsid w:val="00775B21"/>
    <w:rsid w:val="007B14DC"/>
    <w:rsid w:val="007B7D19"/>
    <w:rsid w:val="007C207C"/>
    <w:rsid w:val="007D38F8"/>
    <w:rsid w:val="007E6637"/>
    <w:rsid w:val="0080174C"/>
    <w:rsid w:val="00802B7E"/>
    <w:rsid w:val="008308B5"/>
    <w:rsid w:val="00844592"/>
    <w:rsid w:val="00845982"/>
    <w:rsid w:val="00860EAD"/>
    <w:rsid w:val="00881BAF"/>
    <w:rsid w:val="00886E36"/>
    <w:rsid w:val="008B083A"/>
    <w:rsid w:val="008D6385"/>
    <w:rsid w:val="008E4781"/>
    <w:rsid w:val="00923F1E"/>
    <w:rsid w:val="00952D26"/>
    <w:rsid w:val="00954DFD"/>
    <w:rsid w:val="009903CD"/>
    <w:rsid w:val="009B3E63"/>
    <w:rsid w:val="009B4298"/>
    <w:rsid w:val="009E7948"/>
    <w:rsid w:val="00A66A0B"/>
    <w:rsid w:val="00A766A5"/>
    <w:rsid w:val="00A876C4"/>
    <w:rsid w:val="00AA19D5"/>
    <w:rsid w:val="00AB58B4"/>
    <w:rsid w:val="00AC7270"/>
    <w:rsid w:val="00AF33BF"/>
    <w:rsid w:val="00B07CCB"/>
    <w:rsid w:val="00B26E3D"/>
    <w:rsid w:val="00B31912"/>
    <w:rsid w:val="00B33742"/>
    <w:rsid w:val="00B44EC4"/>
    <w:rsid w:val="00B83A8D"/>
    <w:rsid w:val="00B97436"/>
    <w:rsid w:val="00BD5B6A"/>
    <w:rsid w:val="00BF5F9A"/>
    <w:rsid w:val="00C219F9"/>
    <w:rsid w:val="00C21D9B"/>
    <w:rsid w:val="00C36FEC"/>
    <w:rsid w:val="00C736C3"/>
    <w:rsid w:val="00CA14D3"/>
    <w:rsid w:val="00CC5FED"/>
    <w:rsid w:val="00CD15E9"/>
    <w:rsid w:val="00CE658F"/>
    <w:rsid w:val="00CF1EAE"/>
    <w:rsid w:val="00CF6BC5"/>
    <w:rsid w:val="00D25DB1"/>
    <w:rsid w:val="00D2781C"/>
    <w:rsid w:val="00D42262"/>
    <w:rsid w:val="00D551AE"/>
    <w:rsid w:val="00D61EDD"/>
    <w:rsid w:val="00D714B0"/>
    <w:rsid w:val="00D7422C"/>
    <w:rsid w:val="00D90C52"/>
    <w:rsid w:val="00D9343F"/>
    <w:rsid w:val="00DA31F6"/>
    <w:rsid w:val="00DA5BC0"/>
    <w:rsid w:val="00DB3F15"/>
    <w:rsid w:val="00DB6A4C"/>
    <w:rsid w:val="00E030E0"/>
    <w:rsid w:val="00E22B31"/>
    <w:rsid w:val="00E40AFF"/>
    <w:rsid w:val="00E57366"/>
    <w:rsid w:val="00E72AA1"/>
    <w:rsid w:val="00E738A1"/>
    <w:rsid w:val="00E82FD2"/>
    <w:rsid w:val="00E96E9A"/>
    <w:rsid w:val="00EB78AB"/>
    <w:rsid w:val="00EC248F"/>
    <w:rsid w:val="00ED4B84"/>
    <w:rsid w:val="00EE07AF"/>
    <w:rsid w:val="00EE5702"/>
    <w:rsid w:val="00F23653"/>
    <w:rsid w:val="00F30742"/>
    <w:rsid w:val="00F32BC8"/>
    <w:rsid w:val="00F906DA"/>
    <w:rsid w:val="00FD63A8"/>
    <w:rsid w:val="00FE1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576E"/>
  <w15:docId w15:val="{27806BEF-0704-4787-A5F9-F88DFF0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417"/>
    <w:pPr>
      <w:ind w:left="720"/>
      <w:contextualSpacing/>
    </w:pPr>
  </w:style>
  <w:style w:type="paragraph" w:styleId="BalloonText">
    <w:name w:val="Balloon Text"/>
    <w:basedOn w:val="Normal"/>
    <w:link w:val="BalloonTextChar"/>
    <w:uiPriority w:val="99"/>
    <w:semiHidden/>
    <w:unhideWhenUsed/>
    <w:rsid w:val="00DA5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C0"/>
    <w:rPr>
      <w:rFonts w:ascii="Segoe UI" w:hAnsi="Segoe UI" w:cs="Segoe UI"/>
      <w:sz w:val="18"/>
      <w:szCs w:val="18"/>
    </w:rPr>
  </w:style>
  <w:style w:type="paragraph" w:styleId="Header">
    <w:name w:val="header"/>
    <w:basedOn w:val="Normal"/>
    <w:link w:val="HeaderChar"/>
    <w:uiPriority w:val="99"/>
    <w:unhideWhenUsed/>
    <w:rsid w:val="00E4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AFF"/>
  </w:style>
  <w:style w:type="paragraph" w:styleId="Footer">
    <w:name w:val="footer"/>
    <w:basedOn w:val="Normal"/>
    <w:link w:val="FooterChar"/>
    <w:uiPriority w:val="99"/>
    <w:unhideWhenUsed/>
    <w:rsid w:val="00E4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AFF"/>
  </w:style>
  <w:style w:type="paragraph" w:styleId="NormalWeb">
    <w:name w:val="Normal (Web)"/>
    <w:basedOn w:val="Normal"/>
    <w:uiPriority w:val="99"/>
    <w:unhideWhenUsed/>
    <w:rsid w:val="007B7D19"/>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7B7D19"/>
    <w:rPr>
      <w:b/>
      <w:bCs/>
    </w:rPr>
  </w:style>
  <w:style w:type="paragraph" w:styleId="FootnoteText">
    <w:name w:val="footnote text"/>
    <w:aliases w:val=" Char9,Char9, Char4,Char4,Geneva 9,Font: Geneva 9,Boston 10,f Char,Footnote Text Char Char Char Char Char,Footnote Text Char Char Char Char Char Char Ch,Footnote Text Char1 Char1,Footnote Text Char Char Char1,Footnote Text Char1 Char Cha"/>
    <w:basedOn w:val="Normal"/>
    <w:link w:val="FootnoteTextChar"/>
    <w:uiPriority w:val="99"/>
    <w:unhideWhenUsed/>
    <w:qFormat/>
    <w:rsid w:val="00D25DB1"/>
    <w:pPr>
      <w:spacing w:after="0" w:line="240" w:lineRule="auto"/>
    </w:pPr>
    <w:rPr>
      <w:rFonts w:ascii="Calibri" w:eastAsia="Calibri" w:hAnsi="Calibri" w:cs="Calibri"/>
      <w:sz w:val="20"/>
      <w:szCs w:val="20"/>
    </w:rPr>
  </w:style>
  <w:style w:type="character" w:customStyle="1" w:styleId="FootnoteTextChar">
    <w:name w:val="Footnote Text Char"/>
    <w:aliases w:val=" Char9 Char,Char9 Char, Char4 Char,Char4 Char,Geneva 9 Char,Font: Geneva 9 Char,Boston 10 Char,f Char Char,Footnote Text Char Char Char Char Char Char,Footnote Text Char Char Char Char Char Char Ch Char,Footnote Text Char1 Char1 Char"/>
    <w:basedOn w:val="DefaultParagraphFont"/>
    <w:link w:val="FootnoteText"/>
    <w:uiPriority w:val="99"/>
    <w:qFormat/>
    <w:rsid w:val="00D25DB1"/>
    <w:rPr>
      <w:rFonts w:ascii="Calibri" w:eastAsia="Calibri" w:hAnsi="Calibri" w:cs="Calibri"/>
      <w:sz w:val="20"/>
      <w:szCs w:val="20"/>
    </w:rPr>
  </w:style>
  <w:style w:type="character" w:styleId="FootnoteReference">
    <w:name w:val="footnote reference"/>
    <w:aliases w:val="Footnote,Footnote text,Footnote dich,ftref,BVI fnr,footnote ref,SUPERS,Footnote Reference Number,Знак сноски 1,(NECG) Footnote Reference,16 Point,Superscript 6 Point,Footnote + Arial,10 pt,Black,Ref,de nota al pie,R,fr,f,Re"/>
    <w:link w:val="RefChar"/>
    <w:uiPriority w:val="99"/>
    <w:unhideWhenUsed/>
    <w:qFormat/>
    <w:rsid w:val="00D25DB1"/>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1E740E"/>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93929">
      <w:bodyDiv w:val="1"/>
      <w:marLeft w:val="0"/>
      <w:marRight w:val="0"/>
      <w:marTop w:val="0"/>
      <w:marBottom w:val="0"/>
      <w:divBdr>
        <w:top w:val="none" w:sz="0" w:space="0" w:color="auto"/>
        <w:left w:val="none" w:sz="0" w:space="0" w:color="auto"/>
        <w:bottom w:val="none" w:sz="0" w:space="0" w:color="auto"/>
        <w:right w:val="none" w:sz="0" w:space="0" w:color="auto"/>
      </w:divBdr>
    </w:div>
    <w:div w:id="10732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9A037-3A02-45AC-964C-8441E7D8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DELL</cp:lastModifiedBy>
  <cp:revision>23</cp:revision>
  <cp:lastPrinted>2025-07-30T08:12:00Z</cp:lastPrinted>
  <dcterms:created xsi:type="dcterms:W3CDTF">2025-09-22T09:03:00Z</dcterms:created>
  <dcterms:modified xsi:type="dcterms:W3CDTF">2025-12-14T03:50:00Z</dcterms:modified>
</cp:coreProperties>
</file>