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245" w:type="dxa"/>
        <w:tblInd w:w="1345" w:type="dxa"/>
        <w:tblLayout w:type="fixed"/>
        <w:tblLook w:val="0000" w:firstRow="0" w:lastRow="0" w:firstColumn="0" w:lastColumn="0" w:noHBand="0" w:noVBand="0"/>
      </w:tblPr>
      <w:tblGrid>
        <w:gridCol w:w="5310"/>
        <w:gridCol w:w="6935"/>
      </w:tblGrid>
      <w:tr w:rsidR="00407B93" w:rsidRPr="0025521C" w14:paraId="61DAA2A8" w14:textId="77777777" w:rsidTr="00242F19">
        <w:trPr>
          <w:trHeight w:val="1274"/>
        </w:trPr>
        <w:tc>
          <w:tcPr>
            <w:tcW w:w="5310" w:type="dxa"/>
          </w:tcPr>
          <w:p w14:paraId="1E853841" w14:textId="77777777" w:rsidR="00EF6F6C" w:rsidRPr="009875DA" w:rsidRDefault="00242F19" w:rsidP="00B06260">
            <w:pPr>
              <w:widowControl w:val="0"/>
              <w:tabs>
                <w:tab w:val="center" w:pos="1418"/>
                <w:tab w:val="center" w:pos="6521"/>
              </w:tabs>
              <w:spacing w:after="0"/>
              <w:jc w:val="center"/>
              <w:rPr>
                <w:rFonts w:ascii="Times New Roman" w:hAnsi="Times New Roman" w:cs="Times New Roman"/>
                <w:b/>
                <w:sz w:val="24"/>
                <w:szCs w:val="24"/>
                <w:lang w:val="de-DE"/>
              </w:rPr>
            </w:pPr>
            <w:r w:rsidRPr="009875D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40DF755" wp14:editId="66D63DEF">
                      <wp:simplePos x="0" y="0"/>
                      <wp:positionH relativeFrom="column">
                        <wp:posOffset>831215</wp:posOffset>
                      </wp:positionH>
                      <wp:positionV relativeFrom="paragraph">
                        <wp:posOffset>259715</wp:posOffset>
                      </wp:positionV>
                      <wp:extent cx="15684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8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885A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20.45pt" to="188.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DBgIAABI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">
                      <o:lock v:ext="edit" shapetype="f"/>
                    </v:line>
                  </w:pict>
                </mc:Fallback>
              </mc:AlternateContent>
            </w:r>
            <w:r w:rsidR="00EF6F6C" w:rsidRPr="009875DA">
              <w:rPr>
                <w:rFonts w:ascii="Times New Roman" w:hAnsi="Times New Roman" w:cs="Times New Roman"/>
                <w:sz w:val="24"/>
                <w:szCs w:val="24"/>
              </w:rPr>
              <w:br w:type="page"/>
            </w:r>
            <w:r w:rsidR="00EF6F6C" w:rsidRPr="009875DA">
              <w:rPr>
                <w:rFonts w:ascii="Times New Roman" w:hAnsi="Times New Roman" w:cs="Times New Roman"/>
                <w:b/>
                <w:sz w:val="24"/>
                <w:szCs w:val="24"/>
                <w:lang w:val="de-DE"/>
              </w:rPr>
              <w:t>BỘ KHOA HỌC VÀ CÔNG NGHỆ</w:t>
            </w:r>
          </w:p>
          <w:p w14:paraId="77CBC5B7" w14:textId="77777777" w:rsidR="00E66ABD" w:rsidRPr="009875DA" w:rsidRDefault="00E66ABD" w:rsidP="00B06260">
            <w:pPr>
              <w:widowControl w:val="0"/>
              <w:spacing w:after="0"/>
              <w:jc w:val="center"/>
              <w:rPr>
                <w:rFonts w:ascii="Times New Roman" w:hAnsi="Times New Roman" w:cs="Times New Roman"/>
                <w:spacing w:val="-6"/>
                <w:sz w:val="24"/>
                <w:szCs w:val="24"/>
                <w:lang w:val="nl-NL"/>
              </w:rPr>
            </w:pPr>
          </w:p>
          <w:p w14:paraId="5F6CEED8" w14:textId="77777777" w:rsidR="00EF6F6C" w:rsidRPr="009875DA" w:rsidRDefault="00EF6F6C" w:rsidP="00B06260">
            <w:pPr>
              <w:widowControl w:val="0"/>
              <w:spacing w:after="0"/>
              <w:jc w:val="center"/>
              <w:rPr>
                <w:rFonts w:ascii="Times New Roman" w:hAnsi="Times New Roman" w:cs="Times New Roman"/>
                <w:spacing w:val="-6"/>
                <w:sz w:val="24"/>
                <w:szCs w:val="24"/>
                <w:lang w:val="nl-NL"/>
              </w:rPr>
            </w:pPr>
            <w:r w:rsidRPr="009875DA">
              <w:rPr>
                <w:rFonts w:ascii="Times New Roman" w:hAnsi="Times New Roman" w:cs="Times New Roman"/>
                <w:spacing w:val="-6"/>
                <w:sz w:val="24"/>
                <w:szCs w:val="24"/>
                <w:lang w:val="nl-NL"/>
              </w:rPr>
              <w:t>Số:          /TTr-BKHCN</w:t>
            </w:r>
          </w:p>
          <w:p w14:paraId="7113CDED" w14:textId="77777777" w:rsidR="00EF6F6C" w:rsidRPr="009875DA" w:rsidRDefault="00EF6F6C" w:rsidP="00B06260">
            <w:pPr>
              <w:widowControl w:val="0"/>
              <w:spacing w:after="0"/>
              <w:jc w:val="center"/>
              <w:rPr>
                <w:rFonts w:ascii="Times New Roman" w:hAnsi="Times New Roman" w:cs="Times New Roman"/>
                <w:b/>
                <w:sz w:val="24"/>
                <w:szCs w:val="24"/>
                <w:lang w:val="de-DE"/>
              </w:rPr>
            </w:pPr>
          </w:p>
        </w:tc>
        <w:tc>
          <w:tcPr>
            <w:tcW w:w="6935" w:type="dxa"/>
          </w:tcPr>
          <w:p w14:paraId="1FCFE7CC" w14:textId="77777777" w:rsidR="00EF6F6C" w:rsidRPr="009875DA" w:rsidRDefault="00EF6F6C" w:rsidP="00B06260">
            <w:pPr>
              <w:pStyle w:val="Heading2"/>
              <w:keepNext w:val="0"/>
              <w:widowControl w:val="0"/>
              <w:spacing w:line="276" w:lineRule="auto"/>
            </w:pPr>
            <w:r w:rsidRPr="009875DA">
              <w:t>CỘNG HOÀ XÃ HỘI CHỦ NGHĨA VIỆT NAM</w:t>
            </w:r>
          </w:p>
          <w:p w14:paraId="05FC49C4" w14:textId="77777777" w:rsidR="00EF6F6C" w:rsidRPr="009875DA" w:rsidRDefault="00242F19" w:rsidP="00B06260">
            <w:pPr>
              <w:widowControl w:val="0"/>
              <w:tabs>
                <w:tab w:val="center" w:pos="1418"/>
                <w:tab w:val="center" w:pos="6521"/>
              </w:tabs>
              <w:spacing w:after="0"/>
              <w:jc w:val="center"/>
              <w:rPr>
                <w:rFonts w:ascii="Times New Roman" w:hAnsi="Times New Roman" w:cs="Times New Roman"/>
                <w:b/>
                <w:sz w:val="24"/>
                <w:szCs w:val="24"/>
                <w:lang w:val="de-DE"/>
              </w:rPr>
            </w:pPr>
            <w:r w:rsidRPr="009875D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412F3A8" wp14:editId="77AC6029">
                      <wp:simplePos x="0" y="0"/>
                      <wp:positionH relativeFrom="column">
                        <wp:posOffset>1252220</wp:posOffset>
                      </wp:positionH>
                      <wp:positionV relativeFrom="paragraph">
                        <wp:posOffset>254000</wp:posOffset>
                      </wp:positionV>
                      <wp:extent cx="18161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61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1F760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20pt" to="241.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" strokecolor="black [3040]">
                      <o:lock v:ext="edit" shapetype="f"/>
                    </v:line>
                  </w:pict>
                </mc:Fallback>
              </mc:AlternateContent>
            </w:r>
            <w:r w:rsidR="00EF6F6C" w:rsidRPr="009875DA">
              <w:rPr>
                <w:rFonts w:ascii="Times New Roman" w:hAnsi="Times New Roman" w:cs="Times New Roman"/>
                <w:b/>
                <w:sz w:val="24"/>
                <w:szCs w:val="24"/>
                <w:lang w:val="de-DE"/>
              </w:rPr>
              <w:t>Độc lập - Tự do - Hạnh phúc</w:t>
            </w:r>
          </w:p>
          <w:p w14:paraId="3AA690B6" w14:textId="77777777" w:rsidR="00E66ABD" w:rsidRPr="009875DA" w:rsidRDefault="00E66ABD" w:rsidP="00B06260">
            <w:pPr>
              <w:pStyle w:val="Heading1"/>
              <w:keepNext w:val="0"/>
              <w:widowControl w:val="0"/>
              <w:spacing w:before="0" w:line="276" w:lineRule="auto"/>
              <w:jc w:val="center"/>
            </w:pPr>
          </w:p>
          <w:p w14:paraId="1579AB46" w14:textId="77777777" w:rsidR="00EF6F6C" w:rsidRDefault="00EF6F6C" w:rsidP="00B06260">
            <w:pPr>
              <w:pStyle w:val="Heading1"/>
              <w:keepNext w:val="0"/>
              <w:widowControl w:val="0"/>
              <w:spacing w:before="0" w:line="276" w:lineRule="auto"/>
              <w:jc w:val="center"/>
            </w:pPr>
            <w:r w:rsidRPr="009875DA">
              <w:t>Hà Nội, ngày       tháng    năm 20</w:t>
            </w:r>
            <w:r w:rsidRPr="009875DA">
              <w:rPr>
                <w:lang w:val="vi-VN"/>
              </w:rPr>
              <w:t>2</w:t>
            </w:r>
            <w:r w:rsidR="002D2ECF" w:rsidRPr="009875DA">
              <w:t>6</w:t>
            </w:r>
          </w:p>
          <w:p w14:paraId="230A6BEA" w14:textId="3901900F" w:rsidR="008947F1" w:rsidRPr="008947F1" w:rsidRDefault="008947F1" w:rsidP="008947F1">
            <w:pPr>
              <w:rPr>
                <w:lang w:val="de-DE"/>
              </w:rPr>
            </w:pPr>
          </w:p>
        </w:tc>
      </w:tr>
    </w:tbl>
    <w:p w14:paraId="3DAEE870" w14:textId="15357CB4" w:rsidR="00366574" w:rsidRDefault="009537DF" w:rsidP="00B06260">
      <w:pPr>
        <w:widowControl w:val="0"/>
        <w:spacing w:after="0"/>
        <w:jc w:val="center"/>
        <w:rPr>
          <w:rFonts w:ascii="Times New Roman" w:hAnsi="Times New Roman" w:cs="Times New Roman"/>
          <w:b/>
          <w:sz w:val="24"/>
          <w:szCs w:val="24"/>
          <w:lang w:val="de-DE"/>
        </w:rPr>
      </w:pPr>
      <w:r w:rsidRPr="009875DA">
        <w:rPr>
          <w:rFonts w:ascii="Times New Roman" w:hAnsi="Times New Roman" w:cs="Times New Roman"/>
          <w:b/>
          <w:sz w:val="24"/>
          <w:szCs w:val="24"/>
          <w:lang w:val="vi-VN"/>
        </w:rPr>
        <w:t xml:space="preserve">BẢN SO SÁNH, THUYẾT MINH NỘI DUNG DỰ THẢO </w:t>
      </w:r>
      <w:r w:rsidR="000773C0" w:rsidRPr="009875DA">
        <w:rPr>
          <w:rFonts w:ascii="Times New Roman" w:eastAsia="Times New Roman" w:hAnsi="Times New Roman" w:cs="Times New Roman"/>
          <w:b/>
          <w:sz w:val="24"/>
          <w:szCs w:val="24"/>
          <w:lang w:val="de-DE"/>
        </w:rPr>
        <w:t xml:space="preserve">NGHỊ ĐỊNH QUY ĐỊNH </w:t>
      </w:r>
      <w:r w:rsidR="002D2ECF" w:rsidRPr="009875DA">
        <w:rPr>
          <w:rFonts w:ascii="Times New Roman" w:hAnsi="Times New Roman" w:cs="Times New Roman"/>
          <w:b/>
          <w:sz w:val="24"/>
          <w:szCs w:val="24"/>
          <w:lang w:val="de-DE"/>
        </w:rPr>
        <w:t>QUY ĐỊNH CHI TIẾT MỘT SỐ ĐIỀU VÀ BIỆN PHÁP THI HÀNH LUẬT CÔNG NGHỆ CAO</w:t>
      </w:r>
    </w:p>
    <w:p w14:paraId="56FC098C" w14:textId="77777777" w:rsidR="008947F1" w:rsidRPr="009875DA" w:rsidRDefault="008947F1" w:rsidP="00B06260">
      <w:pPr>
        <w:widowControl w:val="0"/>
        <w:spacing w:after="0"/>
        <w:jc w:val="center"/>
        <w:rPr>
          <w:rFonts w:ascii="Times New Roman" w:hAnsi="Times New Roman" w:cs="Times New Roman"/>
          <w:b/>
          <w:sz w:val="24"/>
          <w:szCs w:val="24"/>
          <w:lang w:val="de-DE"/>
        </w:rPr>
      </w:pPr>
    </w:p>
    <w:tbl>
      <w:tblPr>
        <w:tblStyle w:val="TableGrid"/>
        <w:tblW w:w="15025" w:type="dxa"/>
        <w:tblLook w:val="04A0" w:firstRow="1" w:lastRow="0" w:firstColumn="1" w:lastColumn="0" w:noHBand="0" w:noVBand="1"/>
      </w:tblPr>
      <w:tblGrid>
        <w:gridCol w:w="2245"/>
        <w:gridCol w:w="7380"/>
        <w:gridCol w:w="5400"/>
      </w:tblGrid>
      <w:tr w:rsidR="00407B93" w:rsidRPr="009875DA" w14:paraId="54897DA8" w14:textId="77777777" w:rsidTr="00022042">
        <w:tc>
          <w:tcPr>
            <w:tcW w:w="2245" w:type="dxa"/>
          </w:tcPr>
          <w:p w14:paraId="7A17DACA" w14:textId="77777777" w:rsidR="002505E1" w:rsidRPr="009875DA" w:rsidRDefault="002505E1" w:rsidP="00B06260">
            <w:pPr>
              <w:widowControl w:val="0"/>
              <w:spacing w:line="276" w:lineRule="auto"/>
              <w:jc w:val="center"/>
              <w:rPr>
                <w:rFonts w:ascii="Times New Roman" w:hAnsi="Times New Roman" w:cs="Times New Roman"/>
                <w:b/>
                <w:sz w:val="24"/>
                <w:szCs w:val="24"/>
                <w:lang w:val="de-DE"/>
              </w:rPr>
            </w:pPr>
            <w:r w:rsidRPr="009875DA">
              <w:rPr>
                <w:rFonts w:ascii="Times New Roman" w:hAnsi="Times New Roman" w:cs="Times New Roman"/>
                <w:b/>
                <w:sz w:val="24"/>
                <w:szCs w:val="24"/>
                <w:lang w:val="de-DE"/>
              </w:rPr>
              <w:t>Dự thảo được thay thế</w:t>
            </w:r>
          </w:p>
        </w:tc>
        <w:tc>
          <w:tcPr>
            <w:tcW w:w="7380" w:type="dxa"/>
          </w:tcPr>
          <w:p w14:paraId="003169E1" w14:textId="774A4ADA" w:rsidR="002505E1" w:rsidRPr="009875DA" w:rsidRDefault="009537DF" w:rsidP="00B06260">
            <w:pPr>
              <w:widowControl w:val="0"/>
              <w:tabs>
                <w:tab w:val="left" w:pos="851"/>
              </w:tabs>
              <w:spacing w:line="276" w:lineRule="auto"/>
              <w:jc w:val="center"/>
              <w:rPr>
                <w:rFonts w:ascii="Times New Roman" w:hAnsi="Times New Roman" w:cs="Times New Roman"/>
                <w:b/>
                <w:sz w:val="24"/>
                <w:szCs w:val="24"/>
                <w:lang w:val="vi-VN"/>
              </w:rPr>
            </w:pPr>
            <w:r w:rsidRPr="009875DA">
              <w:rPr>
                <w:rFonts w:ascii="Times New Roman" w:eastAsia="Times New Roman" w:hAnsi="Times New Roman" w:cs="Times New Roman"/>
                <w:b/>
                <w:sz w:val="24"/>
                <w:szCs w:val="24"/>
                <w:lang w:val="de-DE"/>
              </w:rPr>
              <w:t>Dự thảo Nghị định q</w:t>
            </w:r>
            <w:r w:rsidRPr="009875DA">
              <w:rPr>
                <w:rFonts w:ascii="Times New Roman" w:eastAsia="Times New Roman" w:hAnsi="Times New Roman" w:cs="Times New Roman"/>
                <w:b/>
                <w:sz w:val="24"/>
                <w:szCs w:val="24"/>
                <w:lang w:val="vi-VN"/>
              </w:rPr>
              <w:t>uy định chi tiết</w:t>
            </w:r>
            <w:r w:rsidR="002D2ECF" w:rsidRPr="009875DA">
              <w:rPr>
                <w:rFonts w:ascii="Times New Roman" w:eastAsia="Times New Roman" w:hAnsi="Times New Roman" w:cs="Times New Roman"/>
                <w:b/>
                <w:sz w:val="24"/>
                <w:szCs w:val="24"/>
                <w:lang w:val="de-DE"/>
              </w:rPr>
              <w:t xml:space="preserve"> một số điều và biện pháp thi hành Luật công nghệ cao</w:t>
            </w:r>
          </w:p>
        </w:tc>
        <w:tc>
          <w:tcPr>
            <w:tcW w:w="5400" w:type="dxa"/>
          </w:tcPr>
          <w:p w14:paraId="02B77ED6" w14:textId="77777777" w:rsidR="002505E1" w:rsidRPr="009875DA" w:rsidRDefault="002505E1" w:rsidP="00B06260">
            <w:pPr>
              <w:widowControl w:val="0"/>
              <w:spacing w:line="276" w:lineRule="auto"/>
              <w:jc w:val="center"/>
              <w:rPr>
                <w:rFonts w:ascii="Times New Roman" w:hAnsi="Times New Roman" w:cs="Times New Roman"/>
                <w:b/>
                <w:sz w:val="24"/>
                <w:szCs w:val="24"/>
                <w:lang w:val="vi-VN"/>
              </w:rPr>
            </w:pPr>
            <w:r w:rsidRPr="009875DA">
              <w:rPr>
                <w:rFonts w:ascii="Times New Roman" w:hAnsi="Times New Roman" w:cs="Times New Roman"/>
                <w:b/>
                <w:sz w:val="24"/>
                <w:szCs w:val="24"/>
                <w:lang w:val="vi-VN"/>
              </w:rPr>
              <w:t>Thuyết minh</w:t>
            </w:r>
            <w:r w:rsidRPr="009875DA">
              <w:rPr>
                <w:rStyle w:val="FootnoteReference"/>
                <w:rFonts w:ascii="Times New Roman" w:hAnsi="Times New Roman" w:cs="Times New Roman"/>
                <w:b/>
                <w:sz w:val="24"/>
                <w:szCs w:val="24"/>
                <w:lang w:val="vi-VN"/>
              </w:rPr>
              <w:footnoteReference w:id="1"/>
            </w:r>
          </w:p>
        </w:tc>
      </w:tr>
      <w:tr w:rsidR="00407B93" w:rsidRPr="0025521C" w14:paraId="65456682" w14:textId="77777777" w:rsidTr="00022042">
        <w:tc>
          <w:tcPr>
            <w:tcW w:w="2245" w:type="dxa"/>
          </w:tcPr>
          <w:p w14:paraId="4FF17264" w14:textId="512C0346" w:rsidR="002505E1" w:rsidRPr="009875DA" w:rsidRDefault="002349E5" w:rsidP="00B06260">
            <w:pPr>
              <w:pStyle w:val="NormalWeb"/>
              <w:widowControl w:val="0"/>
              <w:spacing w:before="0" w:beforeAutospacing="0" w:after="0" w:afterAutospacing="0" w:line="276" w:lineRule="auto"/>
              <w:jc w:val="both"/>
              <w:rPr>
                <w:b/>
              </w:rPr>
            </w:pPr>
            <w:r w:rsidRPr="009875DA">
              <w:rPr>
                <w:b/>
              </w:rPr>
              <w:t>Luật Công nghệ cao năm 2008 không có Nghị định hướng dẫn Luật, chỉ có Nghị định quy định về khu công nghệ cao</w:t>
            </w:r>
          </w:p>
        </w:tc>
        <w:tc>
          <w:tcPr>
            <w:tcW w:w="7380" w:type="dxa"/>
          </w:tcPr>
          <w:p w14:paraId="1299983D" w14:textId="77777777" w:rsidR="002D2ECF" w:rsidRPr="009875DA" w:rsidRDefault="002D2ECF" w:rsidP="00B06260">
            <w:pPr>
              <w:tabs>
                <w:tab w:val="left" w:pos="851"/>
              </w:tabs>
              <w:spacing w:line="276" w:lineRule="auto"/>
              <w:jc w:val="both"/>
              <w:rPr>
                <w:rFonts w:ascii="Times New Roman" w:hAnsi="Times New Roman" w:cs="Times New Roman"/>
                <w:i/>
                <w:iCs/>
                <w:sz w:val="24"/>
                <w:szCs w:val="24"/>
                <w:lang w:val="vi-VN"/>
              </w:rPr>
            </w:pPr>
            <w:r w:rsidRPr="009875DA">
              <w:rPr>
                <w:rFonts w:ascii="Times New Roman" w:hAnsi="Times New Roman" w:cs="Times New Roman"/>
                <w:i/>
                <w:iCs/>
                <w:sz w:val="24"/>
                <w:szCs w:val="24"/>
                <w:lang w:val="vi-VN"/>
              </w:rPr>
              <w:t>Căn cứ </w:t>
            </w:r>
            <w:bookmarkStart w:id="0" w:name="tvpllink_oztzitmbya"/>
            <w:r w:rsidRPr="009875DA">
              <w:rPr>
                <w:rFonts w:ascii="Times New Roman" w:hAnsi="Times New Roman" w:cs="Times New Roman"/>
                <w:i/>
                <w:iCs/>
                <w:sz w:val="24"/>
                <w:szCs w:val="24"/>
                <w:lang w:val="vi-VN"/>
              </w:rPr>
              <w:t>Luật Tổ chức Chính phủ số 63/2025/QH15</w:t>
            </w:r>
            <w:bookmarkEnd w:id="0"/>
            <w:r w:rsidRPr="009875DA">
              <w:rPr>
                <w:rFonts w:ascii="Times New Roman" w:hAnsi="Times New Roman" w:cs="Times New Roman"/>
                <w:i/>
                <w:iCs/>
                <w:sz w:val="24"/>
                <w:szCs w:val="24"/>
                <w:lang w:val="vi-VN"/>
              </w:rPr>
              <w:t>;</w:t>
            </w:r>
          </w:p>
          <w:p w14:paraId="4DDE41E5" w14:textId="3558139B" w:rsidR="00364A01" w:rsidRPr="009875DA" w:rsidRDefault="00364A01" w:rsidP="00B06260">
            <w:pPr>
              <w:tabs>
                <w:tab w:val="left" w:pos="851"/>
              </w:tabs>
              <w:spacing w:line="276" w:lineRule="auto"/>
              <w:jc w:val="both"/>
              <w:rPr>
                <w:rFonts w:ascii="Times New Roman" w:hAnsi="Times New Roman" w:cs="Times New Roman"/>
                <w:i/>
                <w:iCs/>
                <w:sz w:val="24"/>
                <w:szCs w:val="24"/>
                <w:lang w:val="vi-VN"/>
              </w:rPr>
            </w:pPr>
            <w:r w:rsidRPr="009875DA">
              <w:rPr>
                <w:rFonts w:ascii="Times New Roman" w:hAnsi="Times New Roman" w:cs="Times New Roman"/>
                <w:i/>
                <w:iCs/>
                <w:sz w:val="24"/>
                <w:szCs w:val="24"/>
                <w:lang w:val="vi-VN"/>
              </w:rPr>
              <w:t>Căn cứ Luật Khoa học, công nghệ và đổi mới sáng tạo số 93/2025/QH15;</w:t>
            </w:r>
          </w:p>
          <w:p w14:paraId="29720B11" w14:textId="3C64BE66" w:rsidR="002D2ECF" w:rsidRPr="009875DA" w:rsidRDefault="002D2ECF" w:rsidP="00B06260">
            <w:pPr>
              <w:tabs>
                <w:tab w:val="left" w:pos="851"/>
              </w:tabs>
              <w:spacing w:line="276" w:lineRule="auto"/>
              <w:jc w:val="both"/>
              <w:rPr>
                <w:rFonts w:ascii="Times New Roman" w:hAnsi="Times New Roman" w:cs="Times New Roman"/>
                <w:i/>
                <w:iCs/>
                <w:sz w:val="24"/>
                <w:szCs w:val="24"/>
                <w:lang w:val="vi-VN"/>
              </w:rPr>
            </w:pPr>
            <w:r w:rsidRPr="009875DA">
              <w:rPr>
                <w:rFonts w:ascii="Times New Roman" w:hAnsi="Times New Roman" w:cs="Times New Roman"/>
                <w:i/>
                <w:iCs/>
                <w:sz w:val="24"/>
                <w:szCs w:val="24"/>
                <w:lang w:val="vi-VN"/>
              </w:rPr>
              <w:t>Căn cứ </w:t>
            </w:r>
            <w:bookmarkStart w:id="1" w:name="tvpllink_gftnlsauya"/>
            <w:r w:rsidRPr="009875DA">
              <w:rPr>
                <w:rFonts w:ascii="Times New Roman" w:hAnsi="Times New Roman" w:cs="Times New Roman"/>
                <w:i/>
                <w:iCs/>
                <w:sz w:val="24"/>
                <w:szCs w:val="24"/>
                <w:lang w:val="vi-VN"/>
              </w:rPr>
              <w:t>Luật Công nghệ cao số 133/2025/QH15</w:t>
            </w:r>
            <w:bookmarkEnd w:id="1"/>
            <w:r w:rsidRPr="009875DA">
              <w:rPr>
                <w:rFonts w:ascii="Times New Roman" w:hAnsi="Times New Roman" w:cs="Times New Roman"/>
                <w:i/>
                <w:iCs/>
                <w:sz w:val="24"/>
                <w:szCs w:val="24"/>
                <w:lang w:val="vi-VN"/>
              </w:rPr>
              <w:t>;</w:t>
            </w:r>
          </w:p>
          <w:p w14:paraId="28C3EF87" w14:textId="43B18AD8" w:rsidR="002D2ECF" w:rsidRPr="009875DA" w:rsidRDefault="002D2ECF" w:rsidP="00B06260">
            <w:pPr>
              <w:tabs>
                <w:tab w:val="left" w:pos="851"/>
              </w:tabs>
              <w:spacing w:line="276" w:lineRule="auto"/>
              <w:jc w:val="both"/>
              <w:rPr>
                <w:rFonts w:ascii="Times New Roman" w:hAnsi="Times New Roman" w:cs="Times New Roman"/>
                <w:i/>
                <w:iCs/>
                <w:sz w:val="24"/>
                <w:szCs w:val="24"/>
                <w:lang w:val="vi-VN"/>
              </w:rPr>
            </w:pPr>
            <w:r w:rsidRPr="009875DA">
              <w:rPr>
                <w:rFonts w:ascii="Times New Roman" w:hAnsi="Times New Roman" w:cs="Times New Roman"/>
                <w:i/>
                <w:iCs/>
                <w:sz w:val="24"/>
                <w:szCs w:val="24"/>
                <w:lang w:val="vi-VN"/>
              </w:rPr>
              <w:t>Theo đề nghị của Bộ trưởng Bộ Khoa học và Công nghệ;</w:t>
            </w:r>
          </w:p>
          <w:p w14:paraId="7FC8C569" w14:textId="459D98AE" w:rsidR="002D2ECF" w:rsidRPr="009875DA" w:rsidRDefault="002D2ECF" w:rsidP="00B06260">
            <w:pPr>
              <w:tabs>
                <w:tab w:val="left" w:pos="851"/>
              </w:tabs>
              <w:spacing w:line="276" w:lineRule="auto"/>
              <w:jc w:val="both"/>
              <w:rPr>
                <w:rFonts w:ascii="Times New Roman" w:hAnsi="Times New Roman" w:cs="Times New Roman"/>
                <w:i/>
                <w:iCs/>
                <w:sz w:val="24"/>
                <w:szCs w:val="24"/>
                <w:lang w:val="vi-VN"/>
              </w:rPr>
            </w:pPr>
            <w:r w:rsidRPr="009875DA">
              <w:rPr>
                <w:rFonts w:ascii="Times New Roman" w:hAnsi="Times New Roman" w:cs="Times New Roman"/>
                <w:i/>
                <w:iCs/>
                <w:sz w:val="24"/>
                <w:szCs w:val="24"/>
                <w:lang w:val="vi-VN"/>
              </w:rPr>
              <w:t>Chính phủ ban hành Nghị định quy định chi tiết và biện pháp thi hành một số điều của Luật Công nghệ cao.</w:t>
            </w:r>
          </w:p>
          <w:p w14:paraId="65247D40" w14:textId="7156BFC1" w:rsidR="002505E1" w:rsidRPr="009875DA" w:rsidRDefault="002505E1" w:rsidP="00B06260">
            <w:pPr>
              <w:widowControl w:val="0"/>
              <w:spacing w:line="276" w:lineRule="auto"/>
              <w:jc w:val="both"/>
              <w:rPr>
                <w:rFonts w:ascii="Times New Roman" w:hAnsi="Times New Roman" w:cs="Times New Roman"/>
                <w:bCs/>
                <w:i/>
                <w:sz w:val="24"/>
                <w:szCs w:val="24"/>
                <w:lang w:val="vi-VN"/>
              </w:rPr>
            </w:pPr>
          </w:p>
        </w:tc>
        <w:tc>
          <w:tcPr>
            <w:tcW w:w="5400" w:type="dxa"/>
          </w:tcPr>
          <w:p w14:paraId="43E5E315" w14:textId="2ECA9639" w:rsidR="002505E1" w:rsidRPr="009875DA" w:rsidRDefault="00CA12AD" w:rsidP="00B06260">
            <w:pPr>
              <w:widowControl w:val="0"/>
              <w:spacing w:line="276" w:lineRule="auto"/>
              <w:jc w:val="both"/>
              <w:rPr>
                <w:rFonts w:ascii="Times New Roman" w:hAnsi="Times New Roman" w:cs="Times New Roman"/>
                <w:sz w:val="24"/>
                <w:szCs w:val="24"/>
                <w:lang w:val="vi-VN"/>
              </w:rPr>
            </w:pPr>
            <w:r w:rsidRPr="009875DA">
              <w:rPr>
                <w:rFonts w:ascii="Times New Roman" w:hAnsi="Times New Roman" w:cs="Times New Roman"/>
                <w:sz w:val="24"/>
                <w:szCs w:val="24"/>
                <w:lang w:val="vi-VN"/>
              </w:rPr>
              <w:t>Sửa đổi căn cứ pháp lý theo Luật Tổ chức Chính phủ năm 2025</w:t>
            </w:r>
            <w:r w:rsidR="002D2ECF" w:rsidRPr="009875DA">
              <w:rPr>
                <w:rFonts w:ascii="Times New Roman" w:hAnsi="Times New Roman" w:cs="Times New Roman"/>
                <w:sz w:val="24"/>
                <w:szCs w:val="24"/>
                <w:lang w:val="vi-VN"/>
              </w:rPr>
              <w:t>, Luật Công nghệ cao 2025</w:t>
            </w:r>
            <w:r w:rsidRPr="009875DA">
              <w:rPr>
                <w:rFonts w:ascii="Times New Roman" w:hAnsi="Times New Roman" w:cs="Times New Roman"/>
                <w:sz w:val="24"/>
                <w:szCs w:val="24"/>
                <w:lang w:val="vi-VN"/>
              </w:rPr>
              <w:t xml:space="preserve"> và Luật Khoa học, công nghệ và đổi mới sáng tạo năm 2025 thay cho các luật cũ</w:t>
            </w:r>
          </w:p>
        </w:tc>
      </w:tr>
      <w:tr w:rsidR="00407B93" w:rsidRPr="009875DA" w14:paraId="07E11D13" w14:textId="77777777" w:rsidTr="00022042">
        <w:tc>
          <w:tcPr>
            <w:tcW w:w="2245" w:type="dxa"/>
          </w:tcPr>
          <w:p w14:paraId="327A66D0" w14:textId="77777777" w:rsidR="00C31D93" w:rsidRPr="009875DA" w:rsidRDefault="00C31D93" w:rsidP="00B06260">
            <w:pPr>
              <w:pStyle w:val="NormalWeb"/>
              <w:widowControl w:val="0"/>
              <w:spacing w:before="0" w:beforeAutospacing="0" w:after="0" w:afterAutospacing="0" w:line="276" w:lineRule="auto"/>
              <w:jc w:val="center"/>
              <w:rPr>
                <w:b/>
                <w:bCs/>
              </w:rPr>
            </w:pPr>
            <w:r w:rsidRPr="009875DA">
              <w:rPr>
                <w:b/>
              </w:rPr>
              <w:t>CHƯƠNG I. QUY ĐỊNH CHUNG</w:t>
            </w:r>
          </w:p>
        </w:tc>
        <w:tc>
          <w:tcPr>
            <w:tcW w:w="7380" w:type="dxa"/>
          </w:tcPr>
          <w:p w14:paraId="1CC70E62" w14:textId="77777777" w:rsidR="00C31D93" w:rsidRPr="009875DA" w:rsidRDefault="00C31D93" w:rsidP="00B06260">
            <w:pPr>
              <w:pStyle w:val="Heading2"/>
              <w:keepNext w:val="0"/>
              <w:widowControl w:val="0"/>
              <w:spacing w:line="276" w:lineRule="auto"/>
              <w:rPr>
                <w:lang w:val="en-US"/>
              </w:rPr>
            </w:pPr>
            <w:r w:rsidRPr="009875DA">
              <w:rPr>
                <w:lang w:val="en-US"/>
              </w:rPr>
              <w:t>CHƯƠNG I. QUY ĐỊNH CHUNG</w:t>
            </w:r>
          </w:p>
        </w:tc>
        <w:tc>
          <w:tcPr>
            <w:tcW w:w="5400" w:type="dxa"/>
          </w:tcPr>
          <w:p w14:paraId="1B7F90C2" w14:textId="4FA62E07" w:rsidR="00C31D93" w:rsidRPr="009875DA" w:rsidRDefault="00C31D93" w:rsidP="00B06260">
            <w:pPr>
              <w:widowControl w:val="0"/>
              <w:spacing w:line="276" w:lineRule="auto"/>
              <w:jc w:val="both"/>
              <w:rPr>
                <w:rFonts w:ascii="Times New Roman" w:hAnsi="Times New Roman" w:cs="Times New Roman"/>
                <w:sz w:val="24"/>
                <w:szCs w:val="24"/>
                <w:lang w:val="vi-VN"/>
              </w:rPr>
            </w:pPr>
          </w:p>
        </w:tc>
      </w:tr>
      <w:tr w:rsidR="00407B93" w:rsidRPr="0025521C" w14:paraId="056CB9AD" w14:textId="77777777" w:rsidTr="004615D3">
        <w:trPr>
          <w:cantSplit/>
        </w:trPr>
        <w:tc>
          <w:tcPr>
            <w:tcW w:w="2245" w:type="dxa"/>
          </w:tcPr>
          <w:p w14:paraId="18270CA2" w14:textId="77777777" w:rsidR="00C31D93" w:rsidRPr="009875DA" w:rsidRDefault="00C31D93" w:rsidP="00B06260">
            <w:pPr>
              <w:pStyle w:val="NormalWeb"/>
              <w:widowControl w:val="0"/>
              <w:spacing w:before="0" w:beforeAutospacing="0" w:after="0" w:afterAutospacing="0" w:line="276" w:lineRule="auto"/>
              <w:jc w:val="both"/>
              <w:rPr>
                <w:b/>
              </w:rPr>
            </w:pPr>
          </w:p>
          <w:p w14:paraId="2D1C52F5" w14:textId="77777777" w:rsidR="00C31D93" w:rsidRPr="009875DA" w:rsidRDefault="00C31D93" w:rsidP="00B06260">
            <w:pPr>
              <w:pStyle w:val="NormalWeb"/>
              <w:widowControl w:val="0"/>
              <w:spacing w:before="0" w:beforeAutospacing="0" w:after="0" w:afterAutospacing="0" w:line="276" w:lineRule="auto"/>
              <w:jc w:val="both"/>
              <w:rPr>
                <w:b/>
                <w:lang w:val="vi-VN"/>
              </w:rPr>
            </w:pPr>
          </w:p>
        </w:tc>
        <w:tc>
          <w:tcPr>
            <w:tcW w:w="7380" w:type="dxa"/>
          </w:tcPr>
          <w:p w14:paraId="78AB9489" w14:textId="77777777" w:rsidR="004D74CA" w:rsidRPr="009875DA" w:rsidRDefault="004D74CA" w:rsidP="00B06260">
            <w:pPr>
              <w:tabs>
                <w:tab w:val="left" w:pos="851"/>
              </w:tabs>
              <w:spacing w:after="120" w:line="276" w:lineRule="auto"/>
              <w:jc w:val="both"/>
              <w:rPr>
                <w:rFonts w:ascii="Times New Roman" w:hAnsi="Times New Roman" w:cs="Times New Roman"/>
                <w:b/>
                <w:bCs/>
                <w:sz w:val="24"/>
                <w:szCs w:val="24"/>
                <w:lang w:val="vi-VN"/>
              </w:rPr>
            </w:pPr>
            <w:r w:rsidRPr="009875DA">
              <w:rPr>
                <w:rFonts w:ascii="Times New Roman" w:hAnsi="Times New Roman" w:cs="Times New Roman"/>
                <w:b/>
                <w:bCs/>
                <w:sz w:val="24"/>
                <w:szCs w:val="24"/>
                <w:lang w:val="vi-VN"/>
              </w:rPr>
              <w:t>Điều 1. Phạm vi điều chỉnh</w:t>
            </w:r>
          </w:p>
          <w:p w14:paraId="571BBBBF" w14:textId="4B6BDC19" w:rsidR="00C31D93" w:rsidRPr="009875DA" w:rsidRDefault="004D74CA" w:rsidP="004615D3">
            <w:pPr>
              <w:tabs>
                <w:tab w:val="left" w:pos="851"/>
              </w:tabs>
              <w:spacing w:after="120" w:line="276" w:lineRule="auto"/>
              <w:jc w:val="both"/>
              <w:rPr>
                <w:rFonts w:ascii="Times New Roman" w:hAnsi="Times New Roman" w:cs="Times New Roman"/>
                <w:sz w:val="24"/>
                <w:szCs w:val="24"/>
                <w:lang w:val="vi-VN"/>
              </w:rPr>
            </w:pPr>
            <w:r w:rsidRPr="009875DA">
              <w:rPr>
                <w:rFonts w:ascii="Times New Roman" w:hAnsi="Times New Roman" w:cs="Times New Roman"/>
                <w:sz w:val="24"/>
                <w:szCs w:val="24"/>
                <w:lang w:val="vi-VN"/>
              </w:rPr>
              <w:t xml:space="preserve">Nghị định này quy định chi tiết </w:t>
            </w:r>
            <w:bookmarkStart w:id="2" w:name="_Hlk217596481"/>
            <w:r w:rsidRPr="009875DA">
              <w:rPr>
                <w:rFonts w:ascii="Times New Roman" w:hAnsi="Times New Roman" w:cs="Times New Roman"/>
                <w:sz w:val="24"/>
                <w:szCs w:val="24"/>
                <w:lang w:val="vi-VN"/>
              </w:rPr>
              <w:t>Điều 11, Điều 12, Điều 15, Điều 21, Điều 22 và một số biện pháp thi hành Luật Công nghệ cao.</w:t>
            </w:r>
            <w:bookmarkEnd w:id="2"/>
          </w:p>
        </w:tc>
        <w:tc>
          <w:tcPr>
            <w:tcW w:w="5400" w:type="dxa"/>
          </w:tcPr>
          <w:p w14:paraId="5DFE721D" w14:textId="568A1B34" w:rsidR="00C31D93" w:rsidRPr="009875DA" w:rsidRDefault="0036701E" w:rsidP="00B06260">
            <w:pPr>
              <w:widowControl w:val="0"/>
              <w:spacing w:line="276" w:lineRule="auto"/>
              <w:jc w:val="both"/>
              <w:rPr>
                <w:rFonts w:ascii="Times New Roman" w:hAnsi="Times New Roman" w:cs="Times New Roman"/>
                <w:sz w:val="24"/>
                <w:szCs w:val="24"/>
                <w:lang w:val="vi-VN"/>
              </w:rPr>
            </w:pPr>
            <w:r w:rsidRPr="009875DA">
              <w:rPr>
                <w:rFonts w:ascii="Times New Roman" w:hAnsi="Times New Roman" w:cs="Times New Roman"/>
                <w:sz w:val="24"/>
                <w:szCs w:val="24"/>
                <w:lang w:val="vi-VN"/>
              </w:rPr>
              <w:t>Điều này tr</w:t>
            </w:r>
            <w:r w:rsidR="002349E5" w:rsidRPr="009875DA">
              <w:rPr>
                <w:rFonts w:ascii="Times New Roman" w:hAnsi="Times New Roman" w:cs="Times New Roman"/>
                <w:sz w:val="24"/>
                <w:szCs w:val="24"/>
                <w:lang w:val="vi-VN"/>
              </w:rPr>
              <w:t>o</w:t>
            </w:r>
            <w:r w:rsidRPr="009875DA">
              <w:rPr>
                <w:rFonts w:ascii="Times New Roman" w:hAnsi="Times New Roman" w:cs="Times New Roman"/>
                <w:sz w:val="24"/>
                <w:szCs w:val="24"/>
                <w:lang w:val="vi-VN"/>
              </w:rPr>
              <w:t xml:space="preserve">ng dự thảo Nghị định </w:t>
            </w:r>
            <w:r w:rsidRPr="009875DA">
              <w:rPr>
                <w:rStyle w:val="Strong"/>
                <w:rFonts w:ascii="Times New Roman" w:hAnsi="Times New Roman" w:cs="Times New Roman"/>
                <w:b w:val="0"/>
                <w:sz w:val="24"/>
                <w:szCs w:val="24"/>
                <w:lang w:val="vi-VN"/>
              </w:rPr>
              <w:t>làm rõ phạm vi, giới hạn các nội dung mà Nghị định hướng dẫn, cụ thể hóa</w:t>
            </w:r>
            <w:r w:rsidRPr="009875DA">
              <w:rPr>
                <w:rFonts w:ascii="Times New Roman" w:hAnsi="Times New Roman" w:cs="Times New Roman"/>
                <w:sz w:val="24"/>
                <w:szCs w:val="24"/>
                <w:lang w:val="vi-VN"/>
              </w:rPr>
              <w:t xml:space="preserve"> theo chức năng, nhiệm vụ được giao tại </w:t>
            </w:r>
            <w:r w:rsidRPr="009875DA">
              <w:rPr>
                <w:rStyle w:val="Strong"/>
                <w:rFonts w:ascii="Times New Roman" w:hAnsi="Times New Roman" w:cs="Times New Roman"/>
                <w:b w:val="0"/>
                <w:sz w:val="24"/>
                <w:szCs w:val="24"/>
                <w:lang w:val="vi-VN"/>
              </w:rPr>
              <w:t>Luật Công nghệ cao số 133/2025/QH15</w:t>
            </w:r>
            <w:r w:rsidRPr="009875DA">
              <w:rPr>
                <w:rFonts w:ascii="Times New Roman" w:hAnsi="Times New Roman" w:cs="Times New Roman"/>
                <w:b/>
                <w:sz w:val="24"/>
                <w:szCs w:val="24"/>
                <w:lang w:val="vi-VN"/>
              </w:rPr>
              <w:t>.</w:t>
            </w:r>
          </w:p>
        </w:tc>
      </w:tr>
      <w:tr w:rsidR="00407B93" w:rsidRPr="0025521C" w14:paraId="2D0DCA04" w14:textId="77777777" w:rsidTr="00022042">
        <w:tc>
          <w:tcPr>
            <w:tcW w:w="2245" w:type="dxa"/>
          </w:tcPr>
          <w:p w14:paraId="40B9EF80" w14:textId="4060D33B" w:rsidR="00C31D93" w:rsidRPr="009875DA" w:rsidRDefault="00C31D93" w:rsidP="00B06260">
            <w:pPr>
              <w:pStyle w:val="NormalWeb"/>
              <w:widowControl w:val="0"/>
              <w:spacing w:before="0" w:beforeAutospacing="0" w:after="0" w:afterAutospacing="0" w:line="276" w:lineRule="auto"/>
              <w:jc w:val="both"/>
              <w:rPr>
                <w:b/>
                <w:lang w:val="vi-VN"/>
              </w:rPr>
            </w:pPr>
          </w:p>
        </w:tc>
        <w:tc>
          <w:tcPr>
            <w:tcW w:w="7380" w:type="dxa"/>
          </w:tcPr>
          <w:p w14:paraId="5591DB71" w14:textId="77777777" w:rsidR="00C31D93" w:rsidRPr="000C2D51" w:rsidRDefault="00C31D93" w:rsidP="00B06260">
            <w:pPr>
              <w:tabs>
                <w:tab w:val="left" w:pos="851"/>
              </w:tabs>
              <w:spacing w:line="276" w:lineRule="auto"/>
              <w:jc w:val="both"/>
              <w:rPr>
                <w:rFonts w:ascii="Times New Roman" w:hAnsi="Times New Roman" w:cs="Times New Roman"/>
                <w:b/>
                <w:bCs/>
                <w:sz w:val="24"/>
                <w:szCs w:val="24"/>
                <w:lang w:val="vi-VN"/>
              </w:rPr>
            </w:pPr>
            <w:r w:rsidRPr="000C2D51">
              <w:rPr>
                <w:rFonts w:ascii="Times New Roman" w:hAnsi="Times New Roman" w:cs="Times New Roman"/>
                <w:b/>
                <w:bCs/>
                <w:sz w:val="24"/>
                <w:szCs w:val="24"/>
                <w:lang w:val="vi-VN"/>
              </w:rPr>
              <w:t>Điều 2. Đối tượng áp dụng</w:t>
            </w:r>
          </w:p>
          <w:p w14:paraId="1C938A5A" w14:textId="1A62F7FD" w:rsidR="00C31D93" w:rsidRPr="000C2D51" w:rsidRDefault="00766105" w:rsidP="00B06260">
            <w:pPr>
              <w:tabs>
                <w:tab w:val="left" w:pos="851"/>
              </w:tabs>
              <w:spacing w:line="276" w:lineRule="auto"/>
              <w:jc w:val="both"/>
              <w:rPr>
                <w:rFonts w:ascii="Times New Roman" w:hAnsi="Times New Roman" w:cs="Times New Roman"/>
                <w:color w:val="000000" w:themeColor="text1"/>
                <w:sz w:val="24"/>
                <w:szCs w:val="24"/>
                <w:lang w:val="vi-VN"/>
              </w:rPr>
            </w:pPr>
            <w:r w:rsidRPr="000C2D51">
              <w:rPr>
                <w:rFonts w:ascii="Times New Roman" w:hAnsi="Times New Roman" w:cs="Times New Roman"/>
                <w:color w:val="000000" w:themeColor="text1"/>
                <w:sz w:val="24"/>
                <w:szCs w:val="24"/>
                <w:lang w:val="vi-VN"/>
              </w:rPr>
              <w:t>Nghị định này áp dụng đối với tổ chức, cá nhân Việt Nam, người Việt Nam định cư ở nước ngoài, tổ chức nước ngoài, cá nhân nước ngoài tham gia hoặc có liên quan đến hoạt động công nghệ cao, công nghệ chiến lược tại Việt Nam.</w:t>
            </w:r>
            <w:r w:rsidR="00C31D93" w:rsidRPr="000C2D51">
              <w:rPr>
                <w:rFonts w:ascii="Times New Roman" w:eastAsia="Times New Roman" w:hAnsi="Times New Roman" w:cs="Times New Roman"/>
                <w:sz w:val="24"/>
                <w:szCs w:val="24"/>
                <w:lang w:val="vi-VN"/>
              </w:rPr>
              <w:t xml:space="preserve"> </w:t>
            </w:r>
          </w:p>
        </w:tc>
        <w:tc>
          <w:tcPr>
            <w:tcW w:w="5400" w:type="dxa"/>
          </w:tcPr>
          <w:p w14:paraId="446B52A3" w14:textId="511E4091" w:rsidR="0036701E" w:rsidRPr="000C2D51" w:rsidRDefault="0036701E" w:rsidP="009875DA">
            <w:pPr>
              <w:spacing w:line="276" w:lineRule="auto"/>
              <w:jc w:val="both"/>
              <w:rPr>
                <w:rFonts w:ascii="Times New Roman" w:eastAsia="Times New Roman" w:hAnsi="Times New Roman" w:cs="Times New Roman"/>
                <w:sz w:val="24"/>
                <w:szCs w:val="24"/>
                <w:lang w:val="vi-VN"/>
              </w:rPr>
            </w:pPr>
            <w:r w:rsidRPr="000C2D51">
              <w:rPr>
                <w:rFonts w:ascii="Times New Roman" w:eastAsia="Times New Roman" w:hAnsi="Times New Roman" w:cs="Times New Roman"/>
                <w:sz w:val="24"/>
                <w:szCs w:val="24"/>
                <w:lang w:val="vi-VN"/>
              </w:rPr>
              <w:t>- Luật Công nghệ cao số 133/2025/QH15 quy định chung các chủ thể tham gia hoạt động công nghệ cao, khu công nghệ cao và quản lý nhà nước trong lĩnh vực công nghệ cao, nhưng chưa xác định cụ thể phạm vi đối tượng áp dụng đối với từng văn bản hướng dẫn.</w:t>
            </w:r>
          </w:p>
          <w:p w14:paraId="632F6A4C" w14:textId="31F268EF" w:rsidR="00C31D93" w:rsidRPr="000C2D51" w:rsidRDefault="0036701E" w:rsidP="009875DA">
            <w:pPr>
              <w:spacing w:line="276" w:lineRule="auto"/>
              <w:jc w:val="both"/>
              <w:rPr>
                <w:rFonts w:ascii="Times New Roman" w:eastAsia="Times New Roman" w:hAnsi="Times New Roman" w:cs="Times New Roman"/>
                <w:sz w:val="24"/>
                <w:szCs w:val="24"/>
                <w:lang w:val="vi-VN"/>
              </w:rPr>
            </w:pPr>
            <w:r w:rsidRPr="000C2D51">
              <w:rPr>
                <w:rFonts w:ascii="Times New Roman" w:eastAsia="Times New Roman" w:hAnsi="Times New Roman" w:cs="Times New Roman"/>
                <w:sz w:val="24"/>
                <w:szCs w:val="24"/>
                <w:lang w:val="vi-VN"/>
              </w:rPr>
              <w:lastRenderedPageBreak/>
              <w:t>- Điều này xác định rõ phạm vi đối tượng áp dụng và thống nhất cách hiểu các khái niệm sử dụng trong Nghị định, làm cơ sở cho việc tổ chức thi hành các quy định chi tiết của Luật Công nghệ cao số 133/2025/QH15.</w:t>
            </w:r>
            <w:r w:rsidRPr="000C2D51">
              <w:rPr>
                <w:rFonts w:ascii="Times New Roman" w:eastAsia="Times New Roman" w:hAnsi="Times New Roman" w:cs="Times New Roman"/>
                <w:sz w:val="24"/>
                <w:szCs w:val="24"/>
                <w:lang w:val="vi-VN"/>
              </w:rPr>
              <w:br/>
            </w:r>
            <w:r w:rsidR="009D4991" w:rsidRPr="000C2D51">
              <w:rPr>
                <w:rFonts w:ascii="Times New Roman" w:eastAsia="Times New Roman" w:hAnsi="Times New Roman" w:cs="Times New Roman"/>
                <w:sz w:val="24"/>
                <w:szCs w:val="24"/>
                <w:lang w:val="vi-VN"/>
              </w:rPr>
              <w:t xml:space="preserve">- </w:t>
            </w:r>
            <w:r w:rsidRPr="000C2D51">
              <w:rPr>
                <w:rFonts w:ascii="Times New Roman" w:eastAsia="Times New Roman" w:hAnsi="Times New Roman" w:cs="Times New Roman"/>
                <w:sz w:val="24"/>
                <w:szCs w:val="24"/>
                <w:lang w:val="vi-VN"/>
              </w:rPr>
              <w:t>Quy định này bảo đảm Nghị định được áp dụng đúng đối tượng, đúng phạm vi, tránh cách hiểu và áp dụng khác nhau trong thực tiễn quản lý.</w:t>
            </w:r>
          </w:p>
        </w:tc>
      </w:tr>
      <w:tr w:rsidR="00407B93" w:rsidRPr="0025521C" w14:paraId="3E6789C7" w14:textId="77777777" w:rsidTr="00A66B46">
        <w:trPr>
          <w:trHeight w:val="752"/>
        </w:trPr>
        <w:tc>
          <w:tcPr>
            <w:tcW w:w="2245" w:type="dxa"/>
          </w:tcPr>
          <w:p w14:paraId="2E8D17C0" w14:textId="6155B7F8" w:rsidR="00C31D93" w:rsidRPr="000C2D51" w:rsidRDefault="00C31D93" w:rsidP="00B06260">
            <w:pPr>
              <w:pStyle w:val="NormalWeb"/>
              <w:widowControl w:val="0"/>
              <w:spacing w:before="0" w:beforeAutospacing="0" w:after="0" w:afterAutospacing="0" w:line="276" w:lineRule="auto"/>
              <w:jc w:val="both"/>
              <w:rPr>
                <w:b/>
                <w:lang w:val="vi-VN"/>
              </w:rPr>
            </w:pPr>
          </w:p>
        </w:tc>
        <w:tc>
          <w:tcPr>
            <w:tcW w:w="7380" w:type="dxa"/>
          </w:tcPr>
          <w:p w14:paraId="410619C2" w14:textId="77777777" w:rsidR="00302B03" w:rsidRPr="000C2D51" w:rsidRDefault="00302B03" w:rsidP="008947F1">
            <w:pPr>
              <w:tabs>
                <w:tab w:val="left" w:pos="851"/>
              </w:tabs>
              <w:spacing w:line="276" w:lineRule="auto"/>
              <w:jc w:val="both"/>
              <w:rPr>
                <w:rFonts w:ascii="Times New Roman" w:hAnsi="Times New Roman" w:cs="Times New Roman"/>
                <w:sz w:val="24"/>
                <w:szCs w:val="24"/>
                <w:lang w:val="vi-VN"/>
              </w:rPr>
            </w:pPr>
            <w:r w:rsidRPr="000C2D51">
              <w:rPr>
                <w:rFonts w:ascii="Times New Roman" w:hAnsi="Times New Roman" w:cs="Times New Roman"/>
                <w:b/>
                <w:bCs/>
                <w:sz w:val="24"/>
                <w:szCs w:val="24"/>
                <w:lang w:val="vi-VN"/>
              </w:rPr>
              <w:t>Điều 3. Giải thích từ ngữ</w:t>
            </w:r>
          </w:p>
          <w:p w14:paraId="65AB22F5" w14:textId="77777777" w:rsidR="00766105" w:rsidRPr="000C2D51" w:rsidRDefault="00766105" w:rsidP="008947F1">
            <w:pPr>
              <w:tabs>
                <w:tab w:val="left" w:pos="851"/>
              </w:tabs>
              <w:spacing w:line="276" w:lineRule="auto"/>
              <w:jc w:val="both"/>
              <w:rPr>
                <w:rFonts w:ascii="Times New Roman" w:hAnsi="Times New Roman" w:cs="Times New Roman"/>
                <w:color w:val="000000" w:themeColor="text1"/>
                <w:sz w:val="24"/>
                <w:szCs w:val="24"/>
                <w:lang w:val="vi-VN"/>
              </w:rPr>
            </w:pPr>
            <w:r w:rsidRPr="000C2D51">
              <w:rPr>
                <w:rFonts w:ascii="Times New Roman" w:hAnsi="Times New Roman" w:cs="Times New Roman"/>
                <w:color w:val="000000" w:themeColor="text1"/>
                <w:sz w:val="24"/>
                <w:szCs w:val="24"/>
                <w:lang w:val="vi-VN"/>
              </w:rPr>
              <w:t>1. Mở rộng khu công nghệ cao là việc điều chỉnh tăng quy mô diện tích khu công nghệ cao trên 10% so với khu công nghệ cao hiện hữu hoặc từ 50 héc ta trở lên, trong đó khu vực mở rộng có ranh giới lân cận hoặc liền kề, có thể kết nối, sử dụng chung hệ thống kết cấu hạ tầng kỹ thuật với khu công nghệ cao đã được hình thành trước đó.</w:t>
            </w:r>
          </w:p>
          <w:p w14:paraId="7168FE79" w14:textId="77777777" w:rsidR="00766105" w:rsidRPr="000C2D51" w:rsidRDefault="00766105" w:rsidP="00B06260">
            <w:pPr>
              <w:tabs>
                <w:tab w:val="left" w:pos="851"/>
              </w:tabs>
              <w:spacing w:line="276" w:lineRule="auto"/>
              <w:jc w:val="both"/>
              <w:rPr>
                <w:rFonts w:ascii="Times New Roman" w:hAnsi="Times New Roman" w:cs="Times New Roman"/>
                <w:color w:val="000000" w:themeColor="text1"/>
                <w:sz w:val="24"/>
                <w:szCs w:val="24"/>
                <w:lang w:val="vi-VN"/>
              </w:rPr>
            </w:pPr>
            <w:r w:rsidRPr="000C2D51">
              <w:rPr>
                <w:rFonts w:ascii="Times New Roman" w:hAnsi="Times New Roman" w:cs="Times New Roman"/>
                <w:color w:val="000000" w:themeColor="text1"/>
                <w:sz w:val="24"/>
                <w:szCs w:val="24"/>
                <w:lang w:val="vi-VN"/>
              </w:rPr>
              <w:t>2. Điều chỉnh khu công nghệ cao là việc thay đổi về mục tiêu và nhiệm vụ của khu công nghệ cao; thay đổi quy mô diện tích và tổ chức không gian từ 5% trở lên và nhỏ hơn 10% so với khu công nghệ cao hiện hữu và không vượt quá 50 héc ta; thay đổi phương án đầu tư phát triển, cơ cấu nguồn vốn đầu tư xây dựng và phát triển (đầu tư xây dựng hạ tầng kỹ thuật) hoặc quy mô vốn đầu tư xây dựng vượt quá 10% so với phương án tại quyết định thành lập, mở rộng, điều chỉnh khu công nghệ cao hiện hành.</w:t>
            </w:r>
          </w:p>
          <w:p w14:paraId="63F76742" w14:textId="77777777" w:rsidR="00766105" w:rsidRPr="000C2D51" w:rsidRDefault="00766105" w:rsidP="00B06260">
            <w:pPr>
              <w:tabs>
                <w:tab w:val="left" w:pos="851"/>
              </w:tabs>
              <w:spacing w:line="276" w:lineRule="auto"/>
              <w:jc w:val="both"/>
              <w:rPr>
                <w:rFonts w:ascii="Times New Roman" w:hAnsi="Times New Roman" w:cs="Times New Roman"/>
                <w:color w:val="000000" w:themeColor="text1"/>
                <w:sz w:val="24"/>
                <w:szCs w:val="24"/>
                <w:lang w:val="vi-VN"/>
              </w:rPr>
            </w:pPr>
            <w:r w:rsidRPr="000C2D51">
              <w:rPr>
                <w:rFonts w:ascii="Times New Roman" w:hAnsi="Times New Roman" w:cs="Times New Roman"/>
                <w:color w:val="000000" w:themeColor="text1"/>
                <w:sz w:val="24"/>
                <w:szCs w:val="24"/>
                <w:lang w:val="vi-VN"/>
              </w:rPr>
              <w:t>3. Tỷ lệ lấp đầy của khu công nghệ cao là tỷ lệ phần trăm (%) diện tích đất (bao gồm cả đất có mặt nước) nhà đầu tư đã sử dụng sau khi được giao, cho thuê để thực hiện dự án đầu tư trong khu công nghệ cao trên tổng diện tích đất được quy hoạch để giao, cho thuê theo quy hoạch phân khu được phê duyệt.</w:t>
            </w:r>
          </w:p>
          <w:p w14:paraId="25414032" w14:textId="77777777" w:rsidR="00766105" w:rsidRPr="000C2D51" w:rsidRDefault="00766105" w:rsidP="004615D3">
            <w:pPr>
              <w:widowControl w:val="0"/>
              <w:tabs>
                <w:tab w:val="left" w:pos="851"/>
              </w:tabs>
              <w:spacing w:line="276" w:lineRule="auto"/>
              <w:jc w:val="both"/>
              <w:rPr>
                <w:rFonts w:ascii="Times New Roman" w:hAnsi="Times New Roman" w:cs="Times New Roman"/>
                <w:color w:val="000000" w:themeColor="text1"/>
                <w:sz w:val="24"/>
                <w:szCs w:val="24"/>
                <w:lang w:val="vi-VN"/>
              </w:rPr>
            </w:pPr>
            <w:r w:rsidRPr="000C2D51">
              <w:rPr>
                <w:rFonts w:ascii="Times New Roman" w:hAnsi="Times New Roman" w:cs="Times New Roman"/>
                <w:color w:val="000000" w:themeColor="text1"/>
                <w:sz w:val="24"/>
                <w:szCs w:val="24"/>
                <w:lang w:val="vi-VN"/>
              </w:rPr>
              <w:t xml:space="preserve">4. Hệ thống kết cấu hạ tầng kỹ thuật khu công nghệ cao bao gồm hệ thống các công trình hạ tầng kỹ thuật, các công trình hạ tầng kỹ thuật bảo vệ môi trường, phòng cháy chữa cháy, bảo đảm an toàn giao thông, an ninh trật tự trong khu công nghệ cao và hạ tầng số (cơ sở hạ tầng thông tin). Hệ thống kết cấu hạ tầng kỹ thuật khu công nghệ cao được quy hoạch, thiết kế và xây </w:t>
            </w:r>
            <w:r w:rsidRPr="000C2D51">
              <w:rPr>
                <w:rFonts w:ascii="Times New Roman" w:hAnsi="Times New Roman" w:cs="Times New Roman"/>
                <w:color w:val="000000" w:themeColor="text1"/>
                <w:sz w:val="24"/>
                <w:szCs w:val="24"/>
                <w:lang w:val="vi-VN"/>
              </w:rPr>
              <w:lastRenderedPageBreak/>
              <w:t>dựng hiện đại, đồng bộ, thân thiện môi trường, cung cấp các tiện ích quản lý thông minh.</w:t>
            </w:r>
          </w:p>
          <w:p w14:paraId="5348833F" w14:textId="77777777" w:rsidR="00766105" w:rsidRPr="000C2D51" w:rsidRDefault="00766105" w:rsidP="00B06260">
            <w:pPr>
              <w:tabs>
                <w:tab w:val="left" w:pos="851"/>
              </w:tabs>
              <w:spacing w:line="276" w:lineRule="auto"/>
              <w:jc w:val="both"/>
              <w:rPr>
                <w:rFonts w:ascii="Times New Roman" w:hAnsi="Times New Roman" w:cs="Times New Roman"/>
                <w:color w:val="000000" w:themeColor="text1"/>
                <w:sz w:val="24"/>
                <w:szCs w:val="24"/>
                <w:lang w:val="vi-VN"/>
              </w:rPr>
            </w:pPr>
            <w:r w:rsidRPr="000C2D51">
              <w:rPr>
                <w:rFonts w:ascii="Times New Roman" w:hAnsi="Times New Roman" w:cs="Times New Roman"/>
                <w:color w:val="000000" w:themeColor="text1"/>
                <w:sz w:val="24"/>
                <w:szCs w:val="24"/>
                <w:lang w:val="vi-VN"/>
              </w:rPr>
              <w:t>5. Hệ thống công trình hạ tầng xã hội phục vụ hoạt động của khu công nghệ cao là hệ thống công trình hạ tầng xã hội theo quy định của pháp luật xây dựng, bao gồm các công trình giáo dục, y tế, thể thao, văn hóa, cây xanh, công viên, thương mại, dịch vụ, dịch vụ lưu trú và khu nhà ở (khu nhà ở nằm ngoài ranh giới khu công nghệ cao) phục vụ trực tiếp cho người lao động làm việc trong khu công nghệ cao.</w:t>
            </w:r>
          </w:p>
          <w:p w14:paraId="74855EA9" w14:textId="4400DC2E" w:rsidR="00C31D93" w:rsidRPr="000C2D51" w:rsidRDefault="00766105" w:rsidP="00B06260">
            <w:pPr>
              <w:tabs>
                <w:tab w:val="left" w:pos="851"/>
              </w:tabs>
              <w:spacing w:line="276" w:lineRule="auto"/>
              <w:jc w:val="both"/>
              <w:rPr>
                <w:rFonts w:ascii="Times New Roman" w:hAnsi="Times New Roman" w:cs="Times New Roman"/>
                <w:color w:val="000000" w:themeColor="text1"/>
                <w:sz w:val="24"/>
                <w:szCs w:val="24"/>
                <w:lang w:val="vi-VN"/>
              </w:rPr>
            </w:pPr>
            <w:r w:rsidRPr="000C2D51">
              <w:rPr>
                <w:rFonts w:ascii="Times New Roman" w:hAnsi="Times New Roman" w:cs="Times New Roman"/>
                <w:color w:val="000000" w:themeColor="text1"/>
                <w:sz w:val="24"/>
                <w:szCs w:val="24"/>
                <w:lang w:val="vi-VN"/>
              </w:rPr>
              <w:t xml:space="preserve">6. Dự án đầu tư tại khu công nghệ cao là dự án đầu tư theo quy định tại </w:t>
            </w:r>
            <w:bookmarkStart w:id="3" w:name="tvpllink_gwozgqnrqo_1"/>
            <w:r w:rsidRPr="000C2D51">
              <w:rPr>
                <w:rFonts w:ascii="Times New Roman" w:hAnsi="Times New Roman" w:cs="Times New Roman"/>
                <w:color w:val="000000" w:themeColor="text1"/>
                <w:sz w:val="24"/>
                <w:szCs w:val="24"/>
                <w:lang w:val="vi-VN"/>
              </w:rPr>
              <w:t>Luật Đầu tư</w:t>
            </w:r>
            <w:bookmarkEnd w:id="3"/>
            <w:r w:rsidRPr="000C2D51">
              <w:rPr>
                <w:rFonts w:ascii="Times New Roman" w:hAnsi="Times New Roman" w:cs="Times New Roman"/>
                <w:color w:val="000000" w:themeColor="text1"/>
                <w:sz w:val="24"/>
                <w:szCs w:val="24"/>
                <w:lang w:val="vi-VN"/>
              </w:rPr>
              <w:t xml:space="preserve"> và dự án đầu tư công theo quy định tại </w:t>
            </w:r>
            <w:bookmarkStart w:id="4" w:name="tvpllink_ihapzsdgxi_1"/>
            <w:r w:rsidRPr="000C2D51">
              <w:rPr>
                <w:rFonts w:ascii="Times New Roman" w:hAnsi="Times New Roman" w:cs="Times New Roman"/>
                <w:color w:val="000000" w:themeColor="text1"/>
                <w:sz w:val="24"/>
                <w:szCs w:val="24"/>
                <w:lang w:val="vi-VN"/>
              </w:rPr>
              <w:t>Luật Đầu tư công</w:t>
            </w:r>
            <w:bookmarkEnd w:id="4"/>
            <w:r w:rsidRPr="000C2D51">
              <w:rPr>
                <w:rFonts w:ascii="Times New Roman" w:hAnsi="Times New Roman" w:cs="Times New Roman"/>
                <w:color w:val="000000" w:themeColor="text1"/>
                <w:sz w:val="24"/>
                <w:szCs w:val="24"/>
                <w:lang w:val="vi-VN"/>
              </w:rPr>
              <w:t>; nhà đầu tư là tổ chức, cá nhân thực hiện dự án đầu tư tại khu công nghệ cao.</w:t>
            </w:r>
          </w:p>
        </w:tc>
        <w:tc>
          <w:tcPr>
            <w:tcW w:w="5400" w:type="dxa"/>
          </w:tcPr>
          <w:p w14:paraId="4479E1E0" w14:textId="1D375B36" w:rsidR="00302B03" w:rsidRPr="000C2D51" w:rsidRDefault="00302B03" w:rsidP="009875DA">
            <w:pPr>
              <w:spacing w:line="276" w:lineRule="auto"/>
              <w:jc w:val="both"/>
              <w:rPr>
                <w:rFonts w:ascii="Times New Roman" w:eastAsia="Times New Roman" w:hAnsi="Times New Roman" w:cs="Times New Roman"/>
                <w:sz w:val="24"/>
                <w:szCs w:val="24"/>
                <w:lang w:val="vi-VN"/>
              </w:rPr>
            </w:pPr>
            <w:r w:rsidRPr="000C2D51">
              <w:rPr>
                <w:rFonts w:ascii="Times New Roman" w:eastAsia="Times New Roman" w:hAnsi="Times New Roman" w:cs="Times New Roman"/>
                <w:sz w:val="24"/>
                <w:szCs w:val="24"/>
                <w:lang w:val="vi-VN"/>
              </w:rPr>
              <w:lastRenderedPageBreak/>
              <w:t>- Điều 3 của Nghị định làm rõ và cụ thể hóa một số thuật ngữ trọng tâm mà Luật chưa định nghĩa hoặc mới đề cập ở mức khái quát</w:t>
            </w:r>
            <w:r w:rsidRPr="000C2D51">
              <w:rPr>
                <w:rFonts w:ascii="Times New Roman" w:eastAsia="Times New Roman" w:hAnsi="Times New Roman" w:cs="Times New Roman"/>
                <w:b/>
                <w:sz w:val="24"/>
                <w:szCs w:val="24"/>
                <w:lang w:val="vi-VN"/>
              </w:rPr>
              <w:t xml:space="preserve">, </w:t>
            </w:r>
            <w:r w:rsidRPr="000C2D51">
              <w:rPr>
                <w:rStyle w:val="Strong"/>
                <w:rFonts w:ascii="Times New Roman" w:hAnsi="Times New Roman" w:cs="Times New Roman"/>
                <w:b w:val="0"/>
                <w:sz w:val="24"/>
                <w:szCs w:val="24"/>
                <w:lang w:val="vi-VN"/>
              </w:rPr>
              <w:t>thống nhất cách hiểu và cách áp dụng các thuật ngữ chuyên môn</w:t>
            </w:r>
            <w:r w:rsidRPr="000C2D51">
              <w:rPr>
                <w:rFonts w:ascii="Times New Roman" w:hAnsi="Times New Roman" w:cs="Times New Roman"/>
                <w:sz w:val="24"/>
                <w:szCs w:val="24"/>
                <w:lang w:val="vi-VN"/>
              </w:rPr>
              <w:t xml:space="preserve"> được sử dụng trong Nghị định, làm cơ sở cho việc </w:t>
            </w:r>
            <w:r w:rsidRPr="000C2D51">
              <w:rPr>
                <w:rStyle w:val="Strong"/>
                <w:rFonts w:ascii="Times New Roman" w:hAnsi="Times New Roman" w:cs="Times New Roman"/>
                <w:b w:val="0"/>
                <w:sz w:val="24"/>
                <w:szCs w:val="24"/>
                <w:lang w:val="vi-VN"/>
              </w:rPr>
              <w:t>triển khai đồng bộ các quy định hướng dẫn thi hành Luật Công nghệ cao số 133/2025/QH15</w:t>
            </w:r>
            <w:r w:rsidRPr="000C2D51">
              <w:rPr>
                <w:rFonts w:ascii="Times New Roman" w:hAnsi="Times New Roman" w:cs="Times New Roman"/>
                <w:sz w:val="24"/>
                <w:szCs w:val="24"/>
                <w:lang w:val="vi-VN"/>
              </w:rPr>
              <w:t>, đặc biệt đối với nội dung liên quan đến khu công nghệ cao, quy hoạch, đầu tư xây dựng và quản lý vận hành.</w:t>
            </w:r>
          </w:p>
          <w:p w14:paraId="37C3263A" w14:textId="0FE745BB" w:rsidR="00C31D93" w:rsidRPr="009875DA" w:rsidRDefault="00F530D6" w:rsidP="002349E5">
            <w:pPr>
              <w:widowControl w:val="0"/>
              <w:spacing w:line="276" w:lineRule="auto"/>
              <w:jc w:val="both"/>
              <w:rPr>
                <w:rFonts w:ascii="Times New Roman" w:hAnsi="Times New Roman" w:cs="Times New Roman"/>
                <w:color w:val="000000"/>
                <w:sz w:val="24"/>
                <w:szCs w:val="24"/>
                <w:lang w:val="nb-NO"/>
              </w:rPr>
            </w:pPr>
            <w:r w:rsidRPr="000C2D51">
              <w:rPr>
                <w:rFonts w:ascii="Times New Roman" w:hAnsi="Times New Roman" w:cs="Times New Roman"/>
                <w:sz w:val="24"/>
                <w:szCs w:val="24"/>
                <w:lang w:val="vi-VN"/>
              </w:rPr>
              <w:t xml:space="preserve">- </w:t>
            </w:r>
            <w:r w:rsidR="00885A91" w:rsidRPr="000C2D51">
              <w:rPr>
                <w:rFonts w:ascii="Times New Roman" w:hAnsi="Times New Roman" w:cs="Times New Roman"/>
                <w:sz w:val="24"/>
                <w:szCs w:val="24"/>
                <w:lang w:val="vi-VN"/>
              </w:rPr>
              <w:t xml:space="preserve">Các từ ngữ được giải thích liên quan đến khu công nghệ cao kế thừa các nội dung giải thích từ ngữ tại Điều 3 </w:t>
            </w:r>
            <w:r w:rsidR="00885A91" w:rsidRPr="009875DA">
              <w:rPr>
                <w:rFonts w:ascii="Times New Roman" w:hAnsi="Times New Roman" w:cs="Times New Roman"/>
                <w:color w:val="000000"/>
                <w:sz w:val="24"/>
                <w:szCs w:val="24"/>
                <w:lang w:val="nb-NO"/>
              </w:rPr>
              <w:t>Nghị định số 10/2024/NĐ-CP, đồng thời cập nhật một số nội dung để đảm bảo phù hợp với quy định tại Luật Công nghệ cao và các pháp luật có liên quan.  Cụ thể:</w:t>
            </w:r>
          </w:p>
          <w:p w14:paraId="48DBC045" w14:textId="77777777" w:rsidR="00885A91" w:rsidRPr="009875DA" w:rsidRDefault="00885A91" w:rsidP="002349E5">
            <w:pPr>
              <w:widowControl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 Khái niệm về hệ thống kết cấu hạ tầng kỹ thuật khu công nghệ cao được bổ sung “hạ tầng số” để phù hợp với quy định tại điểm g khoản 2 Điều 22 Luật Công nghệ cao.</w:t>
            </w:r>
          </w:p>
          <w:p w14:paraId="1A894A9A" w14:textId="01EC9271" w:rsidR="00885A91" w:rsidRPr="009875DA" w:rsidRDefault="00885A91" w:rsidP="00B06260">
            <w:pPr>
              <w:widowControl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sz w:val="24"/>
                <w:szCs w:val="24"/>
                <w:lang w:val="nb-NO"/>
              </w:rPr>
              <w:t xml:space="preserve">- Khái niệm “điều chỉnh khu công nghệ cao” được bổ sung so với Điều 3 </w:t>
            </w:r>
            <w:r w:rsidRPr="009875DA">
              <w:rPr>
                <w:rFonts w:ascii="Times New Roman" w:hAnsi="Times New Roman" w:cs="Times New Roman"/>
                <w:color w:val="000000"/>
                <w:sz w:val="24"/>
                <w:szCs w:val="24"/>
                <w:lang w:val="nb-NO"/>
              </w:rPr>
              <w:t xml:space="preserve">Nghị định số 10/2024/NĐ-CP để đáp ứng yêu cầu thực tiễn và quy định về hướng dẫn tại khoản 6 Điều 22 và yêu cầu đối với quy định </w:t>
            </w:r>
            <w:r w:rsidRPr="009875DA">
              <w:rPr>
                <w:rFonts w:ascii="Times New Roman" w:hAnsi="Times New Roman" w:cs="Times New Roman"/>
                <w:color w:val="000000"/>
                <w:sz w:val="24"/>
                <w:szCs w:val="24"/>
                <w:lang w:val="nb-NO"/>
              </w:rPr>
              <w:lastRenderedPageBreak/>
              <w:t>chuyển tiếp tại điểm a khoản 3 Điều 27 Luật Công nghệ cao</w:t>
            </w:r>
            <w:r w:rsidR="00B97896" w:rsidRPr="009875DA">
              <w:rPr>
                <w:rFonts w:ascii="Times New Roman" w:hAnsi="Times New Roman" w:cs="Times New Roman"/>
                <w:color w:val="000000"/>
                <w:sz w:val="24"/>
                <w:szCs w:val="24"/>
                <w:lang w:val="nb-NO"/>
              </w:rPr>
              <w:t xml:space="preserve"> về việc điều chỉnh mục tiêu và nhiệm vụ hoạt động của khu công nghệ cao đã thảnh lập trước Luật Công nghệ cao năm 2025</w:t>
            </w:r>
            <w:r w:rsidRPr="009875DA">
              <w:rPr>
                <w:rFonts w:ascii="Times New Roman" w:hAnsi="Times New Roman" w:cs="Times New Roman"/>
                <w:color w:val="000000"/>
                <w:sz w:val="24"/>
                <w:szCs w:val="24"/>
                <w:lang w:val="nb-NO"/>
              </w:rPr>
              <w:t>.</w:t>
            </w:r>
          </w:p>
          <w:p w14:paraId="3B8D7FAB" w14:textId="3AE2D227" w:rsidR="00885A91" w:rsidRPr="009875DA" w:rsidRDefault="00885A91" w:rsidP="00B06260">
            <w:pPr>
              <w:widowControl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Khái niệm “điều chỉnh khu công nghệ cao”</w:t>
            </w:r>
            <w:r w:rsidR="00B97896" w:rsidRPr="009875DA">
              <w:rPr>
                <w:rFonts w:ascii="Times New Roman" w:hAnsi="Times New Roman" w:cs="Times New Roman"/>
                <w:sz w:val="24"/>
                <w:szCs w:val="24"/>
                <w:lang w:val="nb-NO"/>
              </w:rPr>
              <w:t xml:space="preserve">  đồng thời được xây dựng trên cơ sở tham khảo quy định về điều chỉnh ranh khu kinh tế quy định tại Điều 18 Nghị định số 35/2022/NĐ-CP quy định về quản lý khu công nghiệp, khu kinh tế (đối với tỷ lệ thay đổi diện tích không quá 10%) và dự kiến quy mô các khu công nghệ cao không quá lớn để đảm bảo nguồn lực phát triển (không quá 500ha)</w:t>
            </w:r>
            <w:r w:rsidR="008947F1">
              <w:rPr>
                <w:rFonts w:ascii="Times New Roman" w:hAnsi="Times New Roman" w:cs="Times New Roman"/>
                <w:sz w:val="24"/>
                <w:szCs w:val="24"/>
                <w:lang w:val="nb-NO"/>
              </w:rPr>
              <w:t>.</w:t>
            </w:r>
          </w:p>
        </w:tc>
      </w:tr>
      <w:tr w:rsidR="00407B93" w:rsidRPr="0025521C" w14:paraId="0F229408" w14:textId="77777777" w:rsidTr="00C22A39">
        <w:trPr>
          <w:trHeight w:val="1319"/>
        </w:trPr>
        <w:tc>
          <w:tcPr>
            <w:tcW w:w="2245" w:type="dxa"/>
          </w:tcPr>
          <w:p w14:paraId="2E188574" w14:textId="16269ED0" w:rsidR="00C31D93" w:rsidRPr="009875DA" w:rsidRDefault="00C31D93"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42D1F0CE" w14:textId="77777777" w:rsidR="00C31D93" w:rsidRPr="009875DA" w:rsidRDefault="00C31D93" w:rsidP="00696BEE">
            <w:pPr>
              <w:tabs>
                <w:tab w:val="left" w:pos="851"/>
              </w:tabs>
              <w:spacing w:line="276" w:lineRule="auto"/>
              <w:jc w:val="center"/>
              <w:rPr>
                <w:rFonts w:ascii="Times New Roman" w:hAnsi="Times New Roman" w:cs="Times New Roman"/>
                <w:b/>
                <w:bCs/>
                <w:sz w:val="24"/>
                <w:szCs w:val="24"/>
                <w:lang w:val="nl-NL"/>
              </w:rPr>
            </w:pPr>
            <w:r w:rsidRPr="009875DA">
              <w:rPr>
                <w:rFonts w:ascii="Times New Roman" w:hAnsi="Times New Roman" w:cs="Times New Roman"/>
                <w:b/>
                <w:bCs/>
                <w:sz w:val="24"/>
                <w:szCs w:val="24"/>
                <w:lang w:val="nl-NL"/>
              </w:rPr>
              <w:t>CHƯƠNG II</w:t>
            </w:r>
          </w:p>
          <w:p w14:paraId="7DC46F74" w14:textId="2ECA512C" w:rsidR="00C31D93" w:rsidRPr="009875DA" w:rsidRDefault="00766105" w:rsidP="00696BEE">
            <w:pPr>
              <w:tabs>
                <w:tab w:val="left" w:pos="851"/>
              </w:tabs>
              <w:spacing w:line="276" w:lineRule="auto"/>
              <w:jc w:val="center"/>
              <w:rPr>
                <w:rFonts w:ascii="Times New Roman" w:hAnsi="Times New Roman" w:cs="Times New Roman"/>
                <w:b/>
                <w:bCs/>
                <w:sz w:val="24"/>
                <w:szCs w:val="24"/>
                <w:lang w:val="nl-NL"/>
              </w:rPr>
            </w:pPr>
            <w:r w:rsidRPr="009875DA">
              <w:rPr>
                <w:rFonts w:ascii="Times New Roman" w:hAnsi="Times New Roman" w:cs="Times New Roman"/>
                <w:b/>
                <w:sz w:val="24"/>
                <w:szCs w:val="24"/>
                <w:lang w:val="nl-NL"/>
              </w:rPr>
              <w:t>NGHIÊN CỨU VÀ PHÁT TRIỂN CÔNG NGHỆ CAO, CÔNG NGHỆ CHIẾN LƯỢC; DOANH NGHIỆP KHỞI NGHIỆP VÀ CƠ SỞ ƯƠM TẠO</w:t>
            </w:r>
          </w:p>
        </w:tc>
        <w:tc>
          <w:tcPr>
            <w:tcW w:w="5400" w:type="dxa"/>
          </w:tcPr>
          <w:p w14:paraId="73F4BDCF" w14:textId="45007A9D" w:rsidR="00C31D93" w:rsidRPr="009875DA" w:rsidRDefault="00C31D93" w:rsidP="00B06260">
            <w:pPr>
              <w:widowControl w:val="0"/>
              <w:spacing w:line="276" w:lineRule="auto"/>
              <w:jc w:val="both"/>
              <w:rPr>
                <w:rFonts w:ascii="Times New Roman" w:hAnsi="Times New Roman" w:cs="Times New Roman"/>
                <w:b/>
                <w:sz w:val="24"/>
                <w:szCs w:val="24"/>
                <w:lang w:val="nl-NL"/>
              </w:rPr>
            </w:pPr>
          </w:p>
        </w:tc>
      </w:tr>
      <w:tr w:rsidR="00407B93" w:rsidRPr="0025521C" w14:paraId="5639D054" w14:textId="77777777" w:rsidTr="00022042">
        <w:tc>
          <w:tcPr>
            <w:tcW w:w="2245" w:type="dxa"/>
          </w:tcPr>
          <w:p w14:paraId="1640509D" w14:textId="77777777" w:rsidR="00C31D93" w:rsidRPr="009875DA" w:rsidRDefault="00C31D93"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21B03249" w14:textId="64A6EAC5" w:rsidR="00CC284E" w:rsidRPr="009875DA" w:rsidRDefault="00CC284E" w:rsidP="00B06260">
            <w:pPr>
              <w:tabs>
                <w:tab w:val="left" w:pos="851"/>
              </w:tabs>
              <w:spacing w:line="276" w:lineRule="auto"/>
              <w:jc w:val="both"/>
              <w:rPr>
                <w:rFonts w:ascii="Times New Roman" w:hAnsi="Times New Roman" w:cs="Times New Roman"/>
                <w:b/>
                <w:sz w:val="24"/>
                <w:szCs w:val="24"/>
                <w:lang w:val="nl-NL"/>
              </w:rPr>
            </w:pPr>
            <w:r w:rsidRPr="009875DA">
              <w:rPr>
                <w:rFonts w:ascii="Times New Roman" w:hAnsi="Times New Roman" w:cs="Times New Roman"/>
                <w:b/>
                <w:sz w:val="24"/>
                <w:szCs w:val="24"/>
                <w:lang w:val="nl-NL"/>
              </w:rPr>
              <w:t>Điều 4. Hỗ trợ nghiên cứu và phát triển công nghệ cao</w:t>
            </w:r>
          </w:p>
          <w:p w14:paraId="2CF5E954" w14:textId="77777777" w:rsidR="00766105" w:rsidRPr="009875DA" w:rsidRDefault="00766105" w:rsidP="00B06260">
            <w:pPr>
              <w:tabs>
                <w:tab w:val="left" w:pos="851"/>
              </w:tabs>
              <w:spacing w:line="276" w:lineRule="auto"/>
              <w:jc w:val="both"/>
              <w:rPr>
                <w:rFonts w:ascii="Times New Roman" w:hAnsi="Times New Roman" w:cs="Times New Roman"/>
                <w:sz w:val="24"/>
                <w:szCs w:val="24"/>
                <w:lang w:val="nl-NL"/>
              </w:rPr>
            </w:pPr>
            <w:r w:rsidRPr="009875DA">
              <w:rPr>
                <w:rFonts w:ascii="Times New Roman" w:hAnsi="Times New Roman" w:cs="Times New Roman"/>
                <w:color w:val="000000" w:themeColor="text1"/>
                <w:sz w:val="24"/>
                <w:szCs w:val="24"/>
                <w:lang w:val="nl-NL"/>
              </w:rPr>
              <w:t xml:space="preserve">Tổ chức, cá nhân thực hiện hoạt động nghiên cứu và phát triển công nghệ cao thuộc Danh mục công nghệ cao được ưu tiên đầu tư phát triển quy định tại khoản 2 điều 11 </w:t>
            </w:r>
            <w:r w:rsidRPr="009875DA">
              <w:rPr>
                <w:rFonts w:ascii="Times New Roman" w:hAnsi="Times New Roman" w:cs="Times New Roman"/>
                <w:sz w:val="24"/>
                <w:szCs w:val="24"/>
                <w:lang w:val="nl-NL"/>
              </w:rPr>
              <w:t xml:space="preserve">của Luật Công nghệ cao số 133/2025/QH15 được hưởng các chính sách ưu đãi, hỗ trợ sau: </w:t>
            </w:r>
          </w:p>
          <w:p w14:paraId="7104FCED"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1. Được ưu tiên xem xét đặt hàng, tài trợ từ chương trình khoa học, công nghệ và đổi mới sáng tạo về công nghệ cao của Bộ, cơ quan ngang Bộ, cơ quan thuộc Chính phủ, cơ quan khác ở trung ương và Ủy ban nhân dân cấp tỉnh theo phương thức giao nhiệm vụ, đặt hàng hoặc tuyển chọn theo quy định của pháp luật như sau:</w:t>
            </w:r>
          </w:p>
          <w:p w14:paraId="6767FFE3"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a) Tài trợ tối đa 100% kinh phí thực hiện nhiệm vụ khoa học, công nghệ và đổi mới sáng tạo theo hình thức liên kết do Nhà nước tài trợ, đặt hàng; theo hình thức hợp tác công tư.</w:t>
            </w:r>
          </w:p>
          <w:p w14:paraId="1BD0A7F8"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lastRenderedPageBreak/>
              <w:t>b) Áp dụng cơ chế khoán chi theo quy định của pháp luật khoa học, công nghệ và đổi mới sáng tạo; chấp nhận rủi ro theo quy định tại Điều 35, Điều 36, Điều 37, Điều 38, Điều 39 Nghị định 267/2025/NĐ-CP ngày 14/10/2025.</w:t>
            </w:r>
          </w:p>
          <w:p w14:paraId="2EC89C47"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2. Được xem xét tài trợ, hỗ trợ kinh phí, hỗ trợ cho vay từ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w:t>
            </w:r>
          </w:p>
          <w:p w14:paraId="612018B2"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3. Ưu đãi về thuế:</w:t>
            </w:r>
          </w:p>
          <w:p w14:paraId="27605AC1"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a) Cá nhân thực hiện hoạt động nghiên cứu và phát triển công nghệ cao được miễn thế t</w:t>
            </w:r>
            <w:r w:rsidRPr="009875DA">
              <w:rPr>
                <w:rFonts w:ascii="Times New Roman" w:hAnsi="Times New Roman" w:cs="Times New Roman"/>
                <w:bCs/>
                <w:sz w:val="24"/>
                <w:szCs w:val="24"/>
                <w:lang w:val="nl-NL"/>
              </w:rPr>
              <w:t xml:space="preserve">hu nhập </w:t>
            </w:r>
            <w:r w:rsidRPr="009875DA">
              <w:rPr>
                <w:rFonts w:ascii="Times New Roman" w:hAnsi="Times New Roman" w:cs="Times New Roman"/>
                <w:sz w:val="24"/>
                <w:szCs w:val="24"/>
                <w:lang w:val="nl-NL"/>
              </w:rPr>
              <w:t>từ tiền lương, tiền công; thu nhập từ quyền tác giả khi kết quả nhiệm vụ được thương mại hóa theo quy định của pháp luật về khoa học, công nghệ và đổi mới sáng tạo, pháp luật về sở hữu trí tuệ.</w:t>
            </w:r>
          </w:p>
          <w:p w14:paraId="36865BC8"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b) Áp dụng thuế suất ưu đãi thuế thu nhập doanh nghiệp 10% trong thời hạn 25 năm, miễn thuế tối đa 04 năm và giảm 50% số thuế phải nộp tối đa không quá 9 năm tiếp theo đối với Trung tâm nghiên cứu và phát triển công nghệ cao;</w:t>
            </w:r>
          </w:p>
          <w:p w14:paraId="5B7BCDF0"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c) Miễn thuế nhập khẩu đối với máy móc, thiết bị, phụ tùng, vật tư chuyên dùng, tài liệu, sách báo khoa học chuyên dùng sử dụng trực tiếp cho hoạt động nghiên cứu, phát triển công nghệ cao;</w:t>
            </w:r>
          </w:p>
          <w:p w14:paraId="37985890"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e) Chi phí phát sinh trong kỳ tính thuế liên quan đến hoạt động nghiên cứu và phát triển công nghệ cao của doanh nghiệp quy định tại điểm e khoản 3 Điều 11 Luật Công nghệ cao số 133/2025/QH15 được áp dụng tương tự như hoạt động nghiên cứu và phát triển của doanh nghiệp quy định tại điểm a1 khoản 1 Điều 9 Nghị định số 320/2025/NĐ-CP ngày 15/12/2025 của Chính phủ quy định chi tiết một số điều và biện pháp để tổ chức thi hành, hướng dẫn thi hành Luật Thuế thu nhập doanh nghiệp;</w:t>
            </w:r>
          </w:p>
          <w:p w14:paraId="6A8A6720"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4. Ưu đãi, hỗ trợ về nhân lực:</w:t>
            </w:r>
          </w:p>
          <w:p w14:paraId="5AA31628"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lastRenderedPageBreak/>
              <w:t>Nhà nước hỗ trợ tối đa 100% kinh phí đào tạo, bồi dưỡng cho các cá nhân thực hiện nghiên cứu tại Trung tâm nghiên cứu và phát triển công nghệ cao nhằm nâng cao năng lực thông qua các chương trình hỗ trợ của quỹ phát triển khoa học và công nghệ; mức hỗ trợ cụ thể do cơ quan có thẩm quyền quyết định theo quy định của pháp luật về ngân sách nhà nước và pháp luật có liên quan.</w:t>
            </w:r>
          </w:p>
          <w:p w14:paraId="3D95ED13"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5. Hỗ trợ về sở hữu trí tuệ và thương mại hóa:</w:t>
            </w:r>
          </w:p>
          <w:p w14:paraId="3BB4C500"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a) Hỗ trợ đến 100% chi phí đăng ký, bảo hộ quyền sở hữu trí tuệ trong nước và tối đa 50% chi phí đăng ký, bảo hộ quyền sở hữu trí tuệ ở nước ngoài đối với công nghệ cao;</w:t>
            </w:r>
          </w:p>
          <w:p w14:paraId="20F65556"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b) Hỗ trợ định giá, khai thác, chuyển giao và thương mại hóa tài sản trí tuệ hình thành từ hoạt động nghiên cứu, phát triển công nghệ cao;</w:t>
            </w:r>
          </w:p>
          <w:p w14:paraId="253490E5"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c) Mức hỗ trợ lãi suất vay đối với dự án ứng dụng, thương mại hóa công nghệ cao được xác định bằng 70% lãi suất cho vay theo hợp đồng cho vay đã ký kết giữa tổ chức tín dụng và Trung tâm nghiên cứu và phát triển công nghệ cao nhưng không quá 8%/năm từ Quỹ đổi mới công nghệ quốc gia, quỹ phát triển khoa học, công nghệ và đổi mới sáng tạo của bộ, ngành, địa phương (sau đây gọi tắt là Quỹ) cho mua sắm trang thiết bị, máy móc, dây chuyền sản xuất để phục vụ cho dự án ứng dụng, thương mại hóa công nghệ cao.</w:t>
            </w:r>
          </w:p>
          <w:p w14:paraId="6CA7740F"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Thời hạn hỗ trợ lãi suất vay đối với khoản vay để thực hiện dự án đầu tư được tính từ thời điểm Quỹ quyết định phê duyệt hỗ trợ lãi suất vay đến khi Trung tâm nghiên cứu và phát triển công nghệ cao hoàn thành nghĩa vụ trả nợ với tổ chức tín dụng, nhưng không quá 05 năm và phải còn tối thiểu 12 tháng thời hạn vay tính đến thời điểm hoàn thành nghĩa vụ trả nợ với tổ chức tín dụng.</w:t>
            </w:r>
          </w:p>
          <w:p w14:paraId="6F1C5F9A" w14:textId="77777777" w:rsidR="00766105" w:rsidRPr="009875DA" w:rsidRDefault="00766105" w:rsidP="00B06260">
            <w:pPr>
              <w:pStyle w:val="NormalWeb"/>
              <w:shd w:val="clear" w:color="auto" w:fill="FFFFFF"/>
              <w:spacing w:before="0" w:beforeAutospacing="0" w:after="0" w:afterAutospacing="0" w:line="276" w:lineRule="auto"/>
              <w:jc w:val="both"/>
              <w:rPr>
                <w:lang w:val="nl-NL"/>
              </w:rPr>
            </w:pPr>
            <w:r w:rsidRPr="009875DA">
              <w:rPr>
                <w:lang w:val="nl-NL"/>
              </w:rPr>
              <w:t>6. Nhà nước đầu tư cơ sở hạ tầng, mua sắm trang thiết bị nghiên cứu; đầu tư nâng cấp, hiện đại hóa đối với phòng thí nghiệm dùng chung, cơ sở nghiên cứu công nghệ cao công lập.</w:t>
            </w:r>
          </w:p>
          <w:p w14:paraId="2E8C9666"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lastRenderedPageBreak/>
              <w:t>Tổ chức, cá nhân được sử dụng phòng thí nghiệm dùng chung, cơ sở nghiên cứu, hạ tầng nghiên cứu công nghệ cao do nhà nước đầu tư thông qua phiếu hỗ trợ tài chính được quy định tại Điều 23 Nghị định số 268/2025/NĐ-CP ngày 14/10/2025 của Chỉnh phủ.</w:t>
            </w:r>
          </w:p>
          <w:p w14:paraId="62729FD8" w14:textId="77777777" w:rsidR="00766105" w:rsidRPr="009875DA" w:rsidRDefault="00766105" w:rsidP="00B06260">
            <w:pPr>
              <w:tabs>
                <w:tab w:val="left" w:pos="851"/>
              </w:tabs>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7. Tổ chức, cá nhân thành lập, đầu tư vào trung tâm nghiên cứu và phát triển công nghệ cao thực hiện các hoạt động nghiên cứu và phát triển công nghệ cao quy định tại khoản 2 Điều 11 Luật Công nghệ cao số 133/2025/QH15 được hỗ trợ như sau:</w:t>
            </w:r>
          </w:p>
          <w:p w14:paraId="626B04AC" w14:textId="77777777" w:rsidR="00766105" w:rsidRPr="009875DA" w:rsidRDefault="00766105" w:rsidP="00B06260">
            <w:pPr>
              <w:tabs>
                <w:tab w:val="left" w:pos="851"/>
              </w:tabs>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a) Chi phí thành lập, đầu tư vào trung tâm nghiên cứu và phát triển công nghệ cao được tính vào chi phí được trừ khi tính thuế thu nhập doanh nghiệp.</w:t>
            </w:r>
          </w:p>
          <w:p w14:paraId="3E9F2735" w14:textId="3F85553F"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b) Mức hỗ trợ lãi suất vay đối với dự án thành lập, đầu tư vào trung tâm nghiên cứu và phát triển công nghệ cao được xác định bằng 70% lãi suất cho vay theo hợp đồng cho vay đã ký kết giữa tổ chức tín dụng và tổ ch</w:t>
            </w:r>
            <w:r w:rsidR="004C37FC">
              <w:rPr>
                <w:rFonts w:ascii="Times New Roman" w:hAnsi="Times New Roman" w:cs="Times New Roman"/>
                <w:sz w:val="24"/>
                <w:szCs w:val="24"/>
                <w:lang w:val="nl-NL"/>
              </w:rPr>
              <w:t>ứ</w:t>
            </w:r>
            <w:r w:rsidRPr="009875DA">
              <w:rPr>
                <w:rFonts w:ascii="Times New Roman" w:hAnsi="Times New Roman" w:cs="Times New Roman"/>
                <w:sz w:val="24"/>
                <w:szCs w:val="24"/>
                <w:lang w:val="nl-NL"/>
              </w:rPr>
              <w:t>c</w:t>
            </w:r>
            <w:r w:rsidR="004C37FC">
              <w:rPr>
                <w:rFonts w:ascii="Times New Roman" w:hAnsi="Times New Roman" w:cs="Times New Roman"/>
                <w:sz w:val="24"/>
                <w:szCs w:val="24"/>
                <w:lang w:val="nl-NL"/>
              </w:rPr>
              <w:t xml:space="preserve">, </w:t>
            </w:r>
            <w:r w:rsidRPr="009875DA">
              <w:rPr>
                <w:rFonts w:ascii="Times New Roman" w:hAnsi="Times New Roman" w:cs="Times New Roman"/>
                <w:sz w:val="24"/>
                <w:szCs w:val="24"/>
                <w:lang w:val="nl-NL"/>
              </w:rPr>
              <w:t>cá nhân thành lập, đầu tư nhưng không quá 8%/năm từ Quỹ cho mua sắm trang thiết bị nghiên cứu; đầu tư nâng cấp, hiện đại hóa.</w:t>
            </w:r>
          </w:p>
          <w:p w14:paraId="7AAFE53B" w14:textId="77777777" w:rsidR="00766105" w:rsidRPr="009875DA" w:rsidRDefault="00766105" w:rsidP="00B06260">
            <w:pPr>
              <w:spacing w:line="276" w:lineRule="auto"/>
              <w:jc w:val="both"/>
              <w:rPr>
                <w:rFonts w:ascii="Times New Roman" w:hAnsi="Times New Roman" w:cs="Times New Roman"/>
                <w:sz w:val="24"/>
                <w:szCs w:val="24"/>
                <w:lang w:val="nl-NL"/>
              </w:rPr>
            </w:pPr>
            <w:r w:rsidRPr="009875DA">
              <w:rPr>
                <w:rFonts w:ascii="Times New Roman" w:hAnsi="Times New Roman" w:cs="Times New Roman"/>
                <w:sz w:val="24"/>
                <w:szCs w:val="24"/>
                <w:lang w:val="nl-NL"/>
              </w:rPr>
              <w:t>c) Ưu tiên tham gia các Chương trình khoa học, công nghệ và đổi mới sáng tạo.</w:t>
            </w:r>
          </w:p>
          <w:p w14:paraId="3C6155C0" w14:textId="707D699C" w:rsidR="00C31D93" w:rsidRPr="009875DA" w:rsidRDefault="00766105" w:rsidP="00B06260">
            <w:pPr>
              <w:pStyle w:val="NormalWeb"/>
              <w:shd w:val="clear" w:color="auto" w:fill="FFFFFF"/>
              <w:spacing w:before="0" w:beforeAutospacing="0" w:after="0" w:afterAutospacing="0" w:line="276" w:lineRule="auto"/>
              <w:jc w:val="both"/>
              <w:rPr>
                <w:lang w:val="nl-NL"/>
              </w:rPr>
            </w:pPr>
            <w:r w:rsidRPr="009875DA">
              <w:rPr>
                <w:lang w:val="nl-NL"/>
              </w:rPr>
              <w:t>d) Miễn toàn bộ tiền thuê đất cho cả thời hạn thuê đối với dự án đầu tư thành lập Trung tâm nghiên cứu và phát triển công nghệ cao.</w:t>
            </w:r>
          </w:p>
        </w:tc>
        <w:tc>
          <w:tcPr>
            <w:tcW w:w="5400" w:type="dxa"/>
          </w:tcPr>
          <w:p w14:paraId="11FF3B97" w14:textId="39FD13A7" w:rsidR="00CC284E" w:rsidRPr="009875DA" w:rsidRDefault="00552848" w:rsidP="00B06260">
            <w:pPr>
              <w:pStyle w:val="NormalWeb"/>
              <w:spacing w:before="0" w:beforeAutospacing="0" w:after="0" w:afterAutospacing="0" w:line="276" w:lineRule="auto"/>
              <w:jc w:val="both"/>
              <w:rPr>
                <w:lang w:val="nl-NL"/>
              </w:rPr>
            </w:pPr>
            <w:r w:rsidRPr="009875DA">
              <w:rPr>
                <w:lang w:val="nl-NL"/>
              </w:rPr>
              <w:lastRenderedPageBreak/>
              <w:t xml:space="preserve">- Điều 4 của dự thảo Nghị định </w:t>
            </w:r>
            <w:r w:rsidR="00F530D6">
              <w:rPr>
                <w:lang w:val="nl-NL"/>
              </w:rPr>
              <w:t>xây dựng</w:t>
            </w:r>
            <w:r w:rsidR="00CC284E" w:rsidRPr="009875DA">
              <w:rPr>
                <w:lang w:val="nl-NL"/>
              </w:rPr>
              <w:t xml:space="preserve"> nhằm </w:t>
            </w:r>
            <w:r w:rsidR="004930C0" w:rsidRPr="009875DA">
              <w:rPr>
                <w:lang w:val="nl-NL"/>
              </w:rPr>
              <w:t>c</w:t>
            </w:r>
            <w:r w:rsidR="00CC284E" w:rsidRPr="009875DA">
              <w:rPr>
                <w:lang w:val="nl-NL"/>
              </w:rPr>
              <w:t>ụ thể hóa khoản 2, khoản 3 Điều 11 Luật Công nghệ cao số 133/2025/QH15,</w:t>
            </w:r>
            <w:r w:rsidR="00F530D6">
              <w:rPr>
                <w:lang w:val="nl-NL"/>
              </w:rPr>
              <w:t xml:space="preserve"> </w:t>
            </w:r>
            <w:r w:rsidR="00F530D6" w:rsidRPr="009875DA">
              <w:rPr>
                <w:lang w:val="nl-NL"/>
              </w:rPr>
              <w:t>cụ thể hóa đối tượng áp dụng cụ thể, mức hỗ trợ, hình thức hỗ trợ; cơ chế tài chính, lãi suất vay, cơ chế sử dụng hạ tầng nghiên cứu do Nhà nước đầu tư</w:t>
            </w:r>
            <w:r w:rsidR="00F530D6">
              <w:rPr>
                <w:lang w:val="nl-NL"/>
              </w:rPr>
              <w:t xml:space="preserve">, </w:t>
            </w:r>
            <w:r w:rsidR="00CC284E" w:rsidRPr="009875DA">
              <w:rPr>
                <w:lang w:val="nl-NL"/>
              </w:rPr>
              <w:t xml:space="preserve"> đồng bộ với Luật khi có hiệu lực; bảo đảm đồng bộ với pháp luật về khoa học</w:t>
            </w:r>
            <w:r w:rsidR="004930C0" w:rsidRPr="009875DA">
              <w:rPr>
                <w:lang w:val="nl-NL"/>
              </w:rPr>
              <w:t>,</w:t>
            </w:r>
            <w:r w:rsidR="00CC284E" w:rsidRPr="009875DA">
              <w:rPr>
                <w:lang w:val="nl-NL"/>
              </w:rPr>
              <w:t xml:space="preserve"> công nghệ</w:t>
            </w:r>
            <w:r w:rsidR="004930C0" w:rsidRPr="009875DA">
              <w:rPr>
                <w:lang w:val="nl-NL"/>
              </w:rPr>
              <w:t xml:space="preserve"> và đổi mới sáng tạo</w:t>
            </w:r>
            <w:r w:rsidR="00CC284E" w:rsidRPr="009875DA">
              <w:rPr>
                <w:lang w:val="nl-NL"/>
              </w:rPr>
              <w:t>, thuế, ngân sách và sở hữu trí tuệ; thiết kế cơ chế hỗ trợ có trọng tâm, có kiểm soát và khả thi. Thúc đẩy mạnh mẽ hoạt động nghiên cứu, phát triển và thương mại hóa công nghệ cao, nâng cao năng lực tự chủ công nghệ quốc gia và sức cạnh tranh của nền kinh tế.</w:t>
            </w:r>
          </w:p>
          <w:p w14:paraId="4000543A" w14:textId="77777777" w:rsidR="00707DC7" w:rsidRPr="009875DA" w:rsidRDefault="00707DC7" w:rsidP="00B06260">
            <w:pPr>
              <w:pStyle w:val="NormalWeb"/>
              <w:spacing w:before="0" w:beforeAutospacing="0" w:after="0" w:afterAutospacing="0" w:line="276" w:lineRule="auto"/>
              <w:jc w:val="both"/>
              <w:rPr>
                <w:lang w:val="nl-NL"/>
              </w:rPr>
            </w:pPr>
            <w:r w:rsidRPr="009875DA">
              <w:rPr>
                <w:lang w:val="nl-NL"/>
              </w:rPr>
              <w:lastRenderedPageBreak/>
              <w:t>- Điều 4 được xây dựng trên 04 trụ cột triết lý chính sách:</w:t>
            </w:r>
          </w:p>
          <w:p w14:paraId="2E2D015E" w14:textId="2005F39A" w:rsidR="005362ED" w:rsidRPr="009875DA" w:rsidRDefault="00707DC7" w:rsidP="00B06260">
            <w:pPr>
              <w:pStyle w:val="NormalWeb"/>
              <w:spacing w:before="0" w:beforeAutospacing="0" w:after="0" w:afterAutospacing="0" w:line="276" w:lineRule="auto"/>
              <w:jc w:val="both"/>
              <w:rPr>
                <w:lang w:val="nl-NL"/>
              </w:rPr>
            </w:pPr>
            <w:r w:rsidRPr="009875DA">
              <w:rPr>
                <w:b/>
                <w:lang w:val="nl-NL"/>
              </w:rPr>
              <w:t xml:space="preserve">+ </w:t>
            </w:r>
            <w:r w:rsidRPr="009875DA">
              <w:rPr>
                <w:rStyle w:val="Strong"/>
                <w:b w:val="0"/>
                <w:lang w:val="nl-NL"/>
              </w:rPr>
              <w:t>Nhà nước kiến tạo – chia sẻ rủi ro công nghệ cao:</w:t>
            </w:r>
            <w:r w:rsidRPr="009875DA">
              <w:rPr>
                <w:rStyle w:val="Strong"/>
                <w:lang w:val="nl-NL"/>
              </w:rPr>
              <w:t xml:space="preserve"> </w:t>
            </w:r>
            <w:r w:rsidRPr="009875DA">
              <w:rPr>
                <w:lang w:val="nl-NL"/>
              </w:rPr>
              <w:t>Công nghệ cao có đặc điểm: chi phí lớn, rủi ro cao, chu kỳ thu hồi vốn dài,</w:t>
            </w:r>
            <w:r w:rsidR="005362ED" w:rsidRPr="009875DA">
              <w:rPr>
                <w:lang w:val="nl-NL"/>
              </w:rPr>
              <w:t xml:space="preserve"> v</w:t>
            </w:r>
            <w:r w:rsidRPr="009875DA">
              <w:rPr>
                <w:lang w:val="nl-NL"/>
              </w:rPr>
              <w:t>ì vậy, Nhà nước phải đóng vai trò chia sẻ rủi ro và dẫn dắt thị trường thông qua đặt hàng, tài trợ và ưu đãi.</w:t>
            </w:r>
          </w:p>
          <w:p w14:paraId="78E8A9BA" w14:textId="77777777" w:rsidR="005362ED" w:rsidRPr="009875DA" w:rsidRDefault="005362ED" w:rsidP="00B06260">
            <w:pPr>
              <w:pStyle w:val="NormalWeb"/>
              <w:spacing w:before="0" w:beforeAutospacing="0" w:after="0" w:afterAutospacing="0" w:line="276" w:lineRule="auto"/>
              <w:jc w:val="both"/>
              <w:rPr>
                <w:lang w:val="nl-NL"/>
              </w:rPr>
            </w:pPr>
            <w:r w:rsidRPr="009875DA">
              <w:rPr>
                <w:b/>
                <w:lang w:val="nl-NL"/>
              </w:rPr>
              <w:t xml:space="preserve">+ </w:t>
            </w:r>
            <w:r w:rsidR="00707DC7" w:rsidRPr="009875DA">
              <w:rPr>
                <w:rStyle w:val="Strong"/>
                <w:b w:val="0"/>
                <w:lang w:val="nl-NL"/>
              </w:rPr>
              <w:t>Hỗ trợ theo chuỗi giá trị R&amp;D – không hỗ trợ đơn lẻ</w:t>
            </w:r>
            <w:r w:rsidRPr="009875DA">
              <w:rPr>
                <w:lang w:val="nl-NL"/>
              </w:rPr>
              <w:t xml:space="preserve">: </w:t>
            </w:r>
            <w:r w:rsidR="00707DC7" w:rsidRPr="009875DA">
              <w:rPr>
                <w:lang w:val="nl-NL"/>
              </w:rPr>
              <w:t>Chính sách được thiết kế bao phủ toàn bộ chu trình:</w:t>
            </w:r>
            <w:r w:rsidRPr="009875DA">
              <w:rPr>
                <w:lang w:val="nl-NL"/>
              </w:rPr>
              <w:t xml:space="preserve"> </w:t>
            </w:r>
            <w:r w:rsidR="00707DC7" w:rsidRPr="009875DA">
              <w:rPr>
                <w:lang w:val="nl-NL"/>
              </w:rPr>
              <w:t>Nghiên cứu → Bảo hộ → Thương mại hóa → Hình thành trung tâm R&amp;D.</w:t>
            </w:r>
          </w:p>
          <w:p w14:paraId="53086CAA" w14:textId="0AB20E27" w:rsidR="00707DC7" w:rsidRPr="009875DA" w:rsidRDefault="005362ED" w:rsidP="00B06260">
            <w:pPr>
              <w:pStyle w:val="NormalWeb"/>
              <w:spacing w:before="0" w:beforeAutospacing="0" w:after="0" w:afterAutospacing="0" w:line="276" w:lineRule="auto"/>
              <w:jc w:val="both"/>
              <w:rPr>
                <w:lang w:val="nl-NL"/>
              </w:rPr>
            </w:pPr>
            <w:r w:rsidRPr="009875DA">
              <w:rPr>
                <w:lang w:val="nl-NL"/>
              </w:rPr>
              <w:t xml:space="preserve">+ </w:t>
            </w:r>
            <w:r w:rsidR="00707DC7" w:rsidRPr="009875DA">
              <w:rPr>
                <w:rStyle w:val="Strong"/>
                <w:b w:val="0"/>
                <w:lang w:val="nl-NL"/>
              </w:rPr>
              <w:t>Không tạo cơ chế tài chính riêng biệt, mà dẫn chiếu và tích hợp vào hệ thống hiện hành</w:t>
            </w:r>
            <w:r w:rsidRPr="009875DA">
              <w:rPr>
                <w:lang w:val="nl-NL"/>
              </w:rPr>
              <w:t xml:space="preserve">: </w:t>
            </w:r>
            <w:r w:rsidR="00707DC7" w:rsidRPr="009875DA">
              <w:rPr>
                <w:lang w:val="nl-NL"/>
              </w:rPr>
              <w:t>Điều 4 không lập quỹ mới, không tạo cơ chế thuế mới vượt khung, mà dẫn chiếu các nghị định đã ban hành để bảo đảm đồng bộ.</w:t>
            </w:r>
          </w:p>
          <w:p w14:paraId="053D9FA3" w14:textId="042A0898" w:rsidR="00707DC7" w:rsidRDefault="005362ED" w:rsidP="00B06260">
            <w:pPr>
              <w:pStyle w:val="NormalWeb"/>
              <w:spacing w:before="0" w:beforeAutospacing="0" w:after="0" w:afterAutospacing="0" w:line="276" w:lineRule="auto"/>
              <w:jc w:val="both"/>
              <w:rPr>
                <w:lang w:val="nl-NL"/>
              </w:rPr>
            </w:pPr>
            <w:r w:rsidRPr="009875DA">
              <w:rPr>
                <w:lang w:val="nl-NL"/>
              </w:rPr>
              <w:t>+ H</w:t>
            </w:r>
            <w:r w:rsidR="00707DC7" w:rsidRPr="009875DA">
              <w:rPr>
                <w:rStyle w:val="Strong"/>
                <w:b w:val="0"/>
                <w:lang w:val="nl-NL"/>
              </w:rPr>
              <w:t>ỗ trợ có điều kiện, có trần kiểm soát ngân sách</w:t>
            </w:r>
            <w:r w:rsidR="00707DC7" w:rsidRPr="009875DA">
              <w:rPr>
                <w:lang w:val="nl-NL"/>
              </w:rPr>
              <w:br/>
              <w:t>Các mức hỗ trợ (70%, 8%, 5 năm…) đều có giới hạn nhằm kiểm soát rủi ro tài khóa</w:t>
            </w:r>
            <w:r w:rsidR="00E2244F" w:rsidRPr="009875DA">
              <w:rPr>
                <w:lang w:val="nl-NL"/>
              </w:rPr>
              <w:t>.</w:t>
            </w:r>
          </w:p>
          <w:p w14:paraId="6D7D5C9E" w14:textId="77777777" w:rsidR="00CC284E" w:rsidRPr="009875DA" w:rsidRDefault="00CC284E" w:rsidP="00B06260">
            <w:pPr>
              <w:pStyle w:val="NormalWeb"/>
              <w:spacing w:before="0" w:beforeAutospacing="0" w:after="0" w:afterAutospacing="0" w:line="276" w:lineRule="auto"/>
              <w:jc w:val="both"/>
              <w:rPr>
                <w:lang w:val="nl-NL"/>
              </w:rPr>
            </w:pPr>
          </w:p>
          <w:p w14:paraId="7D2381DC" w14:textId="77777777" w:rsidR="00C31D93" w:rsidRPr="009875DA" w:rsidRDefault="00C31D93" w:rsidP="00B06260">
            <w:pPr>
              <w:pStyle w:val="NormalWeb"/>
              <w:spacing w:before="0" w:beforeAutospacing="0" w:after="0" w:afterAutospacing="0" w:line="276" w:lineRule="auto"/>
              <w:jc w:val="both"/>
              <w:rPr>
                <w:lang w:val="nl-NL"/>
              </w:rPr>
            </w:pPr>
          </w:p>
        </w:tc>
      </w:tr>
      <w:tr w:rsidR="00407B93" w:rsidRPr="0025521C" w14:paraId="28720D83" w14:textId="77777777" w:rsidTr="00022042">
        <w:tc>
          <w:tcPr>
            <w:tcW w:w="2245" w:type="dxa"/>
          </w:tcPr>
          <w:p w14:paraId="7821AF52" w14:textId="6F62CD84"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445AFA68" w14:textId="77777777" w:rsidR="005362ED" w:rsidRPr="00C954C6" w:rsidRDefault="005362ED" w:rsidP="00B06260">
            <w:pPr>
              <w:pStyle w:val="Heading2"/>
              <w:spacing w:line="276" w:lineRule="auto"/>
              <w:jc w:val="both"/>
            </w:pPr>
            <w:r w:rsidRPr="00C954C6">
              <w:rPr>
                <w:bCs/>
              </w:rPr>
              <w:t>Điều 5.</w:t>
            </w:r>
            <w:r w:rsidRPr="00C954C6">
              <w:t xml:space="preserve"> Hỗ trợ nghiên cứu và phát triển công nghệ chiến lược</w:t>
            </w:r>
          </w:p>
          <w:p w14:paraId="0ECA0B15" w14:textId="7EE1876B" w:rsidR="00766105" w:rsidRPr="00C954C6" w:rsidRDefault="00766105" w:rsidP="00B06260">
            <w:pPr>
              <w:tabs>
                <w:tab w:val="left" w:pos="851"/>
              </w:tabs>
              <w:spacing w:line="276" w:lineRule="auto"/>
              <w:jc w:val="both"/>
              <w:rPr>
                <w:rFonts w:ascii="Times New Roman" w:hAnsi="Times New Roman" w:cs="Times New Roman"/>
                <w:iCs/>
                <w:sz w:val="24"/>
                <w:szCs w:val="24"/>
                <w:lang w:val="de-DE"/>
              </w:rPr>
            </w:pPr>
            <w:r w:rsidRPr="00C954C6">
              <w:rPr>
                <w:rFonts w:ascii="Times New Roman" w:hAnsi="Times New Roman" w:cs="Times New Roman"/>
                <w:iCs/>
                <w:sz w:val="24"/>
                <w:szCs w:val="24"/>
                <w:lang w:val="de-DE"/>
              </w:rPr>
              <w:t>1. Tổ chức, cá nhân thực hiện hoạt động nghiên cứu và phát triển công nghệ chiến lược thuộc Danh mục công nghệ chiến lược quy định tại khoản 1 điều 12 của Luật Công nghệ cao số 133/2025/QH15 được hưởng các chính sách ưu đãi, hỗ trợ quy định tại</w:t>
            </w:r>
            <w:r w:rsidR="004C37FC" w:rsidRPr="00C954C6">
              <w:rPr>
                <w:rFonts w:ascii="Times New Roman" w:hAnsi="Times New Roman" w:cs="Times New Roman"/>
                <w:iCs/>
                <w:sz w:val="24"/>
                <w:szCs w:val="24"/>
                <w:lang w:val="de-DE"/>
              </w:rPr>
              <w:t xml:space="preserve"> khoản 1, 2, 3, 4, 5 và 6</w:t>
            </w:r>
            <w:r w:rsidRPr="00C954C6">
              <w:rPr>
                <w:rFonts w:ascii="Times New Roman" w:hAnsi="Times New Roman" w:cs="Times New Roman"/>
                <w:iCs/>
                <w:sz w:val="24"/>
                <w:szCs w:val="24"/>
                <w:lang w:val="de-DE"/>
              </w:rPr>
              <w:t xml:space="preserve"> Điều 4 Nghị định này và các chính sách ưu đãi, hỗ trợ sau:</w:t>
            </w:r>
          </w:p>
          <w:p w14:paraId="7817D375" w14:textId="77777777" w:rsidR="00766105" w:rsidRPr="00C954C6" w:rsidRDefault="00766105" w:rsidP="00B06260">
            <w:pPr>
              <w:tabs>
                <w:tab w:val="left" w:pos="851"/>
              </w:tabs>
              <w:spacing w:line="276" w:lineRule="auto"/>
              <w:jc w:val="both"/>
              <w:rPr>
                <w:rFonts w:ascii="Times New Roman" w:hAnsi="Times New Roman" w:cs="Times New Roman"/>
                <w:iCs/>
                <w:sz w:val="24"/>
                <w:szCs w:val="24"/>
                <w:lang w:val="de-DE"/>
              </w:rPr>
            </w:pPr>
            <w:r w:rsidRPr="00C954C6">
              <w:rPr>
                <w:rFonts w:ascii="Times New Roman" w:hAnsi="Times New Roman" w:cs="Times New Roman"/>
                <w:iCs/>
                <w:sz w:val="24"/>
                <w:szCs w:val="24"/>
                <w:lang w:val="de-DE"/>
              </w:rPr>
              <w:t xml:space="preserve">a) Trường hợp mua công nghệ, bí quyết công nghệ để giải mã phục vụ chương trình khoa học, công nghệ và đổi mới sáng tạo quốc gia phát triển công nghệ chiến lược; nhiệm vụ khoa học, công nghệ và đổi mới sáng tạo </w:t>
            </w:r>
            <w:r w:rsidRPr="00C954C6">
              <w:rPr>
                <w:rFonts w:ascii="Times New Roman" w:hAnsi="Times New Roman" w:cs="Times New Roman"/>
                <w:iCs/>
                <w:sz w:val="24"/>
                <w:szCs w:val="24"/>
                <w:lang w:val="de-DE"/>
              </w:rPr>
              <w:lastRenderedPageBreak/>
              <w:t>phát triển công nghệ chiến lược được thực hiện theo Quyết định của Thủ tướng Chính phủ.</w:t>
            </w:r>
          </w:p>
          <w:p w14:paraId="45181D80" w14:textId="77777777" w:rsidR="00766105" w:rsidRPr="00C954C6" w:rsidRDefault="00766105" w:rsidP="004C37FC">
            <w:pPr>
              <w:widowControl w:val="0"/>
              <w:tabs>
                <w:tab w:val="left" w:pos="851"/>
              </w:tabs>
              <w:spacing w:line="276" w:lineRule="auto"/>
              <w:jc w:val="both"/>
              <w:rPr>
                <w:rFonts w:ascii="Times New Roman" w:hAnsi="Times New Roman" w:cs="Times New Roman"/>
                <w:bCs/>
                <w:sz w:val="24"/>
                <w:szCs w:val="24"/>
                <w:lang w:val="de-DE"/>
              </w:rPr>
            </w:pPr>
            <w:r w:rsidRPr="00C954C6">
              <w:rPr>
                <w:rFonts w:ascii="Times New Roman" w:hAnsi="Times New Roman" w:cs="Times New Roman"/>
                <w:bCs/>
                <w:sz w:val="24"/>
                <w:szCs w:val="24"/>
                <w:lang w:val="de-DE"/>
              </w:rPr>
              <w:t>b) Được tham gia vào các khu thử nghiệm đặc biệt riêng cho công nghệ chiến lược theo Quyết định của Thủ tướng Chính phủ về Phát triển hệ thống các trung tâm nghiên cứu, thử nghiệm và phòng thí nghiệm trọng điểm quốc gia tập trung cho công nghệ chiến lược.</w:t>
            </w:r>
          </w:p>
          <w:p w14:paraId="493083DA" w14:textId="77777777" w:rsidR="00766105" w:rsidRPr="00C954C6" w:rsidRDefault="00766105" w:rsidP="00B06260">
            <w:pPr>
              <w:tabs>
                <w:tab w:val="left" w:pos="851"/>
              </w:tabs>
              <w:spacing w:line="276" w:lineRule="auto"/>
              <w:jc w:val="both"/>
              <w:rPr>
                <w:rFonts w:ascii="Times New Roman" w:hAnsi="Times New Roman" w:cs="Times New Roman"/>
                <w:sz w:val="24"/>
                <w:szCs w:val="24"/>
                <w:lang w:val="de-DE"/>
              </w:rPr>
            </w:pPr>
            <w:r w:rsidRPr="00C954C6">
              <w:rPr>
                <w:rFonts w:ascii="Times New Roman" w:hAnsi="Times New Roman" w:cs="Times New Roman"/>
                <w:bCs/>
                <w:sz w:val="24"/>
                <w:szCs w:val="24"/>
                <w:lang w:val="de-DE"/>
              </w:rPr>
              <w:t>2. Tổ chức, cá nhân thành lập, đầu tư vào trung tâm nghiên</w:t>
            </w:r>
            <w:r w:rsidRPr="00C954C6">
              <w:rPr>
                <w:rFonts w:ascii="Times New Roman" w:hAnsi="Times New Roman" w:cs="Times New Roman"/>
                <w:sz w:val="24"/>
                <w:szCs w:val="24"/>
                <w:lang w:val="de-DE"/>
              </w:rPr>
              <w:t xml:space="preserve"> cứu và phát triển công nghệ chiến lược thực hiện các hoạt động nghiên cứu và phát triển công nghệ chiến lược quy định tại khoản 2 Điều 12 Luật Công nghệ cao số 133/2025/QH15 được hỗ trợ như sau:</w:t>
            </w:r>
          </w:p>
          <w:p w14:paraId="653F1F8E" w14:textId="77777777" w:rsidR="00766105" w:rsidRPr="00C954C6" w:rsidRDefault="00766105" w:rsidP="00B06260">
            <w:pPr>
              <w:tabs>
                <w:tab w:val="left" w:pos="851"/>
              </w:tabs>
              <w:spacing w:line="276" w:lineRule="auto"/>
              <w:jc w:val="both"/>
              <w:rPr>
                <w:rFonts w:ascii="Times New Roman" w:hAnsi="Times New Roman" w:cs="Times New Roman"/>
                <w:sz w:val="24"/>
                <w:szCs w:val="24"/>
                <w:lang w:val="de-DE"/>
              </w:rPr>
            </w:pPr>
            <w:r w:rsidRPr="00C954C6">
              <w:rPr>
                <w:rFonts w:ascii="Times New Roman" w:hAnsi="Times New Roman" w:cs="Times New Roman"/>
                <w:sz w:val="24"/>
                <w:szCs w:val="24"/>
                <w:lang w:val="de-DE"/>
              </w:rPr>
              <w:t>a) Chi phí thành lập, đầu tư vào trung tâm nghiên cứu và phát triển công nghệ chiến lược được tính vào chi phí được trừ khi tính thuế thu nhập doanh nghiệp.</w:t>
            </w:r>
          </w:p>
          <w:p w14:paraId="41AA70DD" w14:textId="77777777" w:rsidR="00766105" w:rsidRPr="00C954C6" w:rsidRDefault="00766105" w:rsidP="00B06260">
            <w:pPr>
              <w:spacing w:line="276" w:lineRule="auto"/>
              <w:jc w:val="both"/>
              <w:rPr>
                <w:rFonts w:ascii="Times New Roman" w:hAnsi="Times New Roman" w:cs="Times New Roman"/>
                <w:sz w:val="24"/>
                <w:szCs w:val="24"/>
                <w:lang w:val="de-DE"/>
              </w:rPr>
            </w:pPr>
            <w:r w:rsidRPr="00C954C6">
              <w:rPr>
                <w:rFonts w:ascii="Times New Roman" w:hAnsi="Times New Roman" w:cs="Times New Roman"/>
                <w:sz w:val="24"/>
                <w:szCs w:val="24"/>
                <w:lang w:val="de-DE"/>
              </w:rPr>
              <w:t>b) Mức hỗ trợ lãi suất vay đối với dự án thành lập, đầu tư vào trung tâm nghiên cứu và phát triển công nghệ chiến lược được xác định bằng 100% lãi suất cho vay theo hợp đồng cho vay đã ký kết giữa tổ chức tín dụng và tổ chưc cá nhân thành lập, đầu tư nhưng không quá 10%/năm từ Quỹ cho mua sắm trang thiết bị nghiên cứu; đầu tư nâng cấp, hiện đại hóa.</w:t>
            </w:r>
          </w:p>
          <w:p w14:paraId="42B8A5CD" w14:textId="77777777" w:rsidR="00766105" w:rsidRPr="00C954C6" w:rsidRDefault="00766105" w:rsidP="00B06260">
            <w:pPr>
              <w:tabs>
                <w:tab w:val="left" w:pos="851"/>
              </w:tabs>
              <w:spacing w:line="276" w:lineRule="auto"/>
              <w:jc w:val="both"/>
              <w:rPr>
                <w:rFonts w:ascii="Times New Roman" w:hAnsi="Times New Roman" w:cs="Times New Roman"/>
                <w:sz w:val="24"/>
                <w:szCs w:val="24"/>
                <w:lang w:val="de-DE"/>
              </w:rPr>
            </w:pPr>
            <w:r w:rsidRPr="00C954C6">
              <w:rPr>
                <w:rFonts w:ascii="Times New Roman" w:hAnsi="Times New Roman" w:cs="Times New Roman"/>
                <w:sz w:val="24"/>
                <w:szCs w:val="24"/>
                <w:lang w:val="de-DE"/>
              </w:rPr>
              <w:t>c) Ưu tiên tham gia các Chương trình khoa học, công nghệ và đổi mới sáng tạo.</w:t>
            </w:r>
          </w:p>
          <w:p w14:paraId="3F4FCA42" w14:textId="297B98E4" w:rsidR="00552848" w:rsidRPr="00C954C6" w:rsidRDefault="00766105" w:rsidP="00B06260">
            <w:pPr>
              <w:tabs>
                <w:tab w:val="left" w:pos="851"/>
              </w:tabs>
              <w:spacing w:line="276" w:lineRule="auto"/>
              <w:jc w:val="both"/>
              <w:rPr>
                <w:rFonts w:ascii="Times New Roman" w:hAnsi="Times New Roman" w:cs="Times New Roman"/>
                <w:sz w:val="24"/>
                <w:szCs w:val="24"/>
                <w:lang w:val="de-DE"/>
              </w:rPr>
            </w:pPr>
            <w:r w:rsidRPr="00C954C6">
              <w:rPr>
                <w:rFonts w:ascii="Times New Roman" w:hAnsi="Times New Roman" w:cs="Times New Roman"/>
                <w:sz w:val="24"/>
                <w:szCs w:val="24"/>
                <w:lang w:val="de-DE"/>
              </w:rPr>
              <w:t>d) Miễn toàn bộ tiền thuê đất cho cả thời hạn thuê đối với dự án đầu tư thành lập Trung tâm nghiên cứu và phát triển công nghệ chiến lược</w:t>
            </w:r>
            <w:r w:rsidR="005362ED" w:rsidRPr="00C954C6">
              <w:rPr>
                <w:rFonts w:ascii="Times New Roman" w:hAnsi="Times New Roman" w:cs="Times New Roman"/>
                <w:sz w:val="24"/>
                <w:szCs w:val="24"/>
                <w:lang w:val="de-DE"/>
              </w:rPr>
              <w:t>.</w:t>
            </w:r>
          </w:p>
        </w:tc>
        <w:tc>
          <w:tcPr>
            <w:tcW w:w="5400" w:type="dxa"/>
          </w:tcPr>
          <w:p w14:paraId="073D0F1B" w14:textId="2511B824" w:rsidR="00DC636D" w:rsidRPr="00C954C6" w:rsidRDefault="00815CC6" w:rsidP="00B06260">
            <w:pPr>
              <w:spacing w:line="276" w:lineRule="auto"/>
              <w:jc w:val="both"/>
              <w:rPr>
                <w:rFonts w:ascii="Times New Roman" w:eastAsia="Times New Roman" w:hAnsi="Times New Roman" w:cs="Times New Roman"/>
                <w:sz w:val="24"/>
                <w:szCs w:val="24"/>
                <w:lang w:val="de-DE"/>
              </w:rPr>
            </w:pPr>
            <w:r w:rsidRPr="00C954C6">
              <w:rPr>
                <w:rFonts w:ascii="Times New Roman" w:hAnsi="Times New Roman" w:cs="Times New Roman"/>
                <w:sz w:val="24"/>
                <w:szCs w:val="24"/>
                <w:lang w:val="de-DE"/>
              </w:rPr>
              <w:lastRenderedPageBreak/>
              <w:t xml:space="preserve">Điều 5 của dự thảo Nghị định được xây dựng nhằm cụ thể hóa Điều 12 của </w:t>
            </w:r>
            <w:r w:rsidRPr="00C954C6">
              <w:rPr>
                <w:rStyle w:val="Strong"/>
                <w:rFonts w:ascii="Times New Roman" w:hAnsi="Times New Roman" w:cs="Times New Roman"/>
                <w:b w:val="0"/>
                <w:sz w:val="24"/>
                <w:szCs w:val="24"/>
                <w:lang w:val="de-DE"/>
              </w:rPr>
              <w:t>Luật Công nghệ cao số 133/2025/QH15</w:t>
            </w:r>
            <w:r w:rsidRPr="00C954C6">
              <w:rPr>
                <w:rFonts w:ascii="Times New Roman" w:hAnsi="Times New Roman" w:cs="Times New Roman"/>
                <w:sz w:val="24"/>
                <w:szCs w:val="24"/>
                <w:lang w:val="de-DE"/>
              </w:rPr>
              <w:t xml:space="preserve">, thể chế hóa chủ trương phát triển công nghệ chiến lược như một đột phá chiến lược quốc gia; thiết lập cơ chế đặc thù về giải mã công nghệ và thử nghiệm có kiểm soát; bảo đảm tập trung nguồn lực, không dàn trải; </w:t>
            </w:r>
            <w:r w:rsidR="00F530D6" w:rsidRPr="00C954C6">
              <w:rPr>
                <w:rFonts w:ascii="Times New Roman" w:hAnsi="Times New Roman" w:cs="Times New Roman"/>
                <w:sz w:val="24"/>
                <w:szCs w:val="24"/>
                <w:lang w:val="de-DE"/>
              </w:rPr>
              <w:t xml:space="preserve">quy định cụ thể </w:t>
            </w:r>
            <w:r w:rsidR="00F530D6" w:rsidRPr="00C954C6">
              <w:rPr>
                <w:rStyle w:val="Strong"/>
                <w:rFonts w:ascii="Times New Roman" w:hAnsi="Times New Roman" w:cs="Times New Roman"/>
                <w:b w:val="0"/>
                <w:sz w:val="24"/>
                <w:szCs w:val="24"/>
                <w:lang w:val="de-DE"/>
              </w:rPr>
              <w:t>cách thức áp dụng, cơ chế triển khai và mối liên thông với các chương trình, nhiệm vụ khoa học và công nghệ hiện hành. Đ</w:t>
            </w:r>
            <w:r w:rsidRPr="00C954C6">
              <w:rPr>
                <w:rFonts w:ascii="Times New Roman" w:hAnsi="Times New Roman" w:cs="Times New Roman"/>
                <w:sz w:val="24"/>
                <w:szCs w:val="24"/>
                <w:lang w:val="de-DE"/>
              </w:rPr>
              <w:t xml:space="preserve">ồng bộ với pháp luật về khoa học, công nghệ, đầu tư, thuế và </w:t>
            </w:r>
            <w:r w:rsidRPr="00C954C6">
              <w:rPr>
                <w:rFonts w:ascii="Times New Roman" w:hAnsi="Times New Roman" w:cs="Times New Roman"/>
                <w:sz w:val="24"/>
                <w:szCs w:val="24"/>
                <w:lang w:val="de-DE"/>
              </w:rPr>
              <w:lastRenderedPageBreak/>
              <w:t>ngân sách nhà nước; đồng thời tạo nền tảng pháp lý vững chắc để hình thành năng lực tự chủ công nghệ và lợi thế cạnh tranh quốc gia dài hạn</w:t>
            </w:r>
            <w:r w:rsidR="00DC636D" w:rsidRPr="00C954C6">
              <w:rPr>
                <w:rFonts w:ascii="Times New Roman" w:eastAsia="Times New Roman" w:hAnsi="Times New Roman" w:cs="Times New Roman"/>
                <w:sz w:val="24"/>
                <w:szCs w:val="24"/>
                <w:lang w:val="de-DE"/>
              </w:rPr>
              <w:t>.</w:t>
            </w:r>
          </w:p>
          <w:p w14:paraId="730F2E59" w14:textId="298DBFD8" w:rsidR="00DC636D" w:rsidRPr="00C954C6" w:rsidRDefault="00DC636D" w:rsidP="00B06260">
            <w:pPr>
              <w:widowControl w:val="0"/>
              <w:tabs>
                <w:tab w:val="left" w:pos="187"/>
              </w:tabs>
              <w:spacing w:line="276" w:lineRule="auto"/>
              <w:jc w:val="both"/>
              <w:rPr>
                <w:rFonts w:ascii="Times New Roman" w:hAnsi="Times New Roman" w:cs="Times New Roman"/>
                <w:sz w:val="24"/>
                <w:szCs w:val="24"/>
                <w:lang w:val="de-DE"/>
              </w:rPr>
            </w:pPr>
          </w:p>
        </w:tc>
      </w:tr>
      <w:tr w:rsidR="008D2778" w:rsidRPr="009875DA" w14:paraId="1B8EA93D" w14:textId="77777777" w:rsidTr="00022042">
        <w:tc>
          <w:tcPr>
            <w:tcW w:w="2245" w:type="dxa"/>
          </w:tcPr>
          <w:p w14:paraId="1F81A82B" w14:textId="77777777" w:rsidR="008D2778" w:rsidRPr="009875DA" w:rsidRDefault="008D277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16F9C6C2" w14:textId="77777777" w:rsidR="008D2778" w:rsidRPr="009875DA" w:rsidRDefault="008D2778" w:rsidP="00B06260">
            <w:pPr>
              <w:pStyle w:val="Heading2"/>
              <w:spacing w:line="276" w:lineRule="auto"/>
              <w:jc w:val="both"/>
            </w:pPr>
            <w:r w:rsidRPr="009875DA">
              <w:t>Điều 6. Chương trình khoa học, công nghệ và đổi mới sáng tạo quốc gia về công nghệ cao</w:t>
            </w:r>
          </w:p>
          <w:p w14:paraId="142E8651"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bCs/>
                <w:sz w:val="24"/>
                <w:szCs w:val="24"/>
                <w:lang w:val="de-DE"/>
              </w:rPr>
              <w:t>1. Mục tiêu của Chương trình</w:t>
            </w:r>
          </w:p>
          <w:p w14:paraId="57E38CD8"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Nghiên cứu, giải mã, làm chủ và phát triển công nghệ cao, công nghệ lõi; tạo ra công nghệ, sản phẩm công nghệ cao có giá trị gia tăng cao, đóng góp vào tăng trưởng kinh tế, bảo đảm quốc phòng, an ninh và bảo vệ môi trường.</w:t>
            </w:r>
          </w:p>
          <w:p w14:paraId="4F9F15E1"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Hình thành, phát triển nhóm nghiên cứu công nghệ cao mạnh và phòng thí nghiệm đạt chuẩn; nâng cao năng lực nội sinh về khoa học, công nghệ và đổi mới sáng tạo để giải quyết các nhiệm vụ trọng điểm quốc gia.</w:t>
            </w:r>
          </w:p>
          <w:p w14:paraId="251749A8"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Phát triển hệ sinh thái doanh nghiệp công nghệ cao; hình thành chuỗi giá trị sản phẩm công nghệ cao có sức cạnh tranh; thúc đẩy chuyển đổi số và phát triển kinh tế xanh.</w:t>
            </w:r>
          </w:p>
          <w:p w14:paraId="0971819C"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bCs/>
                <w:sz w:val="24"/>
                <w:szCs w:val="24"/>
                <w:lang w:val="de-DE"/>
              </w:rPr>
              <w:t>2. Nội dung của Chương trình</w:t>
            </w:r>
          </w:p>
          <w:p w14:paraId="6285ED66"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a) </w:t>
            </w:r>
            <w:r w:rsidRPr="009875DA">
              <w:rPr>
                <w:rFonts w:ascii="Times New Roman" w:hAnsi="Times New Roman" w:cs="Times New Roman"/>
                <w:bCs/>
                <w:sz w:val="24"/>
                <w:szCs w:val="24"/>
                <w:lang w:val="de-DE"/>
              </w:rPr>
              <w:t>Nghiên cứu, làm chủ và phát triển công nghệ cao</w:t>
            </w:r>
          </w:p>
          <w:p w14:paraId="46F156F1"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Nghiên cứu ứng dụng, giải mã và phát triển các công nghệ thuộc Danh mục công nghệ cao được ưu tiên đầu tư phát triển do Thủ tướng Chính phủ ban hành.</w:t>
            </w:r>
          </w:p>
          <w:p w14:paraId="33A1432D"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Tổ chức các nhiệm vụ khoa học, công nghệ và đổi mới sáng tạo theo mô hình liên kết giữa nhóm nghiên cứu và doanh nghiệp để giải quyết các công nghệ, kỹ thuật cốt lõi.</w:t>
            </w:r>
          </w:p>
          <w:p w14:paraId="4C9AF734"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hoạt động thử nghiệm, đo lường, định giá công nghệ và xác lập quyền sở hữu trí tuệ đối với kết quả nghiên cứu.</w:t>
            </w:r>
          </w:p>
          <w:p w14:paraId="700A6845"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b) </w:t>
            </w:r>
            <w:r w:rsidRPr="009875DA">
              <w:rPr>
                <w:rFonts w:ascii="Times New Roman" w:hAnsi="Times New Roman" w:cs="Times New Roman"/>
                <w:bCs/>
                <w:sz w:val="24"/>
                <w:szCs w:val="24"/>
                <w:lang w:val="de-DE"/>
              </w:rPr>
              <w:t>Ứng dụng và chuyển giao công nghệ cao</w:t>
            </w:r>
          </w:p>
          <w:p w14:paraId="5A4F0BDC"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Triển khai dự án sản xuất thử nghiệm, dự án trình diễn và dự án ứng dụng công nghệ cao tạo ra sản phẩm, dịch vụ có khả năng thương mại hóa.</w:t>
            </w:r>
          </w:p>
          <w:p w14:paraId="2586ED3C"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doanh nghiệp đổi mới, tiếp nhận và làm chủ công nghệ cao từ trong nước và nước ngoài.</w:t>
            </w:r>
          </w:p>
          <w:p w14:paraId="4447E95E"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hoàn thiện quy trình kỹ thuật, tiêu chuẩn, quy chuẩn chất lượng đối với sản phẩm công nghệ cao.</w:t>
            </w:r>
          </w:p>
          <w:p w14:paraId="15D09B6F"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c) </w:t>
            </w:r>
            <w:r w:rsidRPr="009875DA">
              <w:rPr>
                <w:rFonts w:ascii="Times New Roman" w:hAnsi="Times New Roman" w:cs="Times New Roman"/>
                <w:bCs/>
                <w:sz w:val="24"/>
                <w:szCs w:val="24"/>
                <w:lang w:val="de-DE"/>
              </w:rPr>
              <w:t>Phát triển hệ sinh thái và công nghiệp công nghệ cao</w:t>
            </w:r>
          </w:p>
          <w:p w14:paraId="7EE7B475"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doanh nghiệp công nghệ cao tham gia chuỗi giá trị và mạng lưới sản xuất trong nước và quốc tế.</w:t>
            </w:r>
          </w:p>
          <w:p w14:paraId="1A02E31E"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Phát triển công nghiệp hỗ trợ phục vụ các ngành công nghệ cao theo danh mục ưu tiên.</w:t>
            </w:r>
          </w:p>
          <w:p w14:paraId="7BCFBE0D"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Giao nhiệm vụ hoặc đặt hàng doanh nghiệp, tập đoàn chủ trì dự án nghiên cứu, phát triển công nghệ lõi và trung tâm nghiên cứu và phát triển công nghệ cao.</w:t>
            </w:r>
          </w:p>
          <w:p w14:paraId="6BBAF5DA"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bCs/>
                <w:sz w:val="24"/>
                <w:szCs w:val="24"/>
                <w:lang w:val="de-DE"/>
              </w:rPr>
              <w:t>3. Nhiệm vụ và giải pháp thực hiện Chương trình</w:t>
            </w:r>
          </w:p>
          <w:p w14:paraId="7E769338"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a) </w:t>
            </w:r>
            <w:r w:rsidRPr="009875DA">
              <w:rPr>
                <w:rFonts w:ascii="Times New Roman" w:hAnsi="Times New Roman" w:cs="Times New Roman"/>
                <w:bCs/>
                <w:sz w:val="24"/>
                <w:szCs w:val="24"/>
                <w:lang w:val="de-DE"/>
              </w:rPr>
              <w:t>Hỗ trợ tài chính cho nghiên cứu và phát triển</w:t>
            </w:r>
          </w:p>
          <w:p w14:paraId="25FAC242"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kinh phí thực hiện nhiệm vụ khoa học, công nghệ và đổi mới sáng tạo nghiên cứu ứng dụng, giải mã, làm chủ và phát triển công nghệ cao, công nghệ lõi.</w:t>
            </w:r>
          </w:p>
          <w:p w14:paraId="1FFB1BA5"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kinh phí dự án sản xuất thử nghiệm, hoàn thiện công nghệ, sản xuất sản phẩm công nghệ cao.</w:t>
            </w:r>
          </w:p>
          <w:p w14:paraId="7F604F38"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đầu tư trang thiết bị, hạ tầng kỹ thuật phục vụ nhiệm vụ hợp tác nghiên cứu giữa doanh nghiệp và tổ chức khoa học và công nghệ.</w:t>
            </w:r>
          </w:p>
          <w:p w14:paraId="2CCC2615"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b) </w:t>
            </w:r>
            <w:r w:rsidRPr="009875DA">
              <w:rPr>
                <w:rFonts w:ascii="Times New Roman" w:hAnsi="Times New Roman" w:cs="Times New Roman"/>
                <w:bCs/>
                <w:sz w:val="24"/>
                <w:szCs w:val="24"/>
                <w:lang w:val="de-DE"/>
              </w:rPr>
              <w:t>Thúc đẩy chuyển giao công nghệ và sở hữu trí tuệ</w:t>
            </w:r>
          </w:p>
          <w:p w14:paraId="2EDDCE85"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chi phí mua, giải mã, tiếp nhận và làm chủ công nghệ cao.</w:t>
            </w:r>
          </w:p>
          <w:p w14:paraId="0E488475"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xác lập, bảo hộ và khai thác quyền sở hữu trí tuệ đối với kết quả nghiên cứu.</w:t>
            </w:r>
          </w:p>
          <w:p w14:paraId="0F0E4291"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các dự án hợp tác giữa doanh nghiệp và tổ chức khoa học và công nghệ theo cơ chế chia sẻ rủi ro và lợi ích.</w:t>
            </w:r>
          </w:p>
          <w:p w14:paraId="311C61C9"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c) </w:t>
            </w:r>
            <w:r w:rsidRPr="009875DA">
              <w:rPr>
                <w:rFonts w:ascii="Times New Roman" w:hAnsi="Times New Roman" w:cs="Times New Roman"/>
                <w:bCs/>
                <w:sz w:val="24"/>
                <w:szCs w:val="24"/>
                <w:lang w:val="de-DE"/>
              </w:rPr>
              <w:t>Phát triển nguồn nhân lực và chuyên gia</w:t>
            </w:r>
          </w:p>
          <w:p w14:paraId="28E01CD6"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đào tạo, bồi dưỡng nhân lực khoa học và công nghệ trình độ cao.</w:t>
            </w:r>
          </w:p>
          <w:p w14:paraId="38BEF5CA"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Thu hút chuyên gia trong nước và nước ngoài tham gia nghiên cứu, phát triển công nghệ cao.</w:t>
            </w:r>
          </w:p>
          <w:p w14:paraId="10E81B21"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Phát triển tổ chức tư vấn công nghệ cao phục vụ doanh nghiệp.</w:t>
            </w:r>
          </w:p>
          <w:p w14:paraId="3365852D"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d) </w:t>
            </w:r>
            <w:r w:rsidRPr="009875DA">
              <w:rPr>
                <w:rFonts w:ascii="Times New Roman" w:hAnsi="Times New Roman" w:cs="Times New Roman"/>
                <w:bCs/>
                <w:sz w:val="24"/>
                <w:szCs w:val="24"/>
                <w:lang w:val="de-DE"/>
              </w:rPr>
              <w:t>Hợp tác quốc tế và hội nhập</w:t>
            </w:r>
          </w:p>
          <w:p w14:paraId="58B2CE10"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tham gia chương trình, dự án hợp tác khoa học và công nghệ song phương, đa phương.</w:t>
            </w:r>
          </w:p>
          <w:p w14:paraId="5E9816EC"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Khuyến khích thành lập trung tâm nghiên cứu và phát triển công nghệ cao có yếu tố nước ngoài.</w:t>
            </w:r>
          </w:p>
          <w:p w14:paraId="0BB45725"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tham gia mạng lưới, diễn đàn và tổ chức công nghệ quốc tế.</w:t>
            </w:r>
          </w:p>
          <w:p w14:paraId="207FE023"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đ) </w:t>
            </w:r>
            <w:r w:rsidRPr="009875DA">
              <w:rPr>
                <w:rFonts w:ascii="Times New Roman" w:hAnsi="Times New Roman" w:cs="Times New Roman"/>
                <w:bCs/>
                <w:sz w:val="24"/>
                <w:szCs w:val="24"/>
                <w:lang w:val="de-DE"/>
              </w:rPr>
              <w:t>Truyền thông, kết nối và hoàn thiện môi trường chính sách</w:t>
            </w:r>
          </w:p>
          <w:p w14:paraId="64C6734F"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Tổ chức hoạt động truyền thông, triển lãm, diễn đàn về công nghệ cao.</w:t>
            </w:r>
          </w:p>
          <w:p w14:paraId="2C427A50" w14:textId="30E1C1CA"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Tổ chức kết nối cung</w:t>
            </w:r>
            <w:r w:rsidR="00C954C6">
              <w:rPr>
                <w:rFonts w:ascii="Times New Roman" w:hAnsi="Times New Roman" w:cs="Times New Roman"/>
                <w:sz w:val="24"/>
                <w:szCs w:val="24"/>
                <w:lang w:val="de-DE"/>
              </w:rPr>
              <w:t>-</w:t>
            </w:r>
            <w:r w:rsidRPr="009875DA">
              <w:rPr>
                <w:rFonts w:ascii="Times New Roman" w:hAnsi="Times New Roman" w:cs="Times New Roman"/>
                <w:sz w:val="24"/>
                <w:szCs w:val="24"/>
                <w:lang w:val="de-DE"/>
              </w:rPr>
              <w:t>cầu công nghệ giữa tổ chức khoa học và công nghệ, doanh nghiệp và nhà đầu tư.</w:t>
            </w:r>
          </w:p>
          <w:p w14:paraId="0D5B1606"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Thực hiện các chính sách ưu đãi, hỗ trợ đầu tư đối với dự án sản xuất sản phẩm công nghệ cao theo quy định của pháp luật có liên quan.</w:t>
            </w:r>
          </w:p>
          <w:p w14:paraId="7A68982D" w14:textId="77777777" w:rsidR="008D2778" w:rsidRPr="009875DA" w:rsidRDefault="008D2778" w:rsidP="00B06260">
            <w:pPr>
              <w:spacing w:line="276" w:lineRule="auto"/>
              <w:jc w:val="both"/>
              <w:rPr>
                <w:rFonts w:ascii="Times New Roman" w:hAnsi="Times New Roman" w:cs="Times New Roman"/>
                <w:bCs/>
                <w:sz w:val="24"/>
                <w:szCs w:val="24"/>
                <w:lang w:val="de-DE"/>
              </w:rPr>
            </w:pPr>
            <w:r w:rsidRPr="009875DA">
              <w:rPr>
                <w:rFonts w:ascii="Times New Roman" w:hAnsi="Times New Roman" w:cs="Times New Roman"/>
                <w:bCs/>
                <w:sz w:val="24"/>
                <w:szCs w:val="24"/>
                <w:lang w:val="de-DE"/>
              </w:rPr>
              <w:t>4. Kinh phí thực hiện Chương trình</w:t>
            </w:r>
          </w:p>
          <w:p w14:paraId="19A2F8CD"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Kinh phí thực hiện Chương trình được bảo đảm từ các nguồn: </w:t>
            </w:r>
          </w:p>
          <w:p w14:paraId="1C2F8D18"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a) Ngân sách nhà nước dành cho khoa học, công nghệ và đổi mới sáng tạo;</w:t>
            </w:r>
          </w:p>
          <w:p w14:paraId="6744832B"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b) Quỹ phát triển khoa học và công nghệ;</w:t>
            </w:r>
          </w:p>
          <w:p w14:paraId="4A690454"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c) Nguồn hợp pháp khác.</w:t>
            </w:r>
          </w:p>
          <w:p w14:paraId="39D7E016"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Việc quản lý, sử dụng kinh phí thực hiện Chương trình được áp dụng cơ chế tài chính phù hợp với đặc thù nghiên cứu, phát triển công nghệ cao , gắn với kết quả đầu ra.</w:t>
            </w:r>
          </w:p>
          <w:p w14:paraId="29BC701B" w14:textId="77777777" w:rsidR="008D2778" w:rsidRPr="009875DA" w:rsidRDefault="008D2778" w:rsidP="00B06260">
            <w:pPr>
              <w:spacing w:line="276" w:lineRule="auto"/>
              <w:jc w:val="both"/>
              <w:rPr>
                <w:rFonts w:ascii="Times New Roman" w:hAnsi="Times New Roman" w:cs="Times New Roman"/>
                <w:bCs/>
                <w:sz w:val="24"/>
                <w:szCs w:val="24"/>
                <w:lang w:val="de-DE"/>
              </w:rPr>
            </w:pPr>
            <w:r w:rsidRPr="009875DA">
              <w:rPr>
                <w:rFonts w:ascii="Times New Roman" w:hAnsi="Times New Roman" w:cs="Times New Roman"/>
                <w:bCs/>
                <w:sz w:val="24"/>
                <w:szCs w:val="24"/>
                <w:lang w:val="de-DE"/>
              </w:rPr>
              <w:t>5. Tổ chức thực hiện</w:t>
            </w:r>
          </w:p>
          <w:p w14:paraId="3D25738E" w14:textId="77777777" w:rsidR="008D2778" w:rsidRPr="009875DA" w:rsidRDefault="008D2778"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Các bộ, cơ quan ngang bộ, cơ quan thuộc Chính phủ, Ủy ban nhân dân cấp tỉnh có trách nhiệm của thực hiện các nhiệm vụ, giải pháp quy định tại khoản 3 Điều này.</w:t>
            </w:r>
          </w:p>
          <w:p w14:paraId="60CEEDD1" w14:textId="77777777" w:rsidR="008D2778" w:rsidRPr="009875DA" w:rsidRDefault="008D2778" w:rsidP="00B06260">
            <w:pPr>
              <w:spacing w:line="276" w:lineRule="auto"/>
              <w:jc w:val="both"/>
              <w:rPr>
                <w:rFonts w:ascii="Times New Roman" w:hAnsi="Times New Roman" w:cs="Times New Roman"/>
                <w:sz w:val="24"/>
                <w:szCs w:val="24"/>
              </w:rPr>
            </w:pPr>
            <w:bookmarkStart w:id="5" w:name="diem_a_2_5_1"/>
            <w:r w:rsidRPr="009875DA">
              <w:rPr>
                <w:rFonts w:ascii="Times New Roman" w:hAnsi="Times New Roman" w:cs="Times New Roman"/>
                <w:sz w:val="24"/>
                <w:szCs w:val="24"/>
              </w:rPr>
              <w:t>a) Bộ Khoa học và Công nghệ:</w:t>
            </w:r>
            <w:bookmarkEnd w:id="5"/>
          </w:p>
          <w:p w14:paraId="7D8665F4"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Bộ Khoa học và Công nghệ là cơ quan đầu mối, chịu trách nhiệm trước Chính phủ về việc quản lý và tổ chức thực hiện Chương trình ở quy mô quốc gia:</w:t>
            </w:r>
          </w:p>
          <w:p w14:paraId="28024B96"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b/>
                <w:bCs/>
                <w:sz w:val="24"/>
                <w:szCs w:val="24"/>
              </w:rPr>
              <w:t xml:space="preserve">- </w:t>
            </w:r>
            <w:r w:rsidRPr="009875DA">
              <w:rPr>
                <w:rFonts w:ascii="Times New Roman" w:hAnsi="Times New Roman" w:cs="Times New Roman"/>
                <w:sz w:val="24"/>
                <w:szCs w:val="24"/>
              </w:rPr>
              <w:t xml:space="preserve">Chủ trì xây dựng, phê duyệt Khung quản lý và tổ chức triển khai </w:t>
            </w:r>
            <w:r w:rsidRPr="009875DA">
              <w:rPr>
                <w:rFonts w:ascii="Times New Roman" w:hAnsi="Times New Roman" w:cs="Times New Roman"/>
                <w:bCs/>
                <w:sz w:val="24"/>
                <w:szCs w:val="24"/>
              </w:rPr>
              <w:t>Chương trình khoa học, công nghệ và đổi mới sáng tạo cấp quốc gia về công nghệ cao</w:t>
            </w:r>
            <w:r w:rsidRPr="009875DA">
              <w:rPr>
                <w:rFonts w:ascii="Times New Roman" w:hAnsi="Times New Roman" w:cs="Times New Roman"/>
                <w:sz w:val="24"/>
                <w:szCs w:val="24"/>
              </w:rPr>
              <w:t>; tập trung vào các công nghệ lõi, công nghệ cao mang tính liên ngành và các sản phẩm chiến lược tầm quốc gia.</w:t>
            </w:r>
          </w:p>
          <w:p w14:paraId="7B1A7C66"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Xây dựng và ban hành quy định lựa chọn nhiệm vụ để các Bộ, ngành và địa phương căn cứ xây dựng chương trình riêng, đảm bảo tính thống nhất và không chồng chéo với Chương trình cấp quốc gia.</w:t>
            </w:r>
          </w:p>
          <w:p w14:paraId="42235D20"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lastRenderedPageBreak/>
              <w:t>- Đầu mối tổng hợp kế hoạch thực hiện và nhu cầu kinh phí từ các chương trình của Bộ, ngành, địa phương để làm việc với Bộ Tài chính bố trí nguồn lực.</w:t>
            </w:r>
          </w:p>
          <w:p w14:paraId="61B86911"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ml:space="preserve">- Chủ trì kiểm tra, đánh giá định kỳ kết quả thực hiện của toàn bộ hệ thống chương trình; tổng hợp báo cáo Thủ tướng Chính phủ </w:t>
            </w:r>
            <w:r w:rsidRPr="009875DA">
              <w:rPr>
                <w:rFonts w:ascii="Times New Roman" w:hAnsi="Times New Roman" w:cs="Times New Roman"/>
                <w:bCs/>
                <w:sz w:val="24"/>
                <w:szCs w:val="24"/>
              </w:rPr>
              <w:t>trước ngày 31 tháng 12 hàng năm.</w:t>
            </w:r>
          </w:p>
          <w:p w14:paraId="7AA3A636"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b) Các Bộ, cơ quan thuộc Chính phủ và Ủy ban nhân dân cấp tỉnh:</w:t>
            </w:r>
          </w:p>
          <w:p w14:paraId="732C5B2D"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ml:space="preserve">- Chủ trì xây dựng, phê duyệt và tổ chức thực hiện các </w:t>
            </w:r>
            <w:r w:rsidRPr="009875DA">
              <w:rPr>
                <w:rFonts w:ascii="Times New Roman" w:hAnsi="Times New Roman" w:cs="Times New Roman"/>
                <w:bCs/>
                <w:sz w:val="24"/>
                <w:szCs w:val="24"/>
              </w:rPr>
              <w:t>Chương trình khoa học, công nghệ và đổi mới sáng tạo về công nghệ cao</w:t>
            </w:r>
            <w:r w:rsidRPr="009875DA">
              <w:rPr>
                <w:rFonts w:ascii="Times New Roman" w:hAnsi="Times New Roman" w:cs="Times New Roman"/>
                <w:sz w:val="24"/>
                <w:szCs w:val="24"/>
              </w:rPr>
              <w:t xml:space="preserve"> đặc thù của ngành hoặc địa phương, gắn với các sản phẩm thế mạnh và chuỗi giá trị vùng; triển khai thực hiện các nhiệm vụ được giao, đảm bảo thống nhất, hiệu quả.</w:t>
            </w:r>
          </w:p>
          <w:p w14:paraId="07B2CD67"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Tổ chức xác định, tuyển chọn, kiểm tra và nghiệm thu các nhiệm vụ Khoa học, công nghệ và Đổi mới sáng tạo thuộc chương trình do mình quản lý theo đúng quy định pháp luật.</w:t>
            </w:r>
          </w:p>
          <w:p w14:paraId="717EAC3A"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Chủ động bố trí kinh phí từ ngân sách ngành, địa phương và huy động các nguồn lực hợp pháp từ doanh nghiệp để triển khai chương trình hiệu quả.</w:t>
            </w:r>
          </w:p>
          <w:p w14:paraId="23A215AC"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ml:space="preserve">- Phối hợp với Bộ Khoa học và Công nghệ để đảm bảo tính đồng bộ; định kỳ báo cáo tình hình thực hiện chương trình thuộc phạm vi quản lý về Bộ Khoa học và Công nghệ </w:t>
            </w:r>
            <w:r w:rsidRPr="009875DA">
              <w:rPr>
                <w:rFonts w:ascii="Times New Roman" w:hAnsi="Times New Roman" w:cs="Times New Roman"/>
                <w:bCs/>
                <w:sz w:val="24"/>
                <w:szCs w:val="24"/>
              </w:rPr>
              <w:t>trước ngày 30 tháng 11 hàng năm</w:t>
            </w:r>
            <w:r w:rsidRPr="009875DA">
              <w:rPr>
                <w:rFonts w:ascii="Times New Roman" w:hAnsi="Times New Roman" w:cs="Times New Roman"/>
                <w:sz w:val="24"/>
                <w:szCs w:val="24"/>
              </w:rPr>
              <w:t>.</w:t>
            </w:r>
          </w:p>
          <w:p w14:paraId="1C2630D7" w14:textId="77777777"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c) Bộ Tài chính:</w:t>
            </w:r>
          </w:p>
          <w:p w14:paraId="4C1D4C1E" w14:textId="6059B44A" w:rsidR="008D2778" w:rsidRPr="009875DA" w:rsidRDefault="008D2778"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ml:space="preserve">Chủ trì, phối hợp với Bộ Khoa học và Công nghệ và các bộ, ngành có liên quan bố trí và quản lý ngân sách nhà nước cho Chương trình theo quy định của </w:t>
            </w:r>
            <w:bookmarkStart w:id="6" w:name="tvpllink_urbkuzycbs"/>
            <w:r w:rsidRPr="009875DA">
              <w:rPr>
                <w:rFonts w:ascii="Times New Roman" w:hAnsi="Times New Roman" w:cs="Times New Roman"/>
                <w:sz w:val="24"/>
                <w:szCs w:val="24"/>
              </w:rPr>
              <w:t>Luật Ngân sách nhà nước</w:t>
            </w:r>
            <w:bookmarkEnd w:id="6"/>
            <w:r w:rsidRPr="009875DA">
              <w:rPr>
                <w:rFonts w:ascii="Times New Roman" w:hAnsi="Times New Roman" w:cs="Times New Roman"/>
                <w:sz w:val="24"/>
                <w:szCs w:val="24"/>
              </w:rPr>
              <w:t xml:space="preserve">, </w:t>
            </w:r>
            <w:bookmarkStart w:id="7" w:name="tvpllink_wpmetgoqxh_1"/>
            <w:r w:rsidRPr="009875DA">
              <w:rPr>
                <w:rFonts w:ascii="Times New Roman" w:hAnsi="Times New Roman" w:cs="Times New Roman"/>
                <w:sz w:val="24"/>
                <w:szCs w:val="24"/>
              </w:rPr>
              <w:t>Luật Công nghệ cao</w:t>
            </w:r>
            <w:bookmarkEnd w:id="7"/>
            <w:r w:rsidRPr="009875DA">
              <w:rPr>
                <w:rFonts w:ascii="Times New Roman" w:hAnsi="Times New Roman" w:cs="Times New Roman"/>
                <w:sz w:val="24"/>
                <w:szCs w:val="24"/>
              </w:rPr>
              <w:t xml:space="preserve"> và các quy định pháp luật liên quan.</w:t>
            </w:r>
          </w:p>
        </w:tc>
        <w:tc>
          <w:tcPr>
            <w:tcW w:w="5400" w:type="dxa"/>
          </w:tcPr>
          <w:p w14:paraId="71BAA0EF" w14:textId="1F93A6D4" w:rsidR="00255200" w:rsidRPr="009875DA" w:rsidRDefault="00255200" w:rsidP="00B06260">
            <w:pPr>
              <w:widowControl w:val="0"/>
              <w:spacing w:line="276" w:lineRule="auto"/>
              <w:jc w:val="both"/>
              <w:rPr>
                <w:rFonts w:ascii="Times New Roman" w:hAnsi="Times New Roman" w:cs="Times New Roman"/>
                <w:sz w:val="24"/>
                <w:szCs w:val="24"/>
              </w:rPr>
            </w:pPr>
            <w:r w:rsidRPr="009875DA">
              <w:rPr>
                <w:rStyle w:val="Strong"/>
                <w:rFonts w:ascii="Times New Roman" w:hAnsi="Times New Roman" w:cs="Times New Roman"/>
                <w:b w:val="0"/>
                <w:sz w:val="24"/>
                <w:szCs w:val="24"/>
              </w:rPr>
              <w:lastRenderedPageBreak/>
              <w:t xml:space="preserve">Điều 6 </w:t>
            </w:r>
            <w:r w:rsidRPr="009875DA">
              <w:rPr>
                <w:rFonts w:ascii="Times New Roman" w:hAnsi="Times New Roman" w:cs="Times New Roman"/>
                <w:sz w:val="24"/>
                <w:szCs w:val="24"/>
              </w:rPr>
              <w:t xml:space="preserve">cụ thể hóa </w:t>
            </w:r>
            <w:r w:rsidR="00C954C6">
              <w:rPr>
                <w:rFonts w:ascii="Times New Roman" w:hAnsi="Times New Roman" w:cs="Times New Roman"/>
                <w:sz w:val="24"/>
                <w:szCs w:val="24"/>
              </w:rPr>
              <w:t xml:space="preserve">điểm a khoản 3 </w:t>
            </w:r>
            <w:r w:rsidRPr="009875DA">
              <w:rPr>
                <w:rFonts w:ascii="Times New Roman" w:hAnsi="Times New Roman" w:cs="Times New Roman"/>
                <w:sz w:val="24"/>
                <w:szCs w:val="24"/>
              </w:rPr>
              <w:t xml:space="preserve">Điều </w:t>
            </w:r>
            <w:r w:rsidRPr="00C954C6">
              <w:rPr>
                <w:rFonts w:ascii="Times New Roman" w:hAnsi="Times New Roman" w:cs="Times New Roman"/>
                <w:sz w:val="24"/>
                <w:szCs w:val="24"/>
              </w:rPr>
              <w:t xml:space="preserve">11 </w:t>
            </w:r>
            <w:r w:rsidRPr="009875DA">
              <w:rPr>
                <w:rFonts w:ascii="Times New Roman" w:hAnsi="Times New Roman" w:cs="Times New Roman"/>
                <w:sz w:val="24"/>
                <w:szCs w:val="24"/>
              </w:rPr>
              <w:t>Luật Công nghệ cao:</w:t>
            </w:r>
          </w:p>
          <w:p w14:paraId="38E01F5C" w14:textId="30A7E200" w:rsidR="00255200" w:rsidRDefault="008947F1" w:rsidP="00696BEE">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5200" w:rsidRPr="009875DA">
              <w:rPr>
                <w:rFonts w:ascii="Times New Roman" w:hAnsi="Times New Roman" w:cs="Times New Roman"/>
                <w:sz w:val="24"/>
                <w:szCs w:val="24"/>
              </w:rPr>
              <w:t>Thiết lập khung pháp lý hoàn chỉnh cho Chương trình quốc gia về công nghệ cao;</w:t>
            </w:r>
          </w:p>
          <w:p w14:paraId="7EC1AB76" w14:textId="5F38842F" w:rsidR="00255200" w:rsidRDefault="008947F1" w:rsidP="00696BEE">
            <w:pPr>
              <w:pStyle w:val="NormalWeb"/>
              <w:spacing w:before="0" w:beforeAutospacing="0" w:after="0" w:afterAutospacing="0" w:line="276" w:lineRule="auto"/>
              <w:jc w:val="both"/>
            </w:pPr>
            <w:r>
              <w:t xml:space="preserve">- </w:t>
            </w:r>
            <w:r w:rsidR="00255200" w:rsidRPr="009875DA">
              <w:t>Xác định rõ mục tiêu, nội dung, cơ chế tài chính và phân công trách nhiệm;</w:t>
            </w:r>
          </w:p>
          <w:p w14:paraId="66DBD9AE" w14:textId="6E37FDB3" w:rsidR="00255200" w:rsidRDefault="008947F1" w:rsidP="00696BE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55200" w:rsidRPr="009875DA">
              <w:rPr>
                <w:rFonts w:ascii="Times New Roman" w:eastAsia="Times New Roman" w:hAnsi="Times New Roman" w:cs="Times New Roman"/>
                <w:sz w:val="24"/>
                <w:szCs w:val="24"/>
              </w:rPr>
              <w:t xml:space="preserve"> Bảo đảm liên kết chuỗi từ nghiên cứu – làm chủ – sản xuất – thương mại hóa;</w:t>
            </w:r>
          </w:p>
          <w:p w14:paraId="706C88F0" w14:textId="74655FCF" w:rsidR="00255200" w:rsidRDefault="008947F1" w:rsidP="00696BEE">
            <w:pPr>
              <w:pStyle w:val="NormalWeb"/>
              <w:spacing w:before="0" w:beforeAutospacing="0" w:after="0" w:afterAutospacing="0" w:line="276" w:lineRule="auto"/>
              <w:jc w:val="both"/>
            </w:pPr>
            <w:r>
              <w:lastRenderedPageBreak/>
              <w:t>-</w:t>
            </w:r>
            <w:r w:rsidR="00255200" w:rsidRPr="009875DA">
              <w:t xml:space="preserve"> Tập trung nguồn lực vào công nghệ lõi và năng lực nội sinh quốc gia;</w:t>
            </w:r>
          </w:p>
          <w:p w14:paraId="6A8131D6" w14:textId="3B79E010" w:rsidR="00255200" w:rsidRPr="009875DA" w:rsidRDefault="008947F1" w:rsidP="00696BEE">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55200" w:rsidRPr="009875DA">
              <w:rPr>
                <w:rFonts w:ascii="Times New Roman" w:hAnsi="Times New Roman" w:cs="Times New Roman"/>
                <w:sz w:val="24"/>
                <w:szCs w:val="24"/>
              </w:rPr>
              <w:t>Tạo nền tảng thể chế để hình thành hệ sinh thái công nghệ cao quốc gia, nâng cao năng lực cạnh tranh và bảo đảm phát triển bền vững trong bối cảnh hội nhập và cạnh tranh công nghệ toàn cầu.</w:t>
            </w:r>
          </w:p>
          <w:p w14:paraId="1AFDF437" w14:textId="2D3A9497" w:rsidR="00255200" w:rsidRPr="009875DA" w:rsidRDefault="00255200" w:rsidP="00B06260">
            <w:pPr>
              <w:widowControl w:val="0"/>
              <w:spacing w:line="276" w:lineRule="auto"/>
              <w:jc w:val="both"/>
              <w:rPr>
                <w:rStyle w:val="Strong"/>
                <w:rFonts w:ascii="Times New Roman" w:hAnsi="Times New Roman" w:cs="Times New Roman"/>
                <w:sz w:val="24"/>
                <w:szCs w:val="24"/>
              </w:rPr>
            </w:pPr>
          </w:p>
        </w:tc>
      </w:tr>
      <w:tr w:rsidR="008D2778" w:rsidRPr="0025521C" w14:paraId="4F5018FB" w14:textId="77777777" w:rsidTr="00022042">
        <w:tc>
          <w:tcPr>
            <w:tcW w:w="2245" w:type="dxa"/>
          </w:tcPr>
          <w:p w14:paraId="42BA6600" w14:textId="77777777" w:rsidR="008D2778" w:rsidRPr="009875DA" w:rsidRDefault="008D277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0CBE06C8" w14:textId="77777777" w:rsidR="00953F16" w:rsidRPr="009875DA" w:rsidRDefault="00953F16" w:rsidP="00B06260">
            <w:pPr>
              <w:pStyle w:val="Heading2"/>
              <w:spacing w:line="276" w:lineRule="auto"/>
              <w:jc w:val="both"/>
            </w:pPr>
            <w:r w:rsidRPr="009875DA">
              <w:t>Điều 7. Chương trình khoa học, công nghệ và đổi mới sáng tạo quốc gia đặc biệt về công nghệ chiến lược</w:t>
            </w:r>
          </w:p>
          <w:p w14:paraId="7116E0B9"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1. Mục tiêu của Chương trình</w:t>
            </w:r>
          </w:p>
          <w:p w14:paraId="15B810A5"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Chương trình khoa học, công nghệ và đổi mới sáng tạo quốc gia đặc biệt về công nghệ chiến lược có mục tiêu:</w:t>
            </w:r>
          </w:p>
          <w:p w14:paraId="51635219"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Nghiên cứu, phát triển và làm chủ các công nghệ chiến lược, công nghệ lõi và sản phẩm công nghệ chiến lược có tỷ lệ nội địa hóa và giá trị gia tăng cao; có khả năng thay thế nhập khẩu, mở rộng xuất khẩu; góp phần hình thành các ngành công nghiệp chiến lược có năng lực cạnh tranh quốc tế, đóng góp quan trọng vào tăng trưởng kinh tế, bảo đảm quốc phòng, an ninh và tự chủ công nghệ quốc gia.</w:t>
            </w:r>
          </w:p>
          <w:p w14:paraId="6A515FD9"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2. Nội dung của Chương trình</w:t>
            </w:r>
          </w:p>
          <w:p w14:paraId="4ED6EEB5"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Nghiên cứu, làm chủ công nghệ thuộc Danh mục công nghệ chiến lược do Thủ tướng Chính phủ ban hành; phát triển năng lực thiết kế, tích hợp, chế tạo, thử nghiệm và phát triển công nghệ trong nước.</w:t>
            </w:r>
          </w:p>
          <w:p w14:paraId="26907EA8"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Nghiên cứu, phát triển, hoàn thiện và thương mại hóa các sản phẩm công nghệ chiến lược có giá trị gia tăng cao.</w:t>
            </w:r>
          </w:p>
          <w:p w14:paraId="1057B1E6"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Hỗ trợ doanh nghiệp làm chủ công nghệ, thiết kế, sản xuất và thương mại hóa sản phẩm công nghệ chiến lược; hình thành và phát triển doanh nghiệp công nghệ chiến lược; thúc đẩy liên kết giữa Nhà nước, doanh nghiệp và cơ sở nghiên cứu, đào tạo.</w:t>
            </w:r>
          </w:p>
          <w:p w14:paraId="0F50873F"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Phát triển chuỗi giá trị, hệ sinh thái và thị trường cho sản phẩm công nghệ chiến lược; thúc đẩy ứng dụng trong các ngành kinh tế, quốc phòng, an ninh và dịch vụ công; tăng tỷ lệ nội địa hóa và mở rộng xuất khẩu.</w:t>
            </w:r>
          </w:p>
          <w:p w14:paraId="1F612254"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Xây dựng, nâng cấp hạ tầng nghiên cứu, thử nghiệm, thiết kế, tích hợp và sản xuất thử; phát triển các nền tảng, cơ sở dữ liệu và hạ tầng dùng chung phục vụ nghiên cứu, phát triển công nghệ chiến lược.</w:t>
            </w:r>
          </w:p>
          <w:p w14:paraId="6C6EAAF5"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Phát triển nguồn nhân lực chất lượng cao cho các lĩnh vực công nghệ chiến lược; đào tạo, bồi dưỡng nhân lực nghiên cứu, thiết kế, sản xuất và quản trị công nghệ; thu hút chuyên gia trong và ngoài nước tham gia Chương trình.</w:t>
            </w:r>
          </w:p>
          <w:p w14:paraId="6CA16CEA"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Hoàn thiện cơ chế, chính sách, tiêu chuẩn, quy chuẩn kỹ thuật; triển khai cơ chế thử nghiệm chính sách, thử nghiệm công nghệ, sản phẩm và mô hình kinh doanh mới; thực hiện các chính sách hỗ trợ đầu tư, đặt hàng và mua sắm công đối với sản phẩm công nghệ chiến lược.</w:t>
            </w:r>
          </w:p>
          <w:p w14:paraId="07DC4D37" w14:textId="77777777" w:rsidR="00953F16" w:rsidRPr="009875DA" w:rsidRDefault="00953F16"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Tổ chức quản lý, điều phối, theo dõi, giám sát và đánh giá việc thực hiện Chương trình theo mục tiêu, chỉ tiêu và hiệu quả kinh tế – xã hội.</w:t>
            </w:r>
          </w:p>
          <w:p w14:paraId="298AE25E" w14:textId="77777777" w:rsidR="00953F16" w:rsidRPr="009875DA" w:rsidRDefault="00953F16" w:rsidP="00B06260">
            <w:pPr>
              <w:spacing w:line="276" w:lineRule="auto"/>
              <w:jc w:val="both"/>
              <w:rPr>
                <w:rFonts w:ascii="Times New Roman" w:hAnsi="Times New Roman" w:cs="Times New Roman"/>
                <w:sz w:val="24"/>
                <w:szCs w:val="24"/>
                <w:lang w:val="vi-VN"/>
              </w:rPr>
            </w:pPr>
            <w:r w:rsidRPr="009875DA">
              <w:rPr>
                <w:rFonts w:ascii="Times New Roman" w:hAnsi="Times New Roman" w:cs="Times New Roman"/>
                <w:sz w:val="24"/>
                <w:szCs w:val="24"/>
                <w:lang w:val="de-DE"/>
              </w:rPr>
              <w:t>3. Nhiệm vụ và giải pháp thực hiện Chương trình</w:t>
            </w:r>
          </w:p>
          <w:p w14:paraId="501AEA24"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a) Hoàn thiện cơ chế, chính sách</w:t>
            </w:r>
          </w:p>
          <w:p w14:paraId="3395578C"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Xây dựng các Đề án triển khai cơ chế thử nghiệm có kiểm soát (thử nghiệm chính sách, công nghệ, sản phẩm và mô hình kinh doanh mới) cho các sản phẩm công nghệ chiến lược tại Chương trình;</w:t>
            </w:r>
          </w:p>
          <w:p w14:paraId="034C61FE"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Ban hành các Kế hoạch xây dựng tiêu chuẩn, quy chuẩn kỹ thuật quốc gia (TCVN, QCVN) áp dụng cho các sản phẩm công nghệ chiến lược tại Chương trình;</w:t>
            </w:r>
          </w:p>
          <w:p w14:paraId="2457EF5E"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Xây dựng cơ chế khai thác, chia sẻ và sử dụng dữ liệu từ Trung tâm Dữ liệu quốc gia và cơ sở dữ liệu của các bộ, ngành, địa phương phục vụ nghiên cứu các sản phẩm công nghệ chiến lược tại Chương trình.</w:t>
            </w:r>
          </w:p>
          <w:p w14:paraId="5C86B56D"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b) Hỗ trợ nghiên cứu, phát triển và nâng cao năng lực</w:t>
            </w:r>
          </w:p>
          <w:p w14:paraId="36EB03FE"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Giao nhiệm vụ cho các tổ chức, doanh nghiệp, viện nghiên cứu, trường đại học thông qua tài trợ, đặt hàng để thực hiện nhiệm vụ, cụm nhiệm vụ, chuỗi nhiệm vụ khoa học, công nghệ và đổi mới sáng tạo thuộc Chương trình;</w:t>
            </w:r>
          </w:p>
          <w:p w14:paraId="7105089A"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Triển khai các nhiệm vụ thuộc Chương trình theo các hình thức nghiên cứu cơ bản, nghiên cứu ứng dụng, phát triển công nghệ, sản xuất thử nghiệm, giải mã công nghệ, mua bí quyết công nghệ và các loại hình nhiệm vụ khác theo quy định pháp luật;</w:t>
            </w:r>
          </w:p>
          <w:p w14:paraId="6927FA46"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Phát triển hệ thống các trung tâm nghiên cứu, thử nghiệm, phòng thí nghiệm, khu thử nghiệm, cơ sở vật chất kỹ thuật, thiết bị, tiêu chuẩn và quy chuẩn kỹ thuật;</w:t>
            </w:r>
          </w:p>
          <w:p w14:paraId="3DB932DC"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Hình thành liên minh công nghệ chiến lược, bao gồm các doanh nghiệp, viện nghiên cứu, trường đại học và Mạng lưới đổi mới sáng tạo Việt Nam.</w:t>
            </w:r>
          </w:p>
          <w:p w14:paraId="04E0FD30"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c) Hỗ trợ đổi mới sáng tạo và phát triển thị trường</w:t>
            </w:r>
          </w:p>
          <w:p w14:paraId="465DD70E"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ml:space="preserve">- Triển khai nhiệm vụ thuộc Chương trình thông qua các nhiệm vụ hỗ trợ lãi suất vay, hỗ trợ thông qua phiếu hỗ trợ tài chính, đổi mới công nghệ, </w:t>
            </w:r>
            <w:r w:rsidRPr="009875DA">
              <w:rPr>
                <w:rFonts w:ascii="Times New Roman" w:hAnsi="Times New Roman" w:cs="Times New Roman"/>
                <w:sz w:val="24"/>
                <w:szCs w:val="24"/>
              </w:rPr>
              <w:lastRenderedPageBreak/>
              <w:t>phát triển quyền sở hữu trí tuệ, nâng cao năng suất, chất lượng, hỗ trợ khởi nghiệp sáng tạo và các loại hình nhiệm vụ khác theo quy định pháp luật;</w:t>
            </w:r>
          </w:p>
          <w:p w14:paraId="19100BE8"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Tổ chức các chương trình xúc tiến đầu tư, thương mại đối với các sản phẩm công nghệ chiến lược.</w:t>
            </w:r>
          </w:p>
          <w:p w14:paraId="17A57244"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ml:space="preserve">d) Phát triển nguồn nhân lực </w:t>
            </w:r>
          </w:p>
          <w:p w14:paraId="411D49E9"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Tổ chức tuyển chọn, sử dụng tổng công trình sư, kiến trúc sư trưởng cho các nhiệm vụ phát triển sản phẩm công nghệ chiến lược;</w:t>
            </w:r>
          </w:p>
          <w:p w14:paraId="1BA933C2"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Đào tạo kỹ sư và chuyên gia trình độ cao thông qua các chương trình đào tạo thạc sĩ, tiến sĩ, sau tiến sĩ phục vụ phát triển công nghệ chiến lược, sản phẩm công nghệ chiến lược;</w:t>
            </w:r>
          </w:p>
          <w:p w14:paraId="45335139"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Triển khai cơ chế thử nghiệm chính sách thu hút nhà khoa học xuất sắc là người nước ngoài và người Việt Nam ở nước ngoài đến làm việc tại cơ sở giáo dục đại học tại Vi nhằm thúc đẩy nghiên cứu, phát triển, ứng dụng, chuyển giao công nghệ chiến lược.</w:t>
            </w:r>
          </w:p>
          <w:p w14:paraId="5CBFD6F1"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ml:space="preserve">đ) Đẩy mạnh hợp tác quốc tế </w:t>
            </w:r>
          </w:p>
          <w:p w14:paraId="46A5B038"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Thực hiện các dự án, nhiệm vụ khoa học, công nghệ và đổi mới sáng tạo trong khuôn khổ hợp tác quốc tế song phương và đa phương;</w:t>
            </w:r>
          </w:p>
          <w:p w14:paraId="5D6637EC"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Theo dõi xu thế quản trị toàn cầu, đánh giá tác động, khả năng và lộ trình tham gia các cơ chế, sáng kiến hợp tác phù hợp với lợi ích quốc gia;</w:t>
            </w:r>
          </w:p>
          <w:p w14:paraId="357C41EF"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Trao đổi chuyên gia, người làm công tác nghiên cứu với các tổ chức quốc tế. Mời chuyên gia nước ngoài, người Việt Nam ở nước ngoài tham gia tư vấn, nghiên cứu, giảng dạy, thực hiện các nhiệm vụ thuộc Chương trình.</w:t>
            </w:r>
          </w:p>
          <w:p w14:paraId="7AFA488F"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e) Nâng cao nhận thức và hiệu quả quản lý Chương trình</w:t>
            </w:r>
          </w:p>
          <w:p w14:paraId="6EBE94E0"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Tổ chức hội nghị, hội thảo, diễn đàn, các cuộc thi và các hoạt động trao đổi về công nghệ chiến lược;</w:t>
            </w:r>
          </w:p>
          <w:p w14:paraId="20624A31"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Xây dựng và đưa vào triển khai hệ thống phần mềm quản lý, báo cáo, giám sát việc triển khai Chương trình;</w:t>
            </w:r>
          </w:p>
          <w:p w14:paraId="75C4F42B"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Tổ chức đào tạo, bồi dưỡng về xây dựng và quản lý nhiệm vụ, dự án nhằm nâng cao hiệu quả thực hiện; xây dựng sổ tay hướng dẫn thực hiện Chương trình.</w:t>
            </w:r>
          </w:p>
          <w:p w14:paraId="1FD80292"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lastRenderedPageBreak/>
              <w:t>4. Kinh phí thực hiện</w:t>
            </w:r>
          </w:p>
          <w:p w14:paraId="3CE752B6"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a) Kinh phí thực hiện Chương trình được bảo đảm từ ngân sách nhà nước theo phân cấp trong tổng số 15% tổng chi ngân sách nhà nước cho sự nghiệp khoa học và công nghệ phục vụ nghiên cứu công nghệ chiến lược; nguồn vốn của các tổ chức, doanh nghiệp, khu vực tư nhân tham gia thực hiện Chương trình và các nguồn kinh phí hợp pháp khác theo quy định của pháp luật.</w:t>
            </w:r>
          </w:p>
          <w:p w14:paraId="115CE863"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b) Chi thực hiện các nhiệm vụ của Chương trình được áp dụng theo quy định chi cho nhiệm vụ khoa học, công nghệ và đổi mới sáng tạo đặc biệt; chương trình khoa học, công nghệ và đổi mới sáng tạo quốc gia đặc biệt và các nội dung chi đặc thù khác theo quy định của pháp luật.</w:t>
            </w:r>
          </w:p>
          <w:p w14:paraId="344BD065"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c) Việc quản lý, sử dụng kinh phí từ nguồn vốn ngân sách nhà nước, các nguồn vốn hợp pháp khác để triển khai các nhiệm vụ của Chương trình được thực hiện theo quy định pháp luật về ngân sách nhà nước và các quy định pháp luật liên quan.</w:t>
            </w:r>
          </w:p>
          <w:p w14:paraId="5B866F88"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5. Tổ chức thực hiện</w:t>
            </w:r>
          </w:p>
          <w:p w14:paraId="4F71A120"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a</w:t>
            </w:r>
            <w:r w:rsidRPr="004F79FC">
              <w:rPr>
                <w:rFonts w:ascii="Times New Roman" w:hAnsi="Times New Roman" w:cs="Times New Roman"/>
                <w:sz w:val="24"/>
                <w:szCs w:val="24"/>
              </w:rPr>
              <w:t>) Tổ công tác triển khai Chương trình</w:t>
            </w:r>
          </w:p>
          <w:p w14:paraId="553F37F8"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Thành lập Tổ công tác triển khai Chương trình (Tổ công tác) do Bộ trưởng Bộ Khoa học và Công nghệ làm Tổ trưởng, một đồng chí Thứ trưởng Bộ Khoa học và Công nghệ làm Tổ phó thường trực. Thành viên là đại diện các bộ, ngành, địa phương, các tổ chức, doanh nghiệp, viện nghiên cứu, trường đại học. Bộ trưởng Bộ Khoa học và Công nghệ quyết định phê duyệt danh sách thành viên Tổ công tác và ban hành Quy chế hoạt động của Tổ công tác;</w:t>
            </w:r>
          </w:p>
          <w:p w14:paraId="7552FBC8"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Tổ công tác hoạt động theo chế độ kiêm nhiệm, có nhiệm vụ điều phối, đôn đốc, hướng dẫn các bộ, ngành, địa phương tổ chức triển khai các nội dung tại Chương trình.</w:t>
            </w:r>
          </w:p>
          <w:p w14:paraId="0B922DEE"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b) Bộ Khoa học và Công nghệ</w:t>
            </w:r>
          </w:p>
          <w:p w14:paraId="01F8CA1F"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lastRenderedPageBreak/>
              <w:t>- Chủ trì, phối hợp với các bộ, cơ quan ngang bộ trình Thủ tướng Chính phủ xem xét, phê duyệt chương trình khoa học, công nghệ và đổi mới sáng tạo quốc gia đặc biệt về công nghệ chiến lược.</w:t>
            </w:r>
          </w:p>
          <w:p w14:paraId="406EC5C1"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Chủ trì quản lý Chương trình; chủ trì tổ chức triển khai, hướng dẫn các bộ, ngành, địa phương, tổ chức, doanh nghiệp triển khai các nội dung thuộc Chương trình và các nhiệm vụ của Chương trình.</w:t>
            </w:r>
          </w:p>
          <w:p w14:paraId="74A54352"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Chủ trì, điều phối việc tổ chức tài trợ, đặt hàng các nhiệm vụ khoa học, công nghệ và đổi mới sáng tạo thuộc Chương trình.</w:t>
            </w:r>
          </w:p>
          <w:p w14:paraId="03149934"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Chủ trì đánh giá, lựa chọn các doanh nghiệp, viện nghiên cứu và trường đại học tham gia phát triển các công nghệ chiến lược, sản phẩm công nghệ chiến lược.</w:t>
            </w:r>
          </w:p>
          <w:p w14:paraId="48460F78"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Định kỳ hoặc đột xuất báo cáo Thủ tướng Chính phủ, Thường trực Ban Chỉ đạo Trung ương về khoa học, công nghệ, đổi mới sáng tạo và chuyển đổi số tình hình thực hiện; đề xuất, kiến nghị điều chỉnh, bổ sung nhiệm vụ mới và các doanh nghiệp, viện nghiên cứu, trường đại học phù hợp với tình hình thực tiễn.</w:t>
            </w:r>
          </w:p>
          <w:p w14:paraId="42CC558C"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c) Bộ Tài chính chủ trì, phối hợp với các bộ, ngành, địa phương có liên quan trình cấp có thẩm quyền bố trí kinh phí thực hiện các nhiệm vụ của Chương trình theo quy định của Luật Ngân sách nhà nước và các quy định pháp luật có liên quan.</w:t>
            </w:r>
          </w:p>
          <w:p w14:paraId="33FABC5E"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d) Các bộ, cơ quan ngang bộ, cơ quan thuộc Chính phủ, cơ quan khác ở trung ương, Ủy ban nhân dân các tỉnh, thành phố trực thuộc trung ương</w:t>
            </w:r>
          </w:p>
          <w:p w14:paraId="35193A31"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Căn cứ phạm vi quản lý, xây dựng kế hoạch và tổ chức triển khai các nhiệm vụ được phân công tại Chương trình;</w:t>
            </w:r>
          </w:p>
          <w:p w14:paraId="23DA2DB0"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Xây dựng và gửi đặt hàng nhiệm vụ khoa học, công nghệ và đổi mới sáng tạo về Bộ Khoa học và Công nghệ để triển khai, thực hiện theo quy định pháp luật.</w:t>
            </w:r>
          </w:p>
          <w:p w14:paraId="04178225"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đ) Các doanh nghiệp, viện nghiên cứu, trường đại học</w:t>
            </w:r>
          </w:p>
          <w:p w14:paraId="14E88AAE"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Chủ động nghiên cứu, phát triển làm chủ các công nghệ chiến lược, các sản phẩm công nghệ chiến lược</w:t>
            </w:r>
            <w:bookmarkStart w:id="8" w:name="dieu_5"/>
            <w:r w:rsidRPr="009875DA">
              <w:rPr>
                <w:rFonts w:ascii="Times New Roman" w:hAnsi="Times New Roman" w:cs="Times New Roman"/>
                <w:sz w:val="24"/>
                <w:szCs w:val="24"/>
              </w:rPr>
              <w:t xml:space="preserve"> thuộc Chương trình; tham gia đăng ký xét </w:t>
            </w:r>
            <w:r w:rsidRPr="009875DA">
              <w:rPr>
                <w:rFonts w:ascii="Times New Roman" w:hAnsi="Times New Roman" w:cs="Times New Roman"/>
                <w:sz w:val="24"/>
                <w:szCs w:val="24"/>
              </w:rPr>
              <w:lastRenderedPageBreak/>
              <w:t>tài trợ, đặt hàng nhiệm vụ khoa học, công nghệ và đổi mới sáng tạo theo quy định pháp luật;</w:t>
            </w:r>
          </w:p>
          <w:p w14:paraId="381CE265" w14:textId="77777777" w:rsidR="00953F16" w:rsidRPr="009875DA" w:rsidRDefault="00953F16" w:rsidP="00B06260">
            <w:pPr>
              <w:spacing w:line="276" w:lineRule="auto"/>
              <w:jc w:val="both"/>
              <w:rPr>
                <w:rFonts w:ascii="Times New Roman" w:hAnsi="Times New Roman" w:cs="Times New Roman"/>
                <w:sz w:val="24"/>
                <w:szCs w:val="24"/>
              </w:rPr>
            </w:pPr>
            <w:r w:rsidRPr="009875DA">
              <w:rPr>
                <w:rFonts w:ascii="Times New Roman" w:hAnsi="Times New Roman" w:cs="Times New Roman"/>
                <w:sz w:val="24"/>
                <w:szCs w:val="24"/>
              </w:rPr>
              <w:t>- Hình thành các nhóm nghiên cứu mạnh, thu hút nhà khoa học xuất sắc là người nước ngoài và người Việt Nam ở nước ngoài tham gia phát triển các công nghệ lõi, các sản phẩm công nghệ chiến lược;</w:t>
            </w:r>
          </w:p>
          <w:bookmarkEnd w:id="8"/>
          <w:p w14:paraId="03E7EB11" w14:textId="47260479" w:rsidR="008D2778" w:rsidRPr="009875DA" w:rsidRDefault="00953F16" w:rsidP="00B06260">
            <w:pPr>
              <w:pStyle w:val="Heading2"/>
              <w:tabs>
                <w:tab w:val="left" w:pos="851"/>
              </w:tabs>
              <w:spacing w:line="276" w:lineRule="auto"/>
              <w:jc w:val="both"/>
              <w:rPr>
                <w:b w:val="0"/>
              </w:rPr>
            </w:pPr>
            <w:r w:rsidRPr="009875DA">
              <w:rPr>
                <w:b w:val="0"/>
              </w:rPr>
              <w:t>- Phối hợp với các bộ, ngành, địa phương đề xuất các nhiệm vụ, giải pháp phục vụ phát triển công nghệ chiến lược, sản phẩm công nghệ chiến lược</w:t>
            </w:r>
          </w:p>
        </w:tc>
        <w:tc>
          <w:tcPr>
            <w:tcW w:w="5400" w:type="dxa"/>
          </w:tcPr>
          <w:p w14:paraId="69739EC9" w14:textId="5FD0FDAC" w:rsidR="005D6E0C" w:rsidRPr="000C2D51" w:rsidRDefault="005D6E0C" w:rsidP="00696BEE">
            <w:pPr>
              <w:pStyle w:val="NormalWeb"/>
              <w:spacing w:before="0" w:beforeAutospacing="0" w:after="0" w:afterAutospacing="0" w:line="276" w:lineRule="auto"/>
              <w:jc w:val="both"/>
              <w:rPr>
                <w:lang w:val="de-DE"/>
              </w:rPr>
            </w:pPr>
            <w:r w:rsidRPr="000C2D51">
              <w:rPr>
                <w:lang w:val="de-DE"/>
              </w:rPr>
              <w:lastRenderedPageBreak/>
              <w:t xml:space="preserve">Điều 7 </w:t>
            </w:r>
            <w:r w:rsidR="00A479E1" w:rsidRPr="000C2D51">
              <w:rPr>
                <w:lang w:val="de-DE"/>
              </w:rPr>
              <w:t xml:space="preserve">cụ thể hóa </w:t>
            </w:r>
            <w:r w:rsidR="006228DE" w:rsidRPr="000C2D51">
              <w:rPr>
                <w:lang w:val="de-DE"/>
              </w:rPr>
              <w:t xml:space="preserve">quy định tại </w:t>
            </w:r>
            <w:r w:rsidR="00A479E1" w:rsidRPr="000C2D51">
              <w:rPr>
                <w:lang w:val="de-DE"/>
              </w:rPr>
              <w:t xml:space="preserve">khoản 2 Điều 9 Luật Công nghệ cao, hình thành khung pháp lý để </w:t>
            </w:r>
            <w:r w:rsidRPr="000C2D51">
              <w:rPr>
                <w:lang w:val="de-DE"/>
              </w:rPr>
              <w:t xml:space="preserve">xây dựng </w:t>
            </w:r>
            <w:r w:rsidR="00A479E1" w:rsidRPr="000C2D51">
              <w:rPr>
                <w:lang w:val="de-DE"/>
              </w:rPr>
              <w:t xml:space="preserve">và triển khai thực hiện </w:t>
            </w:r>
            <w:r w:rsidRPr="000C2D51">
              <w:rPr>
                <w:rStyle w:val="Strong"/>
                <w:b w:val="0"/>
                <w:lang w:val="de-DE"/>
              </w:rPr>
              <w:t xml:space="preserve">Chương trình </w:t>
            </w:r>
            <w:r w:rsidR="00A479E1" w:rsidRPr="000C2D51">
              <w:rPr>
                <w:rStyle w:val="Strong"/>
                <w:b w:val="0"/>
                <w:lang w:val="de-DE"/>
              </w:rPr>
              <w:t>khoa học, công nghệ và đổi mới sáng tạo quốc gia đặc biệt về công nghệ chiến lược</w:t>
            </w:r>
            <w:r w:rsidRPr="000C2D51">
              <w:rPr>
                <w:lang w:val="de-DE"/>
              </w:rPr>
              <w:t>.</w:t>
            </w:r>
          </w:p>
          <w:p w14:paraId="69FF7A74" w14:textId="7FC36429" w:rsidR="005D6E0C" w:rsidRPr="000C2D51" w:rsidRDefault="005D6E0C" w:rsidP="00696BEE">
            <w:pPr>
              <w:pStyle w:val="NormalWeb"/>
              <w:spacing w:before="0" w:beforeAutospacing="0" w:after="0" w:afterAutospacing="0" w:line="276" w:lineRule="auto"/>
              <w:jc w:val="both"/>
              <w:rPr>
                <w:lang w:val="de-DE"/>
              </w:rPr>
            </w:pPr>
            <w:r w:rsidRPr="000C2D51">
              <w:rPr>
                <w:lang w:val="de-DE"/>
              </w:rPr>
              <w:lastRenderedPageBreak/>
              <w:t xml:space="preserve">Điều 7 xác định mục tiêu </w:t>
            </w:r>
            <w:r w:rsidR="00A479E1" w:rsidRPr="000C2D51">
              <w:rPr>
                <w:lang w:val="de-DE"/>
              </w:rPr>
              <w:t>l</w:t>
            </w:r>
            <w:r w:rsidRPr="000C2D51">
              <w:rPr>
                <w:lang w:val="de-DE"/>
              </w:rPr>
              <w:t xml:space="preserve">àm chủ công nghệ chiến lược và công nghệ lõi; </w:t>
            </w:r>
            <w:r w:rsidR="00A479E1" w:rsidRPr="000C2D51">
              <w:rPr>
                <w:lang w:val="de-DE"/>
              </w:rPr>
              <w:t>t</w:t>
            </w:r>
            <w:r w:rsidRPr="000C2D51">
              <w:rPr>
                <w:lang w:val="de-DE"/>
              </w:rPr>
              <w:t xml:space="preserve">ăng tỷ lệ nội địa hóa; </w:t>
            </w:r>
            <w:r w:rsidR="00A479E1" w:rsidRPr="000C2D51">
              <w:rPr>
                <w:lang w:val="de-DE"/>
              </w:rPr>
              <w:t>t</w:t>
            </w:r>
            <w:r w:rsidRPr="000C2D51">
              <w:rPr>
                <w:lang w:val="de-DE"/>
              </w:rPr>
              <w:t xml:space="preserve">hay thế nhập khẩu, mở rộng xuất khẩu; </w:t>
            </w:r>
            <w:r w:rsidR="00A479E1" w:rsidRPr="000C2D51">
              <w:rPr>
                <w:lang w:val="de-DE"/>
              </w:rPr>
              <w:t>h</w:t>
            </w:r>
            <w:r w:rsidRPr="000C2D51">
              <w:rPr>
                <w:lang w:val="de-DE"/>
              </w:rPr>
              <w:t xml:space="preserve">ình thành ngành công nghiệp chiến lược; </w:t>
            </w:r>
            <w:r w:rsidR="00A479E1" w:rsidRPr="000C2D51">
              <w:rPr>
                <w:lang w:val="de-DE"/>
              </w:rPr>
              <w:t>b</w:t>
            </w:r>
            <w:r w:rsidRPr="000C2D51">
              <w:rPr>
                <w:lang w:val="de-DE"/>
              </w:rPr>
              <w:t xml:space="preserve">ảo đảm tự chủ công nghệ quốc gia. </w:t>
            </w:r>
          </w:p>
          <w:p w14:paraId="38D61566" w14:textId="76EB7860" w:rsidR="003A7F65" w:rsidRPr="000C2D51" w:rsidRDefault="003A7F65" w:rsidP="00696BEE">
            <w:pPr>
              <w:pStyle w:val="NormalWeb"/>
              <w:spacing w:before="0" w:beforeAutospacing="0" w:after="0" w:afterAutospacing="0" w:line="276" w:lineRule="auto"/>
              <w:jc w:val="both"/>
              <w:rPr>
                <w:lang w:val="de-DE"/>
              </w:rPr>
            </w:pPr>
            <w:r w:rsidRPr="000C2D51">
              <w:rPr>
                <w:lang w:val="de-DE"/>
              </w:rPr>
              <w:t xml:space="preserve">Thiết lập một Chương trình quốc gia đặc biệt với cơ chế vượt trội; </w:t>
            </w:r>
            <w:r w:rsidR="004F79FC" w:rsidRPr="000C2D51">
              <w:rPr>
                <w:lang w:val="de-DE"/>
              </w:rPr>
              <w:t>t</w:t>
            </w:r>
            <w:r w:rsidRPr="000C2D51">
              <w:rPr>
                <w:lang w:val="de-DE"/>
              </w:rPr>
              <w:t>ập trung nguồn lực cho công nghệ lõi và sản phẩm chiến lược.</w:t>
            </w:r>
          </w:p>
          <w:p w14:paraId="6B7D9FE9" w14:textId="275A0363" w:rsidR="003A7F65" w:rsidRPr="000C2D51" w:rsidRDefault="003A7F65" w:rsidP="00696BEE">
            <w:pPr>
              <w:pStyle w:val="NormalWeb"/>
              <w:spacing w:before="0" w:beforeAutospacing="0" w:after="0" w:afterAutospacing="0" w:line="276" w:lineRule="auto"/>
              <w:jc w:val="both"/>
              <w:rPr>
                <w:lang w:val="de-DE"/>
              </w:rPr>
            </w:pPr>
          </w:p>
          <w:p w14:paraId="567E18D0" w14:textId="77777777" w:rsidR="003A7F65" w:rsidRPr="000C2D51" w:rsidRDefault="003A7F65" w:rsidP="00B06260">
            <w:pPr>
              <w:pStyle w:val="NormalWeb"/>
              <w:spacing w:line="276" w:lineRule="auto"/>
              <w:rPr>
                <w:lang w:val="de-DE"/>
              </w:rPr>
            </w:pPr>
          </w:p>
          <w:p w14:paraId="1BED94A3" w14:textId="5CBB53F6" w:rsidR="003A7F65" w:rsidRPr="000C2D51" w:rsidRDefault="003A7F65" w:rsidP="00B06260">
            <w:pPr>
              <w:pStyle w:val="NormalWeb"/>
              <w:spacing w:line="276" w:lineRule="auto"/>
              <w:rPr>
                <w:lang w:val="de-DE"/>
              </w:rPr>
            </w:pPr>
          </w:p>
          <w:p w14:paraId="02DAB68F" w14:textId="215E3D18" w:rsidR="005D6E0C" w:rsidRPr="000C2D51" w:rsidRDefault="005D6E0C" w:rsidP="00B06260">
            <w:pPr>
              <w:pStyle w:val="NormalWeb"/>
              <w:spacing w:line="276" w:lineRule="auto"/>
              <w:rPr>
                <w:lang w:val="de-DE"/>
              </w:rPr>
            </w:pPr>
          </w:p>
          <w:p w14:paraId="1131F6CD" w14:textId="75C99827" w:rsidR="005D6E0C" w:rsidRPr="000C2D51" w:rsidRDefault="005D6E0C" w:rsidP="00B06260">
            <w:pPr>
              <w:pStyle w:val="NormalWeb"/>
              <w:spacing w:line="276" w:lineRule="auto"/>
              <w:rPr>
                <w:lang w:val="de-DE"/>
              </w:rPr>
            </w:pPr>
          </w:p>
          <w:p w14:paraId="5987E1C3" w14:textId="4F061330" w:rsidR="005D6E0C" w:rsidRPr="000C2D51" w:rsidRDefault="005D6E0C" w:rsidP="00B06260">
            <w:pPr>
              <w:pStyle w:val="NormalWeb"/>
              <w:spacing w:line="276" w:lineRule="auto"/>
              <w:rPr>
                <w:lang w:val="de-DE"/>
              </w:rPr>
            </w:pPr>
          </w:p>
          <w:p w14:paraId="3A472134" w14:textId="5D51F05A" w:rsidR="005D6E0C" w:rsidRPr="000C2D51" w:rsidRDefault="005D6E0C" w:rsidP="00B06260">
            <w:pPr>
              <w:pStyle w:val="NormalWeb"/>
              <w:spacing w:line="276" w:lineRule="auto"/>
              <w:rPr>
                <w:lang w:val="de-DE"/>
              </w:rPr>
            </w:pPr>
          </w:p>
          <w:p w14:paraId="73318F37" w14:textId="344273F8" w:rsidR="008D2778" w:rsidRPr="000C2D51" w:rsidRDefault="008D2778" w:rsidP="00B06260">
            <w:pPr>
              <w:widowControl w:val="0"/>
              <w:spacing w:line="276" w:lineRule="auto"/>
              <w:jc w:val="both"/>
              <w:rPr>
                <w:rStyle w:val="Strong"/>
                <w:rFonts w:ascii="Times New Roman" w:hAnsi="Times New Roman" w:cs="Times New Roman"/>
                <w:sz w:val="24"/>
                <w:szCs w:val="24"/>
                <w:lang w:val="de-DE"/>
              </w:rPr>
            </w:pPr>
          </w:p>
        </w:tc>
      </w:tr>
      <w:tr w:rsidR="00407B93" w:rsidRPr="0025521C" w14:paraId="5239ACAC" w14:textId="77777777" w:rsidTr="00022042">
        <w:tc>
          <w:tcPr>
            <w:tcW w:w="2245" w:type="dxa"/>
          </w:tcPr>
          <w:p w14:paraId="08CA2EBE" w14:textId="77777777"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45C4C2B4" w14:textId="77777777" w:rsidR="00D9060C" w:rsidRPr="009875DA" w:rsidRDefault="00D9060C" w:rsidP="00B06260">
            <w:pPr>
              <w:pStyle w:val="Heading2"/>
              <w:keepNext w:val="0"/>
              <w:widowControl w:val="0"/>
              <w:tabs>
                <w:tab w:val="left" w:pos="851"/>
              </w:tabs>
              <w:snapToGrid w:val="0"/>
              <w:spacing w:line="276" w:lineRule="auto"/>
              <w:jc w:val="both"/>
              <w:rPr>
                <w:b w:val="0"/>
              </w:rPr>
            </w:pPr>
            <w:r w:rsidRPr="009875DA">
              <w:t>Điều 8. Công nhận Trung tâm nghiên cứu và phát triển công nghệ cao, Trung tâm nghiên cứu và phát triển công nghệ chiến lược</w:t>
            </w:r>
          </w:p>
          <w:p w14:paraId="286E5AF1" w14:textId="77777777" w:rsidR="00D9060C" w:rsidRPr="009875DA" w:rsidRDefault="00D9060C"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1. Thẩm quyền công nhận:</w:t>
            </w:r>
          </w:p>
          <w:p w14:paraId="2CA3AA71" w14:textId="77777777" w:rsidR="00D9060C" w:rsidRPr="009875DA" w:rsidRDefault="00D9060C" w:rsidP="00B06260">
            <w:pPr>
              <w:snapToGrid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a) Bộ Khoa học và Công nghệ có thẩm quyền công nhận Trung tâm nghiên cứu và phát triển công nghệ cao, Trung tâm nghiên cứu và phát triển công nghệ chiến lược đối với các tổ chức khoa học và công nghệ quy định tại các khoản 1 Điều 22 Nghị định số 262/2025/NĐ-CP ngày 14/10/2025 của Chỉnh phủ;</w:t>
            </w:r>
          </w:p>
          <w:p w14:paraId="1DCE7131" w14:textId="77777777" w:rsidR="00D9060C" w:rsidRPr="009875DA" w:rsidRDefault="00D9060C" w:rsidP="00B06260">
            <w:pPr>
              <w:snapToGrid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b) Ủy ban nhân dân cấp tỉnh nơi tổ chức khoa học và công nghệ đặt trụ sở chính có thẩm quyền công nhận Trung tâm nghiên cứu và phát triển công nghệ cao, Trung tâm nghiên cứu và phát triển công nghệ chiến lược đối với các tổ chức khoa học và công nghệ không thuộc quy định tại khoản 1 Điều 22 Nghị định số 262/2025/NĐ-CP ngày 14/10/2025 của Chính phủ.</w:t>
            </w:r>
          </w:p>
          <w:p w14:paraId="13D92ADD" w14:textId="77777777" w:rsidR="00D9060C" w:rsidRPr="009875DA" w:rsidRDefault="00D9060C"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c) Cơ quan nhà nước có thẩm quyền công nhận tại khoản 1, khoản 2 Điều này chịu trách nhiệm về tính hợp lệ của hồ sơ yêu cầu công nhận, không chịu trách nhiệm về những vi phạm pháp luật của tổ chức xảy ra trước và sau khi công nhận; không giải quyết tranh chấp giữa tổ chức được công nhận với tổ chức, cá nhân khác.</w:t>
            </w:r>
          </w:p>
          <w:p w14:paraId="0D4E0D65" w14:textId="77777777" w:rsidR="00D9060C" w:rsidRPr="009875DA" w:rsidRDefault="00D9060C"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d) Giấy công nhận Trung tâm nghiên cứu và phát triển công nghệ cao, Trung tâm nghiên cứu và phát triển công nghệ chiến lược có giá trị 05 năm.</w:t>
            </w:r>
          </w:p>
          <w:p w14:paraId="06649C82" w14:textId="77777777" w:rsidR="00D9060C" w:rsidRPr="009875DA" w:rsidRDefault="00D9060C"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2. Điều kiện và tiêu chí công nhận Trung tâm nghiên cứu và phát triển công nghệ cao, Trung tâm nghiên cứu và phát triển công nghệ chiến lược:</w:t>
            </w:r>
          </w:p>
          <w:p w14:paraId="5CD4DF46" w14:textId="77777777" w:rsidR="00D9060C" w:rsidRPr="009875DA" w:rsidRDefault="00D9060C" w:rsidP="00B06260">
            <w:pPr>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a) Về điều kiện: Theo quy định tại khoản 2 Điều 27 Nghị định 262/2025/NĐ-CP.</w:t>
            </w:r>
          </w:p>
          <w:p w14:paraId="6D86552C"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Về các tiêu chí: Theo quy định tại điểm a, điểm c Khoản 5 Điều 11 Luật Công nghệ cao và các tiêu chí sau:</w:t>
            </w:r>
          </w:p>
          <w:p w14:paraId="557E6388"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b1) Về nhân lực trình độ cao:</w:t>
            </w:r>
          </w:p>
          <w:p w14:paraId="6CBD3DA2"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Số lượng người lao động có chuyên môn và kinh nghiệm phù hợp với hoạt động nghiên cứu và phát triển của Trung tâm có hợp đồng lao động không xác định thời hạn hoặc hợp đồng lao động có thời hạn từ 01 năm trở lên để trực tiếp tham gia thực hiện hoạt động nghiên cứu và phát triển phải đạt ít nhất 70% tổng số người lao động của Trung tâm, trong đó số người lao động có bằng đại học trở lên phải đạt ít nhất 85%;</w:t>
            </w:r>
          </w:p>
          <w:p w14:paraId="32F258E7"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Mỗi lĩnh vực nghiên cứu và phát triển chính của Trung tâm phải có ít nhất một (01) thành viên tham gia trực tiếp vào hoạt động nghiên cứu và phát triển có tối thiểu năm (05) năm kinh nghiệm thực hiện hoạt động nghiên cứu và phát triển trong lĩnh vực đó;</w:t>
            </w:r>
          </w:p>
          <w:p w14:paraId="164962DF"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b2) Tỷ lệ chi cho hoạt động nghiên cứu phát triển:</w:t>
            </w:r>
          </w:p>
          <w:p w14:paraId="1862CD65"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Tổng chi cho hoạt động nghiên cứu và phát triển hằng năm phải đạt ít nhất 80% các khoản chi hoạt động hằng năm của Trung tâm;</w:t>
            </w:r>
          </w:p>
          <w:p w14:paraId="4F6FE5B8" w14:textId="216E6101" w:rsidR="00552848"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b3) Cơ sở vật chất, kỹ thuật và hệ thống quản lý chất lượng theo quy chuẩn kỹ thuật quốc gia; trường hợp chưa có tiêu chuẩn, quy chuẩn kỹ thuật của Việt Nam thì áp dụng tiêu chuẩn khu vực, nước ngoài phù hợp với từng lĩnh vực hoạt động.</w:t>
            </w:r>
            <w:r w:rsidR="00953F16" w:rsidRPr="009875DA">
              <w:rPr>
                <w:rFonts w:ascii="Times New Roman" w:hAnsi="Times New Roman" w:cs="Times New Roman"/>
                <w:color w:val="000000" w:themeColor="text1"/>
                <w:sz w:val="24"/>
                <w:szCs w:val="24"/>
                <w:lang w:val="de-DE"/>
              </w:rPr>
              <w:t>.</w:t>
            </w:r>
          </w:p>
        </w:tc>
        <w:tc>
          <w:tcPr>
            <w:tcW w:w="5400" w:type="dxa"/>
          </w:tcPr>
          <w:p w14:paraId="708AF05A" w14:textId="179A232D" w:rsidR="008D2778" w:rsidRPr="009875DA" w:rsidRDefault="00643857" w:rsidP="00696BEE">
            <w:pPr>
              <w:widowControl w:val="0"/>
              <w:spacing w:line="276" w:lineRule="auto"/>
              <w:jc w:val="both"/>
              <w:rPr>
                <w:rStyle w:val="Strong"/>
                <w:rFonts w:ascii="Times New Roman" w:hAnsi="Times New Roman" w:cs="Times New Roman"/>
                <w:sz w:val="24"/>
                <w:szCs w:val="24"/>
                <w:lang w:val="de-DE"/>
              </w:rPr>
            </w:pPr>
            <w:r w:rsidRPr="00EB10DA">
              <w:rPr>
                <w:rFonts w:ascii="Times New Roman" w:hAnsi="Times New Roman" w:cs="Times New Roman"/>
                <w:sz w:val="24"/>
                <w:szCs w:val="24"/>
                <w:lang w:val="de-DE"/>
              </w:rPr>
              <w:lastRenderedPageBreak/>
              <w:t xml:space="preserve">Điều </w:t>
            </w:r>
            <w:r w:rsidR="00EB10DA" w:rsidRPr="00EB10DA">
              <w:rPr>
                <w:rFonts w:ascii="Times New Roman" w:hAnsi="Times New Roman" w:cs="Times New Roman"/>
                <w:sz w:val="24"/>
                <w:szCs w:val="24"/>
                <w:lang w:val="de-DE"/>
              </w:rPr>
              <w:t>8</w:t>
            </w:r>
            <w:r w:rsidRPr="00EB10DA">
              <w:rPr>
                <w:rFonts w:ascii="Times New Roman" w:hAnsi="Times New Roman" w:cs="Times New Roman"/>
                <w:sz w:val="24"/>
                <w:szCs w:val="24"/>
                <w:lang w:val="de-DE"/>
              </w:rPr>
              <w:t xml:space="preserve"> </w:t>
            </w:r>
            <w:r w:rsidRPr="009875DA">
              <w:rPr>
                <w:rStyle w:val="Strong"/>
                <w:rFonts w:ascii="Times New Roman" w:hAnsi="Times New Roman" w:cs="Times New Roman"/>
                <w:b w:val="0"/>
                <w:sz w:val="24"/>
                <w:szCs w:val="24"/>
                <w:lang w:val="de-DE"/>
              </w:rPr>
              <w:t xml:space="preserve">cụ thể </w:t>
            </w:r>
            <w:r w:rsidRPr="006228DE">
              <w:rPr>
                <w:rStyle w:val="Strong"/>
                <w:rFonts w:ascii="Times New Roman" w:hAnsi="Times New Roman" w:cs="Times New Roman"/>
                <w:b w:val="0"/>
                <w:sz w:val="24"/>
                <w:szCs w:val="24"/>
                <w:lang w:val="de-DE"/>
              </w:rPr>
              <w:t xml:space="preserve">hóa </w:t>
            </w:r>
            <w:r w:rsidR="006228DE" w:rsidRPr="006228DE">
              <w:rPr>
                <w:rStyle w:val="Strong"/>
                <w:rFonts w:ascii="Times New Roman" w:hAnsi="Times New Roman" w:cs="Times New Roman"/>
                <w:b w:val="0"/>
                <w:sz w:val="24"/>
                <w:szCs w:val="24"/>
                <w:lang w:val="de-DE"/>
              </w:rPr>
              <w:t xml:space="preserve">quy định tại </w:t>
            </w:r>
            <w:r w:rsidR="000B159B" w:rsidRPr="006228DE">
              <w:rPr>
                <w:rStyle w:val="Strong"/>
                <w:rFonts w:ascii="Times New Roman" w:hAnsi="Times New Roman" w:cs="Times New Roman"/>
                <w:b w:val="0"/>
                <w:sz w:val="24"/>
                <w:szCs w:val="24"/>
                <w:lang w:val="de-DE"/>
              </w:rPr>
              <w:t>k</w:t>
            </w:r>
            <w:r w:rsidR="000B159B" w:rsidRPr="000B159B">
              <w:rPr>
                <w:rStyle w:val="Strong"/>
                <w:rFonts w:ascii="Times New Roman" w:hAnsi="Times New Roman" w:cs="Times New Roman"/>
                <w:b w:val="0"/>
                <w:sz w:val="24"/>
                <w:szCs w:val="24"/>
                <w:lang w:val="de-DE"/>
              </w:rPr>
              <w:t>hoản 5, khoản 6</w:t>
            </w:r>
            <w:r w:rsidR="000B159B">
              <w:rPr>
                <w:rStyle w:val="Strong"/>
                <w:rFonts w:ascii="Times New Roman" w:hAnsi="Times New Roman" w:cs="Times New Roman"/>
                <w:sz w:val="24"/>
                <w:szCs w:val="24"/>
                <w:lang w:val="de-DE"/>
              </w:rPr>
              <w:t xml:space="preserve"> </w:t>
            </w:r>
            <w:r w:rsidRPr="009875DA">
              <w:rPr>
                <w:rStyle w:val="Strong"/>
                <w:rFonts w:ascii="Times New Roman" w:hAnsi="Times New Roman" w:cs="Times New Roman"/>
                <w:b w:val="0"/>
                <w:sz w:val="24"/>
                <w:szCs w:val="24"/>
                <w:lang w:val="de-DE"/>
              </w:rPr>
              <w:t xml:space="preserve">Điều 11 và </w:t>
            </w:r>
            <w:r w:rsidR="000B159B">
              <w:rPr>
                <w:rStyle w:val="Strong"/>
                <w:rFonts w:ascii="Times New Roman" w:hAnsi="Times New Roman" w:cs="Times New Roman"/>
                <w:b w:val="0"/>
                <w:sz w:val="24"/>
                <w:szCs w:val="24"/>
                <w:lang w:val="de-DE"/>
              </w:rPr>
              <w:t xml:space="preserve">khoản 4, khoản 5 </w:t>
            </w:r>
            <w:r w:rsidRPr="009875DA">
              <w:rPr>
                <w:rStyle w:val="Strong"/>
                <w:rFonts w:ascii="Times New Roman" w:hAnsi="Times New Roman" w:cs="Times New Roman"/>
                <w:b w:val="0"/>
                <w:sz w:val="24"/>
                <w:szCs w:val="24"/>
                <w:lang w:val="de-DE"/>
              </w:rPr>
              <w:t>Điều 12 Luật Công nghệ cao số 133/2025/QH15</w:t>
            </w:r>
            <w:r w:rsidR="000B159B">
              <w:rPr>
                <w:rStyle w:val="Strong"/>
                <w:rFonts w:ascii="Times New Roman" w:hAnsi="Times New Roman" w:cs="Times New Roman"/>
                <w:b w:val="0"/>
                <w:sz w:val="24"/>
                <w:szCs w:val="24"/>
                <w:lang w:val="de-DE"/>
              </w:rPr>
              <w:t xml:space="preserve"> đối với </w:t>
            </w:r>
            <w:r w:rsidR="000B159B" w:rsidRPr="000B159B">
              <w:rPr>
                <w:rStyle w:val="Strong"/>
                <w:rFonts w:ascii="Times New Roman" w:hAnsi="Times New Roman" w:cs="Times New Roman"/>
                <w:b w:val="0"/>
                <w:sz w:val="24"/>
                <w:szCs w:val="24"/>
                <w:lang w:val="de-DE"/>
              </w:rPr>
              <w:t>Trung tâm nghiên cứu và phát triển công nghệ cao, Trung tâm nghiên cứu và phát triển công nghệ chiến lược</w:t>
            </w:r>
            <w:r w:rsidR="000B159B">
              <w:rPr>
                <w:rStyle w:val="Strong"/>
                <w:rFonts w:ascii="Times New Roman" w:hAnsi="Times New Roman" w:cs="Times New Roman"/>
                <w:b w:val="0"/>
                <w:sz w:val="24"/>
                <w:szCs w:val="24"/>
                <w:lang w:val="de-DE"/>
              </w:rPr>
              <w:t xml:space="preserve">, trong đó quy định về thẩm quyền </w:t>
            </w:r>
            <w:r w:rsidR="0083325E" w:rsidRPr="009875DA">
              <w:rPr>
                <w:rFonts w:ascii="Times New Roman" w:hAnsi="Times New Roman" w:cs="Times New Roman"/>
                <w:sz w:val="24"/>
                <w:szCs w:val="24"/>
                <w:lang w:val="de-DE"/>
              </w:rPr>
              <w:t xml:space="preserve">công nhận </w:t>
            </w:r>
            <w:r w:rsidR="000B159B">
              <w:rPr>
                <w:rFonts w:ascii="Times New Roman" w:hAnsi="Times New Roman" w:cs="Times New Roman"/>
                <w:sz w:val="24"/>
                <w:szCs w:val="24"/>
                <w:lang w:val="de-DE"/>
              </w:rPr>
              <w:t xml:space="preserve">và điều kiện, tiêu chí đối với từng loại hình. </w:t>
            </w:r>
          </w:p>
          <w:p w14:paraId="7148E7AD" w14:textId="452F74B4" w:rsidR="0084029F" w:rsidRPr="000C2D51" w:rsidRDefault="0083325E" w:rsidP="0084029F">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Điều 8 kế thừa điều kiện chung tại Nghị định </w:t>
            </w:r>
            <w:r w:rsidR="000B159B">
              <w:rPr>
                <w:rFonts w:ascii="Times New Roman" w:hAnsi="Times New Roman" w:cs="Times New Roman"/>
                <w:sz w:val="24"/>
                <w:szCs w:val="24"/>
                <w:lang w:val="de-DE"/>
              </w:rPr>
              <w:t xml:space="preserve">số </w:t>
            </w:r>
            <w:r w:rsidRPr="009875DA">
              <w:rPr>
                <w:rFonts w:ascii="Times New Roman" w:hAnsi="Times New Roman" w:cs="Times New Roman"/>
                <w:sz w:val="24"/>
                <w:szCs w:val="24"/>
                <w:lang w:val="de-DE"/>
              </w:rPr>
              <w:t>262/2025/NĐ-CP và cụ thể hóa thêm các tiêu chí đặc thù đối với</w:t>
            </w:r>
            <w:r w:rsidR="000B159B">
              <w:rPr>
                <w:rFonts w:ascii="Times New Roman" w:hAnsi="Times New Roman" w:cs="Times New Roman"/>
                <w:sz w:val="24"/>
                <w:szCs w:val="24"/>
                <w:lang w:val="de-DE"/>
              </w:rPr>
              <w:t xml:space="preserve"> từng loại hình Trung tâm</w:t>
            </w:r>
            <w:r w:rsidRPr="009875DA">
              <w:rPr>
                <w:rFonts w:ascii="Times New Roman" w:hAnsi="Times New Roman" w:cs="Times New Roman"/>
                <w:sz w:val="24"/>
                <w:szCs w:val="24"/>
                <w:lang w:val="de-DE"/>
              </w:rPr>
              <w:t xml:space="preserve">. Các tiêu chí được thiết kế theo 3 trụ cột năng lực: Năng lực nhân lực; mức độ đầu tư cho </w:t>
            </w:r>
            <w:r w:rsidR="000B159B">
              <w:rPr>
                <w:rFonts w:ascii="Times New Roman" w:hAnsi="Times New Roman" w:cs="Times New Roman"/>
                <w:sz w:val="24"/>
                <w:szCs w:val="24"/>
                <w:lang w:val="de-DE"/>
              </w:rPr>
              <w:t>nghiên cứu và phát triển</w:t>
            </w:r>
            <w:r w:rsidRPr="009875DA">
              <w:rPr>
                <w:rFonts w:ascii="Times New Roman" w:hAnsi="Times New Roman" w:cs="Times New Roman"/>
                <w:sz w:val="24"/>
                <w:szCs w:val="24"/>
                <w:lang w:val="de-DE"/>
              </w:rPr>
              <w:t>; cơ sở vật chất và hệ thống quản lý chất lượng.</w:t>
            </w:r>
          </w:p>
          <w:p w14:paraId="07FE4626" w14:textId="19B8402A" w:rsidR="0083325E" w:rsidRPr="000C2D51" w:rsidRDefault="0083325E" w:rsidP="00B06260">
            <w:pPr>
              <w:widowControl w:val="0"/>
              <w:spacing w:line="276" w:lineRule="auto"/>
              <w:jc w:val="both"/>
              <w:rPr>
                <w:rFonts w:ascii="Times New Roman" w:hAnsi="Times New Roman" w:cs="Times New Roman"/>
                <w:sz w:val="24"/>
                <w:szCs w:val="24"/>
                <w:lang w:val="de-DE"/>
              </w:rPr>
            </w:pPr>
          </w:p>
          <w:p w14:paraId="6230B969" w14:textId="77777777" w:rsidR="0083325E" w:rsidRPr="009875DA" w:rsidRDefault="0083325E" w:rsidP="00B06260">
            <w:pPr>
              <w:widowControl w:val="0"/>
              <w:spacing w:line="276" w:lineRule="auto"/>
              <w:jc w:val="both"/>
              <w:rPr>
                <w:rStyle w:val="Strong"/>
                <w:rFonts w:ascii="Times New Roman" w:hAnsi="Times New Roman" w:cs="Times New Roman"/>
                <w:sz w:val="24"/>
                <w:szCs w:val="24"/>
                <w:lang w:val="de-DE"/>
              </w:rPr>
            </w:pPr>
          </w:p>
          <w:p w14:paraId="16C9D217" w14:textId="77777777" w:rsidR="0083325E" w:rsidRPr="009875DA" w:rsidRDefault="0083325E" w:rsidP="00B06260">
            <w:pPr>
              <w:widowControl w:val="0"/>
              <w:spacing w:line="276" w:lineRule="auto"/>
              <w:jc w:val="both"/>
              <w:rPr>
                <w:rStyle w:val="Strong"/>
                <w:rFonts w:ascii="Times New Roman" w:hAnsi="Times New Roman" w:cs="Times New Roman"/>
                <w:sz w:val="24"/>
                <w:szCs w:val="24"/>
                <w:lang w:val="de-DE"/>
              </w:rPr>
            </w:pPr>
          </w:p>
          <w:p w14:paraId="12CCB49D" w14:textId="1B4860BA" w:rsidR="008D2778" w:rsidRPr="009875DA" w:rsidRDefault="008D2778" w:rsidP="00B06260">
            <w:pPr>
              <w:widowControl w:val="0"/>
              <w:spacing w:line="276" w:lineRule="auto"/>
              <w:jc w:val="both"/>
              <w:rPr>
                <w:rFonts w:ascii="Times New Roman" w:hAnsi="Times New Roman" w:cs="Times New Roman"/>
                <w:sz w:val="24"/>
                <w:szCs w:val="24"/>
                <w:lang w:val="de-DE"/>
              </w:rPr>
            </w:pPr>
          </w:p>
        </w:tc>
      </w:tr>
      <w:tr w:rsidR="00407B93" w:rsidRPr="0025521C" w14:paraId="2EC46D63" w14:textId="77777777" w:rsidTr="00022042">
        <w:tc>
          <w:tcPr>
            <w:tcW w:w="2245" w:type="dxa"/>
          </w:tcPr>
          <w:p w14:paraId="09A220D3" w14:textId="77777777"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70585890" w14:textId="77777777" w:rsidR="00D9060C" w:rsidRPr="009875DA" w:rsidRDefault="00D9060C" w:rsidP="00B06260">
            <w:pPr>
              <w:pStyle w:val="Heading2"/>
              <w:spacing w:line="276" w:lineRule="auto"/>
              <w:jc w:val="both"/>
            </w:pPr>
            <w:bookmarkStart w:id="9" w:name="dieu_28"/>
            <w:r w:rsidRPr="009875DA">
              <w:rPr>
                <w:bCs/>
              </w:rPr>
              <w:t xml:space="preserve">Điều 9. Hồ sơ, trình tự, thủ tục đề nghị công nhận </w:t>
            </w:r>
            <w:bookmarkEnd w:id="9"/>
            <w:r w:rsidRPr="009875DA">
              <w:t>Trung tâm nghiên cứu và phát triển công nghệ cao và Trung tâm nghiên cứu và phát triển công nghệ chiến lược</w:t>
            </w:r>
          </w:p>
          <w:p w14:paraId="084A816E"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1. Hồ sơ đề nghị công nhận bao gồm: </w:t>
            </w:r>
          </w:p>
          <w:p w14:paraId="2D5408D7"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a) Văn bản đề nghị công nhận Trung tâm nghiên cứu và phát triển công nghệ cao, Trung tâm nghiên cứu và phát triển công nghệ chiến lược trong đó nêu rõ mục tiêu, lĩnh vực hoạt động chính và cam kết tuân thủ các quy định của pháp luật;</w:t>
            </w:r>
          </w:p>
          <w:p w14:paraId="0BE3FC92"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lastRenderedPageBreak/>
              <w:t>b) Bản sao hợp lệ các tài liệu sau: quyết định thành lập, điều lệ tổ chức và hoạt động;</w:t>
            </w:r>
          </w:p>
          <w:p w14:paraId="445D260F" w14:textId="0533D873"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c) Thuyết minh đáp ứng các điều kiện, tiêu chí quy định tại</w:t>
            </w:r>
            <w:r w:rsidRPr="009875DA">
              <w:rPr>
                <w:rFonts w:ascii="Times New Roman" w:hAnsi="Times New Roman" w:cs="Times New Roman"/>
                <w:color w:val="EE0000"/>
                <w:sz w:val="24"/>
                <w:szCs w:val="24"/>
                <w:lang w:val="de-DE"/>
              </w:rPr>
              <w:t xml:space="preserve"> </w:t>
            </w:r>
            <w:r w:rsidRPr="009875DA">
              <w:rPr>
                <w:rFonts w:ascii="Times New Roman" w:hAnsi="Times New Roman" w:cs="Times New Roman"/>
                <w:sz w:val="24"/>
                <w:szCs w:val="24"/>
                <w:lang w:val="de-DE"/>
              </w:rPr>
              <w:t xml:space="preserve">khoản 2 </w:t>
            </w:r>
            <w:r w:rsidRPr="009875DA">
              <w:rPr>
                <w:rFonts w:ascii="Times New Roman" w:hAnsi="Times New Roman" w:cs="Times New Roman"/>
                <w:color w:val="000000" w:themeColor="text1"/>
                <w:sz w:val="24"/>
                <w:szCs w:val="24"/>
                <w:lang w:val="de-DE"/>
              </w:rPr>
              <w:t xml:space="preserve">Điều </w:t>
            </w:r>
            <w:r w:rsidR="004964D6">
              <w:rPr>
                <w:rFonts w:ascii="Times New Roman" w:hAnsi="Times New Roman" w:cs="Times New Roman"/>
                <w:color w:val="000000" w:themeColor="text1"/>
                <w:sz w:val="24"/>
                <w:szCs w:val="24"/>
                <w:lang w:val="de-DE"/>
              </w:rPr>
              <w:t>8</w:t>
            </w:r>
            <w:r w:rsidRPr="009875DA">
              <w:rPr>
                <w:rFonts w:ascii="Times New Roman" w:hAnsi="Times New Roman" w:cs="Times New Roman"/>
                <w:color w:val="000000" w:themeColor="text1"/>
                <w:sz w:val="24"/>
                <w:szCs w:val="24"/>
                <w:lang w:val="de-DE"/>
              </w:rPr>
              <w:t xml:space="preserve"> Nghị định này</w:t>
            </w:r>
            <w:r w:rsidR="00FC2591">
              <w:rPr>
                <w:rFonts w:ascii="Times New Roman" w:hAnsi="Times New Roman" w:cs="Times New Roman"/>
                <w:color w:val="000000" w:themeColor="text1"/>
                <w:sz w:val="24"/>
                <w:szCs w:val="24"/>
                <w:lang w:val="de-DE"/>
              </w:rPr>
              <w:t xml:space="preserve"> và các minh chứng kèm theo</w:t>
            </w:r>
            <w:r w:rsidRPr="009875DA">
              <w:rPr>
                <w:rFonts w:ascii="Times New Roman" w:hAnsi="Times New Roman" w:cs="Times New Roman"/>
                <w:color w:val="000000" w:themeColor="text1"/>
                <w:sz w:val="24"/>
                <w:szCs w:val="24"/>
                <w:lang w:val="de-DE"/>
              </w:rPr>
              <w:t>.</w:t>
            </w:r>
          </w:p>
          <w:p w14:paraId="4489F00E"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2. Trình tự, thủ tục công nhận Trung tâm nghiên cứu và phát triển công nghệ cao, Trung tâm nghiên cứu và phát triển công nghệ chiến lược:</w:t>
            </w:r>
          </w:p>
          <w:p w14:paraId="7ACB246C" w14:textId="0A119AB4"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a) Tổ chức có nhu cầu đề nghị công nhận Trung tâm nghiên cứu và phát triển công nghệ cao; Trung tâm nghiên cứu và phát triển công nghệ chiến lược 01 bộ gửi về cơ quan có thẩm quyền theo quy định tại điểm a, điểm b khoản 1 Điều </w:t>
            </w:r>
            <w:r w:rsidR="004964D6">
              <w:rPr>
                <w:rFonts w:ascii="Times New Roman" w:hAnsi="Times New Roman" w:cs="Times New Roman"/>
                <w:color w:val="000000" w:themeColor="text1"/>
                <w:sz w:val="24"/>
                <w:szCs w:val="24"/>
                <w:lang w:val="de-DE"/>
              </w:rPr>
              <w:t>8</w:t>
            </w:r>
            <w:r w:rsidRPr="009875DA">
              <w:rPr>
                <w:rFonts w:ascii="Times New Roman" w:hAnsi="Times New Roman" w:cs="Times New Roman"/>
                <w:color w:val="000000" w:themeColor="text1"/>
                <w:sz w:val="24"/>
                <w:szCs w:val="24"/>
                <w:lang w:val="de-DE"/>
              </w:rPr>
              <w:t xml:space="preserve"> của Nghị định này thông qua hệ thống dịch vụ công trực tuyến, nộp trực tiếp hoặc gửi qua đường bưu điện;</w:t>
            </w:r>
          </w:p>
          <w:p w14:paraId="5E412D2E"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Đối với hồ sơ nộp thông qua hệ thống dịch vụ công trực tuyến: Hồ sơ đăng ký phải sử dụng định dạng Portable Document (.pdf), sử dụng phông chữ tiếng Việt Unicode (Times New Roman) theo tiêu chuẩn Việt Nam (</w:t>
            </w:r>
            <w:bookmarkStart w:id="10" w:name="tvpllink_wgbmyhbaho_7"/>
            <w:r w:rsidRPr="009875DA">
              <w:rPr>
                <w:rFonts w:ascii="Times New Roman" w:hAnsi="Times New Roman" w:cs="Times New Roman"/>
                <w:color w:val="000000" w:themeColor="text1"/>
                <w:sz w:val="24"/>
                <w:szCs w:val="24"/>
              </w:rPr>
              <w:fldChar w:fldCharType="begin"/>
            </w:r>
            <w:r w:rsidRPr="009875DA">
              <w:rPr>
                <w:rFonts w:ascii="Times New Roman" w:hAnsi="Times New Roman" w:cs="Times New Roman"/>
                <w:color w:val="000000" w:themeColor="text1"/>
                <w:sz w:val="24"/>
                <w:szCs w:val="24"/>
                <w:lang w:val="de-DE"/>
              </w:rPr>
              <w:instrText>HYPERLINK "https://thuvienphapluat.vn/TCVN/Dien-dien-tu/TCVN-6909-2001-cong-nghe-thong-tin-bo-ma-ki-tu-tieng-Viet-16-bit-902610.aspx" \t "_blank"</w:instrText>
            </w:r>
            <w:r w:rsidRPr="009875DA">
              <w:rPr>
                <w:rFonts w:ascii="Times New Roman" w:hAnsi="Times New Roman" w:cs="Times New Roman"/>
                <w:color w:val="000000" w:themeColor="text1"/>
                <w:sz w:val="24"/>
                <w:szCs w:val="24"/>
              </w:rPr>
            </w:r>
            <w:r w:rsidRPr="009875DA">
              <w:rPr>
                <w:rFonts w:ascii="Times New Roman" w:hAnsi="Times New Roman" w:cs="Times New Roman"/>
                <w:color w:val="000000" w:themeColor="text1"/>
                <w:sz w:val="24"/>
                <w:szCs w:val="24"/>
              </w:rPr>
              <w:fldChar w:fldCharType="separate"/>
            </w:r>
            <w:r w:rsidRPr="009875DA">
              <w:rPr>
                <w:rStyle w:val="Hyperlink"/>
                <w:rFonts w:ascii="Times New Roman" w:hAnsi="Times New Roman" w:cs="Times New Roman"/>
                <w:color w:val="000000" w:themeColor="text1"/>
                <w:sz w:val="24"/>
                <w:szCs w:val="24"/>
                <w:lang w:val="de-DE"/>
              </w:rPr>
              <w:t>TCVN 6909:2001</w:t>
            </w:r>
            <w:r w:rsidRPr="009875DA">
              <w:rPr>
                <w:rFonts w:ascii="Times New Roman" w:hAnsi="Times New Roman" w:cs="Times New Roman"/>
                <w:color w:val="000000" w:themeColor="text1"/>
                <w:sz w:val="24"/>
                <w:szCs w:val="24"/>
              </w:rPr>
              <w:fldChar w:fldCharType="end"/>
            </w:r>
            <w:bookmarkEnd w:id="10"/>
            <w:r w:rsidRPr="009875DA">
              <w:rPr>
                <w:rFonts w:ascii="Times New Roman" w:hAnsi="Times New Roman" w:cs="Times New Roman"/>
                <w:color w:val="000000" w:themeColor="text1"/>
                <w:sz w:val="24"/>
                <w:szCs w:val="24"/>
                <w:lang w:val="de-DE"/>
              </w:rPr>
              <w:t xml:space="preserve">), được ký số hoặc số hóa từ bản giấy, bảo đảm tính đầy đủ, toàn vẹn, chính xác các nội dung theo bản giấy. </w:t>
            </w:r>
          </w:p>
          <w:p w14:paraId="056F37EC"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Trong thời hạn 05 ngày làm việc kể từ ngày tiếp nhận hồ sơ, cơ quan có thẩm quyền kiểm tra tính đầy đủ, hợp lệ của hồ sơ. Trường hợp hồ sơ chưa đầy đủ hoặc không hợp lệ, phải có văn bản yêu cầu sửa đổi, bổ sung;</w:t>
            </w:r>
          </w:p>
          <w:p w14:paraId="16C11607"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c) Trong thời hạn 30 ngày làm việc kể từ ngày nhận được hồ sơ hợp lệ, cơ quan có thẩm quyền thành lập Hội đồng tư vấn công nhận Trung tâm nghiên cứu và phát triển công nghệ cao, Trung tâm nghiên cứu và phát triển công nghệ chiến lược tiến hành thẩm định và cấp giấy công nhận Trung tâm nghiên cứu và phát triển công nghệ cao, Trung tâm nghiên cứu và phát triển công nghệ chiến lược. Trường hợp từ chối, phải có văn bản trả lời và nêu rõ lý do.</w:t>
            </w:r>
          </w:p>
          <w:p w14:paraId="0876D45A"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Giấy công nhận Trung tâm nghiên cứu và phát triển công nghệ cao, Trung tâm nghiên cứu và phát triển công nghệ chiến lược bản điện tử của cơ quan có thẩm quyền có giá trị </w:t>
            </w:r>
            <w:r w:rsidRPr="009875DA">
              <w:rPr>
                <w:rFonts w:ascii="Times New Roman" w:hAnsi="Times New Roman" w:cs="Times New Roman"/>
                <w:sz w:val="24"/>
                <w:szCs w:val="24"/>
                <w:lang w:val="de-DE"/>
              </w:rPr>
              <w:t>pháp</w:t>
            </w:r>
            <w:r w:rsidRPr="009875DA">
              <w:rPr>
                <w:rFonts w:ascii="Times New Roman" w:hAnsi="Times New Roman" w:cs="Times New Roman"/>
                <w:color w:val="000000" w:themeColor="text1"/>
                <w:sz w:val="24"/>
                <w:szCs w:val="24"/>
                <w:lang w:val="de-DE"/>
              </w:rPr>
              <w:t xml:space="preserve"> lý như Giấy công nhận Trung tâm nghiên cứu </w:t>
            </w:r>
            <w:r w:rsidRPr="009875DA">
              <w:rPr>
                <w:rFonts w:ascii="Times New Roman" w:hAnsi="Times New Roman" w:cs="Times New Roman"/>
                <w:color w:val="000000" w:themeColor="text1"/>
                <w:sz w:val="24"/>
                <w:szCs w:val="24"/>
                <w:lang w:val="de-DE"/>
              </w:rPr>
              <w:lastRenderedPageBreak/>
              <w:t>và phát triển công nghệ cao, Trung tâm nghiên cứu và phát triển công nghệ chiến lược bằng văn bản giấy.</w:t>
            </w:r>
          </w:p>
          <w:p w14:paraId="2BD1E611" w14:textId="7063B39E" w:rsidR="00552848" w:rsidRPr="009875DA" w:rsidRDefault="00D9060C" w:rsidP="00B06260">
            <w:pPr>
              <w:tabs>
                <w:tab w:val="left" w:pos="851"/>
              </w:tabs>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themeColor="text1"/>
                <w:sz w:val="24"/>
                <w:szCs w:val="24"/>
                <w:lang w:val="de-DE"/>
              </w:rPr>
              <w:t>3. Các mẫu văn bản đề nghị công nhận, Thuyết minh, Giấy công nhận Trung tâm nghiên cứu và phát triển công nghệ cao, Trung tâm nghiên cứu và phát triển công nghệ chiến lược theo quy định của Bộ trưởng Bộ Khoa học và Công nghệ</w:t>
            </w:r>
            <w:r w:rsidR="00A70497">
              <w:rPr>
                <w:rFonts w:ascii="Times New Roman" w:hAnsi="Times New Roman" w:cs="Times New Roman"/>
                <w:color w:val="000000" w:themeColor="text1"/>
                <w:sz w:val="24"/>
                <w:szCs w:val="24"/>
                <w:lang w:val="de-DE"/>
              </w:rPr>
              <w:t>.</w:t>
            </w:r>
          </w:p>
        </w:tc>
        <w:tc>
          <w:tcPr>
            <w:tcW w:w="5400" w:type="dxa"/>
          </w:tcPr>
          <w:p w14:paraId="6FD553F5" w14:textId="33FF4B83" w:rsidR="00B06260" w:rsidRPr="009875DA" w:rsidRDefault="005678CD" w:rsidP="009875DA">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9</w:t>
            </w:r>
            <w:r w:rsidR="000B159B">
              <w:rPr>
                <w:rFonts w:ascii="Times New Roman" w:hAnsi="Times New Roman" w:cs="Times New Roman"/>
                <w:sz w:val="24"/>
                <w:szCs w:val="24"/>
                <w:lang w:val="de-DE"/>
              </w:rPr>
              <w:t xml:space="preserve"> quy định về h</w:t>
            </w:r>
            <w:r w:rsidR="000B159B" w:rsidRPr="000B159B">
              <w:rPr>
                <w:rFonts w:ascii="Times New Roman" w:hAnsi="Times New Roman" w:cs="Times New Roman"/>
                <w:sz w:val="24"/>
                <w:szCs w:val="24"/>
                <w:lang w:val="de-DE"/>
              </w:rPr>
              <w:t>ồ sơ, trình tự, thủ tục đề nghị công nhận Trung tâm nghiên cứu và phát triển công nghệ cao và Trung tâm nghiên cứu và phát triển công nghệ chiến lược</w:t>
            </w:r>
            <w:r w:rsidR="000B159B">
              <w:rPr>
                <w:rFonts w:ascii="Times New Roman" w:hAnsi="Times New Roman" w:cs="Times New Roman"/>
                <w:sz w:val="24"/>
                <w:szCs w:val="24"/>
                <w:lang w:val="de-DE"/>
              </w:rPr>
              <w:t xml:space="preserve"> trên cơ sở </w:t>
            </w:r>
            <w:r w:rsidR="00A70497">
              <w:rPr>
                <w:rFonts w:ascii="Times New Roman" w:hAnsi="Times New Roman" w:cs="Times New Roman"/>
                <w:sz w:val="24"/>
                <w:szCs w:val="24"/>
                <w:lang w:val="de-DE"/>
              </w:rPr>
              <w:t>vận dụng quy định tại Điều 28</w:t>
            </w:r>
            <w:r w:rsidR="000B159B">
              <w:rPr>
                <w:rFonts w:ascii="Times New Roman" w:hAnsi="Times New Roman" w:cs="Times New Roman"/>
                <w:sz w:val="24"/>
                <w:szCs w:val="24"/>
                <w:lang w:val="de-DE"/>
              </w:rPr>
              <w:t xml:space="preserve"> </w:t>
            </w:r>
            <w:r w:rsidR="000B159B" w:rsidRPr="000B159B">
              <w:rPr>
                <w:rFonts w:ascii="Times New Roman" w:hAnsi="Times New Roman" w:cs="Times New Roman"/>
                <w:sz w:val="24"/>
                <w:szCs w:val="24"/>
                <w:lang w:val="de-DE"/>
              </w:rPr>
              <w:t>Nghị định số 262/2025/NĐ-CP</w:t>
            </w:r>
            <w:r w:rsidR="00B06260" w:rsidRPr="009875DA">
              <w:rPr>
                <w:rFonts w:ascii="Times New Roman" w:hAnsi="Times New Roman" w:cs="Times New Roman"/>
                <w:sz w:val="24"/>
                <w:szCs w:val="24"/>
                <w:lang w:val="de-DE"/>
              </w:rPr>
              <w:t>.</w:t>
            </w:r>
          </w:p>
          <w:p w14:paraId="3654350D" w14:textId="77777777" w:rsidR="005678CD" w:rsidRPr="009875DA" w:rsidRDefault="005678CD" w:rsidP="00B06260">
            <w:pPr>
              <w:widowControl w:val="0"/>
              <w:spacing w:line="276" w:lineRule="auto"/>
              <w:ind w:firstLine="187"/>
              <w:jc w:val="both"/>
              <w:rPr>
                <w:rStyle w:val="Strong"/>
                <w:rFonts w:ascii="Times New Roman" w:hAnsi="Times New Roman" w:cs="Times New Roman"/>
                <w:b w:val="0"/>
                <w:sz w:val="24"/>
                <w:szCs w:val="24"/>
                <w:lang w:val="de-DE"/>
              </w:rPr>
            </w:pPr>
          </w:p>
          <w:p w14:paraId="1E14CFD6" w14:textId="77777777" w:rsidR="005678CD" w:rsidRPr="009875DA" w:rsidRDefault="005678CD" w:rsidP="00B06260">
            <w:pPr>
              <w:widowControl w:val="0"/>
              <w:spacing w:line="276" w:lineRule="auto"/>
              <w:ind w:firstLine="187"/>
              <w:jc w:val="both"/>
              <w:rPr>
                <w:rStyle w:val="Strong"/>
                <w:rFonts w:ascii="Times New Roman" w:hAnsi="Times New Roman" w:cs="Times New Roman"/>
                <w:b w:val="0"/>
                <w:sz w:val="24"/>
                <w:szCs w:val="24"/>
                <w:lang w:val="de-DE"/>
              </w:rPr>
            </w:pPr>
          </w:p>
          <w:p w14:paraId="526EC34E" w14:textId="77777777" w:rsidR="005678CD" w:rsidRPr="009875DA" w:rsidRDefault="005678CD" w:rsidP="00B06260">
            <w:pPr>
              <w:widowControl w:val="0"/>
              <w:spacing w:line="276" w:lineRule="auto"/>
              <w:ind w:firstLine="187"/>
              <w:jc w:val="both"/>
              <w:rPr>
                <w:rStyle w:val="Strong"/>
                <w:rFonts w:ascii="Times New Roman" w:hAnsi="Times New Roman" w:cs="Times New Roman"/>
                <w:b w:val="0"/>
                <w:sz w:val="24"/>
                <w:szCs w:val="24"/>
                <w:lang w:val="de-DE"/>
              </w:rPr>
            </w:pPr>
          </w:p>
          <w:p w14:paraId="2E73E27C" w14:textId="5CE4E76B" w:rsidR="00552848" w:rsidRPr="009875DA" w:rsidRDefault="00552848" w:rsidP="00B06260">
            <w:pPr>
              <w:widowControl w:val="0"/>
              <w:spacing w:line="276" w:lineRule="auto"/>
              <w:ind w:firstLine="187"/>
              <w:jc w:val="both"/>
              <w:rPr>
                <w:rFonts w:ascii="Times New Roman" w:hAnsi="Times New Roman" w:cs="Times New Roman"/>
                <w:sz w:val="24"/>
                <w:szCs w:val="24"/>
                <w:lang w:val="de-DE"/>
              </w:rPr>
            </w:pPr>
          </w:p>
        </w:tc>
      </w:tr>
      <w:tr w:rsidR="00407B93" w:rsidRPr="0025521C" w14:paraId="2BF49197" w14:textId="77777777" w:rsidTr="00022042">
        <w:tc>
          <w:tcPr>
            <w:tcW w:w="2245" w:type="dxa"/>
          </w:tcPr>
          <w:p w14:paraId="016F211B" w14:textId="77777777"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25DAA515" w14:textId="77777777" w:rsidR="00D9060C" w:rsidRPr="009875DA" w:rsidRDefault="00D9060C" w:rsidP="00B06260">
            <w:pPr>
              <w:pStyle w:val="Heading2"/>
              <w:spacing w:line="276" w:lineRule="auto"/>
              <w:jc w:val="both"/>
            </w:pPr>
            <w:bookmarkStart w:id="11" w:name="dieu_29"/>
            <w:r w:rsidRPr="009875DA">
              <w:t xml:space="preserve">Điều 10. Hội đồng tư vấn thẩm định hồ sơ yêu cầu công nhận </w:t>
            </w:r>
            <w:bookmarkEnd w:id="11"/>
            <w:r w:rsidRPr="009875DA">
              <w:t>Trung tâm nghiên cứu và phát triển công nghệ cao, Trung tâm nghiên cứu và phát triển công nghệ chiến lược</w:t>
            </w:r>
          </w:p>
          <w:p w14:paraId="4FFBDBF0"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1. Hội đồng tư vấn thẩm định hồ sơ yêu cầu công nhận Trung tâm nghiên cứu và phát triển công nghệ cao, Trung tâm nghiên cứu và phát triển công nghệ chiến lược (sau đây gọi là Hội đồng tư vấn công nhận) có từ 09 đến 11 thành viên, bao gồm Chủ tịch, Phó Chủ tịch và các uỷ viên hội đồng, trong đó 02 ủy viên phản biện là chuyên gia có am hiểu sâu sắc lĩnh vực được giao tư vấn. Hội đồng tư vấn công nhận có ít nhất 1/2 thành viên là các chuyên gia có uy tín, có chuyên môn phù hợp, có ít nhất 05 năm kinh nghiệm trong lĩnh vực được giao tư vấn; phần còn lại là đại diện của các cơ quan quản lý nhà nước, cơ quan hoạch định chính sách và doanh nghiệp.</w:t>
            </w:r>
          </w:p>
          <w:p w14:paraId="0C3160B4"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2. Nguyên tắc làm việc của Hội đồng tư vấn công nhận</w:t>
            </w:r>
          </w:p>
          <w:p w14:paraId="5D579D0D"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a) Phiên họp của Hội đồng tư vấn công nhận được thực hiện khi có mặt ít nhất 2/3 số thành viên của Hội đồng, trong đó phải có Chủ tịch hoặc Phó Chủ tịch chủ trì phiên họp và có đủ 02 ủy viên phản biện. Ý kiến bằng văn bản của các thành viên vắng mặt chỉ có giá trị tham khảo. Trường hợp cần thiết, Hội đồng tư vấn công nhận kiến nghị cơ quan nhà nước có thẩm quyền thành lập Hội đồng tư vấn công nhận mời thêm chuyên gia ở ngoài Hội đồng tư vấn công nhận để đánh giá hồ sơ.</w:t>
            </w:r>
          </w:p>
          <w:p w14:paraId="0530D664"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b) Hội đồng tư vấn công nhận làm việc theo nguyên tắc dân chủ, khách quan. Các thành viên của Hội đồng tư vấn công nhận có trách nhiệm thẩm định trung thực, khách quan và công bằng. Thành viên của Hội đồng tư vấn </w:t>
            </w:r>
            <w:r w:rsidRPr="009875DA">
              <w:rPr>
                <w:rFonts w:ascii="Times New Roman" w:hAnsi="Times New Roman" w:cs="Times New Roman"/>
                <w:color w:val="000000" w:themeColor="text1"/>
                <w:sz w:val="24"/>
                <w:szCs w:val="24"/>
                <w:lang w:val="de-DE"/>
              </w:rPr>
              <w:lastRenderedPageBreak/>
              <w:t>công nhận chịu trách nhiệm cá nhân về ý kiến thẩm định của mình và chịu trách nhiệm tập thể về kết luận của Hội đồng tư vấn công nhận.</w:t>
            </w:r>
          </w:p>
          <w:p w14:paraId="3D9D6590"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3. Trình tự làm việc của Hội đồng tư vấn công nhận</w:t>
            </w:r>
          </w:p>
          <w:p w14:paraId="5A4E17BB"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a) Hội đồng tư vấn công nhận phân công 01 ủy viên làm thư ký Hội đồng để ghi chép ý kiến của các thành viên, biên bản về kết quả làm việc của Hội đồng và các văn bản khác có liên quan;</w:t>
            </w:r>
          </w:p>
          <w:p w14:paraId="00F159A6"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Các ủy viên phản biện trình bày ý kiến, nhận xét về từng nội dung và thông tin đã kê khai trong hồ sơ được giao tư vấn; đánh giá mức độ đáp ứng tiêu chí của trung tâm nghiên cứu và phát triển theo quy định;</w:t>
            </w:r>
          </w:p>
          <w:p w14:paraId="4608DA52"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c) Hội đồng thảo luận, góp ý về từng tiêu chí, điều kiện đánh giá liên quan đến hồ sơ được giao tư vấn. Trong trường hợp mời chuyên gia ở ngoài Hội đồng, sau khi trả lời các câu hỏi của các thành viên Hội đồng, các chuyên gia không tiếp tục dự phiên họp của Hội đồng;</w:t>
            </w:r>
          </w:p>
          <w:p w14:paraId="5CAC4B4A"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d) Hội đồng tiến hành bỏ phiếu đánh giá về hồ sơ yêu cầu. Hội đồng bầu Ban kiểm phiếu (gồm 03 thành viên Hội đồng, trong đó có một Trưởng ban) và tiến hành bỏ phiếu (theo phương thức bỏ phiếu kín) về việc đồng ý hay không đồng ý với yêu cầu của hồ sơ;</w:t>
            </w:r>
          </w:p>
          <w:p w14:paraId="58D13078"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đ) Hội đồng thống nhất kết quả thẩm định đồng ý với yêu cầu của hồ sơ khi có trên 3/4 số thành viên Hội đồng có mặt tại phiên họp bỏ phiếu “Đồng ý”; thống nhất kết quả thẩm định “Không đồng ý” với yêu cầu của hồ sơ trong các trường hợp còn lại. Kết quả làm việc của Hội đồng tư vấn công nhận được lập thành biên bản và có chữ ký xác nhận của các thành viên tham gia họp.</w:t>
            </w:r>
          </w:p>
          <w:p w14:paraId="6C3D5C95" w14:textId="77777777" w:rsidR="00D9060C" w:rsidRPr="009875DA" w:rsidRDefault="00D9060C" w:rsidP="00B06260">
            <w:pPr>
              <w:tabs>
                <w:tab w:val="left" w:pos="851"/>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Mẫu Phiếu đánh giá của Hội đồng tư vấn công nhận theo quy định của Bộ trưởng Bộ Khoa học và Công nghệ.</w:t>
            </w:r>
          </w:p>
          <w:p w14:paraId="1F55A9DB" w14:textId="42B30429" w:rsidR="00552848" w:rsidRPr="009875DA" w:rsidRDefault="00D9060C" w:rsidP="00B06260">
            <w:pPr>
              <w:tabs>
                <w:tab w:val="left" w:pos="851"/>
              </w:tabs>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themeColor="text1"/>
                <w:sz w:val="24"/>
                <w:szCs w:val="24"/>
                <w:lang w:val="de-DE"/>
              </w:rPr>
              <w:t xml:space="preserve"> 4. Nội dung chi và mức chi cho Hội đồng tư vấn công nhận thực hiện theo quy định tại mục 1 Điều 4 Thông tư 38/2025/TT-BKHCN ngày 30/11/2025.</w:t>
            </w:r>
          </w:p>
        </w:tc>
        <w:tc>
          <w:tcPr>
            <w:tcW w:w="5400" w:type="dxa"/>
          </w:tcPr>
          <w:p w14:paraId="3461EE02" w14:textId="7F8F355E" w:rsidR="00552848" w:rsidRPr="009875DA" w:rsidRDefault="001A10C0" w:rsidP="00B06260">
            <w:pPr>
              <w:widowControl w:val="0"/>
              <w:spacing w:line="276" w:lineRule="auto"/>
              <w:jc w:val="both"/>
              <w:rPr>
                <w:rFonts w:ascii="Times New Roman" w:hAnsi="Times New Roman" w:cs="Times New Roman"/>
                <w:sz w:val="24"/>
                <w:szCs w:val="24"/>
                <w:lang w:val="de-DE"/>
              </w:rPr>
            </w:pPr>
            <w:r w:rsidRPr="001A10C0">
              <w:rPr>
                <w:rFonts w:ascii="Times New Roman" w:hAnsi="Times New Roman" w:cs="Times New Roman"/>
                <w:sz w:val="24"/>
                <w:szCs w:val="24"/>
                <w:lang w:val="de-DE"/>
              </w:rPr>
              <w:lastRenderedPageBreak/>
              <w:t xml:space="preserve">Điều </w:t>
            </w:r>
            <w:r>
              <w:rPr>
                <w:rFonts w:ascii="Times New Roman" w:hAnsi="Times New Roman" w:cs="Times New Roman"/>
                <w:sz w:val="24"/>
                <w:szCs w:val="24"/>
                <w:lang w:val="de-DE"/>
              </w:rPr>
              <w:t>10</w:t>
            </w:r>
            <w:r w:rsidRPr="001A10C0">
              <w:rPr>
                <w:rFonts w:ascii="Times New Roman" w:hAnsi="Times New Roman" w:cs="Times New Roman"/>
                <w:sz w:val="24"/>
                <w:szCs w:val="24"/>
                <w:lang w:val="de-DE"/>
              </w:rPr>
              <w:t xml:space="preserve"> quy định về</w:t>
            </w:r>
            <w:r>
              <w:rPr>
                <w:rFonts w:ascii="Times New Roman" w:hAnsi="Times New Roman" w:cs="Times New Roman"/>
                <w:sz w:val="24"/>
                <w:szCs w:val="24"/>
                <w:lang w:val="de-DE"/>
              </w:rPr>
              <w:t xml:space="preserve"> việc thành lập, nguyên tắc và trình tự làm việc của </w:t>
            </w:r>
            <w:r w:rsidRPr="001A10C0">
              <w:rPr>
                <w:rFonts w:ascii="Times New Roman" w:hAnsi="Times New Roman" w:cs="Times New Roman"/>
                <w:sz w:val="24"/>
                <w:szCs w:val="24"/>
                <w:lang w:val="de-DE"/>
              </w:rPr>
              <w:t>Hội đồng tư vấn thẩm định hồ sơ yêu cầu công nhận Trung tâm nghiên cứu và phát triển công nghệ cao, Trung tâm nghiên cứu và phát triển công nghệ chiến lược trên cơ sở vận dụng quy định tại Điều 2</w:t>
            </w:r>
            <w:r>
              <w:rPr>
                <w:rFonts w:ascii="Times New Roman" w:hAnsi="Times New Roman" w:cs="Times New Roman"/>
                <w:sz w:val="24"/>
                <w:szCs w:val="24"/>
                <w:lang w:val="de-DE"/>
              </w:rPr>
              <w:t>9</w:t>
            </w:r>
            <w:r w:rsidRPr="001A10C0">
              <w:rPr>
                <w:rFonts w:ascii="Times New Roman" w:hAnsi="Times New Roman" w:cs="Times New Roman"/>
                <w:sz w:val="24"/>
                <w:szCs w:val="24"/>
                <w:lang w:val="de-DE"/>
              </w:rPr>
              <w:t xml:space="preserve"> Nghị định số 262/2025/NĐ-CP.</w:t>
            </w:r>
          </w:p>
        </w:tc>
      </w:tr>
      <w:tr w:rsidR="00407B93" w:rsidRPr="0025521C" w14:paraId="3726A49A" w14:textId="77777777" w:rsidTr="00D9060C">
        <w:trPr>
          <w:trHeight w:val="610"/>
        </w:trPr>
        <w:tc>
          <w:tcPr>
            <w:tcW w:w="2245" w:type="dxa"/>
          </w:tcPr>
          <w:p w14:paraId="40A54D99" w14:textId="77777777"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353F07B1" w14:textId="3E76E1B3" w:rsidR="00D9060C" w:rsidRPr="009875DA" w:rsidRDefault="00953F16" w:rsidP="00B06260">
            <w:pPr>
              <w:pStyle w:val="Heading2"/>
              <w:spacing w:line="276" w:lineRule="auto"/>
              <w:jc w:val="both"/>
            </w:pPr>
            <w:bookmarkStart w:id="12" w:name="dieu_30"/>
            <w:r w:rsidRPr="009875DA">
              <w:rPr>
                <w:bCs/>
              </w:rPr>
              <w:t xml:space="preserve">Điều 11. </w:t>
            </w:r>
            <w:bookmarkEnd w:id="12"/>
            <w:r w:rsidR="00D9060C" w:rsidRPr="009875DA">
              <w:rPr>
                <w:bCs/>
              </w:rPr>
              <w:t xml:space="preserve">Thu hồi hoặc hủy bỏ hiệu lực Giấy công nhận </w:t>
            </w:r>
            <w:r w:rsidR="00D9060C" w:rsidRPr="009875DA">
              <w:t>Trung tâm nghiên cứu và phát triển công nghệ cao, Trung tâm nghiên cứu và phát triển công nghệ chiến lược</w:t>
            </w:r>
            <w:r w:rsidR="00D9060C" w:rsidRPr="009875DA">
              <w:rPr>
                <w:bCs/>
              </w:rPr>
              <w:t xml:space="preserve"> </w:t>
            </w:r>
          </w:p>
          <w:p w14:paraId="4E16D9E8" w14:textId="2AAC4EF9"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1. Cơ quan có thẩm quyền theo quy định tại </w:t>
            </w:r>
            <w:bookmarkStart w:id="13" w:name="tc_23"/>
            <w:r w:rsidRPr="009875DA">
              <w:rPr>
                <w:rFonts w:ascii="Times New Roman" w:hAnsi="Times New Roman" w:cs="Times New Roman"/>
                <w:color w:val="000000" w:themeColor="text1"/>
                <w:sz w:val="24"/>
                <w:szCs w:val="24"/>
                <w:lang w:val="de-DE"/>
              </w:rPr>
              <w:t xml:space="preserve">điểm a, điểm b khoản 1 Điều </w:t>
            </w:r>
            <w:r w:rsidR="00951E10">
              <w:rPr>
                <w:rFonts w:ascii="Times New Roman" w:hAnsi="Times New Roman" w:cs="Times New Roman"/>
                <w:color w:val="000000" w:themeColor="text1"/>
                <w:sz w:val="24"/>
                <w:szCs w:val="24"/>
                <w:lang w:val="de-DE"/>
              </w:rPr>
              <w:t>8</w:t>
            </w:r>
            <w:r w:rsidRPr="009875DA">
              <w:rPr>
                <w:rFonts w:ascii="Times New Roman" w:hAnsi="Times New Roman" w:cs="Times New Roman"/>
                <w:color w:val="000000" w:themeColor="text1"/>
                <w:sz w:val="24"/>
                <w:szCs w:val="24"/>
                <w:lang w:val="de-DE"/>
              </w:rPr>
              <w:t xml:space="preserve"> Nghị định này</w:t>
            </w:r>
            <w:bookmarkEnd w:id="13"/>
            <w:r w:rsidRPr="009875DA">
              <w:rPr>
                <w:rFonts w:ascii="Times New Roman" w:hAnsi="Times New Roman" w:cs="Times New Roman"/>
                <w:color w:val="000000" w:themeColor="text1"/>
                <w:sz w:val="24"/>
                <w:szCs w:val="24"/>
                <w:lang w:val="de-DE"/>
              </w:rPr>
              <w:t> có thẩm quyền thu hồi hoặc hủy bỏ hiệu lực Giấy công nhận Trung tâm nghiên cứu và phát triển công nghệ cao, Trung tâm nghiên cứu và phát triển công nghệ chiến lược.</w:t>
            </w:r>
          </w:p>
          <w:p w14:paraId="5DB2737E" w14:textId="77777777"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2. Các trường hợp sau đây bị thu hồi hoặc hủy bỏ:</w:t>
            </w:r>
          </w:p>
          <w:p w14:paraId="22059D4A" w14:textId="77777777"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a) Không triển khai hoạt động trong thời hạn 12 tháng kể từ ngày được cấp Giấy công nhận;</w:t>
            </w:r>
          </w:p>
          <w:p w14:paraId="4C6FE4AB" w14:textId="77777777"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Có hành vi giả mạo hồ sơ đề nghị công nhận Trung tâm nghiên cứu và phát triển công nghệ cao, Trung tâm nghiên cứu và phát triển công nghệ chiến lược;</w:t>
            </w:r>
          </w:p>
          <w:p w14:paraId="7BA44437" w14:textId="77777777"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c) Có hành vi vi phạm một trong các điều cấm quy định tại </w:t>
            </w:r>
            <w:bookmarkStart w:id="14" w:name="tvpllink_gftnlsauya_3"/>
            <w:r w:rsidRPr="00951E10">
              <w:rPr>
                <w:rFonts w:ascii="Times New Roman" w:hAnsi="Times New Roman" w:cs="Times New Roman"/>
                <w:color w:val="000000" w:themeColor="text1"/>
                <w:sz w:val="24"/>
                <w:szCs w:val="24"/>
              </w:rPr>
              <w:fldChar w:fldCharType="begin"/>
            </w:r>
            <w:r w:rsidRPr="00951E10">
              <w:rPr>
                <w:rFonts w:ascii="Times New Roman" w:hAnsi="Times New Roman" w:cs="Times New Roman"/>
                <w:color w:val="000000" w:themeColor="text1"/>
                <w:sz w:val="24"/>
                <w:szCs w:val="24"/>
                <w:lang w:val="de-DE"/>
              </w:rPr>
              <w:instrText>HYPERLINK "https://thuvienphapluat.vn/van-ban/Linh-vuc-khac/Luat-Khoa-hoc-Cong-nghe-va-Doi-moi-sang-tao-2025-so-93-2025-QH15-581164.aspx" \t "_blank"</w:instrText>
            </w:r>
            <w:r w:rsidRPr="00951E10">
              <w:rPr>
                <w:rFonts w:ascii="Times New Roman" w:hAnsi="Times New Roman" w:cs="Times New Roman"/>
                <w:color w:val="000000" w:themeColor="text1"/>
                <w:sz w:val="24"/>
                <w:szCs w:val="24"/>
              </w:rPr>
            </w:r>
            <w:r w:rsidRPr="00951E10">
              <w:rPr>
                <w:rFonts w:ascii="Times New Roman" w:hAnsi="Times New Roman" w:cs="Times New Roman"/>
                <w:color w:val="000000" w:themeColor="text1"/>
                <w:sz w:val="24"/>
                <w:szCs w:val="24"/>
              </w:rPr>
              <w:fldChar w:fldCharType="separate"/>
            </w:r>
            <w:r w:rsidRPr="00951E10">
              <w:rPr>
                <w:rStyle w:val="Hyperlink"/>
                <w:rFonts w:ascii="Times New Roman" w:hAnsi="Times New Roman" w:cs="Times New Roman"/>
                <w:color w:val="000000" w:themeColor="text1"/>
                <w:sz w:val="24"/>
                <w:szCs w:val="24"/>
                <w:u w:val="none"/>
                <w:lang w:val="de-DE"/>
              </w:rPr>
              <w:t>Luật Khoa học, công nghệ và đổi mới sáng tạo</w:t>
            </w:r>
            <w:r w:rsidRPr="00951E10">
              <w:rPr>
                <w:rFonts w:ascii="Times New Roman" w:hAnsi="Times New Roman" w:cs="Times New Roman"/>
                <w:color w:val="000000" w:themeColor="text1"/>
                <w:sz w:val="24"/>
                <w:szCs w:val="24"/>
              </w:rPr>
              <w:fldChar w:fldCharType="end"/>
            </w:r>
            <w:bookmarkEnd w:id="14"/>
            <w:r w:rsidRPr="00951E10">
              <w:rPr>
                <w:rFonts w:ascii="Times New Roman" w:hAnsi="Times New Roman" w:cs="Times New Roman"/>
                <w:color w:val="000000" w:themeColor="text1"/>
                <w:sz w:val="24"/>
                <w:szCs w:val="24"/>
                <w:lang w:val="de-DE"/>
              </w:rPr>
              <w:t>;</w:t>
            </w:r>
            <w:r w:rsidRPr="009875DA">
              <w:rPr>
                <w:rFonts w:ascii="Times New Roman" w:hAnsi="Times New Roman" w:cs="Times New Roman"/>
                <w:color w:val="000000" w:themeColor="text1"/>
                <w:sz w:val="24"/>
                <w:szCs w:val="24"/>
                <w:lang w:val="de-DE"/>
              </w:rPr>
              <w:t xml:space="preserve"> Luật Công nghệ cao;</w:t>
            </w:r>
          </w:p>
          <w:p w14:paraId="67D9F8D9" w14:textId="77777777"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d) Không thực hiện chế độ báo cáo, cập nhật thông tin hoạt động của tổ chức lên Nền tảng số quản lý khoa học, công nghệ và đổi mới sáng tạo quốc gia;</w:t>
            </w:r>
          </w:p>
          <w:p w14:paraId="302C9B3D" w14:textId="77777777"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đ) Không còn đáp ứng đầy đủ điều kiện, tiêu chí quy định tạ</w:t>
            </w:r>
            <w:bookmarkStart w:id="15" w:name="tc_24"/>
            <w:r w:rsidRPr="009875DA">
              <w:rPr>
                <w:rFonts w:ascii="Times New Roman" w:hAnsi="Times New Roman" w:cs="Times New Roman"/>
                <w:color w:val="000000" w:themeColor="text1"/>
                <w:sz w:val="24"/>
                <w:szCs w:val="24"/>
                <w:lang w:val="de-DE"/>
              </w:rPr>
              <w:t>i khoản 2 Điều 8 Nghị định này</w:t>
            </w:r>
            <w:bookmarkEnd w:id="15"/>
            <w:r w:rsidRPr="009875DA">
              <w:rPr>
                <w:rFonts w:ascii="Times New Roman" w:hAnsi="Times New Roman" w:cs="Times New Roman"/>
                <w:color w:val="000000" w:themeColor="text1"/>
                <w:sz w:val="24"/>
                <w:szCs w:val="24"/>
                <w:lang w:val="de-DE"/>
              </w:rPr>
              <w:t> trong quá trình hoạt động;</w:t>
            </w:r>
          </w:p>
          <w:p w14:paraId="3A4C370C" w14:textId="77777777" w:rsidR="00D9060C"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e) Theo yêu cầu hoặc quyết định của cơ quan nhà nước có thẩm quyền.</w:t>
            </w:r>
          </w:p>
          <w:p w14:paraId="209ED03C" w14:textId="15BA09CE" w:rsidR="00552848" w:rsidRPr="009875DA" w:rsidRDefault="00D9060C" w:rsidP="00B06260">
            <w:pPr>
              <w:tabs>
                <w:tab w:val="left" w:pos="0"/>
              </w:tabs>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3. Quyết định thu hồi hoặc hủy bỏ hiệu lực Giấy công nhận Trung tâm nghiên cứu và phát triển công nghệ cao, Trung tâm nghiên cứu và phát triển công nghệ chiến lược phải được thông báo bằng văn bản cho Trung tâm nghiên cứu và phát triển công nghệ cao, Trung tâm nghiên cứu và phát triển công nghệ chiến lược, cơ quan quản lý trực tiếp của trung tâm (nếu có), các cơ quan liên quan, đồng thời được cập nhật lên Nền tảng số quản lý khoa học, công nghệ và đổi mới sáng tạo quốc gia.</w:t>
            </w:r>
          </w:p>
        </w:tc>
        <w:tc>
          <w:tcPr>
            <w:tcW w:w="5400" w:type="dxa"/>
          </w:tcPr>
          <w:p w14:paraId="07A7459F" w14:textId="2A3AFBEB" w:rsidR="00552848" w:rsidRPr="009875DA" w:rsidRDefault="00552848" w:rsidP="00B06260">
            <w:pPr>
              <w:pStyle w:val="NormalWeb"/>
              <w:spacing w:before="0" w:beforeAutospacing="0" w:after="0" w:afterAutospacing="0" w:line="276" w:lineRule="auto"/>
              <w:jc w:val="both"/>
              <w:rPr>
                <w:lang w:val="de-DE"/>
              </w:rPr>
            </w:pPr>
            <w:r w:rsidRPr="009875DA">
              <w:rPr>
                <w:lang w:val="de-DE"/>
              </w:rPr>
              <w:t xml:space="preserve">Điều </w:t>
            </w:r>
            <w:r w:rsidR="00B06260" w:rsidRPr="009875DA">
              <w:rPr>
                <w:lang w:val="de-DE"/>
              </w:rPr>
              <w:t>11</w:t>
            </w:r>
            <w:r w:rsidRPr="009875DA">
              <w:rPr>
                <w:lang w:val="de-DE"/>
              </w:rPr>
              <w:t xml:space="preserve"> </w:t>
            </w:r>
            <w:r w:rsidR="00951E10">
              <w:rPr>
                <w:lang w:val="de-DE"/>
              </w:rPr>
              <w:t xml:space="preserve">quy định về </w:t>
            </w:r>
            <w:r w:rsidR="00E96356" w:rsidRPr="009875DA">
              <w:rPr>
                <w:lang w:val="de-DE"/>
              </w:rPr>
              <w:t>thẩm quyền, điều kiện và trình tự thu hồi</w:t>
            </w:r>
            <w:r w:rsidR="00951E10">
              <w:rPr>
                <w:lang w:val="de-DE"/>
              </w:rPr>
              <w:t xml:space="preserve"> hoặc</w:t>
            </w:r>
            <w:r w:rsidR="00E96356" w:rsidRPr="009875DA">
              <w:rPr>
                <w:lang w:val="de-DE"/>
              </w:rPr>
              <w:t xml:space="preserve"> hủy bỏ hiệu lực Giấy công nhận</w:t>
            </w:r>
            <w:r w:rsidR="00951E10">
              <w:rPr>
                <w:lang w:val="de-DE"/>
              </w:rPr>
              <w:t xml:space="preserve"> </w:t>
            </w:r>
            <w:r w:rsidR="00951E10" w:rsidRPr="00951E10">
              <w:rPr>
                <w:lang w:val="de-DE"/>
              </w:rPr>
              <w:t>Trung tâm nghiên cứu và phát triển công nghệ cao, Trung tâm nghiên cứu và phát triển công nghệ chiến lược</w:t>
            </w:r>
            <w:r w:rsidR="00E96356" w:rsidRPr="009875DA">
              <w:rPr>
                <w:lang w:val="de-DE"/>
              </w:rPr>
              <w:t xml:space="preserve">, bảo đảm các trung tâm được công nhận hoạt động đúng mục tiêu, </w:t>
            </w:r>
            <w:r w:rsidR="00951E10">
              <w:rPr>
                <w:lang w:val="de-DE"/>
              </w:rPr>
              <w:t xml:space="preserve">duy trì đáp ứng các </w:t>
            </w:r>
            <w:r w:rsidR="00E96356" w:rsidRPr="009875DA">
              <w:rPr>
                <w:lang w:val="de-DE"/>
              </w:rPr>
              <w:t xml:space="preserve">điều kiện, </w:t>
            </w:r>
            <w:r w:rsidR="00951E10">
              <w:rPr>
                <w:lang w:val="de-DE"/>
              </w:rPr>
              <w:t>tiêu chí công nhận</w:t>
            </w:r>
            <w:r w:rsidR="00E96356" w:rsidRPr="009875DA">
              <w:rPr>
                <w:lang w:val="de-DE"/>
              </w:rPr>
              <w:t>.</w:t>
            </w:r>
          </w:p>
        </w:tc>
      </w:tr>
      <w:tr w:rsidR="00407B93" w:rsidRPr="0025521C" w14:paraId="51E1F375" w14:textId="77777777" w:rsidTr="00022042">
        <w:tc>
          <w:tcPr>
            <w:tcW w:w="2245" w:type="dxa"/>
          </w:tcPr>
          <w:p w14:paraId="6085787E" w14:textId="77777777"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0AC0136F" w14:textId="77777777" w:rsidR="00D9060C" w:rsidRPr="009875DA" w:rsidRDefault="00D9060C" w:rsidP="00B06260">
            <w:pPr>
              <w:pStyle w:val="Heading2"/>
              <w:spacing w:line="276" w:lineRule="auto"/>
              <w:jc w:val="both"/>
              <w:rPr>
                <w:color w:val="EE0000"/>
              </w:rPr>
            </w:pPr>
            <w:r w:rsidRPr="009875DA">
              <w:t xml:space="preserve">Điều 12. Doanh nghiệp khởi nghiệp công nghệ cao, doanh nghiệp khởi nghiệp công nghệ chiến lược; cơ sở ươm tạo công nghệ cao, công nghệ </w:t>
            </w:r>
            <w:r w:rsidRPr="009875DA">
              <w:lastRenderedPageBreak/>
              <w:t>chiến lược, ươm tạo doanh nghiệp công nghệ cao, doanh nghiệp công nghệ chiến lược</w:t>
            </w:r>
          </w:p>
          <w:p w14:paraId="05B6328A" w14:textId="77777777" w:rsidR="00D9060C" w:rsidRPr="009875DA" w:rsidRDefault="00D9060C" w:rsidP="00B06260">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1. Doanh nghiệp khởi nghiệp công nghệ cao, doanh nghiệp khởi nghiệp công nghệ chiến lược phải đáp ứng các tiêu chí theo quy định tại điểm a, d khoản 4 Điều 21 Luật Công nghệ cao và các tiêu chí sau:</w:t>
            </w:r>
          </w:p>
          <w:p w14:paraId="39BD87DD" w14:textId="77777777" w:rsidR="00D9060C" w:rsidRPr="009875DA" w:rsidRDefault="00D9060C" w:rsidP="00B06260">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a) Có hoạt động nghiên cứu và phát triển công nghệ cao, công nghệ chiến lược, sản phẩm công nghệ cao, sản phẩm công nghệ chiến lược thuộc Danh mục công nghệ cao được ưu tiên đầu tư phát triển, Danh mục sản phẩm công nghệ cao được khuyến khích phát triển, Danh mục công nghệ công nghệ chiến lược, Danh mục sản phẩm công nghệ chiến lược được ban hành kèm theo Quyết định của Thủ tướng Chính phủ.</w:t>
            </w:r>
          </w:p>
          <w:p w14:paraId="3711F7D0" w14:textId="77777777" w:rsidR="00D9060C" w:rsidRPr="009875DA" w:rsidRDefault="00D9060C" w:rsidP="00B06260">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Có giải pháp công nghệ hoặc mô hình kinh doanh mới có khả năng tăng trưởng doanh thu của doanh nghiệp đạt tối thiểu 20% trong 02 năm liên tiếp trên cơ sở phân tích các yếu tố thị phần, khả năng phát triển của sản phẩm, dịch vụ và khả năng cạnh tranh của doanh nghiệp.</w:t>
            </w:r>
          </w:p>
          <w:p w14:paraId="475CA7D3" w14:textId="77777777" w:rsidR="00D9060C" w:rsidRPr="009875DA" w:rsidRDefault="00D9060C" w:rsidP="00B06260">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c) Có khả năng mở rộng thị trường và hội nhập quốc tế.</w:t>
            </w:r>
          </w:p>
          <w:p w14:paraId="489F2B82" w14:textId="77777777" w:rsidR="00D9060C" w:rsidRPr="009875DA" w:rsidRDefault="00D9060C" w:rsidP="00B06260">
            <w:pPr>
              <w:spacing w:line="276" w:lineRule="auto"/>
              <w:jc w:val="both"/>
              <w:rPr>
                <w:rFonts w:ascii="Times New Roman" w:hAnsi="Times New Roman" w:cs="Times New Roman"/>
                <w:bCs/>
                <w:color w:val="000000" w:themeColor="text1"/>
                <w:sz w:val="24"/>
                <w:szCs w:val="24"/>
                <w:lang w:val="de-DE"/>
              </w:rPr>
            </w:pPr>
            <w:r w:rsidRPr="009875DA">
              <w:rPr>
                <w:rFonts w:ascii="Times New Roman" w:hAnsi="Times New Roman" w:cs="Times New Roman"/>
                <w:color w:val="000000" w:themeColor="text1"/>
                <w:sz w:val="24"/>
                <w:szCs w:val="24"/>
                <w:lang w:val="de-DE"/>
              </w:rPr>
              <w:t xml:space="preserve">2. </w:t>
            </w:r>
            <w:r w:rsidRPr="009875DA">
              <w:rPr>
                <w:rFonts w:ascii="Times New Roman" w:hAnsi="Times New Roman" w:cs="Times New Roman"/>
                <w:bCs/>
                <w:color w:val="000000" w:themeColor="text1"/>
                <w:sz w:val="24"/>
                <w:szCs w:val="24"/>
                <w:lang w:val="de-DE"/>
              </w:rPr>
              <w:t>Cơ sở ươm tạo công nghệ cao, công nghệ chiến lược, ươm tạo doanh nghiệp công nghệ cao, doanh nghiệp công nghệ chiến lược phải đáp ứng tiêu chí, điều kiện theo quy định của Bộ trưởng Bộ Khoa học và Công nghệ.</w:t>
            </w:r>
          </w:p>
          <w:p w14:paraId="7B6C5DB9" w14:textId="36C0EF55" w:rsidR="00552848" w:rsidRPr="009875DA" w:rsidRDefault="00D9060C" w:rsidP="00B06260">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Thẩm quyền, trình tự, thủ tục cấp, thu hồi giấy công nhận cơ sở ươm tạo công nghệ cao, công nghệ chiến lược, ươm tạo doanh nghiệp công nghệ cao, doanh nghiệp công nghệ chiến lược theo quy định của Bộ trưởng Bộ Khoa học và Công nghệ.</w:t>
            </w:r>
          </w:p>
        </w:tc>
        <w:tc>
          <w:tcPr>
            <w:tcW w:w="5400" w:type="dxa"/>
          </w:tcPr>
          <w:p w14:paraId="07548E40" w14:textId="5A8A792D" w:rsidR="003A2A77" w:rsidRPr="009875DA" w:rsidRDefault="00407B93" w:rsidP="003252A8">
            <w:pPr>
              <w:widowControl w:val="0"/>
              <w:spacing w:line="276" w:lineRule="auto"/>
              <w:jc w:val="both"/>
              <w:rPr>
                <w:rFonts w:ascii="Times New Roman" w:hAnsi="Times New Roman" w:cs="Times New Roman"/>
                <w:sz w:val="24"/>
                <w:szCs w:val="24"/>
                <w:lang w:val="de-DE"/>
              </w:rPr>
            </w:pPr>
            <w:r w:rsidRPr="009875DA">
              <w:rPr>
                <w:rFonts w:ascii="Times New Roman" w:eastAsia="Times New Roman" w:hAnsi="Times New Roman" w:cs="Times New Roman"/>
                <w:sz w:val="24"/>
                <w:szCs w:val="24"/>
                <w:lang w:val="de-DE"/>
              </w:rPr>
              <w:lastRenderedPageBreak/>
              <w:t xml:space="preserve">Điều </w:t>
            </w:r>
            <w:r w:rsidR="00B06260" w:rsidRPr="009875DA">
              <w:rPr>
                <w:rFonts w:ascii="Times New Roman" w:eastAsia="Times New Roman" w:hAnsi="Times New Roman" w:cs="Times New Roman"/>
                <w:sz w:val="24"/>
                <w:szCs w:val="24"/>
                <w:lang w:val="de-DE"/>
              </w:rPr>
              <w:t xml:space="preserve">12 </w:t>
            </w:r>
            <w:r w:rsidRPr="009875DA">
              <w:rPr>
                <w:rFonts w:ascii="Times New Roman" w:hAnsi="Times New Roman" w:cs="Times New Roman"/>
                <w:sz w:val="24"/>
                <w:szCs w:val="24"/>
                <w:lang w:val="de-DE"/>
              </w:rPr>
              <w:t>cụ thể</w:t>
            </w:r>
            <w:r w:rsidR="00951E10">
              <w:rPr>
                <w:rFonts w:ascii="Times New Roman" w:hAnsi="Times New Roman" w:cs="Times New Roman"/>
                <w:sz w:val="24"/>
                <w:szCs w:val="24"/>
                <w:lang w:val="de-DE"/>
              </w:rPr>
              <w:t xml:space="preserve"> </w:t>
            </w:r>
            <w:r w:rsidR="00205C4A">
              <w:rPr>
                <w:rFonts w:ascii="Times New Roman" w:hAnsi="Times New Roman" w:cs="Times New Roman"/>
                <w:sz w:val="24"/>
                <w:szCs w:val="24"/>
                <w:lang w:val="de-DE"/>
              </w:rPr>
              <w:t>hóa</w:t>
            </w:r>
            <w:r w:rsidR="00951E10">
              <w:rPr>
                <w:rFonts w:ascii="Times New Roman" w:hAnsi="Times New Roman" w:cs="Times New Roman"/>
                <w:sz w:val="24"/>
                <w:szCs w:val="24"/>
                <w:lang w:val="de-DE"/>
              </w:rPr>
              <w:t xml:space="preserve"> </w:t>
            </w:r>
            <w:r w:rsidR="00205C4A" w:rsidRPr="00205C4A">
              <w:rPr>
                <w:rFonts w:ascii="Times New Roman" w:hAnsi="Times New Roman" w:cs="Times New Roman"/>
                <w:sz w:val="24"/>
                <w:szCs w:val="24"/>
                <w:lang w:val="de-DE"/>
              </w:rPr>
              <w:t xml:space="preserve">tiêu chí doanh nghiệp khởi nghiệp công nghệ cao, doanh nghiệp khởi nghiệp công nghệ </w:t>
            </w:r>
            <w:r w:rsidR="00205C4A" w:rsidRPr="00205C4A">
              <w:rPr>
                <w:rFonts w:ascii="Times New Roman" w:hAnsi="Times New Roman" w:cs="Times New Roman"/>
                <w:sz w:val="24"/>
                <w:szCs w:val="24"/>
                <w:lang w:val="de-DE"/>
              </w:rPr>
              <w:lastRenderedPageBreak/>
              <w:t xml:space="preserve">chiến lược </w:t>
            </w:r>
            <w:r w:rsidR="00205C4A">
              <w:rPr>
                <w:rFonts w:ascii="Times New Roman" w:hAnsi="Times New Roman" w:cs="Times New Roman"/>
                <w:sz w:val="24"/>
                <w:szCs w:val="24"/>
                <w:lang w:val="de-DE"/>
              </w:rPr>
              <w:t xml:space="preserve">quy định tại </w:t>
            </w:r>
            <w:r w:rsidR="00951E10">
              <w:rPr>
                <w:rFonts w:ascii="Times New Roman" w:hAnsi="Times New Roman" w:cs="Times New Roman"/>
                <w:sz w:val="24"/>
                <w:szCs w:val="24"/>
                <w:lang w:val="de-DE"/>
              </w:rPr>
              <w:t>khoản 4 Điều 21 Luật Công nghệ cao</w:t>
            </w:r>
            <w:r w:rsidR="003252A8">
              <w:rPr>
                <w:rFonts w:ascii="Times New Roman" w:hAnsi="Times New Roman" w:cs="Times New Roman"/>
                <w:sz w:val="24"/>
                <w:szCs w:val="24"/>
                <w:lang w:val="de-DE"/>
              </w:rPr>
              <w:t xml:space="preserve">; quy định </w:t>
            </w:r>
            <w:r w:rsidR="00205C4A">
              <w:rPr>
                <w:rFonts w:ascii="Times New Roman" w:hAnsi="Times New Roman" w:cs="Times New Roman"/>
                <w:sz w:val="24"/>
                <w:szCs w:val="24"/>
                <w:lang w:val="de-DE"/>
              </w:rPr>
              <w:t xml:space="preserve">cụ thể </w:t>
            </w:r>
            <w:r w:rsidR="003252A8">
              <w:rPr>
                <w:rFonts w:ascii="Times New Roman" w:hAnsi="Times New Roman" w:cs="Times New Roman"/>
                <w:sz w:val="24"/>
                <w:szCs w:val="24"/>
                <w:lang w:val="de-DE"/>
              </w:rPr>
              <w:t xml:space="preserve">về </w:t>
            </w:r>
            <w:r w:rsidR="003A2A77" w:rsidRPr="009875DA">
              <w:rPr>
                <w:rFonts w:ascii="Times New Roman" w:hAnsi="Times New Roman" w:cs="Times New Roman"/>
                <w:sz w:val="24"/>
                <w:szCs w:val="24"/>
                <w:lang w:val="de-DE"/>
              </w:rPr>
              <w:t>thẩm quyền</w:t>
            </w:r>
            <w:r w:rsidR="003A2A77" w:rsidRPr="009875DA">
              <w:rPr>
                <w:rFonts w:ascii="Times New Roman" w:hAnsi="Times New Roman" w:cs="Times New Roman"/>
                <w:color w:val="000000" w:themeColor="text1"/>
                <w:sz w:val="24"/>
                <w:szCs w:val="24"/>
                <w:lang w:val="de-DE"/>
              </w:rPr>
              <w:t>, trình tự, thủ tục cấp, thu hồi giấy công nhận cơ sở ươm tạo công nghệ cao, công nghệ chiến lược, ươm tạo doanh nghiệp công nghệ cao, doanh nghiệp công nghệ chiến lược để đảm bảo đầy đủ tính pháp lý khi triển khai.</w:t>
            </w:r>
          </w:p>
        </w:tc>
      </w:tr>
      <w:tr w:rsidR="00407B93" w:rsidRPr="0025521C" w14:paraId="32EA9CB9" w14:textId="77777777" w:rsidTr="00022042">
        <w:tc>
          <w:tcPr>
            <w:tcW w:w="2245" w:type="dxa"/>
          </w:tcPr>
          <w:p w14:paraId="3F78A8FD" w14:textId="77777777"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347D4720" w14:textId="07CCECD7" w:rsidR="00552848" w:rsidRPr="009875DA" w:rsidRDefault="00552848" w:rsidP="00B06260">
            <w:pPr>
              <w:spacing w:line="276" w:lineRule="auto"/>
              <w:jc w:val="center"/>
              <w:rPr>
                <w:rFonts w:ascii="Times New Roman" w:hAnsi="Times New Roman" w:cs="Times New Roman"/>
                <w:b/>
                <w:bCs/>
                <w:caps/>
                <w:sz w:val="24"/>
                <w:szCs w:val="24"/>
                <w:lang w:val="nl-NL"/>
              </w:rPr>
            </w:pPr>
            <w:r w:rsidRPr="009875DA">
              <w:rPr>
                <w:rFonts w:ascii="Times New Roman" w:hAnsi="Times New Roman" w:cs="Times New Roman"/>
                <w:b/>
                <w:bCs/>
                <w:caps/>
                <w:sz w:val="24"/>
                <w:szCs w:val="24"/>
                <w:lang w:val="nl-NL"/>
              </w:rPr>
              <w:t>Chương iii</w:t>
            </w:r>
          </w:p>
          <w:p w14:paraId="12F7CFCC" w14:textId="50D0DA92" w:rsidR="00552848" w:rsidRPr="009875DA" w:rsidRDefault="00696BEE" w:rsidP="009875DA">
            <w:pPr>
              <w:pStyle w:val="Heading1"/>
              <w:jc w:val="center"/>
            </w:pPr>
            <w:bookmarkStart w:id="16" w:name="chuong_3_name"/>
            <w:r w:rsidRPr="009875DA">
              <w:rPr>
                <w:b/>
                <w:i w:val="0"/>
              </w:rPr>
              <w:t>PHÁT TRIỂN CÔNG NGHIỆP CÔNG NGHỆ CAO, CÔNG NGHIỆP CHIẾN LƯỢC; DOANH NGHIỆP SẢN XUẤT SẢN PHẨM CÔNG NGHỆ CAO, DOANH NGHIỆP CÔNG NGHỆ CAO VÀ DOANH NGHIỆP CÔNG NGHỆ CHIẾN</w:t>
            </w:r>
            <w:r w:rsidRPr="009875DA">
              <w:t xml:space="preserve"> </w:t>
            </w:r>
            <w:r w:rsidRPr="009875DA">
              <w:rPr>
                <w:b/>
                <w:i w:val="0"/>
              </w:rPr>
              <w:t>LƯỢC</w:t>
            </w:r>
            <w:bookmarkEnd w:id="16"/>
          </w:p>
        </w:tc>
        <w:tc>
          <w:tcPr>
            <w:tcW w:w="5400" w:type="dxa"/>
          </w:tcPr>
          <w:p w14:paraId="47EB8F70" w14:textId="6BE614A0" w:rsidR="00552848" w:rsidRPr="009875DA" w:rsidRDefault="00552848" w:rsidP="00B06260">
            <w:pPr>
              <w:pStyle w:val="ListParagraph"/>
              <w:widowControl w:val="0"/>
              <w:spacing w:line="276" w:lineRule="auto"/>
              <w:jc w:val="both"/>
              <w:rPr>
                <w:rFonts w:ascii="Times New Roman" w:hAnsi="Times New Roman" w:cs="Times New Roman"/>
                <w:sz w:val="24"/>
                <w:szCs w:val="24"/>
                <w:lang w:val="nl-NL"/>
              </w:rPr>
            </w:pPr>
          </w:p>
        </w:tc>
      </w:tr>
      <w:tr w:rsidR="00407B93" w:rsidRPr="0025521C" w14:paraId="26ED9D46" w14:textId="77777777" w:rsidTr="00022042">
        <w:tc>
          <w:tcPr>
            <w:tcW w:w="2245" w:type="dxa"/>
          </w:tcPr>
          <w:p w14:paraId="578D7F7F" w14:textId="77777777" w:rsidR="00552848" w:rsidRPr="009875DA" w:rsidRDefault="00552848" w:rsidP="00B06260">
            <w:pPr>
              <w:widowControl w:val="0"/>
              <w:spacing w:line="276" w:lineRule="auto"/>
              <w:jc w:val="both"/>
              <w:rPr>
                <w:rFonts w:ascii="Times New Roman" w:hAnsi="Times New Roman" w:cs="Times New Roman"/>
                <w:b/>
                <w:sz w:val="24"/>
                <w:szCs w:val="24"/>
                <w:lang w:val="nl-NL" w:eastAsia="vi-VN"/>
              </w:rPr>
            </w:pPr>
          </w:p>
        </w:tc>
        <w:tc>
          <w:tcPr>
            <w:tcW w:w="7380" w:type="dxa"/>
          </w:tcPr>
          <w:p w14:paraId="1784B6D3" w14:textId="77777777" w:rsidR="00696BEE" w:rsidRPr="009875DA" w:rsidRDefault="00696BEE" w:rsidP="008F5631">
            <w:pPr>
              <w:pStyle w:val="Heading2"/>
              <w:spacing w:line="276" w:lineRule="auto"/>
              <w:jc w:val="both"/>
            </w:pPr>
            <w:r w:rsidRPr="009875DA">
              <w:t>Điều 13. Phát triển công nghiệp công nghệ cao, công nghiệp chiến lược</w:t>
            </w:r>
          </w:p>
          <w:p w14:paraId="59666FAD" w14:textId="77777777" w:rsidR="00696BEE" w:rsidRPr="009875DA" w:rsidRDefault="00696BEE"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1. Căn cứ vào Danh mục công nghệ cao được ưu tiên đầu tư phát triển, Danh mục sản phẩm công nghệ cao được khuyến khích phát triển, Danh mục công nghệ chiến lược và Danh mục sản phẩm công nghệ chiến lược ban hành theo Quyết định của Thủ tướng Chính phủ và tình hình phát triển kinh tế- xã hội từng giai đoạn, Bộ Công Thương chủ trì, phối hợp với Bộ Khoa học và Công nghệ, bộ, cơ quan ngang bộ có liên quan trình Thủ tướng Chính phủ phê duyệt kế hoạch, chiến lược phát triển một số ngành công nghiệp công nghệ cao, công nghiệp chiến lược, công nghiệp hỗ trợ phục vụ phát triển công nghiệp công nghệ cao, công nghiệp chiến lược.</w:t>
            </w:r>
          </w:p>
          <w:p w14:paraId="6A6104E6" w14:textId="4A47A353" w:rsidR="00552848" w:rsidRPr="009875DA" w:rsidRDefault="00696BEE"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2. Bộ, cơ quan ngang bộ, Ủy ban nhân dân tỉnh, thành phố trực thuộc trung ương tổ chức thực hiện kế hoạch phát triển ngành công nghiệp công nghệ cao và công nghiệp phụ trợ phục vụ phát triển công nghiệp công nghệ cao đã được Thủ tướng Chính phủ phê duyệt thuộc lĩnh vực, địa phương mình quản lý.</w:t>
            </w:r>
          </w:p>
        </w:tc>
        <w:tc>
          <w:tcPr>
            <w:tcW w:w="5400" w:type="dxa"/>
          </w:tcPr>
          <w:p w14:paraId="2705DCA0" w14:textId="1DC6D779" w:rsidR="00943078" w:rsidRPr="009875DA" w:rsidRDefault="008B61A9" w:rsidP="009875DA">
            <w:pPr>
              <w:pStyle w:val="NormalWeb"/>
              <w:spacing w:before="0" w:beforeAutospacing="0" w:after="0" w:afterAutospacing="0" w:line="276" w:lineRule="auto"/>
              <w:jc w:val="both"/>
              <w:rPr>
                <w:lang w:val="de-DE"/>
              </w:rPr>
            </w:pPr>
            <w:r w:rsidRPr="009875DA">
              <w:rPr>
                <w:lang w:val="de-DE"/>
              </w:rPr>
              <w:t xml:space="preserve">Điều 13 </w:t>
            </w:r>
            <w:r w:rsidR="004F4E81">
              <w:rPr>
                <w:lang w:val="de-DE"/>
              </w:rPr>
              <w:t xml:space="preserve">xác định thẩm quyền </w:t>
            </w:r>
            <w:r w:rsidRPr="009875DA">
              <w:rPr>
                <w:lang w:val="de-DE"/>
              </w:rPr>
              <w:t>xây dựng</w:t>
            </w:r>
            <w:r w:rsidR="004F4E81">
              <w:rPr>
                <w:lang w:val="de-DE"/>
              </w:rPr>
              <w:t xml:space="preserve">, trình </w:t>
            </w:r>
            <w:r w:rsidRPr="009875DA">
              <w:rPr>
                <w:lang w:val="de-DE"/>
              </w:rPr>
              <w:t xml:space="preserve">Thủ tướng </w:t>
            </w:r>
            <w:r w:rsidR="004F4E81">
              <w:rPr>
                <w:lang w:val="de-DE"/>
              </w:rPr>
              <w:t>Chính phủ phê duyệt</w:t>
            </w:r>
            <w:r w:rsidR="006E505F">
              <w:rPr>
                <w:lang w:val="de-DE"/>
              </w:rPr>
              <w:t xml:space="preserve"> </w:t>
            </w:r>
            <w:r w:rsidR="006E505F" w:rsidRPr="006E505F">
              <w:rPr>
                <w:lang w:val="de-DE"/>
              </w:rPr>
              <w:t>kế hoạch, chiến lược phát triển một số ngành công nghiệp công nghệ cao, công nghiệp chiến lược, công nghiệp hỗ trợ phục vụ phát triển công nghiệp công nghệ cao, công nghiệp chiến lược</w:t>
            </w:r>
            <w:r w:rsidR="006E505F">
              <w:rPr>
                <w:lang w:val="de-DE"/>
              </w:rPr>
              <w:t>.</w:t>
            </w:r>
          </w:p>
        </w:tc>
      </w:tr>
      <w:tr w:rsidR="008F5631" w:rsidRPr="0025521C" w14:paraId="05CAFD85" w14:textId="77777777" w:rsidTr="00022042">
        <w:tc>
          <w:tcPr>
            <w:tcW w:w="2245" w:type="dxa"/>
          </w:tcPr>
          <w:p w14:paraId="7521BD07" w14:textId="77777777" w:rsidR="008F5631" w:rsidRPr="009875DA" w:rsidRDefault="008F5631" w:rsidP="008F5631">
            <w:pPr>
              <w:widowControl w:val="0"/>
              <w:spacing w:line="276" w:lineRule="auto"/>
              <w:jc w:val="both"/>
              <w:rPr>
                <w:rFonts w:ascii="Times New Roman" w:hAnsi="Times New Roman" w:cs="Times New Roman"/>
                <w:b/>
                <w:bCs/>
                <w:sz w:val="24"/>
                <w:szCs w:val="24"/>
                <w:lang w:val="vi-VN"/>
              </w:rPr>
            </w:pPr>
          </w:p>
        </w:tc>
        <w:tc>
          <w:tcPr>
            <w:tcW w:w="7380" w:type="dxa"/>
          </w:tcPr>
          <w:p w14:paraId="3852698A" w14:textId="77777777" w:rsidR="008F5631" w:rsidRPr="009875DA" w:rsidRDefault="008F5631" w:rsidP="008F5631">
            <w:pPr>
              <w:pStyle w:val="Heading2"/>
              <w:spacing w:line="276" w:lineRule="auto"/>
              <w:jc w:val="both"/>
            </w:pPr>
            <w:r w:rsidRPr="009875DA">
              <w:t>Điều 14. Tiêu chí doanh nghiệp công nghệ cao nhóm 2</w:t>
            </w:r>
          </w:p>
          <w:p w14:paraId="4CA7A52E" w14:textId="77777777" w:rsidR="008F5631" w:rsidRPr="009875DA" w:rsidRDefault="008F5631" w:rsidP="008F5631">
            <w:pPr>
              <w:spacing w:line="276" w:lineRule="auto"/>
              <w:jc w:val="both"/>
              <w:rPr>
                <w:rFonts w:ascii="Times New Roman" w:hAnsi="Times New Roman" w:cs="Times New Roman"/>
                <w:color w:val="000000" w:themeColor="text1"/>
                <w:spacing w:val="-6"/>
                <w:sz w:val="24"/>
                <w:szCs w:val="24"/>
                <w:lang w:val="de-DE"/>
              </w:rPr>
            </w:pPr>
            <w:r w:rsidRPr="009875DA">
              <w:rPr>
                <w:rFonts w:ascii="Times New Roman" w:hAnsi="Times New Roman" w:cs="Times New Roman"/>
                <w:color w:val="000000" w:themeColor="text1"/>
                <w:spacing w:val="-6"/>
                <w:sz w:val="24"/>
                <w:szCs w:val="24"/>
                <w:lang w:val="de-DE"/>
              </w:rPr>
              <w:t>Doanh nghiệp công nghệ cao nhóm 2 là doanh nghiệp đáp ứng các tiêu chí sau:</w:t>
            </w:r>
          </w:p>
          <w:p w14:paraId="5678AB94"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1. Các tiêu chí quy định tại khoản 1 Điều 15, điểm a khoản 2 Điều 15 Luật Công nghệ cao.</w:t>
            </w:r>
          </w:p>
          <w:p w14:paraId="6E5B2CBF"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2. Doanh thu từ sản phẩm công nghệ cao phải đạt tối thiểu 70% trong tổng doanh thu thuần năm liền kề của doanh nghiệp.</w:t>
            </w:r>
          </w:p>
          <w:p w14:paraId="3AD08F60" w14:textId="77777777" w:rsidR="008F5631" w:rsidRPr="009875DA" w:rsidRDefault="008F5631" w:rsidP="008F5631">
            <w:pPr>
              <w:spacing w:line="276" w:lineRule="auto"/>
              <w:jc w:val="both"/>
              <w:rPr>
                <w:rFonts w:ascii="Times New Roman" w:hAnsi="Times New Roman" w:cs="Times New Roman"/>
                <w:color w:val="000000" w:themeColor="text1"/>
                <w:spacing w:val="-2"/>
                <w:sz w:val="24"/>
                <w:szCs w:val="24"/>
                <w:lang w:val="de-DE"/>
              </w:rPr>
            </w:pPr>
            <w:r w:rsidRPr="009875DA">
              <w:rPr>
                <w:rFonts w:ascii="Times New Roman" w:hAnsi="Times New Roman" w:cs="Times New Roman"/>
                <w:color w:val="000000" w:themeColor="text1"/>
                <w:spacing w:val="-2"/>
                <w:sz w:val="24"/>
                <w:szCs w:val="24"/>
                <w:lang w:val="de-DE"/>
              </w:rPr>
              <w:t xml:space="preserve">3. Tỷ lệ tổng chi cho hoạt động nghiên cứu và phát triển của doanh nghiệp (bao gồm khấu hao đầu tư cơ sở hạ tầng, tài sản cố định, chi thường xuyên hàng năm cho hoạt động nghiên cứu và phát triển; chi hoạt động đào tạo, hỗ trợ đào tạo cho lao động nghiên cứu và phát triển của doanh nghiệp, các tổ chức khoa học và công nghệ, cơ sở đào tạo tại Việt Nam; phí bản quyền, chuyển quyền sở hữu, quyền sử dụng đối tượng sở hữu công nghiệp phục vụ hoạt động nghiên cứu và phát triển; phí đăng ký công nhận hoặc bảo hộ sáng chế, giải pháp hữu ích tại Việt Nam) trên giá trị của tổng doanh thu thuần trừ </w:t>
            </w:r>
            <w:r w:rsidRPr="009875DA">
              <w:rPr>
                <w:rFonts w:ascii="Times New Roman" w:hAnsi="Times New Roman" w:cs="Times New Roman"/>
                <w:color w:val="000000" w:themeColor="text1"/>
                <w:spacing w:val="-2"/>
                <w:sz w:val="24"/>
                <w:szCs w:val="24"/>
                <w:lang w:val="de-DE"/>
              </w:rPr>
              <w:lastRenderedPageBreak/>
              <w:t>đi giá trị đầu vào (bao gồm giá trị nguyên vật liệu, linh kiện phục vụ sản xuất nhập khẩu và mua nội địa) năm liền kề:</w:t>
            </w:r>
          </w:p>
          <w:p w14:paraId="6E19369B"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a) Đối với doanh nghiệp có tổng nguồn vốn từ 6.000 tỷ đồng và tổng số lao động từ 3.000 người trở lên phải đạt tối thiểu 0,5%;</w:t>
            </w:r>
          </w:p>
          <w:p w14:paraId="5850C541"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Đối với doanh nghiệp không thuộc trường hợp quy định tại điểm a khoản 2 Điều này, có tổng nguồn vốn từ 100 tỷ đồng và tổng số lao động từ 200 người trở lên phải đạt tối thiểu 1%;</w:t>
            </w:r>
          </w:p>
          <w:p w14:paraId="2DAC2CA6"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c) Đối với doanh nghiệp không thuộc trường hợp quy định tại điểm a và điểm b khoản 2 Điều này phải đạt tối thiểu 2%.</w:t>
            </w:r>
          </w:p>
          <w:p w14:paraId="4139B492" w14:textId="77777777" w:rsidR="008F5631" w:rsidRPr="009875DA" w:rsidRDefault="008F5631" w:rsidP="008F5631">
            <w:pPr>
              <w:spacing w:line="276" w:lineRule="auto"/>
              <w:jc w:val="both"/>
              <w:rPr>
                <w:rFonts w:ascii="Times New Roman" w:hAnsi="Times New Roman" w:cs="Times New Roman"/>
                <w:color w:val="000000" w:themeColor="text1"/>
                <w:spacing w:val="-4"/>
                <w:sz w:val="24"/>
                <w:szCs w:val="24"/>
                <w:lang w:val="de-DE"/>
              </w:rPr>
            </w:pPr>
            <w:r w:rsidRPr="009875DA">
              <w:rPr>
                <w:rFonts w:ascii="Times New Roman" w:hAnsi="Times New Roman" w:cs="Times New Roman"/>
                <w:color w:val="000000" w:themeColor="text1"/>
                <w:spacing w:val="-4"/>
                <w:sz w:val="24"/>
                <w:szCs w:val="24"/>
                <w:lang w:val="de-DE"/>
              </w:rPr>
              <w:t>4. Tỷ lệ lao động trực tiếp thực hiện nghiên cứu và phát triển có trình độ chuyên môn từ cao đẳng trở lên của doanh nghiệp (là số lao động đã ký hợp đồng lao động có thời hạn từ 01 năm trở lên hoặc hợp đồng không xác định thời hạn, trong đó lao động có trình độ cao đẳng không vượt quá 30%) trên tổng số lao động:</w:t>
            </w:r>
          </w:p>
          <w:p w14:paraId="5DD11DD4"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a) Đối với doanh nghiệp có tổng nguồn vốn từ 6.000 tỷ đồng và tổng số lao động từ 3.000 người trở lên phải đạt tối thiểu 1%;</w:t>
            </w:r>
          </w:p>
          <w:p w14:paraId="3A723139"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Đối với doanh nghiệp không thuộc trường hợp quy định tại điểm a khoản 3 Điều này, có tổng nguồn vốn từ 100 tỷ đồng và tổng số lao động từ 200 người trở lên phải đạt tối thiểu 2,5%;</w:t>
            </w:r>
          </w:p>
          <w:p w14:paraId="2A5DA8DC" w14:textId="14358FCB" w:rsidR="008F5631" w:rsidRPr="009875DA" w:rsidRDefault="008F5631" w:rsidP="008F5631">
            <w:pPr>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themeColor="text1"/>
                <w:sz w:val="24"/>
                <w:szCs w:val="24"/>
                <w:lang w:val="de-DE"/>
              </w:rPr>
              <w:t>c) Đối với doanh nghiệp không thuộc trường hợp quy định tại điểm a và điểm b khoản 3 Điều này phải đạt tối thiểu 5%.</w:t>
            </w:r>
          </w:p>
        </w:tc>
        <w:tc>
          <w:tcPr>
            <w:tcW w:w="5400" w:type="dxa"/>
          </w:tcPr>
          <w:p w14:paraId="6623C860" w14:textId="57754200" w:rsidR="008F5631" w:rsidRPr="000C2D51" w:rsidRDefault="004615D3" w:rsidP="008F5631">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lastRenderedPageBreak/>
              <w:t>Điều 14 quy định chi tiết các tiêu chí xác định doanh nghiệp công nghệ cao nhóm 2 quy định tại khoản 5 Điều 15 Luật Công nghệ cao số 133/2025/QH15 trên cơ sở kế thừa các tiêu chí xác định doanh nghiệp công nghệ cao hiện hành (Luật công nghệ cao 2008 và Quyết định số 10/2021/QĐ-TTg ngày 13/11/2021) nhằm đảm bảo sự ổn định của chính sách và tạo điều kiện thuận lợi cho hoạt động đầu tư.</w:t>
            </w:r>
          </w:p>
        </w:tc>
      </w:tr>
      <w:tr w:rsidR="008F5631" w:rsidRPr="0025521C" w14:paraId="7FF8BB16" w14:textId="77777777" w:rsidTr="00022042">
        <w:tc>
          <w:tcPr>
            <w:tcW w:w="2245" w:type="dxa"/>
          </w:tcPr>
          <w:p w14:paraId="468C2560" w14:textId="77777777" w:rsidR="008F5631" w:rsidRPr="009875DA" w:rsidRDefault="008F5631" w:rsidP="008F5631">
            <w:pPr>
              <w:widowControl w:val="0"/>
              <w:spacing w:line="276" w:lineRule="auto"/>
              <w:jc w:val="both"/>
              <w:rPr>
                <w:rFonts w:ascii="Times New Roman" w:hAnsi="Times New Roman" w:cs="Times New Roman"/>
                <w:b/>
                <w:bCs/>
                <w:sz w:val="24"/>
                <w:szCs w:val="24"/>
                <w:lang w:val="vi-VN"/>
              </w:rPr>
            </w:pPr>
          </w:p>
        </w:tc>
        <w:tc>
          <w:tcPr>
            <w:tcW w:w="7380" w:type="dxa"/>
          </w:tcPr>
          <w:p w14:paraId="05979449" w14:textId="77777777" w:rsidR="008F5631" w:rsidRPr="009875DA" w:rsidRDefault="008F5631" w:rsidP="008F5631">
            <w:pPr>
              <w:pStyle w:val="Heading2"/>
              <w:spacing w:line="276" w:lineRule="auto"/>
              <w:jc w:val="both"/>
              <w:rPr>
                <w:b w:val="0"/>
              </w:rPr>
            </w:pPr>
            <w:r w:rsidRPr="009875DA">
              <w:t>Điều 15. Tiêu chí doanh nghiệp công nghệ cao nhóm 1</w:t>
            </w:r>
          </w:p>
          <w:p w14:paraId="2320666D"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Doanh nghiệp công nghệ cao nhóm 1 là doanh nghiệp đáp ứng các tiêu chí quy định tại tại khoản 1, điểm a khoản 2 Điều 15 Luật Công nghệ cao và thuộc một trong hai trường hợp sau đây:</w:t>
            </w:r>
          </w:p>
          <w:p w14:paraId="2D061607"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1. Trường hợp 1, doanh nghiệp t</w:t>
            </w:r>
            <w:r w:rsidRPr="009875DA">
              <w:rPr>
                <w:rFonts w:ascii="Times New Roman" w:hAnsi="Times New Roman" w:cs="Times New Roman"/>
                <w:color w:val="000000" w:themeColor="text1"/>
                <w:sz w:val="24"/>
                <w:szCs w:val="24"/>
                <w:lang w:val="vi-VN"/>
              </w:rPr>
              <w:t>hực hiện hoạt động nghiên cứu và phát triển công nghệ cao, sản phẩm công nghệ cao</w:t>
            </w:r>
            <w:r w:rsidRPr="009875DA">
              <w:rPr>
                <w:rFonts w:ascii="Times New Roman" w:hAnsi="Times New Roman" w:cs="Times New Roman"/>
                <w:color w:val="000000" w:themeColor="text1"/>
                <w:sz w:val="24"/>
                <w:szCs w:val="24"/>
                <w:lang w:val="de-DE"/>
              </w:rPr>
              <w:t xml:space="preserve"> quy định tại điểm a khoản 4 Điều 15 Luật Công nghệ cao, cụ thể như sau:</w:t>
            </w:r>
          </w:p>
          <w:p w14:paraId="5D87C762"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a) Tỷ lệ chi cho hoạt động nghiên cứu và phát triển </w:t>
            </w:r>
            <w:r w:rsidRPr="009875DA">
              <w:rPr>
                <w:rFonts w:ascii="Times New Roman" w:hAnsi="Times New Roman" w:cs="Times New Roman"/>
                <w:bCs/>
                <w:color w:val="000000" w:themeColor="text1"/>
                <w:sz w:val="24"/>
                <w:szCs w:val="24"/>
                <w:lang w:val="de-DE"/>
              </w:rPr>
              <w:t>đạt tối thiểu 5%</w:t>
            </w:r>
            <w:r w:rsidRPr="009875DA">
              <w:rPr>
                <w:rFonts w:ascii="Times New Roman" w:hAnsi="Times New Roman" w:cs="Times New Roman"/>
                <w:b/>
                <w:bCs/>
                <w:color w:val="000000" w:themeColor="text1"/>
                <w:sz w:val="24"/>
                <w:szCs w:val="24"/>
                <w:lang w:val="de-DE"/>
              </w:rPr>
              <w:t xml:space="preserve"> </w:t>
            </w:r>
            <w:r w:rsidRPr="009875DA">
              <w:rPr>
                <w:rFonts w:ascii="Times New Roman" w:hAnsi="Times New Roman" w:cs="Times New Roman"/>
                <w:color w:val="000000" w:themeColor="text1"/>
                <w:sz w:val="24"/>
                <w:szCs w:val="24"/>
                <w:lang w:val="de-DE"/>
              </w:rPr>
              <w:t>trên tổng doanh thu thuần năm liền kề của doanh nghiệp;</w:t>
            </w:r>
          </w:p>
          <w:p w14:paraId="3CF8E753"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lastRenderedPageBreak/>
              <w:t xml:space="preserve">b) Doanh thu từ sản phẩm, dịch vụ công nghệ cao được hình thành từ kết quả nghiên cứu và phát triển </w:t>
            </w:r>
            <w:r w:rsidRPr="009875DA">
              <w:rPr>
                <w:rFonts w:ascii="Times New Roman" w:hAnsi="Times New Roman" w:cs="Times New Roman"/>
                <w:bCs/>
                <w:color w:val="000000" w:themeColor="text1"/>
                <w:sz w:val="24"/>
                <w:szCs w:val="24"/>
                <w:lang w:val="de-DE"/>
              </w:rPr>
              <w:t>đạt tối thiểu 40%</w:t>
            </w:r>
            <w:r w:rsidRPr="009875DA">
              <w:rPr>
                <w:rFonts w:ascii="Times New Roman" w:hAnsi="Times New Roman" w:cs="Times New Roman"/>
                <w:color w:val="000000" w:themeColor="text1"/>
                <w:sz w:val="24"/>
                <w:szCs w:val="24"/>
                <w:lang w:val="de-DE"/>
              </w:rPr>
              <w:t xml:space="preserve"> trở lên trên tổng doanh thu thuần năm liền kề của doanh nghiệp;</w:t>
            </w:r>
          </w:p>
          <w:p w14:paraId="33CF2422"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c) Có hợp tác nghiên cứu, phát triển, sản xuất hoặc chuyển giao công nghệ với đối tác nước ngoài là doanh nghiệp hoặc tổ chức khoa học và công nghệ hàng đầu trong lĩnh vực tương ứng;</w:t>
            </w:r>
          </w:p>
          <w:p w14:paraId="2CAA030C" w14:textId="07B59EBB"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d) Tỷ lệ lao động trực tiếp thực hiện hoạt động nghiên cứu và phát triển </w:t>
            </w:r>
            <w:r w:rsidRPr="009875DA">
              <w:rPr>
                <w:rFonts w:ascii="Times New Roman" w:hAnsi="Times New Roman" w:cs="Times New Roman"/>
                <w:color w:val="000000" w:themeColor="text1"/>
                <w:spacing w:val="-4"/>
                <w:sz w:val="24"/>
                <w:szCs w:val="24"/>
                <w:lang w:val="de-DE"/>
              </w:rPr>
              <w:t>có trình độ chuyên môn từ cao đẳng trở lên của doanh nghiệp (là số lao động đã ký hợp đồng lao động có thời hạn từ 01 năm trở lên hoặc hợp đồng không xác định thời hạn, trong đó lao động có trình độ cao đẳng không vượt quá 30</w:t>
            </w:r>
            <w:r w:rsidRPr="009875DA">
              <w:rPr>
                <w:rFonts w:ascii="Times New Roman" w:hAnsi="Times New Roman" w:cs="Times New Roman"/>
                <w:spacing w:val="-4"/>
                <w:sz w:val="24"/>
                <w:szCs w:val="24"/>
                <w:lang w:val="de-DE"/>
              </w:rPr>
              <w:t xml:space="preserve">%) </w:t>
            </w:r>
            <w:r w:rsidRPr="006E505F">
              <w:rPr>
                <w:rFonts w:ascii="Times New Roman" w:hAnsi="Times New Roman" w:cs="Times New Roman"/>
                <w:bCs/>
                <w:sz w:val="24"/>
                <w:szCs w:val="24"/>
                <w:lang w:val="de-DE"/>
              </w:rPr>
              <w:t xml:space="preserve">chiếm từ </w:t>
            </w:r>
            <w:r w:rsidR="006E505F" w:rsidRPr="006E505F">
              <w:rPr>
                <w:rFonts w:ascii="Times New Roman" w:hAnsi="Times New Roman" w:cs="Times New Roman"/>
                <w:bCs/>
                <w:sz w:val="24"/>
                <w:szCs w:val="24"/>
                <w:lang w:val="de-DE"/>
              </w:rPr>
              <w:t>5</w:t>
            </w:r>
            <w:r w:rsidRPr="006E505F">
              <w:rPr>
                <w:rFonts w:ascii="Times New Roman" w:hAnsi="Times New Roman" w:cs="Times New Roman"/>
                <w:bCs/>
                <w:sz w:val="24"/>
                <w:szCs w:val="24"/>
                <w:lang w:val="de-DE"/>
              </w:rPr>
              <w:t>0%</w:t>
            </w:r>
            <w:r w:rsidRPr="009875DA">
              <w:rPr>
                <w:rFonts w:ascii="Times New Roman" w:hAnsi="Times New Roman" w:cs="Times New Roman"/>
                <w:bCs/>
                <w:sz w:val="24"/>
                <w:szCs w:val="24"/>
                <w:lang w:val="de-DE"/>
              </w:rPr>
              <w:t xml:space="preserve"> </w:t>
            </w:r>
            <w:r w:rsidRPr="009875DA">
              <w:rPr>
                <w:rFonts w:ascii="Times New Roman" w:hAnsi="Times New Roman" w:cs="Times New Roman"/>
                <w:sz w:val="24"/>
                <w:szCs w:val="24"/>
                <w:lang w:val="de-DE"/>
              </w:rPr>
              <w:t xml:space="preserve">trở </w:t>
            </w:r>
            <w:r w:rsidRPr="009875DA">
              <w:rPr>
                <w:rFonts w:ascii="Times New Roman" w:hAnsi="Times New Roman" w:cs="Times New Roman"/>
                <w:color w:val="000000" w:themeColor="text1"/>
                <w:sz w:val="24"/>
                <w:szCs w:val="24"/>
                <w:lang w:val="de-DE"/>
              </w:rPr>
              <w:t>lên tổng số lao động của doanh nghiệp.</w:t>
            </w:r>
          </w:p>
          <w:p w14:paraId="11439CE8"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2. Trường hợp 2, doanh nghiệp đáp ứng các tiêu chí quy định điểm b khoản 4 Điều 15 Luật Công nghệ cao, cụ thể như sau:</w:t>
            </w:r>
          </w:p>
          <w:p w14:paraId="69E736F0"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a) Doanh thu từ sản phẩm công nghệ cao phải đạt </w:t>
            </w:r>
            <w:r w:rsidRPr="009875DA">
              <w:rPr>
                <w:rFonts w:ascii="Times New Roman" w:hAnsi="Times New Roman" w:cs="Times New Roman"/>
                <w:bCs/>
                <w:color w:val="000000" w:themeColor="text1"/>
                <w:sz w:val="24"/>
                <w:szCs w:val="24"/>
                <w:lang w:val="de-DE"/>
              </w:rPr>
              <w:t>tối thiểu 80%</w:t>
            </w:r>
            <w:r w:rsidRPr="009875DA">
              <w:rPr>
                <w:rFonts w:ascii="Times New Roman" w:hAnsi="Times New Roman" w:cs="Times New Roman"/>
                <w:color w:val="000000" w:themeColor="text1"/>
                <w:sz w:val="24"/>
                <w:szCs w:val="24"/>
                <w:lang w:val="de-DE"/>
              </w:rPr>
              <w:t xml:space="preserve"> trong tổng doanh thu thuần năm liền kề của doanh nghiệp;</w:t>
            </w:r>
          </w:p>
          <w:p w14:paraId="66337A0A"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b) T</w:t>
            </w:r>
            <w:r w:rsidRPr="009875DA">
              <w:rPr>
                <w:rFonts w:ascii="Times New Roman" w:hAnsi="Times New Roman" w:cs="Times New Roman"/>
                <w:color w:val="000000" w:themeColor="text1"/>
                <w:sz w:val="24"/>
                <w:szCs w:val="24"/>
                <w:lang w:val="vi-VN"/>
              </w:rPr>
              <w:t>ổng mức chi cho hoạt động nghiên cứu và phát triển tại Việt Nam năm</w:t>
            </w:r>
            <w:r w:rsidRPr="009875DA">
              <w:rPr>
                <w:rFonts w:ascii="Times New Roman" w:hAnsi="Times New Roman" w:cs="Times New Roman"/>
                <w:color w:val="000000" w:themeColor="text1"/>
                <w:sz w:val="24"/>
                <w:szCs w:val="24"/>
                <w:lang w:val="de-DE"/>
              </w:rPr>
              <w:t xml:space="preserve"> liền kề</w:t>
            </w:r>
            <w:r w:rsidRPr="009875DA">
              <w:rPr>
                <w:rFonts w:ascii="Times New Roman" w:hAnsi="Times New Roman" w:cs="Times New Roman"/>
                <w:color w:val="000000" w:themeColor="text1"/>
                <w:sz w:val="24"/>
                <w:szCs w:val="24"/>
                <w:lang w:val="vi-VN"/>
              </w:rPr>
              <w:t xml:space="preserve"> đạt </w:t>
            </w:r>
            <w:r w:rsidRPr="009875DA">
              <w:rPr>
                <w:rFonts w:ascii="Times New Roman" w:hAnsi="Times New Roman" w:cs="Times New Roman"/>
                <w:bCs/>
                <w:color w:val="000000" w:themeColor="text1"/>
                <w:sz w:val="24"/>
                <w:szCs w:val="24"/>
                <w:lang w:val="vi-VN"/>
              </w:rPr>
              <w:t>tối thiểu 1%</w:t>
            </w:r>
            <w:r w:rsidRPr="009875DA">
              <w:rPr>
                <w:rFonts w:ascii="Times New Roman" w:hAnsi="Times New Roman" w:cs="Times New Roman"/>
                <w:color w:val="000000" w:themeColor="text1"/>
                <w:sz w:val="24"/>
                <w:szCs w:val="24"/>
                <w:lang w:val="vi-VN"/>
              </w:rPr>
              <w:t xml:space="preserve"> trên doanh thu thuần sau khi trừ giá trị đầu vào</w:t>
            </w:r>
            <w:r w:rsidRPr="009875DA">
              <w:rPr>
                <w:rFonts w:ascii="Times New Roman" w:hAnsi="Times New Roman" w:cs="Times New Roman"/>
                <w:color w:val="000000" w:themeColor="text1"/>
                <w:sz w:val="24"/>
                <w:szCs w:val="24"/>
                <w:lang w:val="de-DE"/>
              </w:rPr>
              <w:t xml:space="preserve"> (bao gồm giá trị nguyên vật liệu, linh kiện phục vụ sản xuất nhập khẩu và mua nội địa)</w:t>
            </w:r>
            <w:r w:rsidRPr="009875DA">
              <w:rPr>
                <w:rFonts w:ascii="Times New Roman" w:hAnsi="Times New Roman" w:cs="Times New Roman"/>
                <w:color w:val="000000" w:themeColor="text1"/>
                <w:sz w:val="24"/>
                <w:szCs w:val="24"/>
                <w:lang w:val="vi-VN"/>
              </w:rPr>
              <w:t>.</w:t>
            </w:r>
            <w:r w:rsidRPr="009875DA">
              <w:rPr>
                <w:rFonts w:ascii="Times New Roman" w:hAnsi="Times New Roman" w:cs="Times New Roman"/>
                <w:color w:val="000000" w:themeColor="text1"/>
                <w:sz w:val="24"/>
                <w:szCs w:val="24"/>
                <w:lang w:val="de-DE"/>
              </w:rPr>
              <w:t xml:space="preserve"> </w:t>
            </w:r>
          </w:p>
          <w:p w14:paraId="5FDDBE34" w14:textId="77777777" w:rsidR="008F5631" w:rsidRPr="009875DA" w:rsidRDefault="008F5631" w:rsidP="008F5631">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Nội dung chi cho hoạt động nghiên cứu phát triển bao gồm khấu hao đầu tư cơ sở hạ tầng, tài sản cố định, chi thường xuyên hàng năm cho hoạt động nghiên cứu và phát triển; chi hoạt động đào tạo, hỗ trợ đào tạo cho lao động nghiên cứu và phát triển của doanh nghiệp, các tổ chức khoa học và công nghệ, cơ sở đào tạo tại Việt Nam; phí bản quyền, chuyển quyền sở hữu, quyền sử dụng đối tượng sở hữu công nghiệp phục vụ hoạt động nghiên cứu và phát triển; phí đăng ký công nhận hoặc bảo hộ sáng chế, giải pháp hữu ích tại Việt Nam. </w:t>
            </w:r>
          </w:p>
          <w:p w14:paraId="58D6B24C" w14:textId="77777777" w:rsidR="008F5631" w:rsidRPr="009875DA" w:rsidRDefault="008F5631" w:rsidP="008F5631">
            <w:pPr>
              <w:widowControl w:val="0"/>
              <w:spacing w:line="276" w:lineRule="auto"/>
              <w:jc w:val="both"/>
              <w:rPr>
                <w:rFonts w:ascii="Times New Roman" w:hAnsi="Times New Roman" w:cs="Times New Roman"/>
                <w:bCs/>
                <w:sz w:val="24"/>
                <w:szCs w:val="24"/>
                <w:lang w:val="de-DE"/>
              </w:rPr>
            </w:pPr>
            <w:r w:rsidRPr="009875DA">
              <w:rPr>
                <w:rFonts w:ascii="Times New Roman" w:hAnsi="Times New Roman" w:cs="Times New Roman"/>
                <w:color w:val="000000" w:themeColor="text1"/>
                <w:sz w:val="24"/>
                <w:szCs w:val="24"/>
                <w:lang w:val="de-DE"/>
              </w:rPr>
              <w:t xml:space="preserve">c) Tỷ lệ lao động trực tiếp thực hiện nghiên cứu và phát triển có trình độ chuyên môn từ </w:t>
            </w:r>
            <w:r w:rsidRPr="009875DA">
              <w:rPr>
                <w:rFonts w:ascii="Times New Roman" w:hAnsi="Times New Roman" w:cs="Times New Roman"/>
                <w:bCs/>
                <w:color w:val="000000" w:themeColor="text1"/>
                <w:sz w:val="24"/>
                <w:szCs w:val="24"/>
                <w:lang w:val="de-DE"/>
              </w:rPr>
              <w:t xml:space="preserve">cao đằng trở </w:t>
            </w:r>
            <w:r w:rsidRPr="009875DA">
              <w:rPr>
                <w:rFonts w:ascii="Times New Roman" w:hAnsi="Times New Roman" w:cs="Times New Roman"/>
                <w:bCs/>
                <w:sz w:val="24"/>
                <w:szCs w:val="24"/>
                <w:lang w:val="de-DE"/>
              </w:rPr>
              <w:t>lên</w:t>
            </w:r>
            <w:r w:rsidRPr="009875DA">
              <w:rPr>
                <w:rFonts w:ascii="Times New Roman" w:hAnsi="Times New Roman" w:cs="Times New Roman"/>
                <w:sz w:val="24"/>
                <w:szCs w:val="24"/>
                <w:lang w:val="de-DE"/>
              </w:rPr>
              <w:t xml:space="preserve"> của doanh nghiệp (là số lao động đã ký hợp đồng lao động có thời hạn từ 01 năm trở lên hoặc hợp đồng không xác định </w:t>
            </w:r>
            <w:r w:rsidRPr="009875DA">
              <w:rPr>
                <w:rFonts w:ascii="Times New Roman" w:hAnsi="Times New Roman" w:cs="Times New Roman"/>
                <w:sz w:val="24"/>
                <w:szCs w:val="24"/>
                <w:lang w:val="de-DE"/>
              </w:rPr>
              <w:lastRenderedPageBreak/>
              <w:t xml:space="preserve">thời hạn, trong đó lao động có trình độ </w:t>
            </w:r>
            <w:r w:rsidRPr="009875DA">
              <w:rPr>
                <w:rFonts w:ascii="Times New Roman" w:hAnsi="Times New Roman" w:cs="Times New Roman"/>
                <w:bCs/>
                <w:sz w:val="24"/>
                <w:szCs w:val="24"/>
                <w:lang w:val="de-DE"/>
              </w:rPr>
              <w:t>cao đẳng</w:t>
            </w:r>
            <w:r w:rsidRPr="009875DA">
              <w:rPr>
                <w:rFonts w:ascii="Times New Roman" w:hAnsi="Times New Roman" w:cs="Times New Roman"/>
                <w:sz w:val="24"/>
                <w:szCs w:val="24"/>
                <w:lang w:val="de-DE"/>
              </w:rPr>
              <w:t xml:space="preserve"> không vượt quá 30%) trên tổng số lao động </w:t>
            </w:r>
            <w:r w:rsidRPr="009875DA">
              <w:rPr>
                <w:rFonts w:ascii="Times New Roman" w:hAnsi="Times New Roman" w:cs="Times New Roman"/>
                <w:bCs/>
                <w:sz w:val="24"/>
                <w:szCs w:val="24"/>
                <w:lang w:val="de-DE"/>
              </w:rPr>
              <w:t>phải đạt tối thiểu 10%;</w:t>
            </w:r>
          </w:p>
          <w:p w14:paraId="3F82EC8B" w14:textId="77777777" w:rsidR="008F5631" w:rsidRPr="009875DA" w:rsidRDefault="008F5631" w:rsidP="008F5631">
            <w:pPr>
              <w:widowControl w:val="0"/>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d) Tỷ lệ nội địa hóa theo ngành, lĩnh vực theo quy định của Bộ trưởng Bộ Khoa học và Công nghệ.</w:t>
            </w:r>
          </w:p>
          <w:p w14:paraId="0982B177" w14:textId="1CB96FA8" w:rsidR="008F5631" w:rsidRPr="009875DA" w:rsidRDefault="008F5631" w:rsidP="008F5631">
            <w:pPr>
              <w:spacing w:after="120" w:line="276" w:lineRule="auto"/>
              <w:jc w:val="both"/>
              <w:rPr>
                <w:rFonts w:ascii="Times New Roman" w:hAnsi="Times New Roman" w:cs="Times New Roman"/>
                <w:sz w:val="24"/>
                <w:szCs w:val="24"/>
                <w:lang w:val="de-DE"/>
              </w:rPr>
            </w:pPr>
            <w:r w:rsidRPr="009875DA">
              <w:rPr>
                <w:rFonts w:ascii="Times New Roman" w:hAnsi="Times New Roman" w:cs="Times New Roman"/>
                <w:color w:val="000000" w:themeColor="text1"/>
                <w:sz w:val="24"/>
                <w:szCs w:val="24"/>
                <w:lang w:val="de-DE"/>
              </w:rPr>
              <w:t>Phương pháp tính tỷ lệ nội địa hóa tại Phụ lục I ban hành kèm theo Nghị định này.</w:t>
            </w:r>
          </w:p>
        </w:tc>
        <w:tc>
          <w:tcPr>
            <w:tcW w:w="5400" w:type="dxa"/>
          </w:tcPr>
          <w:p w14:paraId="6D06FC22" w14:textId="77777777" w:rsidR="004615D3"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lastRenderedPageBreak/>
              <w:t>Điều 15 quy định cụ thể các tiêu chí xác định doanh nghiệp công nghệ cao nhóm 1 quy định tại khoản 4 Điều 15 Luật Công nghệ cao số 133/2025/QH15.</w:t>
            </w:r>
          </w:p>
          <w:p w14:paraId="4003A24E" w14:textId="1B996603" w:rsidR="004615D3"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Trong đó các tiêu chí được xác</w:t>
            </w:r>
            <w:r w:rsidR="006E505F" w:rsidRPr="000C2D51">
              <w:rPr>
                <w:rFonts w:ascii="Times New Roman" w:hAnsi="Times New Roman" w:cs="Times New Roman"/>
                <w:sz w:val="24"/>
                <w:szCs w:val="24"/>
                <w:lang w:val="de-DE"/>
              </w:rPr>
              <w:t xml:space="preserve"> định</w:t>
            </w:r>
            <w:r w:rsidRPr="000C2D51">
              <w:rPr>
                <w:rFonts w:ascii="Times New Roman" w:hAnsi="Times New Roman" w:cs="Times New Roman"/>
                <w:sz w:val="24"/>
                <w:szCs w:val="24"/>
                <w:lang w:val="de-DE"/>
              </w:rPr>
              <w:t xml:space="preserve"> theo hai trường hợp tương ứng</w:t>
            </w:r>
            <w:r w:rsidR="006E505F" w:rsidRPr="000C2D51">
              <w:rPr>
                <w:rFonts w:ascii="Times New Roman" w:hAnsi="Times New Roman" w:cs="Times New Roman"/>
                <w:sz w:val="24"/>
                <w:szCs w:val="24"/>
                <w:lang w:val="de-DE"/>
              </w:rPr>
              <w:t xml:space="preserve"> với</w:t>
            </w:r>
            <w:r w:rsidRPr="000C2D51">
              <w:rPr>
                <w:rFonts w:ascii="Times New Roman" w:hAnsi="Times New Roman" w:cs="Times New Roman"/>
                <w:sz w:val="24"/>
                <w:szCs w:val="24"/>
                <w:lang w:val="de-DE"/>
              </w:rPr>
              <w:t xml:space="preserve"> hai mô hình doanh nghiệp công nghệ cao nhóm 1:</w:t>
            </w:r>
          </w:p>
          <w:p w14:paraId="66767136" w14:textId="77777777" w:rsidR="004615D3"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 Doanh nghiệp nghiên cứu – phát triển chuyên sâu;</w:t>
            </w:r>
          </w:p>
          <w:p w14:paraId="68E20D84" w14:textId="77777777" w:rsidR="004615D3"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 xml:space="preserve">- Doanh nghiệp sản xuất, kinh doanh sản phẩm công nghệ cao quy mô lớn, có năng lực nội địa hóa và làm </w:t>
            </w:r>
            <w:r w:rsidRPr="000C2D51">
              <w:rPr>
                <w:rFonts w:ascii="Times New Roman" w:hAnsi="Times New Roman" w:cs="Times New Roman"/>
                <w:sz w:val="24"/>
                <w:szCs w:val="24"/>
                <w:lang w:val="de-DE"/>
              </w:rPr>
              <w:lastRenderedPageBreak/>
              <w:t>chủ công nghệ.</w:t>
            </w:r>
          </w:p>
          <w:p w14:paraId="3FB5DBC3" w14:textId="77777777" w:rsidR="004615D3"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Những quy định này hướng tới mục tiêu:</w:t>
            </w:r>
          </w:p>
          <w:p w14:paraId="3EBC94A4" w14:textId="77777777" w:rsidR="004615D3"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 Tăng chất lượng và tính thực chất của doanh nghiệp công nghệ cao nhóm 1;</w:t>
            </w:r>
          </w:p>
          <w:p w14:paraId="639F3862" w14:textId="77777777" w:rsidR="004615D3"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 Thúc đẩy chuyển dịch từ gia công sang làm chủ công nghệ;</w:t>
            </w:r>
          </w:p>
          <w:p w14:paraId="75DED0AF" w14:textId="6E42FB83" w:rsidR="008F5631" w:rsidRPr="000C2D51" w:rsidRDefault="004615D3" w:rsidP="004615D3">
            <w:pPr>
              <w:widowControl w:val="0"/>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 Tăng giá trị gia tăng nội địa và năng lực cạnh tranh quốc tế.</w:t>
            </w:r>
          </w:p>
        </w:tc>
      </w:tr>
      <w:tr w:rsidR="004615D3" w:rsidRPr="0025521C" w14:paraId="62DCEAFE" w14:textId="77777777" w:rsidTr="00022042">
        <w:tc>
          <w:tcPr>
            <w:tcW w:w="2245" w:type="dxa"/>
          </w:tcPr>
          <w:p w14:paraId="55CAA84B" w14:textId="77777777" w:rsidR="004615D3" w:rsidRPr="009875DA" w:rsidRDefault="004615D3" w:rsidP="004615D3">
            <w:pPr>
              <w:widowControl w:val="0"/>
              <w:spacing w:line="276" w:lineRule="auto"/>
              <w:jc w:val="both"/>
              <w:rPr>
                <w:rFonts w:ascii="Times New Roman" w:hAnsi="Times New Roman" w:cs="Times New Roman"/>
                <w:b/>
                <w:bCs/>
                <w:sz w:val="24"/>
                <w:szCs w:val="24"/>
                <w:lang w:val="vi-VN"/>
              </w:rPr>
            </w:pPr>
          </w:p>
        </w:tc>
        <w:tc>
          <w:tcPr>
            <w:tcW w:w="7380" w:type="dxa"/>
          </w:tcPr>
          <w:p w14:paraId="2AB41E4F" w14:textId="77777777" w:rsidR="004615D3" w:rsidRPr="009875DA" w:rsidRDefault="004615D3" w:rsidP="004615D3">
            <w:pPr>
              <w:pStyle w:val="Heading2"/>
              <w:keepNext w:val="0"/>
              <w:widowControl w:val="0"/>
              <w:spacing w:line="276" w:lineRule="auto"/>
              <w:jc w:val="both"/>
              <w:rPr>
                <w:b w:val="0"/>
              </w:rPr>
            </w:pPr>
            <w:r w:rsidRPr="009875DA">
              <w:t>Điều 16. Tiêu chí doanh nghiệp công nghệ chiến lược</w:t>
            </w:r>
          </w:p>
          <w:p w14:paraId="5AFB7AAA" w14:textId="77777777" w:rsidR="004615D3" w:rsidRPr="009875DA"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Doanh nghiệp công nghệ chiến lược là doanh nghiệp đáp ứng các tiêu chí quy định tại khoản 6 Điều 15 Luật Công nghệ cao, đồng thời đáp ứng đầy đủ các tiêu chí sau đây:</w:t>
            </w:r>
          </w:p>
          <w:p w14:paraId="7C9DADE9" w14:textId="77777777" w:rsidR="004615D3" w:rsidRPr="009875DA"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1. Doanh thu từ sản phẩm công nghệ chiến lược </w:t>
            </w:r>
            <w:r w:rsidRPr="009875DA">
              <w:rPr>
                <w:rFonts w:ascii="Times New Roman" w:hAnsi="Times New Roman" w:cs="Times New Roman"/>
                <w:bCs/>
                <w:color w:val="000000" w:themeColor="text1"/>
                <w:sz w:val="24"/>
                <w:szCs w:val="24"/>
                <w:lang w:val="de-DE"/>
              </w:rPr>
              <w:t>phải đạt tối thiểu 80%</w:t>
            </w:r>
            <w:r w:rsidRPr="009875DA">
              <w:rPr>
                <w:rFonts w:ascii="Times New Roman" w:hAnsi="Times New Roman" w:cs="Times New Roman"/>
                <w:color w:val="000000" w:themeColor="text1"/>
                <w:sz w:val="24"/>
                <w:szCs w:val="24"/>
                <w:lang w:val="de-DE"/>
              </w:rPr>
              <w:t xml:space="preserve"> trong tổng doanh thu thuần năm liền kề của doanh nghiệp.</w:t>
            </w:r>
          </w:p>
          <w:p w14:paraId="4825C1E6" w14:textId="77777777" w:rsidR="004615D3" w:rsidRPr="009875DA"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 xml:space="preserve">2. Tỷ lệ tổng chi cho hoạt động nghiên cứu và phát triển của doanh nghiệp (bao gồm khấu hao đầu tư cơ sở hạ tầng, tài sản cố định, chi thường xuyên hàng năm cho hoạt động nghiên cứu và phát triển; chi hoạt động đào tạo, hỗ trợ đào tạo cho lao động nghiên cứu và phát triển của doanh nghiệp, các tổ chức khoa học và công nghệ, cơ sở đào tạo tại Việt Nam; phí bản quyền, chuyển quyền sở hữu, quyền sử dụng đối tượng sở hữu công nghiệp phục vụ hoạt động nghiên cứu và phát triển; phí đăng ký công nhận hoặc bảo hộ sáng chế, giải pháp hữu ích tại Việt Nam) trên giá trị của tổng doanh thu thuần trừ đi giá trị đầu vào (bao gồm giá trị nguyên vật liệu, linh kiện phục vụ sản xuất nhập khẩu và mua nội địa) năm liền kề </w:t>
            </w:r>
            <w:r w:rsidRPr="009875DA">
              <w:rPr>
                <w:rFonts w:ascii="Times New Roman" w:hAnsi="Times New Roman" w:cs="Times New Roman"/>
                <w:bCs/>
                <w:color w:val="000000" w:themeColor="text1"/>
                <w:sz w:val="24"/>
                <w:szCs w:val="24"/>
                <w:lang w:val="de-DE"/>
              </w:rPr>
              <w:t>phải đạt tối thiểu 1%.</w:t>
            </w:r>
          </w:p>
          <w:p w14:paraId="6B8C70F0" w14:textId="77777777" w:rsidR="004615D3" w:rsidRPr="009875DA" w:rsidRDefault="004615D3" w:rsidP="004615D3">
            <w:pPr>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themeColor="text1"/>
                <w:sz w:val="24"/>
                <w:szCs w:val="24"/>
                <w:lang w:val="de-DE"/>
              </w:rPr>
              <w:t xml:space="preserve">3. Tỷ lệ lao </w:t>
            </w:r>
            <w:r w:rsidRPr="009875DA">
              <w:rPr>
                <w:rFonts w:ascii="Times New Roman" w:hAnsi="Times New Roman" w:cs="Times New Roman"/>
                <w:sz w:val="24"/>
                <w:szCs w:val="24"/>
                <w:lang w:val="de-DE"/>
              </w:rPr>
              <w:t xml:space="preserve">động trực tiếp thực hiện nghiên cứu và phát triển có trình độ chuyên môn </w:t>
            </w:r>
            <w:r w:rsidRPr="009875DA">
              <w:rPr>
                <w:rFonts w:ascii="Times New Roman" w:hAnsi="Times New Roman" w:cs="Times New Roman"/>
                <w:bCs/>
                <w:sz w:val="24"/>
                <w:szCs w:val="24"/>
                <w:lang w:val="de-DE"/>
              </w:rPr>
              <w:t>từ cao đẳng trở lên</w:t>
            </w:r>
            <w:r w:rsidRPr="009875DA">
              <w:rPr>
                <w:rFonts w:ascii="Times New Roman" w:hAnsi="Times New Roman" w:cs="Times New Roman"/>
                <w:sz w:val="24"/>
                <w:szCs w:val="24"/>
                <w:lang w:val="de-DE"/>
              </w:rPr>
              <w:t xml:space="preserve"> của doanh nghiệp (là số lao động đã ký hợp đồng lao động có thời hạn từ 01 năm trở lên hoặc hợp đồng không xác định thời hạn, trong đó lao động có trình độ cao đẳng không vượt quá 30%) trên tổng số lao động </w:t>
            </w:r>
            <w:r w:rsidRPr="009875DA">
              <w:rPr>
                <w:rFonts w:ascii="Times New Roman" w:hAnsi="Times New Roman" w:cs="Times New Roman"/>
                <w:bCs/>
                <w:sz w:val="24"/>
                <w:szCs w:val="24"/>
                <w:lang w:val="de-DE"/>
              </w:rPr>
              <w:t>phải đạt tối thiểu 10%.</w:t>
            </w:r>
          </w:p>
          <w:p w14:paraId="05D5A5F8" w14:textId="77777777" w:rsidR="004615D3" w:rsidRPr="009875DA" w:rsidRDefault="004615D3" w:rsidP="004615D3">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4. Tỷ lệ nội địa hóa theo ngành, lĩnh vực theo quy định của Bộ trưởng Bộ Khoa học và Công nghệ.</w:t>
            </w:r>
          </w:p>
          <w:p w14:paraId="5AA721EE" w14:textId="704CDB74" w:rsidR="004615D3" w:rsidRPr="009875DA" w:rsidRDefault="004615D3" w:rsidP="004615D3">
            <w:pPr>
              <w:spacing w:after="120"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lastRenderedPageBreak/>
              <w:t>Phương pháp tính tỷ lệ nội địa hóa tại Phụ lục I ban hành kèm theo Nghị định này.</w:t>
            </w:r>
          </w:p>
        </w:tc>
        <w:tc>
          <w:tcPr>
            <w:tcW w:w="5400" w:type="dxa"/>
          </w:tcPr>
          <w:p w14:paraId="41C21777" w14:textId="014FB0CD" w:rsidR="004615D3" w:rsidRPr="004615D3"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4615D3">
              <w:rPr>
                <w:rFonts w:ascii="Times New Roman" w:hAnsi="Times New Roman" w:cs="Times New Roman"/>
                <w:color w:val="000000" w:themeColor="text1"/>
                <w:sz w:val="24"/>
                <w:szCs w:val="24"/>
                <w:lang w:val="de-DE"/>
              </w:rPr>
              <w:lastRenderedPageBreak/>
              <w:t>Điều 16 quy định cụ thể tiêu chí xác định doanh nghiệp công nghệ chiến lược quy định tại khoản 6 Điều 15 Luật Công nghệ cao số 133/2025/QH15</w:t>
            </w:r>
            <w:r w:rsidR="006E505F">
              <w:rPr>
                <w:rFonts w:ascii="Times New Roman" w:hAnsi="Times New Roman" w:cs="Times New Roman"/>
                <w:color w:val="000000" w:themeColor="text1"/>
                <w:sz w:val="24"/>
                <w:szCs w:val="24"/>
                <w:lang w:val="de-DE"/>
              </w:rPr>
              <w:t xml:space="preserve"> - </w:t>
            </w:r>
            <w:r w:rsidRPr="004615D3">
              <w:rPr>
                <w:rFonts w:ascii="Times New Roman" w:hAnsi="Times New Roman" w:cs="Times New Roman"/>
                <w:color w:val="000000" w:themeColor="text1"/>
                <w:sz w:val="24"/>
                <w:szCs w:val="24"/>
                <w:lang w:val="de-DE"/>
              </w:rPr>
              <w:t>là nhóm doanh nghiệp có vai trò đặc biệt quan trọng đối với phát triển kinh tế - xã hội, bảo đảm quốc phòng, an ninh và năng lực tự chủ công nghệ quốc gia.</w:t>
            </w:r>
          </w:p>
          <w:p w14:paraId="4E0AF4DD" w14:textId="77777777" w:rsidR="004615D3" w:rsidRPr="004615D3"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4615D3">
              <w:rPr>
                <w:rFonts w:ascii="Times New Roman" w:hAnsi="Times New Roman" w:cs="Times New Roman"/>
                <w:color w:val="000000" w:themeColor="text1"/>
                <w:sz w:val="24"/>
                <w:szCs w:val="24"/>
                <w:lang w:val="de-DE"/>
              </w:rPr>
              <w:t>- Việc thiết kế tiêu chí theo hướng cao hơn và chặt chẽ hơn so với doanh nghiệp công nghệ cao nhằm bảo đảm tính chọn lọc và vai trò dẫn dắt của doanh nghiệp công nghệ chiến lược.</w:t>
            </w:r>
          </w:p>
          <w:p w14:paraId="1560AAD0" w14:textId="77777777" w:rsidR="004615D3" w:rsidRPr="004615D3"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4615D3">
              <w:rPr>
                <w:rFonts w:ascii="Times New Roman" w:hAnsi="Times New Roman" w:cs="Times New Roman"/>
                <w:color w:val="000000" w:themeColor="text1"/>
                <w:sz w:val="24"/>
                <w:szCs w:val="24"/>
                <w:lang w:val="de-DE"/>
              </w:rPr>
              <w:t>- Điều 16 quy định các tiêu chí mang tính “tập trung – chuyên sâu – làm chủ công nghệ”. Các tiêu chí này bảo đảm doanh nghiệp thực sự lấy công nghệ chiến lược làm hoạt động cốt lõi, không chỉ tham gia ở mức độ phụ trợ.</w:t>
            </w:r>
          </w:p>
          <w:p w14:paraId="7BBBD491" w14:textId="77777777" w:rsidR="004615D3" w:rsidRPr="004615D3"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4615D3">
              <w:rPr>
                <w:rFonts w:ascii="Times New Roman" w:hAnsi="Times New Roman" w:cs="Times New Roman"/>
                <w:color w:val="000000" w:themeColor="text1"/>
                <w:sz w:val="24"/>
                <w:szCs w:val="24"/>
                <w:lang w:val="de-DE"/>
              </w:rPr>
              <w:t>Các tiêu chí xây dựng hướng tới mục tiêu:</w:t>
            </w:r>
          </w:p>
          <w:p w14:paraId="6FD6AFF7" w14:textId="77777777" w:rsidR="004615D3" w:rsidRPr="004615D3"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4615D3">
              <w:rPr>
                <w:rFonts w:ascii="Times New Roman" w:hAnsi="Times New Roman" w:cs="Times New Roman"/>
                <w:color w:val="000000" w:themeColor="text1"/>
                <w:sz w:val="24"/>
                <w:szCs w:val="24"/>
                <w:lang w:val="de-DE"/>
              </w:rPr>
              <w:t>- Bảo đảm tính phân tầng rõ ràng giữa doanh nghiệp công nghệ cao và doanh nghiệp công nghệ chiến lược;</w:t>
            </w:r>
          </w:p>
          <w:p w14:paraId="1A298926" w14:textId="77777777" w:rsidR="004615D3" w:rsidRPr="004615D3"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4615D3">
              <w:rPr>
                <w:rFonts w:ascii="Times New Roman" w:hAnsi="Times New Roman" w:cs="Times New Roman"/>
                <w:color w:val="000000" w:themeColor="text1"/>
                <w:sz w:val="24"/>
                <w:szCs w:val="24"/>
                <w:lang w:val="de-DE"/>
              </w:rPr>
              <w:t>- Tương thích với thông lệ quốc tế về lựa chọn và hỗ trợ doanh nghiệp công nghệ lõi;</w:t>
            </w:r>
          </w:p>
          <w:p w14:paraId="58CD9BC0" w14:textId="467F385E" w:rsidR="004615D3" w:rsidRPr="004615D3" w:rsidRDefault="004615D3" w:rsidP="004615D3">
            <w:pPr>
              <w:widowControl w:val="0"/>
              <w:spacing w:line="276" w:lineRule="auto"/>
              <w:jc w:val="both"/>
              <w:rPr>
                <w:rFonts w:ascii="Times New Roman" w:hAnsi="Times New Roman" w:cs="Times New Roman"/>
                <w:color w:val="000000" w:themeColor="text1"/>
                <w:sz w:val="24"/>
                <w:szCs w:val="24"/>
                <w:lang w:val="de-DE"/>
              </w:rPr>
            </w:pPr>
            <w:r w:rsidRPr="004615D3">
              <w:rPr>
                <w:rFonts w:ascii="Times New Roman" w:hAnsi="Times New Roman" w:cs="Times New Roman"/>
                <w:color w:val="000000" w:themeColor="text1"/>
                <w:sz w:val="24"/>
                <w:szCs w:val="24"/>
                <w:lang w:val="de-DE"/>
              </w:rPr>
              <w:t xml:space="preserve">- Góp phần hình thành lực lượng doanh nghiệp công nghệ chiến lược có năng lực cạnh tranh khu vực và toàn cầu, giữ vai trò trụ cột trong các ngành công nghệ </w:t>
            </w:r>
            <w:r w:rsidRPr="004615D3">
              <w:rPr>
                <w:rFonts w:ascii="Times New Roman" w:hAnsi="Times New Roman" w:cs="Times New Roman"/>
                <w:color w:val="000000" w:themeColor="text1"/>
                <w:sz w:val="24"/>
                <w:szCs w:val="24"/>
                <w:lang w:val="de-DE"/>
              </w:rPr>
              <w:lastRenderedPageBreak/>
              <w:t>trọng điểm.</w:t>
            </w:r>
          </w:p>
        </w:tc>
      </w:tr>
      <w:tr w:rsidR="004615D3" w:rsidRPr="0025521C" w14:paraId="42E97743" w14:textId="77777777" w:rsidTr="00022042">
        <w:tc>
          <w:tcPr>
            <w:tcW w:w="2245" w:type="dxa"/>
          </w:tcPr>
          <w:p w14:paraId="502FEEBC" w14:textId="77777777" w:rsidR="004615D3" w:rsidRPr="009875DA" w:rsidRDefault="004615D3" w:rsidP="004615D3">
            <w:pPr>
              <w:widowControl w:val="0"/>
              <w:spacing w:line="276" w:lineRule="auto"/>
              <w:jc w:val="both"/>
              <w:rPr>
                <w:rFonts w:ascii="Times New Roman" w:hAnsi="Times New Roman" w:cs="Times New Roman"/>
                <w:b/>
                <w:bCs/>
                <w:sz w:val="24"/>
                <w:szCs w:val="24"/>
                <w:lang w:val="vi-VN"/>
              </w:rPr>
            </w:pPr>
          </w:p>
        </w:tc>
        <w:tc>
          <w:tcPr>
            <w:tcW w:w="7380" w:type="dxa"/>
          </w:tcPr>
          <w:p w14:paraId="7514F438" w14:textId="77777777" w:rsidR="004615D3" w:rsidRPr="009875DA" w:rsidRDefault="004615D3" w:rsidP="004615D3">
            <w:pPr>
              <w:pStyle w:val="Heading2"/>
              <w:spacing w:line="276" w:lineRule="auto"/>
              <w:jc w:val="both"/>
              <w:rPr>
                <w:b w:val="0"/>
              </w:rPr>
            </w:pPr>
            <w:r w:rsidRPr="009875DA">
              <w:t>Điều 17. Thẩm quyền xác nhận</w:t>
            </w:r>
          </w:p>
          <w:p w14:paraId="3FE9FD15" w14:textId="77777777" w:rsidR="004615D3" w:rsidRPr="009875DA" w:rsidRDefault="004615D3" w:rsidP="004615D3">
            <w:pPr>
              <w:spacing w:line="276" w:lineRule="auto"/>
              <w:jc w:val="both"/>
              <w:rPr>
                <w:rFonts w:ascii="Times New Roman" w:hAnsi="Times New Roman" w:cs="Times New Roman"/>
                <w:color w:val="000000" w:themeColor="text1"/>
                <w:sz w:val="24"/>
                <w:szCs w:val="24"/>
                <w:lang w:val="vi-VN"/>
              </w:rPr>
            </w:pPr>
            <w:r w:rsidRPr="009875DA">
              <w:rPr>
                <w:rFonts w:ascii="Times New Roman" w:hAnsi="Times New Roman" w:cs="Times New Roman"/>
                <w:color w:val="000000" w:themeColor="text1"/>
                <w:sz w:val="24"/>
                <w:szCs w:val="24"/>
                <w:lang w:val="vi-VN"/>
              </w:rPr>
              <w:t>1. Bộ Khoa học và Công nghệ có thẩm quyền chủ trì việc tiếp nhận, đánh giá và xác nhận:</w:t>
            </w:r>
          </w:p>
          <w:p w14:paraId="0E9EE879" w14:textId="77777777" w:rsidR="004615D3" w:rsidRPr="009875DA" w:rsidRDefault="004615D3" w:rsidP="004615D3">
            <w:pPr>
              <w:spacing w:line="276" w:lineRule="auto"/>
              <w:jc w:val="both"/>
              <w:rPr>
                <w:rFonts w:ascii="Times New Roman" w:hAnsi="Times New Roman" w:cs="Times New Roman"/>
                <w:color w:val="000000" w:themeColor="text1"/>
                <w:sz w:val="24"/>
                <w:szCs w:val="24"/>
              </w:rPr>
            </w:pPr>
            <w:r w:rsidRPr="009875DA">
              <w:rPr>
                <w:rFonts w:ascii="Times New Roman" w:hAnsi="Times New Roman" w:cs="Times New Roman"/>
                <w:color w:val="000000" w:themeColor="text1"/>
                <w:sz w:val="24"/>
                <w:szCs w:val="24"/>
              </w:rPr>
              <w:t>a) Doanh nghiệp công nghệ cao nhóm 1;</w:t>
            </w:r>
          </w:p>
          <w:p w14:paraId="01491545" w14:textId="77777777" w:rsidR="004615D3" w:rsidRPr="009875DA" w:rsidRDefault="004615D3" w:rsidP="004615D3">
            <w:pPr>
              <w:spacing w:line="276" w:lineRule="auto"/>
              <w:jc w:val="both"/>
              <w:rPr>
                <w:rFonts w:ascii="Times New Roman" w:hAnsi="Times New Roman" w:cs="Times New Roman"/>
                <w:color w:val="000000" w:themeColor="text1"/>
                <w:sz w:val="24"/>
                <w:szCs w:val="24"/>
              </w:rPr>
            </w:pPr>
            <w:r w:rsidRPr="009875DA">
              <w:rPr>
                <w:rFonts w:ascii="Times New Roman" w:hAnsi="Times New Roman" w:cs="Times New Roman"/>
                <w:color w:val="000000" w:themeColor="text1"/>
                <w:sz w:val="24"/>
                <w:szCs w:val="24"/>
              </w:rPr>
              <w:t>b) Doanh nghiệp công nghệ chiến lược.</w:t>
            </w:r>
          </w:p>
          <w:p w14:paraId="6BC1AB17" w14:textId="77777777" w:rsidR="004615D3" w:rsidRPr="009875DA" w:rsidRDefault="004615D3" w:rsidP="004615D3">
            <w:pPr>
              <w:spacing w:line="276" w:lineRule="auto"/>
              <w:jc w:val="both"/>
              <w:rPr>
                <w:rFonts w:ascii="Times New Roman" w:hAnsi="Times New Roman" w:cs="Times New Roman"/>
                <w:color w:val="000000" w:themeColor="text1"/>
                <w:sz w:val="24"/>
                <w:szCs w:val="24"/>
              </w:rPr>
            </w:pPr>
            <w:r w:rsidRPr="009875DA">
              <w:rPr>
                <w:rFonts w:ascii="Times New Roman" w:hAnsi="Times New Roman" w:cs="Times New Roman"/>
                <w:color w:val="000000" w:themeColor="text1"/>
                <w:sz w:val="24"/>
                <w:szCs w:val="24"/>
              </w:rPr>
              <w:t>2. Ủy ban nhân dân cấp tỉnh nơi doanh nghiệp đặt trụ sở chính hoặc cơ sở sản xuất là cơ quan có thẩm quyền chủ trì việc tiếp nhận, đánh giá và xác nhận:</w:t>
            </w:r>
          </w:p>
          <w:p w14:paraId="7FCD85F1" w14:textId="77777777" w:rsidR="004615D3" w:rsidRPr="009875DA" w:rsidRDefault="004615D3" w:rsidP="004615D3">
            <w:pPr>
              <w:spacing w:line="276" w:lineRule="auto"/>
              <w:jc w:val="both"/>
              <w:rPr>
                <w:rFonts w:ascii="Times New Roman" w:hAnsi="Times New Roman" w:cs="Times New Roman"/>
                <w:color w:val="000000" w:themeColor="text1"/>
                <w:sz w:val="24"/>
                <w:szCs w:val="24"/>
              </w:rPr>
            </w:pPr>
            <w:r w:rsidRPr="009875DA">
              <w:rPr>
                <w:rFonts w:ascii="Times New Roman" w:hAnsi="Times New Roman" w:cs="Times New Roman"/>
                <w:color w:val="000000" w:themeColor="text1"/>
                <w:sz w:val="24"/>
                <w:szCs w:val="24"/>
              </w:rPr>
              <w:t>a) Doanh nghiệp sản xuất sản phẩm công nghệ cao;</w:t>
            </w:r>
          </w:p>
          <w:p w14:paraId="0A986C36" w14:textId="77777777" w:rsidR="004615D3" w:rsidRPr="009875DA" w:rsidRDefault="004615D3" w:rsidP="004615D3">
            <w:pPr>
              <w:spacing w:line="276" w:lineRule="auto"/>
              <w:jc w:val="both"/>
              <w:rPr>
                <w:rFonts w:ascii="Times New Roman" w:hAnsi="Times New Roman" w:cs="Times New Roman"/>
                <w:color w:val="EE0000"/>
                <w:sz w:val="24"/>
                <w:szCs w:val="24"/>
              </w:rPr>
            </w:pPr>
            <w:r w:rsidRPr="009875DA">
              <w:rPr>
                <w:rFonts w:ascii="Times New Roman" w:hAnsi="Times New Roman" w:cs="Times New Roman"/>
                <w:color w:val="000000" w:themeColor="text1"/>
                <w:sz w:val="24"/>
                <w:szCs w:val="24"/>
              </w:rPr>
              <w:t>b) Doanh nghiệp công nghệ cao nhóm 2.</w:t>
            </w:r>
          </w:p>
          <w:p w14:paraId="147BF843" w14:textId="77777777" w:rsidR="004615D3" w:rsidRPr="009875DA" w:rsidRDefault="004615D3" w:rsidP="004615D3">
            <w:pPr>
              <w:spacing w:line="276" w:lineRule="auto"/>
              <w:jc w:val="both"/>
              <w:rPr>
                <w:rFonts w:ascii="Times New Roman" w:hAnsi="Times New Roman" w:cs="Times New Roman"/>
                <w:color w:val="000000" w:themeColor="text1"/>
                <w:sz w:val="24"/>
                <w:szCs w:val="24"/>
              </w:rPr>
            </w:pPr>
            <w:r w:rsidRPr="009875DA">
              <w:rPr>
                <w:rFonts w:ascii="Times New Roman" w:hAnsi="Times New Roman" w:cs="Times New Roman"/>
                <w:color w:val="000000" w:themeColor="text1"/>
                <w:sz w:val="24"/>
                <w:szCs w:val="24"/>
              </w:rPr>
              <w:t>3. Bộ, cơ quan ngang bộ quản lý ngành, lĩnh vực có trách nhiệm phối hợp trong việc đánh giá, cho ý kiến về các tiêu chí chuyên ngành theo đề nghị của Bộ Khoa học và Công nghệ, Ủy ban nhân dân cấp tỉnh.</w:t>
            </w:r>
          </w:p>
          <w:p w14:paraId="59E681AE" w14:textId="7736B384" w:rsidR="004615D3" w:rsidRPr="009875DA" w:rsidRDefault="004615D3" w:rsidP="004615D3">
            <w:pPr>
              <w:spacing w:after="120" w:line="276" w:lineRule="auto"/>
              <w:jc w:val="both"/>
              <w:rPr>
                <w:rFonts w:ascii="Times New Roman" w:hAnsi="Times New Roman" w:cs="Times New Roman"/>
                <w:color w:val="000000" w:themeColor="text1"/>
                <w:sz w:val="24"/>
                <w:szCs w:val="24"/>
                <w:lang w:val="nb-NO"/>
              </w:rPr>
            </w:pPr>
          </w:p>
        </w:tc>
        <w:tc>
          <w:tcPr>
            <w:tcW w:w="5400" w:type="dxa"/>
          </w:tcPr>
          <w:p w14:paraId="73D82AA0" w14:textId="77777777"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Điều 17 cụ thể hóa thẩm quyền xác nhận doanh nghiệp sản xuất sản phẩm công nghệ cao, doanh nghiệp công nghệ cao, doanh nghiệp công nghệ chiến lược.</w:t>
            </w:r>
          </w:p>
          <w:p w14:paraId="46E82B2C" w14:textId="77777777"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Việc phân định thẩm quyền giữa cơ quan trung ương và địa phương bảo đảm phù hợp với:</w:t>
            </w:r>
          </w:p>
          <w:p w14:paraId="53CD08E1" w14:textId="77777777"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 Pháp luật về tổ chức Chính phủ và tổ chức chính quyền địa phương;</w:t>
            </w:r>
          </w:p>
          <w:p w14:paraId="7BDA8E08" w14:textId="77777777"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 Nguyên tắc phân cấp, phân quyền trong quản lý nhà nước;</w:t>
            </w:r>
          </w:p>
          <w:p w14:paraId="0A87B123" w14:textId="77777777"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 Quy định về trách nhiệm quản lý ngành, lĩnh vực;</w:t>
            </w:r>
          </w:p>
          <w:p w14:paraId="12A3324E" w14:textId="77777777"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 Bảo đảm thống nhất quản lý nhà nước đối với các doanh nghiệp có vai trò dẫn dắt, tác động lớn đến chiến lược phát triển khoa học, công nghệ quốc gia;</w:t>
            </w:r>
          </w:p>
          <w:p w14:paraId="19CDA2B8" w14:textId="77777777"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 Tăng cường phân cấp cho địa phương đối với các doanh nghiệp có phạm vi ảnh hưởng chủ yếu trên địa bàn.</w:t>
            </w:r>
          </w:p>
          <w:p w14:paraId="7B09D2D0" w14:textId="00E83228" w:rsidR="004615D3" w:rsidRPr="000C2D51" w:rsidRDefault="004615D3" w:rsidP="004615D3">
            <w:pPr>
              <w:spacing w:line="276" w:lineRule="auto"/>
              <w:jc w:val="both"/>
              <w:rPr>
                <w:rFonts w:ascii="Times New Roman" w:hAnsi="Times New Roman" w:cs="Times New Roman"/>
                <w:color w:val="000000" w:themeColor="text1"/>
                <w:sz w:val="24"/>
                <w:szCs w:val="24"/>
                <w:lang w:val="nb-NO"/>
              </w:rPr>
            </w:pPr>
            <w:r w:rsidRPr="000C2D51">
              <w:rPr>
                <w:rFonts w:ascii="Times New Roman" w:hAnsi="Times New Roman" w:cs="Times New Roman"/>
                <w:color w:val="000000" w:themeColor="text1"/>
                <w:sz w:val="24"/>
                <w:szCs w:val="24"/>
                <w:lang w:val="nb-NO"/>
              </w:rPr>
              <w:t>Việc quy định phân cấp cho Ủy ban nhân dân cấp tỉnh được kế thừa quy định tại Nghị định số 133/2025/NĐ-CP, trong đó đã phân cấp cho Ủy ban nhân dân cấp tỉnh trong việc xét cấp giấy chứng nhận doanh nghiệp công nghệ cao.</w:t>
            </w:r>
          </w:p>
        </w:tc>
      </w:tr>
      <w:tr w:rsidR="004615D3" w:rsidRPr="0025521C" w14:paraId="73FAF3E0" w14:textId="77777777" w:rsidTr="00022042">
        <w:tc>
          <w:tcPr>
            <w:tcW w:w="2245" w:type="dxa"/>
          </w:tcPr>
          <w:p w14:paraId="602E61EC" w14:textId="77777777" w:rsidR="004615D3" w:rsidRPr="009875DA" w:rsidRDefault="004615D3" w:rsidP="004615D3">
            <w:pPr>
              <w:widowControl w:val="0"/>
              <w:jc w:val="both"/>
              <w:rPr>
                <w:rFonts w:ascii="Times New Roman" w:hAnsi="Times New Roman" w:cs="Times New Roman"/>
                <w:b/>
                <w:sz w:val="24"/>
                <w:szCs w:val="24"/>
                <w:lang w:val="nl-NL" w:eastAsia="vi-VN"/>
              </w:rPr>
            </w:pPr>
          </w:p>
        </w:tc>
        <w:tc>
          <w:tcPr>
            <w:tcW w:w="7380" w:type="dxa"/>
          </w:tcPr>
          <w:p w14:paraId="66E06016" w14:textId="77777777" w:rsidR="004615D3" w:rsidRPr="009875DA" w:rsidRDefault="004615D3" w:rsidP="006E505F">
            <w:pPr>
              <w:pStyle w:val="Heading2"/>
              <w:spacing w:line="276" w:lineRule="auto"/>
              <w:jc w:val="left"/>
              <w:rPr>
                <w:b w:val="0"/>
              </w:rPr>
            </w:pPr>
            <w:r w:rsidRPr="009875DA">
              <w:t>Điều 18. Trình tự, thủ tục đăng ký, xác nhận doanh nghiệp sản xuất sản phẩm công nghệ cao, doanh nghiệp công nghệ cao, doanh nghiệp công nghệ chiến lược</w:t>
            </w:r>
          </w:p>
          <w:p w14:paraId="48D32287" w14:textId="77777777" w:rsidR="004615D3" w:rsidRPr="009875DA" w:rsidRDefault="004615D3" w:rsidP="004615D3">
            <w:pPr>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themeColor="text1"/>
                <w:sz w:val="24"/>
                <w:szCs w:val="24"/>
                <w:lang w:val="de-DE"/>
              </w:rPr>
              <w:t xml:space="preserve">1. Doanh nghiệp có văn bản đăng ký, nộp hồ sơ đề nghị xác nhận về cơ quan có thẩm quyền quy định tại khoản 1, khoản 2 Điều 17 của Nghị định này bằng hình thức trực tiếp hoặc trực tuyến trên Cổng dịch vụ công quốc </w:t>
            </w:r>
            <w:r w:rsidRPr="009875DA">
              <w:rPr>
                <w:rFonts w:ascii="Times New Roman" w:hAnsi="Times New Roman" w:cs="Times New Roman"/>
                <w:color w:val="000000" w:themeColor="text1"/>
                <w:sz w:val="24"/>
                <w:szCs w:val="24"/>
                <w:lang w:val="de-DE"/>
              </w:rPr>
              <w:lastRenderedPageBreak/>
              <w:t>gia. Mẫu văn bản đăng ký theo quy định của Bộ trưởng Bộ Khoa học và Công nghệ.</w:t>
            </w:r>
          </w:p>
          <w:p w14:paraId="66E07C84" w14:textId="77777777" w:rsidR="004615D3" w:rsidRPr="009875DA" w:rsidRDefault="004615D3" w:rsidP="004615D3">
            <w:pPr>
              <w:spacing w:line="276" w:lineRule="auto"/>
              <w:jc w:val="both"/>
              <w:rPr>
                <w:rFonts w:ascii="Times New Roman" w:hAnsi="Times New Roman" w:cs="Times New Roman"/>
                <w:color w:val="000000" w:themeColor="text1"/>
                <w:sz w:val="24"/>
                <w:szCs w:val="24"/>
                <w:lang w:val="de-DE"/>
              </w:rPr>
            </w:pPr>
            <w:r w:rsidRPr="009875DA">
              <w:rPr>
                <w:rFonts w:ascii="Times New Roman" w:hAnsi="Times New Roman" w:cs="Times New Roman"/>
                <w:color w:val="000000" w:themeColor="text1"/>
                <w:sz w:val="24"/>
                <w:szCs w:val="24"/>
                <w:lang w:val="de-DE"/>
              </w:rPr>
              <w:t>2. Hồ sơ đề nghị xác nhận bao gồm:</w:t>
            </w:r>
          </w:p>
          <w:p w14:paraId="4D15CE3C" w14:textId="77777777" w:rsidR="004615D3" w:rsidRPr="009875DA" w:rsidRDefault="004615D3" w:rsidP="004615D3">
            <w:pPr>
              <w:spacing w:line="276" w:lineRule="auto"/>
              <w:jc w:val="both"/>
              <w:rPr>
                <w:rFonts w:ascii="Times New Roman" w:hAnsi="Times New Roman" w:cs="Times New Roman"/>
                <w:strike/>
                <w:sz w:val="24"/>
                <w:szCs w:val="24"/>
                <w:lang w:val="de-DE"/>
              </w:rPr>
            </w:pPr>
            <w:r w:rsidRPr="009875DA">
              <w:rPr>
                <w:rFonts w:ascii="Times New Roman" w:hAnsi="Times New Roman" w:cs="Times New Roman"/>
                <w:sz w:val="24"/>
                <w:szCs w:val="24"/>
                <w:lang w:val="de-DE"/>
              </w:rPr>
              <w:t>a) Văn bản đề nghị xác nhận theo quy định của Bộ trưởng Bộ Khoa học và Công nghệ.</w:t>
            </w:r>
          </w:p>
          <w:p w14:paraId="5895BE6B" w14:textId="77777777" w:rsidR="004615D3" w:rsidRPr="009875DA" w:rsidRDefault="004615D3" w:rsidP="004615D3">
            <w:pPr>
              <w:spacing w:line="276" w:lineRule="auto"/>
              <w:jc w:val="both"/>
              <w:rPr>
                <w:rFonts w:ascii="Times New Roman" w:hAnsi="Times New Roman" w:cs="Times New Roman"/>
                <w:strike/>
                <w:sz w:val="24"/>
                <w:szCs w:val="24"/>
                <w:lang w:val="de-DE"/>
              </w:rPr>
            </w:pPr>
            <w:r w:rsidRPr="009875DA">
              <w:rPr>
                <w:rFonts w:ascii="Times New Roman" w:hAnsi="Times New Roman" w:cs="Times New Roman"/>
                <w:sz w:val="24"/>
                <w:szCs w:val="24"/>
                <w:lang w:val="de-DE"/>
              </w:rPr>
              <w:t xml:space="preserve">b) Các tài liệu chứng minh tư </w:t>
            </w:r>
            <w:r w:rsidRPr="009875DA">
              <w:rPr>
                <w:rFonts w:ascii="Times New Roman" w:hAnsi="Times New Roman" w:cs="Times New Roman"/>
                <w:color w:val="000000" w:themeColor="text1"/>
                <w:sz w:val="24"/>
                <w:szCs w:val="24"/>
                <w:lang w:val="de-DE"/>
              </w:rPr>
              <w:t xml:space="preserve">cách pháp nhân của doanh nghiệp và thuyết minh đáp ứng các tiêu chí tương ứng quy </w:t>
            </w:r>
            <w:r w:rsidRPr="009875DA">
              <w:rPr>
                <w:rFonts w:ascii="Times New Roman" w:hAnsi="Times New Roman" w:cs="Times New Roman"/>
                <w:sz w:val="24"/>
                <w:szCs w:val="24"/>
                <w:lang w:val="de-DE"/>
              </w:rPr>
              <w:t>định đối với từng loại hình doanh nghiệp quy định tại khoản 1 Điều 15 Luật Công nghệ cao, Điều 14, 15, 16 của Nghị định này. Thuyết minh theo mẫu do Bộ trưởng Bộ Khoa học và Công nghệ ban hành.</w:t>
            </w:r>
          </w:p>
          <w:p w14:paraId="03B6FAEC" w14:textId="77777777" w:rsidR="004615D3" w:rsidRPr="009875DA" w:rsidRDefault="004615D3" w:rsidP="004615D3">
            <w:pPr>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3. Trình tự, thủ tục xác nhận</w:t>
            </w:r>
          </w:p>
          <w:p w14:paraId="1DC4E05E" w14:textId="77777777" w:rsidR="004615D3" w:rsidRPr="009875DA" w:rsidRDefault="004615D3" w:rsidP="004615D3">
            <w:pPr>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a) Trong thời hạn 03 ngày làm việc kể từ ngày nhận hồ sơ, cơ quan có thẩm quyền có trách nhiệm xem xét tính đầy đủ, hợp lệ của hồ sơ;</w:t>
            </w:r>
          </w:p>
          <w:p w14:paraId="24E02535" w14:textId="77777777" w:rsidR="004615D3" w:rsidRPr="009875DA" w:rsidRDefault="004615D3" w:rsidP="004615D3">
            <w:pPr>
              <w:spacing w:line="276" w:lineRule="auto"/>
              <w:jc w:val="both"/>
              <w:rPr>
                <w:rFonts w:ascii="Times New Roman" w:hAnsi="Times New Roman" w:cs="Times New Roman"/>
                <w:spacing w:val="2"/>
                <w:sz w:val="24"/>
                <w:szCs w:val="24"/>
                <w:lang w:val="nb-NO"/>
              </w:rPr>
            </w:pPr>
            <w:r w:rsidRPr="009875DA">
              <w:rPr>
                <w:rFonts w:ascii="Times New Roman" w:hAnsi="Times New Roman" w:cs="Times New Roman"/>
                <w:spacing w:val="2"/>
                <w:sz w:val="24"/>
                <w:szCs w:val="24"/>
                <w:lang w:val="nb-NO"/>
              </w:rPr>
              <w:t>b) Trường hợp hồ sơ chưa đầy đủ, hợp lệ, trong thời hạn 03 ngày làm việc, cơ quan có thẩm quyền có văn bản yêu cầu bổ sung, hoàn thiện hồ sơ cho doanh nghiệp. Trong thời hạn 07 ngày làm việc, kể từ ngày nhận được văn bản yêu cầu bổ sung, hoàn thiện hồ sơ, doanh nghiệp có trách nhiệm bổ sung, chỉnh sửa hồ sơ và gửi lại cơ quan có thẩm quyền. Nếu quá thời hạn nêu trên mà doanh nghiệp không bổ sung, hoàn thiện hồ sơ hoặc bổ sung, hoàn thiện không đạt yêu cầu thì cơ quan có thẩm quyền có văn bản từ chối xem xét xác nhận gửi cho doanh nghiệp;</w:t>
            </w:r>
          </w:p>
          <w:p w14:paraId="4600186D" w14:textId="77777777" w:rsidR="004615D3" w:rsidRPr="009875DA" w:rsidRDefault="004615D3" w:rsidP="004615D3">
            <w:pPr>
              <w:spacing w:line="276" w:lineRule="auto"/>
              <w:jc w:val="both"/>
              <w:rPr>
                <w:rFonts w:ascii="Times New Roman" w:hAnsi="Times New Roman" w:cs="Times New Roman"/>
                <w:color w:val="000000" w:themeColor="text1"/>
                <w:spacing w:val="2"/>
                <w:sz w:val="24"/>
                <w:szCs w:val="24"/>
                <w:lang w:val="nb-NO"/>
              </w:rPr>
            </w:pPr>
            <w:r w:rsidRPr="009875DA">
              <w:rPr>
                <w:rFonts w:ascii="Times New Roman" w:hAnsi="Times New Roman" w:cs="Times New Roman"/>
                <w:spacing w:val="2"/>
                <w:sz w:val="24"/>
                <w:szCs w:val="24"/>
                <w:lang w:val="nb-NO"/>
              </w:rPr>
              <w:t xml:space="preserve">c) Trong thời hạn 15 ngày làm việc kể từ ngày nhận được hồ sơ đầy đủ, hợp lệ, cơ quan có thẩm quyền có trách nhiệm tổ </w:t>
            </w:r>
            <w:r w:rsidRPr="009875DA">
              <w:rPr>
                <w:rFonts w:ascii="Times New Roman" w:hAnsi="Times New Roman" w:cs="Times New Roman"/>
                <w:color w:val="000000" w:themeColor="text1"/>
                <w:spacing w:val="2"/>
                <w:sz w:val="24"/>
                <w:szCs w:val="24"/>
                <w:lang w:val="nb-NO"/>
              </w:rPr>
              <w:t xml:space="preserve">chức đánh giá thông qua hình thức tự đánh giá, xin ý kiến chuyên gia độc lập hoặc thành lập Hội đồng tư vấn đánh giá theo quy định của cơ quan có thẩm quyền; </w:t>
            </w:r>
            <w:r w:rsidRPr="009875DA">
              <w:rPr>
                <w:rFonts w:ascii="Times New Roman" w:hAnsi="Times New Roman" w:cs="Times New Roman"/>
                <w:color w:val="000000" w:themeColor="text1"/>
                <w:sz w:val="24"/>
                <w:szCs w:val="24"/>
                <w:lang w:val="nb-NO"/>
              </w:rPr>
              <w:t>trường hợp cần thiết, thực hiện đánh giá thực tế tại doanh nghiệp</w:t>
            </w:r>
            <w:r w:rsidRPr="009875DA">
              <w:rPr>
                <w:rFonts w:ascii="Times New Roman" w:hAnsi="Times New Roman" w:cs="Times New Roman"/>
                <w:color w:val="000000" w:themeColor="text1"/>
                <w:spacing w:val="2"/>
                <w:sz w:val="24"/>
                <w:szCs w:val="24"/>
                <w:lang w:val="nb-NO"/>
              </w:rPr>
              <w:t xml:space="preserve">. Trong thời hạn 07 ngày làm việc, cơ quan có thẩm quyền có trách nhiệm gửi cho doanh nghiệp </w:t>
            </w:r>
            <w:r w:rsidRPr="009875DA">
              <w:rPr>
                <w:rFonts w:ascii="Times New Roman" w:hAnsi="Times New Roman" w:cs="Times New Roman"/>
                <w:bCs/>
                <w:color w:val="000000" w:themeColor="text1"/>
                <w:spacing w:val="2"/>
                <w:sz w:val="24"/>
                <w:szCs w:val="24"/>
                <w:lang w:val="nb-NO"/>
              </w:rPr>
              <w:t>văn bản đánh giá của cơ quan có thẩm quyền.</w:t>
            </w:r>
          </w:p>
          <w:p w14:paraId="0CB5F3F4" w14:textId="77777777" w:rsidR="004615D3" w:rsidRPr="00C857A6" w:rsidRDefault="004615D3" w:rsidP="004615D3">
            <w:pPr>
              <w:spacing w:line="276" w:lineRule="auto"/>
              <w:jc w:val="both"/>
              <w:rPr>
                <w:rFonts w:ascii="Times New Roman" w:hAnsi="Times New Roman" w:cs="Times New Roman"/>
                <w:color w:val="000000" w:themeColor="text1"/>
                <w:sz w:val="24"/>
                <w:szCs w:val="24"/>
                <w:lang w:val="nb-NO"/>
              </w:rPr>
            </w:pPr>
            <w:r w:rsidRPr="009875DA">
              <w:rPr>
                <w:rFonts w:ascii="Times New Roman" w:hAnsi="Times New Roman" w:cs="Times New Roman"/>
                <w:color w:val="000000" w:themeColor="text1"/>
                <w:sz w:val="24"/>
                <w:szCs w:val="24"/>
                <w:lang w:val="nb-NO"/>
              </w:rPr>
              <w:lastRenderedPageBreak/>
              <w:t xml:space="preserve">4. Thời hạn giải quyết hồ sơ không quá 30 ngày kể từ ngày nhận đủ hồ sơ hợp lệ; trường hợp cần lấy </w:t>
            </w:r>
            <w:r w:rsidRPr="00C857A6">
              <w:rPr>
                <w:rFonts w:ascii="Times New Roman" w:hAnsi="Times New Roman" w:cs="Times New Roman"/>
                <w:color w:val="000000" w:themeColor="text1"/>
                <w:sz w:val="24"/>
                <w:szCs w:val="24"/>
                <w:lang w:val="nb-NO"/>
              </w:rPr>
              <w:t>ý kiến phối hợp thì thời gian lấy ý kiến được tính trong thời hạn này.</w:t>
            </w:r>
          </w:p>
          <w:p w14:paraId="3B5C8FC3" w14:textId="6626C32A" w:rsidR="004615D3" w:rsidRPr="00C857A6" w:rsidRDefault="004615D3" w:rsidP="004615D3">
            <w:pPr>
              <w:spacing w:line="276" w:lineRule="auto"/>
              <w:jc w:val="both"/>
              <w:rPr>
                <w:rFonts w:ascii="Times New Roman" w:hAnsi="Times New Roman" w:cs="Times New Roman"/>
                <w:color w:val="000000" w:themeColor="text1"/>
                <w:sz w:val="24"/>
                <w:szCs w:val="24"/>
                <w:lang w:val="nb-NO"/>
              </w:rPr>
            </w:pPr>
            <w:r w:rsidRPr="00C857A6">
              <w:rPr>
                <w:rFonts w:ascii="Times New Roman" w:hAnsi="Times New Roman" w:cs="Times New Roman"/>
                <w:color w:val="000000" w:themeColor="text1"/>
                <w:sz w:val="24"/>
                <w:szCs w:val="24"/>
                <w:lang w:val="nb-NO"/>
              </w:rPr>
              <w:t xml:space="preserve">5. </w:t>
            </w:r>
            <w:r w:rsidR="00C857A6" w:rsidRPr="00C857A6">
              <w:rPr>
                <w:rFonts w:ascii="Times New Roman" w:hAnsi="Times New Roman" w:cs="Times New Roman"/>
                <w:color w:val="000000" w:themeColor="text1"/>
                <w:sz w:val="24"/>
                <w:szCs w:val="24"/>
                <w:lang w:val="nb-NO"/>
              </w:rPr>
              <w:t xml:space="preserve">Văn bản xác nhận đối với từng loại hình doanh nghiệp </w:t>
            </w:r>
            <w:r w:rsidR="0025521C">
              <w:rPr>
                <w:rFonts w:ascii="Times New Roman" w:hAnsi="Times New Roman" w:cs="Times New Roman"/>
                <w:color w:val="000000" w:themeColor="text1"/>
                <w:sz w:val="24"/>
                <w:szCs w:val="24"/>
                <w:lang w:val="nb-NO"/>
              </w:rPr>
              <w:t xml:space="preserve">quy định </w:t>
            </w:r>
            <w:r w:rsidR="00C857A6" w:rsidRPr="00C857A6">
              <w:rPr>
                <w:rFonts w:ascii="Times New Roman" w:hAnsi="Times New Roman" w:cs="Times New Roman"/>
                <w:color w:val="000000" w:themeColor="text1"/>
                <w:sz w:val="24"/>
                <w:szCs w:val="24"/>
                <w:lang w:val="nb-NO"/>
              </w:rPr>
              <w:t>tại khoản 1 Điều 15 Luật Công nghệ cao, Điều 14, 15, 16 của Nghị định này có giá trị pháp lý để được hưởng ưu đãi, hỗ trợ theo quy định pháp luật</w:t>
            </w:r>
            <w:r w:rsidRPr="00C857A6">
              <w:rPr>
                <w:rFonts w:ascii="Times New Roman" w:hAnsi="Times New Roman" w:cs="Times New Roman"/>
                <w:color w:val="000000" w:themeColor="text1"/>
                <w:sz w:val="24"/>
                <w:szCs w:val="24"/>
                <w:lang w:val="nb-NO"/>
              </w:rPr>
              <w:t>.</w:t>
            </w:r>
          </w:p>
          <w:p w14:paraId="6E6F7445" w14:textId="5CF7CBAD" w:rsidR="004615D3" w:rsidRPr="009875DA" w:rsidRDefault="004615D3" w:rsidP="004615D3">
            <w:pPr>
              <w:widowControl w:val="0"/>
              <w:spacing w:line="276" w:lineRule="auto"/>
              <w:jc w:val="both"/>
              <w:rPr>
                <w:rFonts w:ascii="Times New Roman" w:hAnsi="Times New Roman" w:cs="Times New Roman"/>
                <w:b/>
                <w:bCs/>
                <w:sz w:val="24"/>
                <w:szCs w:val="24"/>
                <w:lang w:val="nb-NO"/>
              </w:rPr>
            </w:pPr>
            <w:r w:rsidRPr="009875DA">
              <w:rPr>
                <w:rFonts w:ascii="Times New Roman" w:hAnsi="Times New Roman" w:cs="Times New Roman"/>
                <w:sz w:val="24"/>
                <w:szCs w:val="24"/>
                <w:lang w:val="nb-NO"/>
              </w:rPr>
              <w:t>6. Mẫu văn bản xác nhận đối với từng loại hình doanh nghiệp tại khoản 1 Điều 15 Luật Công nghệ cao, Điều 14, 15, 16 của Nghị định này theo quy định của Bộ trưởng Bộ Khoa học và Công nghệ.</w:t>
            </w:r>
          </w:p>
        </w:tc>
        <w:tc>
          <w:tcPr>
            <w:tcW w:w="5400" w:type="dxa"/>
          </w:tcPr>
          <w:p w14:paraId="6DC3A5FC" w14:textId="77777777" w:rsidR="004615D3" w:rsidRPr="004615D3" w:rsidRDefault="004615D3" w:rsidP="004615D3">
            <w:pPr>
              <w:widowControl w:val="0"/>
              <w:jc w:val="both"/>
              <w:rPr>
                <w:rFonts w:ascii="Times New Roman" w:hAnsi="Times New Roman" w:cs="Times New Roman"/>
                <w:sz w:val="24"/>
                <w:szCs w:val="24"/>
                <w:lang w:val="nb-NO"/>
              </w:rPr>
            </w:pPr>
            <w:r w:rsidRPr="004615D3">
              <w:rPr>
                <w:rFonts w:ascii="Times New Roman" w:hAnsi="Times New Roman" w:cs="Times New Roman"/>
                <w:sz w:val="24"/>
                <w:szCs w:val="24"/>
                <w:lang w:val="nb-NO"/>
              </w:rPr>
              <w:lastRenderedPageBreak/>
              <w:t>Điều 18 quy định</w:t>
            </w:r>
            <w:r w:rsidRPr="004615D3">
              <w:rPr>
                <w:rFonts w:ascii="Times New Roman" w:hAnsi="Times New Roman" w:cs="Times New Roman"/>
                <w:sz w:val="24"/>
                <w:szCs w:val="24"/>
                <w:lang w:val="vi-VN"/>
              </w:rPr>
              <w:t xml:space="preserve"> </w:t>
            </w:r>
            <w:r w:rsidRPr="004615D3">
              <w:rPr>
                <w:rFonts w:ascii="Times New Roman" w:hAnsi="Times New Roman" w:cs="Times New Roman"/>
                <w:sz w:val="24"/>
                <w:szCs w:val="24"/>
                <w:lang w:val="nb-NO"/>
              </w:rPr>
              <w:t>cụ thể t</w:t>
            </w:r>
            <w:r w:rsidRPr="004615D3">
              <w:rPr>
                <w:rFonts w:ascii="Times New Roman" w:hAnsi="Times New Roman" w:cs="Times New Roman"/>
                <w:sz w:val="24"/>
                <w:szCs w:val="24"/>
                <w:lang w:val="vi-VN"/>
              </w:rPr>
              <w:t>rình tự, thủ tục đăng ký, xác nhận doanh nghiệp sản xuất sản phẩm công nghệ cao, doanh nghiệp công nghệ cao, doanh nghiệp công nghệ chiến lược</w:t>
            </w:r>
            <w:r w:rsidRPr="004615D3">
              <w:rPr>
                <w:rFonts w:ascii="Times New Roman" w:hAnsi="Times New Roman" w:cs="Times New Roman"/>
                <w:sz w:val="24"/>
                <w:szCs w:val="24"/>
                <w:lang w:val="nb-NO"/>
              </w:rPr>
              <w:t xml:space="preserve"> trên cơ sở kế thừa các quy định định hiện hành và đồng thời bảo đảm phù hợp với:</w:t>
            </w:r>
          </w:p>
          <w:p w14:paraId="05C39F8C" w14:textId="77777777" w:rsidR="004615D3" w:rsidRPr="004615D3" w:rsidRDefault="004615D3" w:rsidP="004615D3">
            <w:pPr>
              <w:widowControl w:val="0"/>
              <w:jc w:val="both"/>
              <w:rPr>
                <w:rFonts w:ascii="Times New Roman" w:hAnsi="Times New Roman" w:cs="Times New Roman"/>
                <w:sz w:val="24"/>
                <w:szCs w:val="24"/>
                <w:lang w:val="nb-NO"/>
              </w:rPr>
            </w:pPr>
            <w:r w:rsidRPr="004615D3">
              <w:rPr>
                <w:rFonts w:ascii="Times New Roman" w:hAnsi="Times New Roman" w:cs="Times New Roman"/>
                <w:sz w:val="24"/>
                <w:szCs w:val="24"/>
                <w:lang w:val="nb-NO"/>
              </w:rPr>
              <w:t>- Pháp luật về thủ tục hành chính và cải cách hành chính;</w:t>
            </w:r>
          </w:p>
          <w:p w14:paraId="3CCC8006" w14:textId="77777777" w:rsidR="004615D3" w:rsidRPr="004615D3" w:rsidRDefault="004615D3" w:rsidP="004615D3">
            <w:pPr>
              <w:widowControl w:val="0"/>
              <w:jc w:val="both"/>
              <w:rPr>
                <w:rFonts w:ascii="Times New Roman" w:hAnsi="Times New Roman" w:cs="Times New Roman"/>
                <w:sz w:val="24"/>
                <w:szCs w:val="24"/>
                <w:lang w:val="nb-NO"/>
              </w:rPr>
            </w:pPr>
            <w:r w:rsidRPr="004615D3">
              <w:rPr>
                <w:rFonts w:ascii="Times New Roman" w:hAnsi="Times New Roman" w:cs="Times New Roman"/>
                <w:sz w:val="24"/>
                <w:szCs w:val="24"/>
                <w:lang w:val="nb-NO"/>
              </w:rPr>
              <w:lastRenderedPageBreak/>
              <w:t>- Quy định về thực hiện dịch vụ công trực tuyến trên Cổng Dịch vụ công quốc gia;</w:t>
            </w:r>
          </w:p>
          <w:p w14:paraId="0C582892" w14:textId="77777777" w:rsidR="004615D3" w:rsidRPr="004615D3" w:rsidRDefault="004615D3" w:rsidP="004615D3">
            <w:pPr>
              <w:widowControl w:val="0"/>
              <w:jc w:val="both"/>
              <w:rPr>
                <w:rFonts w:ascii="Times New Roman" w:hAnsi="Times New Roman" w:cs="Times New Roman"/>
                <w:sz w:val="24"/>
                <w:szCs w:val="24"/>
                <w:lang w:val="nb-NO"/>
              </w:rPr>
            </w:pPr>
            <w:r w:rsidRPr="004615D3">
              <w:rPr>
                <w:rFonts w:ascii="Times New Roman" w:hAnsi="Times New Roman" w:cs="Times New Roman"/>
                <w:sz w:val="24"/>
                <w:szCs w:val="24"/>
                <w:lang w:val="nb-NO"/>
              </w:rPr>
              <w:t>- Nguyên tắc công khai, minh bạch, rút ngắn thời gian giải quyết hồ sơ.</w:t>
            </w:r>
          </w:p>
          <w:p w14:paraId="44CC7D97" w14:textId="2DE5737D" w:rsidR="004615D3" w:rsidRPr="000C2D51" w:rsidRDefault="004615D3" w:rsidP="004615D3">
            <w:pPr>
              <w:widowControl w:val="0"/>
              <w:jc w:val="both"/>
              <w:rPr>
                <w:rFonts w:ascii="Times New Roman" w:hAnsi="Times New Roman" w:cs="Times New Roman"/>
                <w:sz w:val="24"/>
                <w:szCs w:val="24"/>
                <w:lang w:val="nb-NO"/>
              </w:rPr>
            </w:pPr>
          </w:p>
        </w:tc>
      </w:tr>
      <w:tr w:rsidR="004615D3" w:rsidRPr="00C857A6" w14:paraId="454042C7" w14:textId="77777777" w:rsidTr="00022042">
        <w:tc>
          <w:tcPr>
            <w:tcW w:w="2245" w:type="dxa"/>
          </w:tcPr>
          <w:p w14:paraId="230BC3D2" w14:textId="77777777" w:rsidR="004615D3" w:rsidRPr="009875DA" w:rsidRDefault="004615D3" w:rsidP="004615D3">
            <w:pPr>
              <w:widowControl w:val="0"/>
              <w:spacing w:line="276" w:lineRule="auto"/>
              <w:jc w:val="both"/>
              <w:rPr>
                <w:rFonts w:ascii="Times New Roman" w:hAnsi="Times New Roman" w:cs="Times New Roman"/>
                <w:b/>
                <w:sz w:val="24"/>
                <w:szCs w:val="24"/>
                <w:lang w:val="nl-NL" w:eastAsia="vi-VN"/>
              </w:rPr>
            </w:pPr>
          </w:p>
        </w:tc>
        <w:tc>
          <w:tcPr>
            <w:tcW w:w="7380" w:type="dxa"/>
          </w:tcPr>
          <w:p w14:paraId="15FA1D49" w14:textId="77777777" w:rsidR="004615D3" w:rsidRPr="009875DA" w:rsidRDefault="004615D3" w:rsidP="004615D3">
            <w:pPr>
              <w:tabs>
                <w:tab w:val="left" w:pos="851"/>
              </w:tabs>
              <w:spacing w:line="276" w:lineRule="auto"/>
              <w:jc w:val="center"/>
              <w:rPr>
                <w:rFonts w:ascii="Times New Roman" w:hAnsi="Times New Roman" w:cs="Times New Roman"/>
                <w:b/>
                <w:bCs/>
                <w:sz w:val="24"/>
                <w:szCs w:val="24"/>
                <w:lang w:val="nl-NL"/>
              </w:rPr>
            </w:pPr>
            <w:r w:rsidRPr="009875DA">
              <w:rPr>
                <w:rFonts w:ascii="Times New Roman" w:hAnsi="Times New Roman" w:cs="Times New Roman"/>
                <w:b/>
                <w:bCs/>
                <w:sz w:val="24"/>
                <w:szCs w:val="24"/>
                <w:lang w:val="nl-NL"/>
              </w:rPr>
              <w:t>Chương IV</w:t>
            </w:r>
          </w:p>
          <w:p w14:paraId="15641F8A" w14:textId="568C44A5" w:rsidR="004615D3" w:rsidRPr="006E505F" w:rsidRDefault="004615D3" w:rsidP="006E505F">
            <w:pPr>
              <w:tabs>
                <w:tab w:val="left" w:pos="851"/>
              </w:tabs>
              <w:spacing w:line="276" w:lineRule="auto"/>
              <w:jc w:val="center"/>
              <w:rPr>
                <w:rFonts w:ascii="Times New Roman" w:hAnsi="Times New Roman" w:cs="Times New Roman"/>
                <w:b/>
                <w:bCs/>
                <w:sz w:val="24"/>
                <w:szCs w:val="24"/>
                <w:lang w:val="nl-NL"/>
              </w:rPr>
            </w:pPr>
            <w:r w:rsidRPr="009875DA">
              <w:rPr>
                <w:rFonts w:ascii="Times New Roman" w:hAnsi="Times New Roman" w:cs="Times New Roman"/>
                <w:b/>
                <w:bCs/>
                <w:sz w:val="24"/>
                <w:szCs w:val="24"/>
                <w:lang w:val="nl-NL"/>
              </w:rPr>
              <w:t>KHU CÔNG NGHỆ CAO</w:t>
            </w:r>
          </w:p>
        </w:tc>
        <w:tc>
          <w:tcPr>
            <w:tcW w:w="5400" w:type="dxa"/>
          </w:tcPr>
          <w:p w14:paraId="3D1AB937" w14:textId="6BDA61F7" w:rsidR="004615D3" w:rsidRPr="009875DA" w:rsidRDefault="004615D3" w:rsidP="004615D3">
            <w:pPr>
              <w:widowControl w:val="0"/>
              <w:spacing w:line="276" w:lineRule="auto"/>
              <w:jc w:val="both"/>
              <w:rPr>
                <w:rFonts w:ascii="Times New Roman" w:hAnsi="Times New Roman" w:cs="Times New Roman"/>
                <w:sz w:val="24"/>
                <w:szCs w:val="24"/>
                <w:lang w:val="nl-NL"/>
              </w:rPr>
            </w:pPr>
          </w:p>
        </w:tc>
      </w:tr>
      <w:tr w:rsidR="004615D3" w:rsidRPr="00C857A6" w14:paraId="15B2FB89" w14:textId="77777777" w:rsidTr="00022042">
        <w:tc>
          <w:tcPr>
            <w:tcW w:w="2245" w:type="dxa"/>
          </w:tcPr>
          <w:p w14:paraId="60892C16" w14:textId="77777777" w:rsidR="004615D3" w:rsidRPr="009875DA" w:rsidRDefault="004615D3" w:rsidP="004615D3">
            <w:pPr>
              <w:widowControl w:val="0"/>
              <w:spacing w:line="276" w:lineRule="auto"/>
              <w:jc w:val="both"/>
              <w:rPr>
                <w:rFonts w:ascii="Times New Roman" w:hAnsi="Times New Roman" w:cs="Times New Roman"/>
                <w:b/>
                <w:sz w:val="24"/>
                <w:szCs w:val="24"/>
                <w:lang w:val="nl-NL" w:eastAsia="vi-VN"/>
              </w:rPr>
            </w:pPr>
          </w:p>
        </w:tc>
        <w:tc>
          <w:tcPr>
            <w:tcW w:w="7380" w:type="dxa"/>
          </w:tcPr>
          <w:p w14:paraId="096D29D1" w14:textId="5985D84E" w:rsidR="004615D3" w:rsidRPr="009875DA" w:rsidRDefault="004615D3" w:rsidP="004615D3">
            <w:pPr>
              <w:pStyle w:val="Heading1"/>
              <w:keepNext w:val="0"/>
              <w:widowControl w:val="0"/>
              <w:snapToGrid w:val="0"/>
              <w:jc w:val="both"/>
              <w:rPr>
                <w:lang w:val="nb-NO"/>
              </w:rPr>
            </w:pPr>
            <w:r w:rsidRPr="009875DA">
              <w:rPr>
                <w:b/>
                <w:i w:val="0"/>
                <w:lang w:val="nb-NO"/>
              </w:rPr>
              <w:t xml:space="preserve">Mục 1. </w:t>
            </w:r>
            <w:r w:rsidRPr="009875DA">
              <w:rPr>
                <w:b/>
                <w:i w:val="0"/>
                <w:color w:val="000000"/>
                <w:lang w:val="nb-NO"/>
              </w:rPr>
              <w:t>QUY HOẠCH, THÀNH LẬP, MỞ RỘNG, ĐIỀU CHỈNH KHU CÔNG NGHỆ CAO</w:t>
            </w:r>
          </w:p>
        </w:tc>
        <w:tc>
          <w:tcPr>
            <w:tcW w:w="5400" w:type="dxa"/>
          </w:tcPr>
          <w:p w14:paraId="3BE9DC3E" w14:textId="77777777" w:rsidR="004615D3" w:rsidRPr="009875DA" w:rsidRDefault="004615D3" w:rsidP="004615D3">
            <w:pPr>
              <w:widowControl w:val="0"/>
              <w:spacing w:line="276" w:lineRule="auto"/>
              <w:jc w:val="both"/>
              <w:rPr>
                <w:rFonts w:ascii="Times New Roman" w:hAnsi="Times New Roman" w:cs="Times New Roman"/>
                <w:sz w:val="24"/>
                <w:szCs w:val="24"/>
                <w:lang w:val="nl-NL"/>
              </w:rPr>
            </w:pPr>
          </w:p>
        </w:tc>
      </w:tr>
      <w:tr w:rsidR="004615D3" w:rsidRPr="00C857A6" w14:paraId="01122761" w14:textId="77777777" w:rsidTr="00022042">
        <w:tc>
          <w:tcPr>
            <w:tcW w:w="2245" w:type="dxa"/>
          </w:tcPr>
          <w:p w14:paraId="62F060F8" w14:textId="27E2003E"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color w:val="000000"/>
                <w:sz w:val="24"/>
                <w:szCs w:val="24"/>
                <w:lang w:val="nb-NO"/>
              </w:rPr>
              <w:t>Điều 3 và Điều 4 Nghị định số 10/2024/NĐ-CP ngày 01/02/2024 của Chính phủ quy định về khu công nghệ cao</w:t>
            </w:r>
          </w:p>
        </w:tc>
        <w:tc>
          <w:tcPr>
            <w:tcW w:w="7380" w:type="dxa"/>
          </w:tcPr>
          <w:p w14:paraId="3B853788"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nb-NO"/>
              </w:rPr>
            </w:pPr>
            <w:r w:rsidRPr="009875DA">
              <w:rPr>
                <w:rFonts w:ascii="Times New Roman" w:hAnsi="Times New Roman" w:cs="Times New Roman"/>
                <w:b/>
                <w:color w:val="000000"/>
                <w:sz w:val="24"/>
                <w:szCs w:val="24"/>
                <w:lang w:val="nb-NO"/>
              </w:rPr>
              <w:t>Điều 19. Quy hoạch khu công nghệ cao</w:t>
            </w:r>
          </w:p>
          <w:p w14:paraId="00B026E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1. Phương hướng phát triển khu công nghệ cao trong quy hoạch vùng xác định mục tiêu, định hướng, giải pháp và dự kiến số lượng, quy mô, phân bổ không gian phát triển khu công nghệ cao ở cấp vùng trên cơ sở đánh giá sơ bộ việc đánh giá sự phù hợp quy định tại khoản 3 Điều này.</w:t>
            </w:r>
          </w:p>
          <w:p w14:paraId="00D09B13"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2. Phương hướng phát triển khu công nghệ cao trong quy hoạch tỉnh xác định chi tiết mục tiêu, định hướng, giải pháp, quy mô, vị trí đối với từng khu công nghệ cao trên địa bàn tỉnh, thành phố trực thuộc trung ương trên cơ sở đánh giá chi tiết sự phù hợp quy định tại khoản 3 Điều này.</w:t>
            </w:r>
          </w:p>
          <w:p w14:paraId="5DD9DBC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3. Việc xác định khu công nghệ cao trong quy hoạch tỉnh phải trên cơ sở đánh giá sự phù hợp của các nội dung sau:</w:t>
            </w:r>
          </w:p>
          <w:p w14:paraId="09D054C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a) Dự kiến vị trí, vai trò khu công nghệ cao đối với mục tiêu, định hướng phát triển kinh tế - xã hội và trong mối liên kết với hệ thống đổi mới sáng tạo, các khu chức năng khác và hệ sinh thái công nghệ cao trong kịch bản phát triển của quy hoạch;</w:t>
            </w:r>
          </w:p>
          <w:p w14:paraId="18509FA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lastRenderedPageBreak/>
              <w:t>b) Dự kiến đáp ứng các điều kiện thành lập khu công nghệ cao quy định tại khoản 3 Điều 22 Luật Công nghệ cao trong tầm nhìn quy hoạch.</w:t>
            </w:r>
          </w:p>
          <w:p w14:paraId="3AC4EB93" w14:textId="3371EA6E"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4. Phương hướng phát triển khu công nghệ cao trong quy hoạch tỉnh đã được cấp có thẩm quyền phê duyệt là căn cứ để thành lập, mở rộng khu công nghệ cao; lập, điều chỉnh quy hoạch xây dựng khu công nghệ cao; lập, điều chỉnh quy hoạch, kế hoạch đầu tư phát triển hệ thống kết cấu hạ tầng kỹ thuật và hạ tầng xã hội phục vụ sự phát triển của khu công nghệ cao theo quy định của pháp luật có liên quan.</w:t>
            </w:r>
          </w:p>
        </w:tc>
        <w:tc>
          <w:tcPr>
            <w:tcW w:w="5400" w:type="dxa"/>
          </w:tcPr>
          <w:p w14:paraId="0C9B2871" w14:textId="41AFCBE0"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lastRenderedPageBreak/>
              <w:t>Điều 19 hướng dẫn về quy hoạch khu công nghệ cao theo quy định tại khoản 6 Điều 22 Luật Công nghệ cao về quy định chi tiết các quy định về khu công nghệ cao.</w:t>
            </w:r>
          </w:p>
          <w:p w14:paraId="00B1DB7C" w14:textId="2407331D"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Quy định về quy hoạch khu công nghệ cao kế thừa quan điểm và các quy định tại Điều 3 và Điều 4 Nghị định số 10/2024/NĐ-CP, tuy nhiên được xây dựng theo hướng rút gọn hơn để đảm bảo sự phù hợp với kết cấu Nghị định chung hướng dẫn thi hành một số Điều của Luật Công nghệ cao, đồng thời cập nhật các quy định mới của Luật Quy hoạch năm 2025 và các pháp luật có liên quan.</w:t>
            </w:r>
          </w:p>
          <w:p w14:paraId="72A65A1F" w14:textId="2188126A"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 xml:space="preserve">Trong đó, tiếp tục đảm bảo nguyên tắc đã quy định tại Luật Quy hoạch về việc xác định khu công nghệ cao là một trong các nội dung của quy hoạch vùng và quy hoạch tỉnh (điểm d khoản 2 Điều 26 và điểm d khoản </w:t>
            </w:r>
            <w:r w:rsidRPr="009875DA">
              <w:rPr>
                <w:rFonts w:ascii="Times New Roman" w:hAnsi="Times New Roman" w:cs="Times New Roman"/>
                <w:color w:val="000000"/>
                <w:sz w:val="24"/>
                <w:szCs w:val="24"/>
                <w:lang w:val="nb-NO"/>
              </w:rPr>
              <w:lastRenderedPageBreak/>
              <w:t xml:space="preserve">2 Điều 27) và các quy hoạch trên là căn cứ để thành lập, mở rộng, điều chỉnh quy hoạch xây dựng... đối với khu công nghệ cao nhằm đảm bảo nguyên tắc cơ bản trong hoạt động quy hoạch là “Bảo đảm tính thống nhất, đồng bộ giữa quy hoạch với chiến lược và kế hoạch phát triển kinh tế - xã hội; bảo đảm kết hợp quản lý ngành với quản lý lãnh thổ; bảo đảm quốc phòng, an ninh; bảo vệ môi trường” (khoản 2 Điều 4); chính sách của nhà nước về hoạt động quy hoạch: “Nhà nước quản lý phát triển kinh tế - xã hội và bảo đảm quốc phòng, an ninh, bảo vệ môi trường theo quy hoạch đã được quyết định hoặc phê duyệt” (khoản 1 Điều 10). </w:t>
            </w:r>
          </w:p>
          <w:p w14:paraId="2F8E4C4E" w14:textId="6F30DA66"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Nghị định đồng thời làm rõ nội hàm và các yêu cầu của phương hướng xây dựng khu công nghệ cao” trong quy hoạch vùng và quy hoạch tỉnh (phù hợp  nguyên tắc xây dựng khu công nghệ cao tại Luật Công nghệ cao) để đảm bảo tính khả thi khi quy hoạch khu công nghệ cao tại các địa phương nhằm tránh tình trạng lãng phí nguồn lực quy hoạch.</w:t>
            </w:r>
          </w:p>
        </w:tc>
      </w:tr>
      <w:tr w:rsidR="004615D3" w:rsidRPr="00C857A6" w14:paraId="2776B0A4" w14:textId="77777777" w:rsidTr="00022042">
        <w:tc>
          <w:tcPr>
            <w:tcW w:w="2245" w:type="dxa"/>
          </w:tcPr>
          <w:p w14:paraId="47667788" w14:textId="477D31C5"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color w:val="000000"/>
                <w:sz w:val="24"/>
                <w:szCs w:val="24"/>
                <w:lang w:val="nb-NO"/>
              </w:rPr>
              <w:lastRenderedPageBreak/>
              <w:t>Điều 5 và Điều 6 Nghị định số 10/2024/NĐ-CP</w:t>
            </w:r>
          </w:p>
        </w:tc>
        <w:tc>
          <w:tcPr>
            <w:tcW w:w="7380" w:type="dxa"/>
          </w:tcPr>
          <w:p w14:paraId="2050848D"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nb-NO"/>
              </w:rPr>
            </w:pPr>
            <w:bookmarkStart w:id="17" w:name="dieu_6"/>
            <w:r w:rsidRPr="009875DA">
              <w:rPr>
                <w:rFonts w:ascii="Times New Roman" w:hAnsi="Times New Roman" w:cs="Times New Roman"/>
                <w:b/>
                <w:color w:val="000000"/>
                <w:sz w:val="24"/>
                <w:szCs w:val="24"/>
                <w:lang w:val="nb-NO"/>
              </w:rPr>
              <w:t>Điều 20. Điều kiện thành lập, mở rộng, điều chỉnh khu công nghệ cao</w:t>
            </w:r>
            <w:bookmarkEnd w:id="17"/>
          </w:p>
          <w:p w14:paraId="4BF9E0A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1. Điều kiện thành lập khu công nghệ cao:</w:t>
            </w:r>
          </w:p>
          <w:p w14:paraId="4C2D235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a) Đáp ứng các điều kiện quy định tại khoản 3 Điều 22 Luật Công nghệ cao.</w:t>
            </w:r>
          </w:p>
          <w:p w14:paraId="7AB0A56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b) Khu công nghệ cao đề nghị thành lập đã được xác định trong quy hoạch vùng, quy hoạch tỉnh;</w:t>
            </w:r>
          </w:p>
          <w:p w14:paraId="65C73FF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c) Phương án xây dựng khu nhà ở, công trình công cộng liền kề hoặc xung quanh khu công nghệ cao để đảm bảo phục vụ đời sống chuyên gia, người lao động làm việc trong khu công nghệ cao phải đảm bảo tính khả thi và đáp ứng theo nhu cầu và tiến độ xây dựng khu công nghệ cao.</w:t>
            </w:r>
          </w:p>
          <w:p w14:paraId="27EE63E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2. Điều kiện mở rộng khu công nghệ cao:</w:t>
            </w:r>
          </w:p>
          <w:p w14:paraId="7F7BD8C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lastRenderedPageBreak/>
              <w:t xml:space="preserve">a) Khu vực đề xuất mở rộng khu công nghệ cao phải đáp ứng các điều kiện quy định tại </w:t>
            </w:r>
            <w:bookmarkStart w:id="18" w:name="tc_1"/>
            <w:r w:rsidRPr="009875DA">
              <w:rPr>
                <w:rFonts w:ascii="Times New Roman" w:hAnsi="Times New Roman" w:cs="Times New Roman"/>
                <w:color w:val="000000"/>
                <w:sz w:val="24"/>
                <w:szCs w:val="24"/>
                <w:lang w:val="nb-NO"/>
              </w:rPr>
              <w:t xml:space="preserve">khoản </w:t>
            </w:r>
            <w:bookmarkEnd w:id="18"/>
            <w:r w:rsidRPr="009875DA">
              <w:rPr>
                <w:rFonts w:ascii="Times New Roman" w:hAnsi="Times New Roman" w:cs="Times New Roman"/>
                <w:color w:val="000000"/>
                <w:sz w:val="24"/>
                <w:szCs w:val="24"/>
                <w:lang w:val="nb-NO"/>
              </w:rPr>
              <w:t>khoản 1 Điều này;</w:t>
            </w:r>
          </w:p>
          <w:p w14:paraId="4D38432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b) Hệ thống kết cấu hạ tầng kỹ thuật khu công nghệ cao đã triển khai phải hoàn thành việc đầu tư xây dựng theo quy hoạch chung xây dựng (nếu có) và quy hoạch phân khu xây dựng được duyệt;</w:t>
            </w:r>
          </w:p>
          <w:p w14:paraId="0275089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c) Tỷ lệ lấp đầy của khu công nghệ cao đã triển khai đạt tối thiểu 60%;</w:t>
            </w:r>
          </w:p>
          <w:p w14:paraId="5ED6242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d) Khu vực đề xuất mở rộng khu công nghệ cao có vị trí, quy mô và các điều kiện đảm bảo kết nối thuận lợi với hệ thống kết cấu hạ tầng kỹ thuật và hạ tầng xã hội và các hoạt động của khu công nghệ cao đã triển khai.</w:t>
            </w:r>
          </w:p>
          <w:p w14:paraId="58369E1A"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3. Điều kiện điều chỉnh khu công nghệ cao</w:t>
            </w:r>
          </w:p>
          <w:p w14:paraId="425C2E6D" w14:textId="33ED29EE"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a) Phương án phát triển khu công nghệ cao sau đề xuất điều chỉnh phải đáp ứng các điều kiện quy định tại khoản 1 Điều này;</w:t>
            </w:r>
          </w:p>
          <w:p w14:paraId="41047978" w14:textId="05C69905"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b) Trong trường hợp đề xuất điều chỉnh mục tiêu, nhiệm vụ khu công nghệ cao thì mục tiêu, nhiệm vụ đề xuất điều chỉnh phải phù hợp với các các nhiệm vụ của khu công nghệ cao quy định tại khoản 2 Điều 22 Luật Công nghệ cao.</w:t>
            </w:r>
          </w:p>
        </w:tc>
        <w:tc>
          <w:tcPr>
            <w:tcW w:w="5400" w:type="dxa"/>
          </w:tcPr>
          <w:p w14:paraId="56699C00" w14:textId="5A5633E2"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lastRenderedPageBreak/>
              <w:t>Điều 20 hướng dẫn về điều kiện thành lập, mở rộng, điều chỉnh khu công nghệ cao theo quy định tại khoản 6 Điều 22 Luật Công nghệ cao.</w:t>
            </w:r>
          </w:p>
          <w:p w14:paraId="4C3A6309" w14:textId="1AF09E88" w:rsidR="004615D3" w:rsidRPr="009875DA" w:rsidRDefault="0071038D" w:rsidP="004615D3">
            <w:pPr>
              <w:snapToGrid w:val="0"/>
              <w:spacing w:line="276" w:lineRule="auto"/>
              <w:jc w:val="both"/>
              <w:rPr>
                <w:rFonts w:ascii="Times New Roman" w:hAnsi="Times New Roman" w:cs="Times New Roman"/>
                <w:color w:val="000000"/>
                <w:sz w:val="24"/>
                <w:szCs w:val="24"/>
                <w:lang w:val="nb-NO"/>
              </w:rPr>
            </w:pPr>
            <w:r>
              <w:rPr>
                <w:rFonts w:ascii="Times New Roman" w:hAnsi="Times New Roman" w:cs="Times New Roman"/>
                <w:color w:val="000000"/>
                <w:sz w:val="24"/>
                <w:szCs w:val="24"/>
                <w:lang w:val="nb-NO"/>
              </w:rPr>
              <w:t>-</w:t>
            </w:r>
            <w:r w:rsidR="004615D3" w:rsidRPr="009875DA">
              <w:rPr>
                <w:rFonts w:ascii="Times New Roman" w:hAnsi="Times New Roman" w:cs="Times New Roman"/>
                <w:color w:val="000000"/>
                <w:sz w:val="24"/>
                <w:szCs w:val="24"/>
                <w:lang w:val="nb-NO"/>
              </w:rPr>
              <w:t xml:space="preserve"> Về điều kiện thành lập khu công nghệ cao tại khoản 1, Nghị định hướng dẫn chi tiết quy định về sự phù hợp với quy hoạch (điểm a khoản 3 Điều 22 Luật Công nghệ cao) và quy định về công trình hạ tầng xã hội (điểm e khoản 3 Điều 22 Luật Công nghệ cao). Các quy định này kế thừa quy định tại Điều 5 Nghị định số 10/2024/NĐ-CP và phù hợp với Luật Quy hoạch, Luật Đất đai.</w:t>
            </w:r>
          </w:p>
          <w:p w14:paraId="7BCFBBAC" w14:textId="1773D5D9" w:rsidR="004615D3" w:rsidRPr="009875DA" w:rsidRDefault="0071038D" w:rsidP="004615D3">
            <w:pPr>
              <w:snapToGrid w:val="0"/>
              <w:spacing w:line="276" w:lineRule="auto"/>
              <w:jc w:val="both"/>
              <w:rPr>
                <w:rFonts w:ascii="Times New Roman" w:hAnsi="Times New Roman" w:cs="Times New Roman"/>
                <w:color w:val="000000"/>
                <w:sz w:val="24"/>
                <w:szCs w:val="24"/>
                <w:lang w:val="nb-NO"/>
              </w:rPr>
            </w:pPr>
            <w:r>
              <w:rPr>
                <w:rFonts w:ascii="Times New Roman" w:hAnsi="Times New Roman" w:cs="Times New Roman"/>
                <w:color w:val="000000"/>
                <w:sz w:val="24"/>
                <w:szCs w:val="24"/>
                <w:lang w:val="nb-NO"/>
              </w:rPr>
              <w:lastRenderedPageBreak/>
              <w:t>-</w:t>
            </w:r>
            <w:r w:rsidR="004615D3" w:rsidRPr="009875DA">
              <w:rPr>
                <w:rFonts w:ascii="Times New Roman" w:hAnsi="Times New Roman" w:cs="Times New Roman"/>
                <w:color w:val="000000"/>
                <w:sz w:val="24"/>
                <w:szCs w:val="24"/>
                <w:lang w:val="nb-NO"/>
              </w:rPr>
              <w:t xml:space="preserve"> Về điều kiện mở rộng khu công nghệ cao tại khoản 2  tiếp tục kế thừa các quy định Điều 6 Nghị định số 10/2024/NĐ-CP đã được thực thi trong thực tiễn thi hành Nghị định số 10/2024/NĐ-CP.</w:t>
            </w:r>
          </w:p>
          <w:p w14:paraId="63B4BAFF" w14:textId="0E3F2CE1" w:rsidR="004615D3" w:rsidRPr="009875DA" w:rsidRDefault="0071038D" w:rsidP="004615D3">
            <w:pPr>
              <w:snapToGrid w:val="0"/>
              <w:spacing w:line="276" w:lineRule="auto"/>
              <w:jc w:val="both"/>
              <w:rPr>
                <w:rFonts w:ascii="Times New Roman" w:hAnsi="Times New Roman" w:cs="Times New Roman"/>
                <w:color w:val="000000"/>
                <w:sz w:val="24"/>
                <w:szCs w:val="24"/>
                <w:lang w:val="nb-NO"/>
              </w:rPr>
            </w:pPr>
            <w:r>
              <w:rPr>
                <w:rFonts w:ascii="Times New Roman" w:hAnsi="Times New Roman" w:cs="Times New Roman"/>
                <w:color w:val="000000"/>
                <w:sz w:val="24"/>
                <w:szCs w:val="24"/>
                <w:lang w:val="nb-NO"/>
              </w:rPr>
              <w:t>-</w:t>
            </w:r>
            <w:r w:rsidR="004615D3" w:rsidRPr="009875DA">
              <w:rPr>
                <w:rFonts w:ascii="Times New Roman" w:hAnsi="Times New Roman" w:cs="Times New Roman"/>
                <w:color w:val="000000"/>
                <w:sz w:val="24"/>
                <w:szCs w:val="24"/>
                <w:lang w:val="nb-NO"/>
              </w:rPr>
              <w:t xml:space="preserve"> Về điều kiện điều chỉnh khu công nghệ cao được xây dựng để đảm bảo trong trường hợp điều chỉnh về diện tích thì khu vực sau điều chỉnh đáp ứng điều kiện hoạt động của khu công nghệ cao, trong trường hợp điều chỉnh về mục tiêu, nhiệm vụ thì phù hợp với quy định tại Luật Công nghệ cao năm 2025.</w:t>
            </w:r>
          </w:p>
        </w:tc>
      </w:tr>
      <w:tr w:rsidR="004615D3" w:rsidRPr="00C857A6" w14:paraId="6D3B95DC" w14:textId="77777777" w:rsidTr="00022042">
        <w:tc>
          <w:tcPr>
            <w:tcW w:w="2245" w:type="dxa"/>
          </w:tcPr>
          <w:p w14:paraId="146F6BE5" w14:textId="10D9FEEF"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color w:val="000000"/>
                <w:sz w:val="24"/>
                <w:szCs w:val="24"/>
                <w:lang w:val="nb-NO"/>
              </w:rPr>
              <w:lastRenderedPageBreak/>
              <w:t>Khoản 2 và khoản 3 Điều 7 Nghị định số 10/2024/NĐ-CP</w:t>
            </w:r>
          </w:p>
        </w:tc>
        <w:tc>
          <w:tcPr>
            <w:tcW w:w="7380" w:type="dxa"/>
          </w:tcPr>
          <w:p w14:paraId="7C04BAC3"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nb-NO"/>
              </w:rPr>
            </w:pPr>
            <w:r w:rsidRPr="009875DA">
              <w:rPr>
                <w:rFonts w:ascii="Times New Roman" w:hAnsi="Times New Roman" w:cs="Times New Roman"/>
                <w:b/>
                <w:color w:val="000000"/>
                <w:sz w:val="24"/>
                <w:szCs w:val="24"/>
                <w:lang w:val="nb-NO"/>
              </w:rPr>
              <w:t>Điều 21. Thành lập, mở rộng, điều chỉnh khu công nghệ cao</w:t>
            </w:r>
          </w:p>
          <w:p w14:paraId="5C7DB516"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1. Ủy ban nhân dân cấp tỉnh tổ chức lập Đề án thành lập, mở rộng, điều chỉnh khu công nghệ cao để xin ý kiến các cơ quan liên quan và tổ chức đánh giá trước khi quyết định thành lập, mở rộng, điều chỉnh khu công nghệ cao.</w:t>
            </w:r>
          </w:p>
          <w:p w14:paraId="5D98FCB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2. Đề án thành lập khu công nghệ cao gồm các nội dung sau:</w:t>
            </w:r>
          </w:p>
          <w:p w14:paraId="5123A54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a) Căn cứ pháp lý và sự cần thiết của việc thành lập khu công nghệ cao;</w:t>
            </w:r>
          </w:p>
          <w:p w14:paraId="5F88D32F"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color w:val="000000"/>
                <w:sz w:val="24"/>
                <w:szCs w:val="24"/>
                <w:lang w:val="nb-NO"/>
              </w:rPr>
              <w:t xml:space="preserve">b) Đánh giá hiện trạng, các yếu tố và điều kiện về vị trí địa lý, tự nhiên, tài nguyên, khoa học và công nghệ, kinh tế - xã hội, các hạn chế và lợi thế so sánh của khu vực đề xuất thành lập </w:t>
            </w:r>
            <w:r w:rsidRPr="009875DA">
              <w:rPr>
                <w:rFonts w:ascii="Times New Roman" w:hAnsi="Times New Roman" w:cs="Times New Roman"/>
                <w:sz w:val="24"/>
                <w:szCs w:val="24"/>
                <w:lang w:val="nb-NO"/>
              </w:rPr>
              <w:t>khu công nghệ cao so với các khu vực khác trên địa bàn tỉnh, thành phố trực thuộc trung ương;</w:t>
            </w:r>
          </w:p>
          <w:p w14:paraId="1F1AA0F8"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c) Đánh giá và giải trình khả năng đáp ứng các điều kiện thành lập khu công nghệ cao theo quy định tại khoản 1 Điều 20 Nghị định này (kèm theo các tài liệu có liên quan);</w:t>
            </w:r>
          </w:p>
          <w:p w14:paraId="5B9E1D56"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sz w:val="24"/>
                <w:szCs w:val="24"/>
                <w:lang w:val="nb-NO"/>
              </w:rPr>
              <w:lastRenderedPageBreak/>
              <w:t>d) Dự kiến phương án phát triển khu công nghệ cao gồm: mục tiêu phát triển, tính chất, chức năng, nhiệm vụ của k</w:t>
            </w:r>
            <w:r w:rsidRPr="009875DA">
              <w:rPr>
                <w:rFonts w:ascii="Times New Roman" w:hAnsi="Times New Roman" w:cs="Times New Roman"/>
                <w:color w:val="000000"/>
                <w:sz w:val="24"/>
                <w:szCs w:val="24"/>
                <w:lang w:val="nb-NO"/>
              </w:rPr>
              <w:t>hu công nghệ cao; phương hướng phát triển các ngành, lĩnh vực ưu tiên trong khu công nghệ cao; định hướng tổ chức các khu vực chức năng để thực hiện các nhiệm vụ theo quy định tại Luật Công nghệ cao, sơ bộ định hướng phát triển không gian, quy hoạch sử dụng đất; định hướng phát triển nguồn nhân lực và đội ngũ quản lý;</w:t>
            </w:r>
          </w:p>
          <w:p w14:paraId="5BD864E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đ) Dự kiến tổng vốn đầu tư, các phương thức huy động các nguồn lực và phân định trách nhiệm đầu tư hệ thống kết cấu hạ tầng kỹ thuật của khu công nghệ cao; kế hoạch, lộ trình đầu tư xây dựng và phát triển khu công nghệ cao;</w:t>
            </w:r>
          </w:p>
          <w:p w14:paraId="17A2D02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e) Kiến nghị các giải pháp và tổ chức thực hiện;</w:t>
            </w:r>
          </w:p>
          <w:p w14:paraId="5C18156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g) Thể hiện phương án thành lập khu công nghệ cao trên bản đồ tỷ lệ 1:10.000 - 1:25.000.</w:t>
            </w:r>
          </w:p>
          <w:p w14:paraId="22FAC55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3. Đề án mở rộng khu công nghệ cao gồm các nội dung sau:</w:t>
            </w:r>
          </w:p>
          <w:p w14:paraId="0971BD8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a) Căn cứ pháp lý và sự cần thiết của việc mở rộng khu công nghệ cao;</w:t>
            </w:r>
          </w:p>
          <w:p w14:paraId="6B7FACF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b) Đánh giá công tác xây dựng, phát triển và hoạt động của khu công nghệ cao hiện hữu theo quy hoạch chung xây dựng (nếu có) và quy hoạch phân khu xây dựng được duyệt; làm rõ tỷ lệ lấp đầy của khu công nghệ cao;</w:t>
            </w:r>
          </w:p>
          <w:p w14:paraId="1C1C6FC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c) Đánh giá hiện trạng, các yếu tố và điều kiện về vị trí địa lý, tự nhiên, tài nguyên, khoa học và công nghệ, kinh tế - xã hội, các hạn chế và lợi thế so sánh của khu vực đề xuất mở rộng khu công nghệ cao;</w:t>
            </w:r>
          </w:p>
          <w:p w14:paraId="09F90787"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color w:val="000000"/>
                <w:sz w:val="24"/>
                <w:szCs w:val="24"/>
                <w:lang w:val="nb-NO"/>
              </w:rPr>
              <w:t>d) Đánh giá và giải trình khả năng đáp ứng các điều kiện mở rộng khu công nghệ cao theo quy định tại khoản 2 Điều 20 Nghị định này (kèm theo các tài liệu có liên quan);</w:t>
            </w:r>
          </w:p>
          <w:p w14:paraId="31A27E8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sz w:val="24"/>
                <w:szCs w:val="24"/>
                <w:lang w:val="nb-NO"/>
              </w:rPr>
              <w:t xml:space="preserve">đ) Dự kiến phương án phát triển khu công nghệ cao sau điều chỉnh gồm: mục tiêu phát triển, tính chất, chức năng, nhiệm vụ của phần mở rộng; phương hướng phát triển các ngành, lĩnh </w:t>
            </w:r>
            <w:r w:rsidRPr="009875DA">
              <w:rPr>
                <w:rFonts w:ascii="Times New Roman" w:hAnsi="Times New Roman" w:cs="Times New Roman"/>
                <w:color w:val="000000"/>
                <w:sz w:val="24"/>
                <w:szCs w:val="24"/>
                <w:lang w:val="nb-NO"/>
              </w:rPr>
              <w:t xml:space="preserve">vực ưu tiên đối với phần mở rộng; định hướng tổ chức các khu vực chức năng để thực hiện các nhiệm vụ theo quy định tại Luật Công nghệ cao, sơ bộ định hướng phát triển không gian, </w:t>
            </w:r>
            <w:r w:rsidRPr="009875DA">
              <w:rPr>
                <w:rFonts w:ascii="Times New Roman" w:hAnsi="Times New Roman" w:cs="Times New Roman"/>
                <w:color w:val="000000"/>
                <w:sz w:val="24"/>
                <w:szCs w:val="24"/>
                <w:lang w:val="nb-NO"/>
              </w:rPr>
              <w:lastRenderedPageBreak/>
              <w:t>quy hoạch sử dụng đất; định hướng phát triển nguồn nhân lực đáp ứng nhu cầu mở rộng;</w:t>
            </w:r>
          </w:p>
          <w:p w14:paraId="41DD4C53"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e) Dự kiến tổng vốn đầu tư, các phương thức huy động nguồn lực và phân định trách nhiệm đầu tư hệ thống kết cấu hạ tầng kỹ thuật của khu công nghệ cao; kế hoạch, lộ trình đầu tư xây dựng và phát triển khu công nghệ cao;</w:t>
            </w:r>
          </w:p>
          <w:p w14:paraId="61C5DDF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g) Kiến nghị các giải pháp và tổ chức thực hiện;</w:t>
            </w:r>
          </w:p>
          <w:p w14:paraId="7EE180C8"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color w:val="000000"/>
                <w:sz w:val="24"/>
                <w:szCs w:val="24"/>
                <w:lang w:val="nb-NO"/>
              </w:rPr>
              <w:t>h) Thể hiện phương án mở rộng khu công nghệ cao trên bản đồ tỷ lệ 1:10.000 - 1:25.000.</w:t>
            </w:r>
          </w:p>
          <w:p w14:paraId="2C166501"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 xml:space="preserve">4. Đề án điều chỉnh khu công nghệ cao gồm các nội dung sau: </w:t>
            </w:r>
          </w:p>
          <w:p w14:paraId="722DA403"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a) Căn cứ pháp lý và sự cần thiết của việc điều chỉnh khu công nghệ cao;</w:t>
            </w:r>
          </w:p>
          <w:p w14:paraId="5BFA0053"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b) Đánh giá công tác xây dựng, phát triển và hoạt động của khu công nghệ cao hiện hữu theo quy hoạch chung xây dựng (nếu có) và quy hoạch phân khu xây dựng được duyệt;</w:t>
            </w:r>
          </w:p>
          <w:p w14:paraId="20EB4619"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c) Đánh giá các yếu tố tác động dẫn tới việc đề xuất điều chỉnh khu công nghệ cao;</w:t>
            </w:r>
          </w:p>
          <w:p w14:paraId="7CECEDAB"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d) Đánh giá và giải trình khả năng đáp ứng các điều kiện điều chỉnh khu công nghệ cao theo quy định tại khoản 3 Điều 20 Nghị định này (kèm theo các tài liệu có liên quan);</w:t>
            </w:r>
          </w:p>
          <w:p w14:paraId="2866A8FE"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đ) Dự kiến phương án phát triển đối với khu công nghệ cao đối với các nội dung điều chỉnh gồm: mục tiêu phát triển, tính chất, chức năng, nhiệm vụ; phương hướng phát triển các ngành, lĩnh vực ưu tiên; định hướng tổ chức các khu vực chức năng để thực hiện các nhiệm vụ theo quy định tại Luật Công nghệ cao, sơ bộ định hướng phát triển không gian, quy hoạch sử dụng đất; định hướng phát triển nguồn nhân lực đáp ứng nhu cầu mở rộng; dự kiến tổng vốn đầu tư, các phương thức huy động các nguồn lực và phân định trách nhiệm đầu tư hệ thống kết cấu hạ tầng kỹ thuật của khu công nghệ cao; kế hoạch, lộ trình đầu tư xây dựng và phát triển khu công nghệ cao.</w:t>
            </w:r>
          </w:p>
          <w:p w14:paraId="056DD319"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e) Kiến nghị các giải pháp và tổ chức thực hiện;</w:t>
            </w:r>
          </w:p>
          <w:p w14:paraId="614809BF"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lastRenderedPageBreak/>
              <w:t>h) Thể hiện phương án khu công nghệ cao sau trên bản đồ tỷ lệ 1:10.000 - 1:25.000 (trong trường hợp có sự thay đổi quy mô diện tích và tổ chức không gian, quy hoạch sử dụng đất các khu vực chức năng.</w:t>
            </w:r>
          </w:p>
          <w:p w14:paraId="23AACFE9"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color w:val="000000"/>
                <w:sz w:val="24"/>
                <w:szCs w:val="24"/>
                <w:lang w:val="nb-NO"/>
              </w:rPr>
              <w:t>4. Nội dung đánh giá hồ sơ thành lập</w:t>
            </w:r>
            <w:r w:rsidRPr="009875DA">
              <w:rPr>
                <w:rFonts w:ascii="Times New Roman" w:hAnsi="Times New Roman" w:cs="Times New Roman"/>
                <w:sz w:val="24"/>
                <w:szCs w:val="24"/>
                <w:lang w:val="nb-NO"/>
              </w:rPr>
              <w:t>, mở rộng, điều chỉnh khu công nghệ cao bao gồm:</w:t>
            </w:r>
          </w:p>
          <w:p w14:paraId="6AF6EA38"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a) Cơ sở pháp lý và sự cần thiết của việc thành lập khu công nghệ cao, mở rộng, điều chỉnh khu công nghệ cao;</w:t>
            </w:r>
          </w:p>
          <w:p w14:paraId="1D84589D"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b) Đánh giá việc đáp ứng các điều kiện thành lập, mở rộng, điều chỉnh khu công nghệ cao quy định tương ứng tại Điều 20 Nghị định này;</w:t>
            </w:r>
          </w:p>
          <w:p w14:paraId="794832A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sz w:val="24"/>
                <w:szCs w:val="24"/>
                <w:lang w:val="nb-NO"/>
              </w:rPr>
              <w:t xml:space="preserve">c) Đánh giá tính khả thi về phương án phát triển </w:t>
            </w:r>
            <w:r w:rsidRPr="009875DA">
              <w:rPr>
                <w:rFonts w:ascii="Times New Roman" w:hAnsi="Times New Roman" w:cs="Times New Roman"/>
                <w:color w:val="000000"/>
                <w:sz w:val="24"/>
                <w:szCs w:val="24"/>
                <w:lang w:val="nb-NO"/>
              </w:rPr>
              <w:t>của khu công nghệ cao; phương án huy động các nguồn lực để đầu tư xây dựng hệ thống kết cấu hạ tầng kỹ thuật của khu công nghệ cao và sự kết nối với hệ thống kết cấu hạ tầng của khu công nghệ cao đã được đầu tư (đối với trường hợp mở rộng, điều chỉnh khu công nghệ cao); khả năng cân đối của ngân sách nhà nước;</w:t>
            </w:r>
          </w:p>
          <w:p w14:paraId="61CC5D0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d) Đánh giá sơ bộ về hiệu quả đóng góp về khoa học và công nghệ, kinh tế - xã hội của việc thành lập, mở rộng, điều chỉnh khu công nghệ cao;</w:t>
            </w:r>
          </w:p>
          <w:p w14:paraId="7818C08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t>đ) Tính khả thi của các giải pháp thực hiện việc thành lập khu công nghệ cao, mở rộng, điều chỉnh khu công nghệ cao.</w:t>
            </w:r>
          </w:p>
          <w:p w14:paraId="689E3090"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color w:val="000000"/>
                <w:sz w:val="24"/>
                <w:szCs w:val="24"/>
                <w:lang w:val="nb-NO"/>
              </w:rPr>
              <w:t xml:space="preserve">5. Ủy ban nhân dân cấp </w:t>
            </w:r>
            <w:r w:rsidRPr="009875DA">
              <w:rPr>
                <w:rFonts w:ascii="Times New Roman" w:hAnsi="Times New Roman" w:cs="Times New Roman"/>
                <w:sz w:val="24"/>
                <w:szCs w:val="24"/>
                <w:lang w:val="nb-NO"/>
              </w:rPr>
              <w:t xml:space="preserve">tỉnh lập hồ sơ thành lập, mở rộng, điều chỉnh khu công nghệ cao và gửi lấy ý kiến Bộ Khoa học và Công nghệ và các bộ, cơ quan liên quan. Trong thời hạn 20 ngày làm việc kể từ ngày nhận được văn bản lấy ý kiến và hồ sơ kèm theo, cơ quan được lấy </w:t>
            </w:r>
            <w:r w:rsidRPr="009875DA">
              <w:rPr>
                <w:rFonts w:ascii="Times New Roman" w:hAnsi="Times New Roman" w:cs="Times New Roman"/>
                <w:color w:val="000000"/>
                <w:sz w:val="24"/>
                <w:szCs w:val="24"/>
                <w:lang w:val="nb-NO"/>
              </w:rPr>
              <w:t xml:space="preserve">ý kiến có trách nhiệm gửi ý kiến bằng văn bản đối với nội dung thuộc phạm vi, lĩnh vực quản lý nhà nước của mình gửi Ủy ban nhân dân cấp </w:t>
            </w:r>
            <w:r w:rsidRPr="009875DA">
              <w:rPr>
                <w:rFonts w:ascii="Times New Roman" w:hAnsi="Times New Roman" w:cs="Times New Roman"/>
                <w:sz w:val="24"/>
                <w:szCs w:val="24"/>
                <w:lang w:val="nb-NO"/>
              </w:rPr>
              <w:t>tỉnh để hoàn thiện hồ sơ.</w:t>
            </w:r>
          </w:p>
          <w:p w14:paraId="17B9EF8A" w14:textId="77777777" w:rsidR="004615D3" w:rsidRPr="009875DA" w:rsidRDefault="004615D3" w:rsidP="004615D3">
            <w:pPr>
              <w:snapToGrid w:val="0"/>
              <w:spacing w:line="276" w:lineRule="auto"/>
              <w:jc w:val="both"/>
              <w:rPr>
                <w:rFonts w:ascii="Times New Roman" w:hAnsi="Times New Roman" w:cs="Times New Roman"/>
                <w:sz w:val="24"/>
                <w:szCs w:val="24"/>
                <w:lang w:val="nb-NO"/>
              </w:rPr>
            </w:pPr>
            <w:r w:rsidRPr="009875DA">
              <w:rPr>
                <w:rFonts w:ascii="Times New Roman" w:hAnsi="Times New Roman" w:cs="Times New Roman"/>
                <w:sz w:val="24"/>
                <w:szCs w:val="24"/>
                <w:lang w:val="nb-NO"/>
              </w:rPr>
              <w:t>6. Trên cơ sở kết quả đánh giá theo các nội dung quy định tại khoản 4 Điều này đối với hồ sơ đã hoàn thiện, Ủy ban nhân dân cấp tỉnh quyết định thành lập, mở rộng, điều chỉnh khu công nghệ cao và triển khai các nhiệm vụ đầu tư, xây dựng, phát triển, quản lý nhà nước đối với khu công nghệ cao.</w:t>
            </w:r>
          </w:p>
          <w:p w14:paraId="118AE3DC" w14:textId="77777777" w:rsidR="004615D3" w:rsidRPr="009875DA" w:rsidRDefault="004615D3" w:rsidP="004615D3">
            <w:pPr>
              <w:spacing w:line="276" w:lineRule="auto"/>
              <w:jc w:val="both"/>
              <w:rPr>
                <w:rFonts w:ascii="Times New Roman" w:hAnsi="Times New Roman" w:cs="Times New Roman"/>
                <w:b/>
                <w:bCs/>
                <w:sz w:val="24"/>
                <w:szCs w:val="24"/>
                <w:lang w:val="nb-NO"/>
              </w:rPr>
            </w:pPr>
          </w:p>
        </w:tc>
        <w:tc>
          <w:tcPr>
            <w:tcW w:w="5400" w:type="dxa"/>
          </w:tcPr>
          <w:p w14:paraId="7459864F" w14:textId="7BFE7463"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sidRPr="009875DA">
              <w:rPr>
                <w:rFonts w:ascii="Times New Roman" w:hAnsi="Times New Roman" w:cs="Times New Roman"/>
                <w:color w:val="000000"/>
                <w:sz w:val="24"/>
                <w:szCs w:val="24"/>
                <w:lang w:val="nb-NO"/>
              </w:rPr>
              <w:lastRenderedPageBreak/>
              <w:t>Điều 21 hướng dẫn về triển khai thành lập, mở rộng, điều chỉnh khu công nghệ cao theo quy định tại khoản 6 Điều 22 Luật Công nghệ cao.</w:t>
            </w:r>
          </w:p>
          <w:p w14:paraId="48BFE2B2" w14:textId="12DE9654"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Pr>
                <w:rFonts w:ascii="Times New Roman" w:hAnsi="Times New Roman" w:cs="Times New Roman"/>
                <w:color w:val="000000"/>
                <w:sz w:val="24"/>
                <w:szCs w:val="24"/>
                <w:lang w:val="nb-NO"/>
              </w:rPr>
              <w:t xml:space="preserve">- </w:t>
            </w:r>
            <w:r w:rsidRPr="009875DA">
              <w:rPr>
                <w:rFonts w:ascii="Times New Roman" w:hAnsi="Times New Roman" w:cs="Times New Roman"/>
                <w:color w:val="000000"/>
                <w:sz w:val="24"/>
                <w:szCs w:val="24"/>
                <w:lang w:val="nb-NO"/>
              </w:rPr>
              <w:t xml:space="preserve">Luật Công nghệ cao năm 2025 đã giao thẩm quyền  thành lập, mở rộng, điều chỉnh khu công nghệ cao được phân cấp cho Ủy ban nhân dân cấp tỉnh. Theo đó, nội dung hướng dẫn về thành lập, mở rộng, điều chỉnh khu công nghệ cao đã có sự điều chỉnh so với quy định tại Nghị định số 10/2024/NĐ-CP. </w:t>
            </w:r>
          </w:p>
          <w:p w14:paraId="41DF0EED" w14:textId="05A69D09"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Pr>
                <w:rFonts w:ascii="Times New Roman" w:hAnsi="Times New Roman" w:cs="Times New Roman"/>
                <w:color w:val="000000"/>
                <w:sz w:val="24"/>
                <w:szCs w:val="24"/>
                <w:lang w:val="nb-NO"/>
              </w:rPr>
              <w:t xml:space="preserve">- </w:t>
            </w:r>
            <w:r w:rsidRPr="009875DA">
              <w:rPr>
                <w:rFonts w:ascii="Times New Roman" w:hAnsi="Times New Roman" w:cs="Times New Roman"/>
                <w:color w:val="000000"/>
                <w:sz w:val="24"/>
                <w:szCs w:val="24"/>
                <w:lang w:val="nb-NO"/>
              </w:rPr>
              <w:t>Để đảm bảo việc hình thành các khu công nghệ cao mới có thể kiểm soát chặt chẽ, Nghị định quy định Ủy ban nhân dân cấp tỉnh lấy ý kiến các Bộ có liên quan trước khi quyết định thành lập, mở rộng, điều chỉnh khu công nghệ cao.</w:t>
            </w:r>
          </w:p>
          <w:p w14:paraId="13267C6A" w14:textId="312733AA"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Pr>
                <w:rFonts w:ascii="Times New Roman" w:hAnsi="Times New Roman" w:cs="Times New Roman"/>
                <w:color w:val="000000"/>
                <w:sz w:val="24"/>
                <w:szCs w:val="24"/>
                <w:lang w:val="nb-NO"/>
              </w:rPr>
              <w:lastRenderedPageBreak/>
              <w:t xml:space="preserve">- </w:t>
            </w:r>
            <w:r w:rsidRPr="009875DA">
              <w:rPr>
                <w:rFonts w:ascii="Times New Roman" w:hAnsi="Times New Roman" w:cs="Times New Roman"/>
                <w:color w:val="000000"/>
                <w:sz w:val="24"/>
                <w:szCs w:val="24"/>
                <w:lang w:val="nb-NO"/>
              </w:rPr>
              <w:t>Về yêu cầu đối với Đề án thành lập, mở rộng khu công nghệ cao và các nội dung đánh giá Đề án thành lập, mở rộng, điều chỉnh khu công nghệ cao tiếp tục kế thừa quy định tại khoản 2, khoản 3 Điều 7 Nghị định số 10/2024/NĐ-CP.</w:t>
            </w:r>
          </w:p>
          <w:p w14:paraId="121CDDA7" w14:textId="1BFDA253" w:rsidR="004615D3" w:rsidRPr="009875DA" w:rsidRDefault="004615D3" w:rsidP="004615D3">
            <w:pPr>
              <w:snapToGrid w:val="0"/>
              <w:spacing w:line="276" w:lineRule="auto"/>
              <w:jc w:val="both"/>
              <w:rPr>
                <w:rFonts w:ascii="Times New Roman" w:hAnsi="Times New Roman" w:cs="Times New Roman"/>
                <w:color w:val="000000"/>
                <w:sz w:val="24"/>
                <w:szCs w:val="24"/>
                <w:lang w:val="nb-NO"/>
              </w:rPr>
            </w:pPr>
            <w:r>
              <w:rPr>
                <w:rFonts w:ascii="Times New Roman" w:hAnsi="Times New Roman" w:cs="Times New Roman"/>
                <w:color w:val="000000"/>
                <w:sz w:val="24"/>
                <w:szCs w:val="24"/>
                <w:lang w:val="nb-NO"/>
              </w:rPr>
              <w:t xml:space="preserve">- </w:t>
            </w:r>
            <w:r w:rsidRPr="009875DA">
              <w:rPr>
                <w:rFonts w:ascii="Times New Roman" w:hAnsi="Times New Roman" w:cs="Times New Roman"/>
                <w:color w:val="000000"/>
                <w:sz w:val="24"/>
                <w:szCs w:val="24"/>
                <w:lang w:val="nb-NO"/>
              </w:rPr>
              <w:t>Đối với yêu cầu Đề án điều chỉnh khu công nghệ cao được thiết kế để đảm bảo thể hiện nội dung về lý do và khả năng đảm bảo tính khả thi phát triển khu công nghệ cao sau điều chỉnh.</w:t>
            </w:r>
          </w:p>
          <w:p w14:paraId="18541879" w14:textId="77777777" w:rsidR="004615D3" w:rsidRPr="009875DA" w:rsidRDefault="004615D3" w:rsidP="004615D3">
            <w:pPr>
              <w:widowControl w:val="0"/>
              <w:jc w:val="both"/>
              <w:rPr>
                <w:rFonts w:ascii="Times New Roman" w:hAnsi="Times New Roman" w:cs="Times New Roman"/>
                <w:sz w:val="24"/>
                <w:szCs w:val="24"/>
                <w:lang w:val="nb-NO"/>
              </w:rPr>
            </w:pPr>
          </w:p>
        </w:tc>
      </w:tr>
      <w:tr w:rsidR="004615D3" w:rsidRPr="00C857A6" w14:paraId="433CD136" w14:textId="77777777" w:rsidTr="00022042">
        <w:tc>
          <w:tcPr>
            <w:tcW w:w="2245" w:type="dxa"/>
          </w:tcPr>
          <w:p w14:paraId="5F090C13" w14:textId="77777777" w:rsidR="004615D3" w:rsidRPr="009875DA" w:rsidRDefault="004615D3" w:rsidP="004615D3">
            <w:pPr>
              <w:widowControl w:val="0"/>
              <w:spacing w:line="276" w:lineRule="auto"/>
              <w:jc w:val="both"/>
              <w:rPr>
                <w:rFonts w:ascii="Times New Roman" w:hAnsi="Times New Roman" w:cs="Times New Roman"/>
                <w:b/>
                <w:sz w:val="24"/>
                <w:szCs w:val="24"/>
                <w:lang w:val="nl-NL" w:eastAsia="vi-VN"/>
              </w:rPr>
            </w:pPr>
          </w:p>
        </w:tc>
        <w:tc>
          <w:tcPr>
            <w:tcW w:w="7380" w:type="dxa"/>
          </w:tcPr>
          <w:p w14:paraId="79211D20" w14:textId="6A1A8F59" w:rsidR="004615D3" w:rsidRPr="009875DA" w:rsidRDefault="004615D3" w:rsidP="004615D3">
            <w:pPr>
              <w:spacing w:line="276" w:lineRule="auto"/>
              <w:jc w:val="both"/>
              <w:rPr>
                <w:rFonts w:ascii="Times New Roman" w:hAnsi="Times New Roman" w:cs="Times New Roman"/>
                <w:b/>
                <w:bCs/>
                <w:sz w:val="24"/>
                <w:szCs w:val="24"/>
                <w:lang w:val="nl-NL"/>
              </w:rPr>
            </w:pPr>
            <w:r w:rsidRPr="009875DA">
              <w:rPr>
                <w:rFonts w:ascii="Times New Roman" w:hAnsi="Times New Roman" w:cs="Times New Roman"/>
                <w:b/>
                <w:bCs/>
                <w:sz w:val="24"/>
                <w:szCs w:val="24"/>
                <w:lang w:val="nl-NL"/>
              </w:rPr>
              <w:t xml:space="preserve">Mục 2. </w:t>
            </w:r>
            <w:r w:rsidRPr="009875DA">
              <w:rPr>
                <w:rFonts w:ascii="Times New Roman" w:hAnsi="Times New Roman" w:cs="Times New Roman"/>
                <w:b/>
                <w:color w:val="000000"/>
                <w:sz w:val="24"/>
                <w:szCs w:val="24"/>
                <w:lang w:val="nb-NO"/>
              </w:rPr>
              <w:t>ĐẦU TƯ XÂY DỰNG VÀ PHÁT TRIỂN KHU CÔNG NGHỆ CAO</w:t>
            </w:r>
          </w:p>
        </w:tc>
        <w:tc>
          <w:tcPr>
            <w:tcW w:w="5400" w:type="dxa"/>
          </w:tcPr>
          <w:p w14:paraId="066747DE" w14:textId="77777777" w:rsidR="004615D3" w:rsidRPr="009875DA" w:rsidRDefault="004615D3" w:rsidP="004615D3">
            <w:pPr>
              <w:widowControl w:val="0"/>
              <w:spacing w:line="276" w:lineRule="auto"/>
              <w:jc w:val="both"/>
              <w:rPr>
                <w:rFonts w:ascii="Times New Roman" w:hAnsi="Times New Roman" w:cs="Times New Roman"/>
                <w:sz w:val="24"/>
                <w:szCs w:val="24"/>
                <w:lang w:val="nl-NL"/>
              </w:rPr>
            </w:pPr>
          </w:p>
        </w:tc>
      </w:tr>
      <w:tr w:rsidR="004615D3" w:rsidRPr="00C857A6" w14:paraId="1E3D968D" w14:textId="77777777" w:rsidTr="00022042">
        <w:tc>
          <w:tcPr>
            <w:tcW w:w="2245" w:type="dxa"/>
          </w:tcPr>
          <w:p w14:paraId="68A9C449" w14:textId="2C062D02"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t>Điều 10 Nghị định số 10/2024/NĐ-CP</w:t>
            </w:r>
          </w:p>
        </w:tc>
        <w:tc>
          <w:tcPr>
            <w:tcW w:w="7380" w:type="dxa"/>
          </w:tcPr>
          <w:p w14:paraId="3EC353CF"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de-DE"/>
              </w:rPr>
            </w:pPr>
            <w:bookmarkStart w:id="19" w:name="dieu_10"/>
            <w:r w:rsidRPr="009875DA">
              <w:rPr>
                <w:rFonts w:ascii="Times New Roman" w:hAnsi="Times New Roman" w:cs="Times New Roman"/>
                <w:b/>
                <w:color w:val="000000"/>
                <w:sz w:val="24"/>
                <w:szCs w:val="24"/>
                <w:lang w:val="de-DE"/>
              </w:rPr>
              <w:t>Điều 22. Các nguồn vốn để đầu tư xây dựng, phát triển khu công nghệ cao</w:t>
            </w:r>
            <w:bookmarkEnd w:id="19"/>
          </w:p>
          <w:p w14:paraId="667311B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Vốn đầu tư xây dựng và phát triển khu công nghệ cao gồm: nguồn vốn từ ngân sách nhà nước; vốn đầu tư của các tổ chức, cá nhân và các nguồn vốn hợp pháp khác.</w:t>
            </w:r>
          </w:p>
          <w:p w14:paraId="677BEB2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Nhà nước ưu tiên bố trí nguồn lực đầu tư công, bao gồm vốn ngân sách nhà nước, vốn hỗ trợ phát triển chính thức (ODA) và vốn vay ưu đãi nước ngoài; áp dụng các chính sách hỗ trợ tín dụng và chính sách tài chính khác để chuẩn bị đầu tư, giải phóng mặt bằng, xây dựng hệ thống kết cấu hạ tầng kỹ thuật, hạ tầng số, hạ tầng công nghệ, hạ tầng xã hội tại khu công nghệ cao và các công trình hạ tầng kết nối khu công nghệ cao với khu vực xung quanh.</w:t>
            </w:r>
          </w:p>
          <w:p w14:paraId="17F833A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Nhà nước ưu tiên bố trí nguồn lực đầu tư công, bao gồm vốn ngân sách nhà nước, vốn hỗ trợ phát triển chính thức (ODA) và vốn vay ưu đãi nước ngoài; nguồn lực từ các chương trình quốc gia về phát triển khoa học và công nghệ, công nghệ cao, nguồn vốn hỗ trợ và các nguồn vốn hợp pháp khác; áp dụng các chính sách hỗ trợ tín dụng và các chính sách tài chính khác để đầu tư xây dựng cơ sở nghiên cứu và phát triển, ươm tạo và đào tạo đối với công nghệ cao, công nghệ chiến lược và thực hiện các dự án, hoạt động nghiên cứu và phát triển, ươm tạo và đào tạo về công nghệ cao, công nghệ chiến lược trong khu công nghệ cao.</w:t>
            </w:r>
          </w:p>
          <w:p w14:paraId="27E3096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4. Nhà nước khuyến khích nhà đầu tư, các tổ chức, cá nhân đầu tư xây dựng hệ thống kết cấu hạ tầng kỹ thuật, hạ tầng số, hạ tầng công nghệ, hạ tầng xã hội tại khu công nghệ cao và nhà ở, công trình hạ tầng xã hội xung quanh khu công nghệ cao, các công trình hạ tầng kết nối khu công nghệ cao với khu vực xung quanh theo hình thức dự án đầu tư kinh doanh, đầu tư theo phương thức đối tác công tư, xã hội hóa và các hình thức khác theo quy định của pháp luật; </w:t>
            </w:r>
          </w:p>
          <w:p w14:paraId="4BED806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 xml:space="preserve">5. </w:t>
            </w:r>
            <w:r w:rsidRPr="009875DA">
              <w:rPr>
                <w:rFonts w:ascii="Times New Roman" w:hAnsi="Times New Roman" w:cs="Times New Roman"/>
                <w:sz w:val="24"/>
                <w:szCs w:val="24"/>
                <w:lang w:val="de-DE"/>
              </w:rPr>
              <w:t xml:space="preserve">Dự án bồi thường, hỗ trợ và tái định cư; dự án đầu tư xây dựng hệ thống kết </w:t>
            </w:r>
            <w:r w:rsidRPr="009875DA">
              <w:rPr>
                <w:rFonts w:ascii="Times New Roman" w:hAnsi="Times New Roman" w:cs="Times New Roman"/>
                <w:color w:val="000000"/>
                <w:sz w:val="24"/>
                <w:szCs w:val="24"/>
                <w:lang w:val="de-DE"/>
              </w:rPr>
              <w:t>cấu hạ tầng kỹ thuật, hạ tầng xã hội quy mô lớn, có vai trò then chốt được bố trí và huy động vốn từ nguồn phát hành trái phiếu Chính phủ, trái phiếu chính quyền địa phương theo quy định của pháp luật về ngân sách nhà nước, đầu tư công và quản lý nợ công. Nhà nước khuyến khích nhà đầu tư</w:t>
            </w:r>
            <w:r w:rsidRPr="009875DA">
              <w:rPr>
                <w:rFonts w:ascii="Times New Roman" w:hAnsi="Times New Roman" w:cs="Times New Roman"/>
                <w:b/>
                <w:bCs/>
                <w:color w:val="000000"/>
                <w:sz w:val="24"/>
                <w:szCs w:val="24"/>
                <w:lang w:val="de-DE"/>
              </w:rPr>
              <w:t xml:space="preserve"> </w:t>
            </w:r>
            <w:r w:rsidRPr="009875DA">
              <w:rPr>
                <w:rFonts w:ascii="Times New Roman" w:hAnsi="Times New Roman" w:cs="Times New Roman"/>
                <w:color w:val="000000"/>
                <w:sz w:val="24"/>
                <w:szCs w:val="24"/>
                <w:lang w:val="de-DE"/>
              </w:rPr>
              <w:t>tự nguyện ứng trước vốn phục vụ bồi thường, hỗ trợ, tái định cư giải phóng mặt bằng khu công nghệ cao.</w:t>
            </w:r>
          </w:p>
          <w:p w14:paraId="53DC23BF" w14:textId="13028124"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6. Việc huy động và sử dụng các nguồn vốn tại Điều này thực hiện theo quy định của pháp luật về ngân sách nhà nước, đầu tư công, quản lý nợ công, đầu tư, đầu tư theo phương thức đối tác công tư, đất đai, xây dựng và các quy định của pháp luật có liên quan.</w:t>
            </w:r>
          </w:p>
        </w:tc>
        <w:tc>
          <w:tcPr>
            <w:tcW w:w="5400" w:type="dxa"/>
          </w:tcPr>
          <w:p w14:paraId="3F54408F" w14:textId="298C975C"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22 hướng dẫn chi tiết điểm b khoản 5 Điều 22 Luật Công nghệ cao. Theo đó, các nội dung quy định được kế thừa quy định tại Điều 10 Nghị định số 10/2024/NĐ-CP, đồng thời lược bỏ quy định đã được quy định tại pháp luật chuyên ngành (quy định về kinh phí quy hoạch tại khoản 5 Điều 10 Nghị định số 10/2024/NĐ-CP đã quy định tại Luật Quy hoạch đô thị và nông thôn).</w:t>
            </w:r>
          </w:p>
        </w:tc>
      </w:tr>
      <w:tr w:rsidR="004615D3" w:rsidRPr="00C857A6" w14:paraId="7A382C4D" w14:textId="77777777" w:rsidTr="00022042">
        <w:tc>
          <w:tcPr>
            <w:tcW w:w="2245" w:type="dxa"/>
          </w:tcPr>
          <w:p w14:paraId="3BC56894" w14:textId="20E7EE0F"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t>Điều 12 Nghị định số 10/2024/NĐ-CP</w:t>
            </w:r>
          </w:p>
        </w:tc>
        <w:tc>
          <w:tcPr>
            <w:tcW w:w="7380" w:type="dxa"/>
          </w:tcPr>
          <w:p w14:paraId="3B0044D5"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de-DE"/>
              </w:rPr>
            </w:pPr>
            <w:bookmarkStart w:id="20" w:name="dieu_12"/>
            <w:r w:rsidRPr="009875DA">
              <w:rPr>
                <w:rFonts w:ascii="Times New Roman" w:hAnsi="Times New Roman" w:cs="Times New Roman"/>
                <w:b/>
                <w:color w:val="000000"/>
                <w:sz w:val="24"/>
                <w:szCs w:val="24"/>
                <w:lang w:val="de-DE"/>
              </w:rPr>
              <w:t>Điều 23. Chính sách ưu đãi, hỗ trợ đầu tư đối với các dự án đầu tư vào khu công nghệ cao</w:t>
            </w:r>
            <w:bookmarkEnd w:id="20"/>
          </w:p>
          <w:p w14:paraId="145D798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Các dự án đầu tư và hoạt động trong khu công nghệ cao được các chính sách ưu đãi, hỗ trợ áp dụng đối với địa bàn có điều kiện kinh tế - xã hội đặc biệt khó khăn theo quy định của pháp luật về đầu tư và pháp luật có liên quan.</w:t>
            </w:r>
          </w:p>
          <w:p w14:paraId="610BAA7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Hội đồng nhân dân, Ủy ban nhân dân cấp tỉnh ban hành chính sách và bố trí nguồn lực hỗ trợ đầu tư phù hợp với thẩm quyền và quy định của pháp luật để thu hút các dự án đầu tư, thu hút nhân lực công nghệ cao và các hoạt động trong khu công nghệ cao.</w:t>
            </w:r>
          </w:p>
          <w:p w14:paraId="1798B96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Ban quản lý khu công nghệ cao và các cơ quan có thẩm quyền có trách nhiệm thực hiện các thủ tục hành chính về đầu tư, doanh nghiệp, đất đai, xây dựng, môi trường, lao động, thuế, hải quan và các thủ tục liên quan theo cơ chế một cửa, một cửa liên thông theo quy định của pháp luật; hỗ trợ về tuyển dụng lao động và các vấn đề có liên quan khác trong quá trình nhà đầu tư triển khai hoạt động tại khu công nghệ cao.</w:t>
            </w:r>
          </w:p>
          <w:p w14:paraId="1F49C8F0" w14:textId="2C0052C3"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4. Các dự án đầu tư và các hoạt động tại khu công nghệ cao được ưu tiên tham gia các chương trình hỗ trợ về đào tạo, tuyển dụng lao động; chương trình hỗ trợ hoạt động nghiên cứu, ứng dụng công nghệ cao, chuyển giao </w:t>
            </w:r>
            <w:r w:rsidRPr="009875DA">
              <w:rPr>
                <w:rFonts w:ascii="Times New Roman" w:hAnsi="Times New Roman" w:cs="Times New Roman"/>
                <w:color w:val="000000"/>
                <w:sz w:val="24"/>
                <w:szCs w:val="24"/>
                <w:lang w:val="de-DE"/>
              </w:rPr>
              <w:lastRenderedPageBreak/>
              <w:t>công nghệ; chương trình hỗ trợ phát triển các ngành công nghiệp công nghệ cao, phát triển công nghệ cao trong nông nghiệp; hỗ trợ doanh nghiệp đổi mới sáng tạo, doanh nghiệp nhỏ và vừa khởi nghiệp sáng tạo; hỗ trợ vốn vay và các chương trình hỗ trợ khác của Chính phủ, các bộ, ngành và địa phương.</w:t>
            </w:r>
          </w:p>
        </w:tc>
        <w:tc>
          <w:tcPr>
            <w:tcW w:w="5400" w:type="dxa"/>
          </w:tcPr>
          <w:p w14:paraId="6CAE6A7D" w14:textId="029D7B8B"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23 hướng dẫn chi tiết điểm a, c, d, đ khoản 5 Điều 22 Luật Công nghệ cao. Theo đó, các nội dung quy định được kế thừa quy định tại Điều 12 Nghị định số 10/2024/NĐ-CP.</w:t>
            </w:r>
          </w:p>
        </w:tc>
      </w:tr>
      <w:tr w:rsidR="004615D3" w:rsidRPr="00C857A6" w14:paraId="433A4A42" w14:textId="77777777" w:rsidTr="00022042">
        <w:tc>
          <w:tcPr>
            <w:tcW w:w="2245" w:type="dxa"/>
          </w:tcPr>
          <w:p w14:paraId="676A2528" w14:textId="3D36093B"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t>Điều 13 và Điều 23 Nghị định số 10/2024/NĐ-CP</w:t>
            </w:r>
          </w:p>
        </w:tc>
        <w:tc>
          <w:tcPr>
            <w:tcW w:w="7380" w:type="dxa"/>
          </w:tcPr>
          <w:p w14:paraId="5042C783"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de-DE"/>
              </w:rPr>
            </w:pPr>
            <w:r w:rsidRPr="009875DA">
              <w:rPr>
                <w:rFonts w:ascii="Times New Roman" w:hAnsi="Times New Roman" w:cs="Times New Roman"/>
                <w:b/>
                <w:color w:val="000000"/>
                <w:sz w:val="24"/>
                <w:szCs w:val="24"/>
                <w:lang w:val="de-DE"/>
              </w:rPr>
              <w:t>Điều 24. Đầu tư xây dựng và kinh doanh hạ tầng kỹ thuật trong khu công nghệ cao</w:t>
            </w:r>
          </w:p>
          <w:p w14:paraId="2CECD26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1. Nhà nước khuyến khích các tổ chức, cá nhân có đủ kinh nghiệm, năng lực tham gia đầu tư xây dựng và kinh doanh kết cấu hạ tầng khu công nghệ cao, bao gồm đầu tư xây dựng và kinh doanh toàn bộ hệ thống kết cấu hạ tầng kỹ thuật khu công nghệ cao hoặc một phần hệ thống kết cấu hạ tầng kỹ thuật khu công nghệ cao theo quy định tại </w:t>
            </w:r>
            <w:bookmarkStart w:id="21" w:name="tc_10"/>
            <w:r w:rsidRPr="009875DA">
              <w:rPr>
                <w:rFonts w:ascii="Times New Roman" w:hAnsi="Times New Roman" w:cs="Times New Roman"/>
                <w:color w:val="000000"/>
                <w:sz w:val="24"/>
                <w:szCs w:val="24"/>
                <w:lang w:val="de-DE"/>
              </w:rPr>
              <w:t>khoản 2 và khoản 3 Điều này</w:t>
            </w:r>
            <w:bookmarkEnd w:id="21"/>
            <w:r w:rsidRPr="009875DA">
              <w:rPr>
                <w:rFonts w:ascii="Times New Roman" w:hAnsi="Times New Roman" w:cs="Times New Roman"/>
                <w:color w:val="000000"/>
                <w:sz w:val="24"/>
                <w:szCs w:val="24"/>
                <w:lang w:val="de-DE"/>
              </w:rPr>
              <w:t xml:space="preserve"> (sau đây gọi là Chủ đầu tư hạ tầng).</w:t>
            </w:r>
          </w:p>
          <w:p w14:paraId="145126F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Đối với dự án đầu tư xây dựng và kinh doanh kết cấu hạ tầng tại khu công nghệ cao được ngân sách nhà nước đầu tư một phần cho xây dựng hệ thống kết cấu hạ tầng kỹ thuật:</w:t>
            </w:r>
          </w:p>
          <w:p w14:paraId="084FBDC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Đối với diện tích xây dựng hệ thống kết cấu hạ tầng kỹ thuật, đất sử dụng công cộng theo quy hoạch phân khu xây dựng khu vực dự án đầu tư kinh doanh kết cấu hạ tầng được phê duyệt, Ban quản lý khu công nghệ cao cho Chủ đầu tư hạ tầng thuê đất để đầu tư xây dựng hệ thống kết cấu hạ tầng kỹ thuật, khu vực sử dụng công cộng. Chủ đầu tư hạ tầng được cho các nhà đầu tư sản xuất, kinh doanh trong phạm vi khu vực dự án đầu tư kinh doanh kết cấu hạ tầng thuê hạ tầng do mình đầu tư sau khi đã hoàn thành xây dựng đồng bộ theo các giai đoạn dự án đầu tư được duyệt;</w:t>
            </w:r>
          </w:p>
          <w:p w14:paraId="762F2C3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b) Đối với phần diện tích phục vụ các dự án đầu tư sản xuất, kinh doanh trong phạm vi khu vực dự án đầu tư kinh doanh kết cấu hạ tầng (không bao gồm diện tích đất quy định tại điểm a khoản này), căn cứ tiến độ đầu tư xây dựng các hệ thống kết cấu hạ tầng kỹ thuật và kế hoạch thu hút đầu tư, Ban quản lý khu công nghệ cao bàn giao đất cho Chủ đầu tư hạ tầng thực hiện việc chuẩn bị mặt bằng hoặc xây dựng nhà xưởng, văn phòng, kho bãi để </w:t>
            </w:r>
            <w:r w:rsidRPr="009875DA">
              <w:rPr>
                <w:rFonts w:ascii="Times New Roman" w:hAnsi="Times New Roman" w:cs="Times New Roman"/>
                <w:color w:val="000000"/>
                <w:sz w:val="24"/>
                <w:szCs w:val="24"/>
                <w:lang w:val="de-DE"/>
              </w:rPr>
              <w:lastRenderedPageBreak/>
              <w:t>cho thuê. Sau khi hoàn thành chuẩn bị mặt bằng hoặc xây dựng nhà xưởng, văn phòng, kho bãi Chủ đầu tư hạ tầng bàn giao lại đất cho Ban quản lý khu công nghệ cao.</w:t>
            </w:r>
          </w:p>
          <w:p w14:paraId="0ABF2B8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Chủ đầu tư hạ tầng được cho thuê hệ thống kết cấu hạ tầng kỹ thuật đã đầu tư, công trình nhà xưởng, văn phòng, kho bãi cho các nhà đầu tư trong phạm vi dự án đầu tư kinh doanh kết cấu hạ tầng và được thu của nhà đầu tư trả tiền sử dụng hạ tầng được quy định tại </w:t>
            </w:r>
            <w:bookmarkStart w:id="22" w:name="tc_22"/>
            <w:r w:rsidRPr="009875DA">
              <w:rPr>
                <w:rFonts w:ascii="Times New Roman" w:hAnsi="Times New Roman" w:cs="Times New Roman"/>
                <w:color w:val="000000"/>
                <w:sz w:val="24"/>
                <w:szCs w:val="24"/>
                <w:lang w:val="de-DE"/>
              </w:rPr>
              <w:t>khoản 8 Điều 30 Nghị định này</w:t>
            </w:r>
            <w:bookmarkEnd w:id="22"/>
            <w:r w:rsidRPr="009875DA">
              <w:rPr>
                <w:rFonts w:ascii="Times New Roman" w:hAnsi="Times New Roman" w:cs="Times New Roman"/>
                <w:color w:val="000000"/>
                <w:sz w:val="24"/>
                <w:szCs w:val="24"/>
                <w:lang w:val="de-DE"/>
              </w:rPr>
              <w:t>, chi phí chuẩn bị mặt bằng (nếu có), tiền thuê hoặc mua nhà xưởng, văn phòng, kho bãi và các khoản tiền khác theo quy định (nếu có);</w:t>
            </w:r>
          </w:p>
          <w:p w14:paraId="62F641F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Trường hợp Chủ đầu tư hạ tầng đầu tư xây dựng nhà xưởng, văn phòng, kho bãi để cho thuê thì được cấp Giấy chứng nhận quyền sở hữu công trình nhà xưởng trên đất theo các quy định của pháp luật về đất đai đối với trường hợp chủ sở hữu công trình xây dựng không đồng thời là người sử dụng đất và được cho thuê nhà xưởng theo quy định của pháp luật;</w:t>
            </w:r>
          </w:p>
          <w:p w14:paraId="1C4CC193"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d) Trường hợp Chủ đầu tư hạ tầng tự nguyện ứng trước tiền để thực hiện bồi thường, giải phóng mặt bằng theo phương án được cơ quan nhà nước có thẩm quyền phê duyệt đối với diện tích đất tại điểm a khoản này thì được tính toán số tiền đã ứng vào chi phí đầu tư dự án.</w:t>
            </w:r>
          </w:p>
          <w:p w14:paraId="47AAE40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Trường hợp Chủ đầu tư hạ tầng ứng trước tiền để thực hiện bồi thường, giải phóng mặt bằng đối với diện tích đất Nhà nước trực tiếp cho nhà đầu tư thuê quy định tại điểm b khoản này, nhà đầu tư có trách nhiệm trả cho Chủ đầu tư hạ tầng số tiền bồi thường, giải phóng mặt bằng mà Chủ đầu tư hạ tầng đã ứng theo phương án được cấp có thẩm quyền phê duyệt và được khấu trừ vào tiền bồi thường giải phóng mặt bằng hoàn trả, tiền thuê đất nhà đầu tư phải nộp cho Nhà nước.</w:t>
            </w:r>
          </w:p>
          <w:p w14:paraId="01FA4F7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Đối với dự án đầu tư xây dựng và kinh doanh kết cấu hạ tầng tại khu công nghệ cao không được ngân sách nhà nước đầu tư xây dựng hệ thống kết cấu hạ tầng kỹ thuật:</w:t>
            </w:r>
          </w:p>
          <w:p w14:paraId="7AC72BD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Chủ đầu tư hạ tầng được nhà nước cho thuê đất để thực hiện dự án đầu tư xây dựng và kinh doanh kết cấu hạ tầng kỹ thuật khu công nghệ cao;</w:t>
            </w:r>
          </w:p>
          <w:p w14:paraId="45E8FBD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b) Chủ đầu tư hạ tầng cho thuê lại đất đã xây dựng hệ thống kết cấu hạ tầng kỹ thuật và văn phòng, nhà xưởng, kho bãi đã đầu tư xây dựng theo quy định của pháp luật về đầu tư, xây dựng, đất đai, kinh doanh bất động sản và pháp luật có liên quan;</w:t>
            </w:r>
          </w:p>
          <w:p w14:paraId="1612753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Đối với các dự án đầu tư thuộc đối tượng phải đáp ứng các nguyên tắc, tiêu chí theo quy định tại Điều 27 Nghị định này, Chủ đầu tư hạ tầng cho thuê lại đất đã xây dựng hệ thống kết cấu hạ tầng kỹ thuật và văn phòng, nhà xưởng, kho bãi sau khi Ban quản lý có văn bản xác nhận dự án đầu tư đáp ứng nguyên tắc hoạt động công nghệ cao theo quy định tại 27 Nghị định này;</w:t>
            </w:r>
          </w:p>
          <w:p w14:paraId="5D28BB5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d) Trường hợp Chủ đầu tư hạ tầng tự nguyện ứng trước tiền để thực hiện bồi thường, giải phóng mặt bằng theo phương án được cơ quan nhà nước có thẩm quyền phê duyệt thì được tính toán số tiền đã ứng vào chi phí đầu tư dự án.</w:t>
            </w:r>
          </w:p>
          <w:p w14:paraId="6E206C82" w14:textId="60FA48D5"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4. Đối với khu công nghệ cao được ngân sách nhà nước đầu tư xây dựng hệ thống kết cấu hạ tầng kỹ thuật thì các phân khu có chức năng nghiên cứu phát triển, ươm tạo công nghệ cao và doanh nghiệp công nghệ cao, đào tạo nhân lực công nghệ cao được ngân sách nhà nước đảm bảo đầu tư giải phóng mặt bằng, san lấp mặt bằng và xây dựng đồng bộ hệ thống kết cấu hạ tầng kỹ thuật.</w:t>
            </w:r>
          </w:p>
        </w:tc>
        <w:tc>
          <w:tcPr>
            <w:tcW w:w="5400" w:type="dxa"/>
          </w:tcPr>
          <w:p w14:paraId="6CEFB687" w14:textId="18D49CED"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24 hướng dẫn chi tiết điểm c khoản 5 Điều 22 Luật Công nghệ cao. Theo đó, các nội dung quy định được kế thừa và tổng hợp từ các quy định tại Điều 13, Điều 23 Nghị định số 10/2024/NĐ-CP.</w:t>
            </w:r>
            <w:r w:rsidR="0071038D">
              <w:rPr>
                <w:rFonts w:ascii="Times New Roman" w:hAnsi="Times New Roman" w:cs="Times New Roman"/>
                <w:sz w:val="24"/>
                <w:szCs w:val="24"/>
                <w:lang w:val="de-DE"/>
              </w:rPr>
              <w:t xml:space="preserve"> </w:t>
            </w:r>
            <w:r w:rsidRPr="009875DA">
              <w:rPr>
                <w:rFonts w:ascii="Times New Roman" w:hAnsi="Times New Roman" w:cs="Times New Roman"/>
                <w:sz w:val="24"/>
                <w:szCs w:val="24"/>
                <w:lang w:val="de-DE"/>
              </w:rPr>
              <w:t>Đây là mô hình đã được triển khai tại các khu công nghệ cao và đã được cập nhật tại Luật Đất đai, đảm bảo sự phù hợp với các quy định của pháp luật có liên quan.</w:t>
            </w:r>
          </w:p>
        </w:tc>
      </w:tr>
      <w:tr w:rsidR="004615D3" w:rsidRPr="00C857A6" w14:paraId="6D393DD4" w14:textId="77777777" w:rsidTr="00022042">
        <w:tc>
          <w:tcPr>
            <w:tcW w:w="2245" w:type="dxa"/>
          </w:tcPr>
          <w:p w14:paraId="70394DF2" w14:textId="4C8B4153"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14 Nghị định số 10/2024/NĐ-CP</w:t>
            </w:r>
          </w:p>
        </w:tc>
        <w:tc>
          <w:tcPr>
            <w:tcW w:w="7380" w:type="dxa"/>
          </w:tcPr>
          <w:p w14:paraId="66B6841E"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de-DE"/>
              </w:rPr>
            </w:pPr>
            <w:bookmarkStart w:id="23" w:name="dieu_14"/>
            <w:r w:rsidRPr="009875DA">
              <w:rPr>
                <w:rFonts w:ascii="Times New Roman" w:hAnsi="Times New Roman" w:cs="Times New Roman"/>
                <w:b/>
                <w:color w:val="000000"/>
                <w:sz w:val="24"/>
                <w:szCs w:val="24"/>
                <w:lang w:val="de-DE"/>
              </w:rPr>
              <w:t>Điều 25. Chính sách phát triển hạ tầng xã hội phục vụ người lao động trong khu công nghệ cao</w:t>
            </w:r>
            <w:bookmarkEnd w:id="23"/>
          </w:p>
          <w:p w14:paraId="02F771E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Ủy ban nhân dân cấp tỉnh có trách nhiệm quy hoạch khu nhà ở và hệ thống công trình hạ tầng xã hội liền kề hoặc xung quanh khu công nghệ cao, đảm bảo kết nối giao thông thuận lợi, để phục vụ trực tiếp cho người lao động làm việc trong khu công nghệ cao đồng thời với việc xác định phương án phát triển khu công nghệ cao khi lập quy hoạch tỉnh và đảm bảo việc đầu tư xây dựng phù hợp với nhu cầu, tiến độ xây dựng khu công nghệ cao.</w:t>
            </w:r>
          </w:p>
          <w:p w14:paraId="69D9802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 xml:space="preserve">2. Nhà nước khuyến khích các tổ chức, cá nhân có đủ kinh nghiệm, năng lực tham gia đầu tư xây dựng kinh doanh các công trình hạ tầng xã hội trong và ngoài khu công nghệ cao và khu nhà ở nằm ngoài khu công nghệ cao để phục vụ trực tiếp cho người lao động làm việc trong khu công nghệ cao. </w:t>
            </w:r>
          </w:p>
          <w:p w14:paraId="5817800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Đối tượng được thuê, mua, thuê mua nhà ở, cơ sở lưu trú phục vụ người lao động trong khu công nghệ cao (việc mua, thuê mua nhà ở chỉ thực hiện đối với khu nhà ở xây dựng ngoài ranh giới khu công nghệ cao) bao gồm:</w:t>
            </w:r>
          </w:p>
          <w:p w14:paraId="1897DED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Tổ chức là nhà đầu tư và cá nhân là chuyên gia, người lao động làm việc tại khu công nghệ cao được thuê nhà ở trong thời gian hoạt động, làm việc tại khu công nghệ cao;</w:t>
            </w:r>
          </w:p>
          <w:p w14:paraId="617040DC" w14:textId="06D78E9B"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Người lao động làm việc trong Ban quản lý khu công nghệ cao, chuyên gia và người lao động có hợp đồng lao động không xác định thời hạn với các nhà đầu tư tại khu công nghệ cao được ưu tiên xét mua nhà ở.</w:t>
            </w:r>
          </w:p>
        </w:tc>
        <w:tc>
          <w:tcPr>
            <w:tcW w:w="5400" w:type="dxa"/>
          </w:tcPr>
          <w:p w14:paraId="2A75332E" w14:textId="66461D7C" w:rsidR="004615D3" w:rsidRPr="009875DA" w:rsidRDefault="004615D3" w:rsidP="004615D3">
            <w:pPr>
              <w:widowControl w:val="0"/>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25 hướng dẫn chi tiết điểm c khoản 5 Điều 22 Luật Công nghệ cao. Theo đó, các nội dung quy định được kế thừa các quy định tại Điều 14 Nghị định số 10/2024/NĐ-CP, phù hợp với các quy định của pháp luật có liên quan.</w:t>
            </w:r>
          </w:p>
        </w:tc>
      </w:tr>
      <w:tr w:rsidR="004615D3" w:rsidRPr="00C857A6" w14:paraId="70D43F69" w14:textId="77777777" w:rsidTr="00022042">
        <w:tc>
          <w:tcPr>
            <w:tcW w:w="2245" w:type="dxa"/>
          </w:tcPr>
          <w:p w14:paraId="5452B380" w14:textId="5EEE4A43"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t>Điều 15 Nghị định số 10/2024/NĐ-CP</w:t>
            </w:r>
          </w:p>
        </w:tc>
        <w:tc>
          <w:tcPr>
            <w:tcW w:w="7380" w:type="dxa"/>
          </w:tcPr>
          <w:p w14:paraId="3BFA6710"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de-DE"/>
              </w:rPr>
            </w:pPr>
            <w:bookmarkStart w:id="24" w:name="dieu_15"/>
            <w:r w:rsidRPr="009875DA">
              <w:rPr>
                <w:rFonts w:ascii="Times New Roman" w:hAnsi="Times New Roman" w:cs="Times New Roman"/>
                <w:b/>
                <w:color w:val="000000"/>
                <w:sz w:val="24"/>
                <w:szCs w:val="24"/>
                <w:lang w:val="de-DE"/>
              </w:rPr>
              <w:t xml:space="preserve">Điều 26. Chính sách đối với hoạt động nghiên cứu phát triển, ươm tạo, đào tạo về công nghệ cao, </w:t>
            </w:r>
            <w:bookmarkEnd w:id="24"/>
            <w:r w:rsidRPr="009875DA">
              <w:rPr>
                <w:rFonts w:ascii="Times New Roman" w:hAnsi="Times New Roman" w:cs="Times New Roman"/>
                <w:b/>
                <w:color w:val="000000"/>
                <w:sz w:val="24"/>
                <w:szCs w:val="24"/>
                <w:lang w:val="de-DE"/>
              </w:rPr>
              <w:t>công nghệ chiến lược</w:t>
            </w:r>
          </w:p>
          <w:p w14:paraId="1050AA0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Ngân sách nhà nước ưu tiên xây dựng tại khu công nghệ cao các cơ sở nghiên cứu và phát triển công nghệ cao, công nghệ chiến lược; các phòng thí nghiệm có quy mô lớn, đạt tiêu chuẩn quốc tế về nghiên cứu, phân tích, kiểm thử, kiểm chuẩn; cơ sở ươm tạo công nghệ cao, công nghệ chiến lược, ươm tạo doanh nghiệp công nghệ cao, doanh nghiệp công nghệ chiến lược; cơ sở đào tạo nhân lực công nghệ cao; cơ sở hạ tầng thông tin về công nghệ cao, công nghệ chiến lược.</w:t>
            </w:r>
          </w:p>
          <w:p w14:paraId="01989B6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Nhà nước ưu tiên triển khai các chương trình khoa học và công nghệ; các chương trình, hiệp định, thỏa thuận hợp tác song phương và đa phương, đề án hội nhập quốc tế về công nghệ cao, công nghệ chiến lược tại khu công nghệ cao</w:t>
            </w:r>
          </w:p>
          <w:p w14:paraId="568D85D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Nhà nước ưu tiên triển khai các chương trình, dự án, hoạt động thử nghiệm có kiểm soát về công nghệ cao, công nghệ chiến lược và các chính sách mới về quản lý công nghệ cao, công nghệ chiến lược tại khu công nghệ cao.</w:t>
            </w:r>
          </w:p>
          <w:p w14:paraId="0E55873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4. Khuyến khích tổ chức các hội chợ, triển lãm công nghệ quy mô quốc gia, quốc tế tại khu công nghệ cao; ưu tiên quảng bá sản phẩm công nghệ cao, công nghệ chiến lược trên các phương tiện thông tin của Bộ Khoa học và Công nghệ, sàn giao dịch công nghệ quốc gia và địa phương.</w:t>
            </w:r>
          </w:p>
          <w:p w14:paraId="03BD0B12" w14:textId="7073F9C5"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5. Khuyến khích và tạo điều kiện thuận lợi cho các tổ chức, cá nhân cung ứng dịch vụ đánh giá, định giá, giám định công nghệ cao, tư vấn chuyển giao công nghệ, sở hữu trí tuệ, dịch vụ pháp lý, môi giới, đầu tư, tài chính, bảo hiểm, các dịch vụ khoa học và công nghệ và dịch vụ khác nhằm thúc đẩy hoạt động thương mại hóa kết quả nghiên cứu và phát triển, chuyển giao công nghệ.</w:t>
            </w:r>
          </w:p>
        </w:tc>
        <w:tc>
          <w:tcPr>
            <w:tcW w:w="5400" w:type="dxa"/>
          </w:tcPr>
          <w:p w14:paraId="065E75A7" w14:textId="5DBEA05D" w:rsidR="004615D3" w:rsidRPr="009875DA" w:rsidRDefault="004615D3" w:rsidP="005A6D8A">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xml:space="preserve">Điều 26 hướng dẫn chi tiết điểm </w:t>
            </w:r>
            <w:r w:rsidR="001856D1">
              <w:rPr>
                <w:rFonts w:ascii="Times New Roman" w:hAnsi="Times New Roman" w:cs="Times New Roman"/>
                <w:sz w:val="24"/>
                <w:szCs w:val="24"/>
                <w:lang w:val="de-DE"/>
              </w:rPr>
              <w:t xml:space="preserve">đ </w:t>
            </w:r>
            <w:r w:rsidRPr="009875DA">
              <w:rPr>
                <w:rFonts w:ascii="Times New Roman" w:hAnsi="Times New Roman" w:cs="Times New Roman"/>
                <w:sz w:val="24"/>
                <w:szCs w:val="24"/>
                <w:lang w:val="de-DE"/>
              </w:rPr>
              <w:t>khoản 5 Điều 22 Luật Công nghệ cao đối với các h</w:t>
            </w:r>
            <w:r w:rsidR="0071038D">
              <w:rPr>
                <w:rFonts w:ascii="Times New Roman" w:hAnsi="Times New Roman" w:cs="Times New Roman"/>
                <w:sz w:val="24"/>
                <w:szCs w:val="24"/>
                <w:lang w:val="de-DE"/>
              </w:rPr>
              <w:t>oạt</w:t>
            </w:r>
            <w:r w:rsidRPr="009875DA">
              <w:rPr>
                <w:rFonts w:ascii="Times New Roman" w:hAnsi="Times New Roman" w:cs="Times New Roman"/>
                <w:sz w:val="24"/>
                <w:szCs w:val="24"/>
                <w:lang w:val="de-DE"/>
              </w:rPr>
              <w:t xml:space="preserve"> </w:t>
            </w:r>
            <w:r w:rsidR="0071038D">
              <w:rPr>
                <w:rFonts w:ascii="Times New Roman" w:hAnsi="Times New Roman" w:cs="Times New Roman"/>
                <w:sz w:val="24"/>
                <w:szCs w:val="24"/>
                <w:lang w:val="de-DE"/>
              </w:rPr>
              <w:t>đ</w:t>
            </w:r>
            <w:r w:rsidRPr="009875DA">
              <w:rPr>
                <w:rFonts w:ascii="Times New Roman" w:hAnsi="Times New Roman" w:cs="Times New Roman"/>
                <w:sz w:val="24"/>
                <w:szCs w:val="24"/>
                <w:lang w:val="de-DE"/>
              </w:rPr>
              <w:t>ộng nghiên cứu phát triển, ươm tạo, đào tạo về công nghệ cao, công nghệ chiến lược. Theo đó, các nội dung quy định được kế thừa các quy định tại Điều 15 Nghị định số 10/2024/NĐ-CP, đồng thời được cập nhật phù hợp với các quy định tại Luật Công nghệ cao năm 2025 và pháp luật về khoa học, công nghệ và đổi mới sáng tạo.</w:t>
            </w:r>
          </w:p>
        </w:tc>
      </w:tr>
      <w:tr w:rsidR="004615D3" w:rsidRPr="00C857A6" w14:paraId="2705A530" w14:textId="77777777" w:rsidTr="00022042">
        <w:tc>
          <w:tcPr>
            <w:tcW w:w="2245" w:type="dxa"/>
          </w:tcPr>
          <w:p w14:paraId="1B71D039" w14:textId="77777777" w:rsidR="004615D3" w:rsidRPr="009875DA" w:rsidRDefault="004615D3" w:rsidP="004615D3">
            <w:pPr>
              <w:widowControl w:val="0"/>
              <w:spacing w:line="276" w:lineRule="auto"/>
              <w:jc w:val="both"/>
              <w:rPr>
                <w:rFonts w:ascii="Times New Roman" w:hAnsi="Times New Roman" w:cs="Times New Roman"/>
                <w:b/>
                <w:sz w:val="24"/>
                <w:szCs w:val="24"/>
                <w:lang w:val="nl-NL" w:eastAsia="vi-VN"/>
              </w:rPr>
            </w:pPr>
          </w:p>
        </w:tc>
        <w:tc>
          <w:tcPr>
            <w:tcW w:w="7380" w:type="dxa"/>
          </w:tcPr>
          <w:p w14:paraId="784DE28F" w14:textId="1715037C" w:rsidR="004615D3" w:rsidRPr="009875DA" w:rsidRDefault="004615D3" w:rsidP="004615D3">
            <w:pPr>
              <w:snapToGrid w:val="0"/>
              <w:jc w:val="both"/>
              <w:rPr>
                <w:rFonts w:ascii="Times New Roman" w:hAnsi="Times New Roman" w:cs="Times New Roman"/>
                <w:b/>
                <w:color w:val="000000"/>
                <w:sz w:val="24"/>
                <w:szCs w:val="24"/>
                <w:lang w:val="de-DE"/>
              </w:rPr>
            </w:pPr>
            <w:r w:rsidRPr="009875DA">
              <w:rPr>
                <w:rFonts w:ascii="Times New Roman" w:hAnsi="Times New Roman" w:cs="Times New Roman"/>
                <w:b/>
                <w:color w:val="000000"/>
                <w:sz w:val="24"/>
                <w:szCs w:val="24"/>
                <w:lang w:val="de-DE"/>
              </w:rPr>
              <w:t>Mục 3. HOẠT ĐỘNG TRONG KHU CÔNG NGHỆ CAO</w:t>
            </w:r>
          </w:p>
        </w:tc>
        <w:tc>
          <w:tcPr>
            <w:tcW w:w="5400" w:type="dxa"/>
          </w:tcPr>
          <w:p w14:paraId="5EF98F91" w14:textId="77777777" w:rsidR="004615D3" w:rsidRPr="009875DA" w:rsidRDefault="004615D3" w:rsidP="004615D3">
            <w:pPr>
              <w:widowControl w:val="0"/>
              <w:spacing w:line="276" w:lineRule="auto"/>
              <w:jc w:val="both"/>
              <w:rPr>
                <w:rFonts w:ascii="Times New Roman" w:hAnsi="Times New Roman" w:cs="Times New Roman"/>
                <w:sz w:val="24"/>
                <w:szCs w:val="24"/>
                <w:lang w:val="nl-NL"/>
              </w:rPr>
            </w:pPr>
          </w:p>
        </w:tc>
      </w:tr>
      <w:tr w:rsidR="004615D3" w:rsidRPr="00C857A6" w14:paraId="22F2E506" w14:textId="77777777" w:rsidTr="00022042">
        <w:tc>
          <w:tcPr>
            <w:tcW w:w="2245" w:type="dxa"/>
          </w:tcPr>
          <w:p w14:paraId="45894D55" w14:textId="2E4DD148"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t>Điều 28, 29, 30, 31 và 33 Nghị định số 10/2024/NĐ-CP</w:t>
            </w:r>
          </w:p>
        </w:tc>
        <w:tc>
          <w:tcPr>
            <w:tcW w:w="7380" w:type="dxa"/>
          </w:tcPr>
          <w:p w14:paraId="2B1AEC8C" w14:textId="77777777" w:rsidR="004615D3" w:rsidRPr="009875DA" w:rsidRDefault="004615D3" w:rsidP="004615D3">
            <w:pPr>
              <w:snapToGrid w:val="0"/>
              <w:spacing w:line="276" w:lineRule="auto"/>
              <w:jc w:val="both"/>
              <w:rPr>
                <w:rFonts w:ascii="Times New Roman" w:hAnsi="Times New Roman" w:cs="Times New Roman"/>
                <w:b/>
                <w:color w:val="000000"/>
                <w:sz w:val="24"/>
                <w:szCs w:val="24"/>
                <w:lang w:val="de-DE"/>
              </w:rPr>
            </w:pPr>
            <w:r w:rsidRPr="009875DA">
              <w:rPr>
                <w:rFonts w:ascii="Times New Roman" w:hAnsi="Times New Roman" w:cs="Times New Roman"/>
                <w:b/>
                <w:color w:val="000000"/>
                <w:sz w:val="24"/>
                <w:szCs w:val="24"/>
                <w:lang w:val="de-DE"/>
              </w:rPr>
              <w:t>Điều 27. Nguyên tắc đối với dự án đầu tư trong khu công nghệ cao</w:t>
            </w:r>
          </w:p>
          <w:p w14:paraId="42F1889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Ngoài việc đáp ứng các quy định của pháp luật về đầu tư, pháp luật có liên quan, dự án đầu tư vào khu công nghệ cao phải đáp ứng các nguyên tắc chung:</w:t>
            </w:r>
          </w:p>
          <w:p w14:paraId="471282A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a) Mục tiêu và nội dung hoạt động của dự án đầu tư phù hợp với nhiệm vụ của khu công nghệ cao quy định tại </w:t>
            </w:r>
            <w:bookmarkStart w:id="25" w:name="dc_23"/>
            <w:r w:rsidRPr="009875DA">
              <w:rPr>
                <w:rFonts w:ascii="Times New Roman" w:hAnsi="Times New Roman" w:cs="Times New Roman"/>
                <w:color w:val="000000"/>
                <w:sz w:val="24"/>
                <w:szCs w:val="24"/>
                <w:lang w:val="de-DE"/>
              </w:rPr>
              <w:t>khoản 2 Điều 22 Luật Công nghệ cao</w:t>
            </w:r>
            <w:bookmarkEnd w:id="25"/>
            <w:r w:rsidRPr="009875DA">
              <w:rPr>
                <w:rFonts w:ascii="Times New Roman" w:hAnsi="Times New Roman" w:cs="Times New Roman"/>
                <w:color w:val="000000"/>
                <w:sz w:val="24"/>
                <w:szCs w:val="24"/>
                <w:lang w:val="de-DE"/>
              </w:rPr>
              <w:t>;</w:t>
            </w:r>
          </w:p>
          <w:p w14:paraId="2C2BA43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Áp dụng các biện pháp thân thiện với môi trường, tiết kiệm năng lượng;</w:t>
            </w:r>
          </w:p>
          <w:p w14:paraId="21481133"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Phù hợp với quy hoạch, khả năng cung cấp hạ tầng kỹ thuật và hạ tầng xã hội của khu công nghệ cao và các quy định của pháp luật liên quan;</w:t>
            </w:r>
          </w:p>
          <w:p w14:paraId="64C899F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d) Nhà đầu tư đề xuất dự án đầu tư có khả năng tài chính hoặc huy động nguồn lực hợp pháp khác để đáp ứng yêu cầu về nguồn vốn đầu tư xây dựng, duy trì, vận hành dự án; có năng lực công nghệ, năng lực quản lý, đảm bảo việc xây dựng, triển khai dự án đầu tư theo đúng tiến độ, kế hoạch;</w:t>
            </w:r>
          </w:p>
          <w:p w14:paraId="7EC824D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đ) Ưu tiên các dự án đầu tư có suất vốn đầu tư (chi phí đầu tư dự án tính trên một đơn vị diện tích đất) cao hơn suất vốn đầu tư trung bình trong phân khu chức năng đó;</w:t>
            </w:r>
          </w:p>
          <w:p w14:paraId="5F39890B" w14:textId="77777777" w:rsidR="004615D3" w:rsidRPr="009875DA" w:rsidRDefault="004615D3" w:rsidP="004615D3">
            <w:pPr>
              <w:snapToGrid w:val="0"/>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sz w:val="24"/>
                <w:szCs w:val="24"/>
                <w:lang w:val="de-DE"/>
              </w:rPr>
              <w:t xml:space="preserve">e) Ngoài việc đáp ứng các nguyên tắc quy định tại các điểm a, b, c, d, đ khoản này, mỗi loại hình dự án đầu tư thực hiện hoạt động công nghệ cao, </w:t>
            </w:r>
            <w:r w:rsidRPr="009875DA">
              <w:rPr>
                <w:rFonts w:ascii="Times New Roman" w:hAnsi="Times New Roman" w:cs="Times New Roman"/>
                <w:color w:val="000000"/>
                <w:sz w:val="24"/>
                <w:szCs w:val="24"/>
                <w:lang w:val="de-DE"/>
              </w:rPr>
              <w:lastRenderedPageBreak/>
              <w:t>công nghệ chiến lược phải đáp ứng các tiêu chí tương ứng đối với từng loại hình quy</w:t>
            </w:r>
            <w:r w:rsidRPr="009875DA">
              <w:rPr>
                <w:rFonts w:ascii="Times New Roman" w:hAnsi="Times New Roman" w:cs="Times New Roman"/>
                <w:sz w:val="24"/>
                <w:szCs w:val="24"/>
                <w:lang w:val="de-DE"/>
              </w:rPr>
              <w:t xml:space="preserve"> định tại </w:t>
            </w:r>
            <w:bookmarkStart w:id="26" w:name="tc_42"/>
            <w:r w:rsidRPr="009875DA">
              <w:rPr>
                <w:rFonts w:ascii="Times New Roman" w:hAnsi="Times New Roman" w:cs="Times New Roman"/>
                <w:sz w:val="24"/>
                <w:szCs w:val="24"/>
                <w:lang w:val="de-DE"/>
              </w:rPr>
              <w:t xml:space="preserve">các khoản </w:t>
            </w:r>
            <w:bookmarkStart w:id="27" w:name="tc_69"/>
            <w:bookmarkEnd w:id="26"/>
            <w:r w:rsidRPr="009875DA">
              <w:rPr>
                <w:rFonts w:ascii="Times New Roman" w:hAnsi="Times New Roman" w:cs="Times New Roman"/>
                <w:sz w:val="24"/>
                <w:szCs w:val="24"/>
                <w:lang w:val="de-DE"/>
              </w:rPr>
              <w:t>2, 3, 4, 5, 6 Điều này</w:t>
            </w:r>
            <w:bookmarkEnd w:id="27"/>
            <w:r w:rsidRPr="009875DA">
              <w:rPr>
                <w:rFonts w:ascii="Times New Roman" w:hAnsi="Times New Roman" w:cs="Times New Roman"/>
                <w:sz w:val="24"/>
                <w:szCs w:val="24"/>
                <w:lang w:val="de-DE"/>
              </w:rPr>
              <w:t>.</w:t>
            </w:r>
          </w:p>
          <w:p w14:paraId="3D4B5578" w14:textId="77777777" w:rsidR="004615D3" w:rsidRPr="009875DA" w:rsidRDefault="004615D3" w:rsidP="004615D3">
            <w:pPr>
              <w:snapToGrid w:val="0"/>
              <w:spacing w:line="276" w:lineRule="auto"/>
              <w:jc w:val="both"/>
              <w:rPr>
                <w:rFonts w:ascii="Times New Roman" w:hAnsi="Times New Roman" w:cs="Times New Roman"/>
                <w:sz w:val="24"/>
                <w:szCs w:val="24"/>
                <w:lang w:val="vi-VN"/>
              </w:rPr>
            </w:pPr>
            <w:r w:rsidRPr="009875DA">
              <w:rPr>
                <w:rFonts w:ascii="Times New Roman" w:hAnsi="Times New Roman" w:cs="Times New Roman"/>
                <w:sz w:val="24"/>
                <w:szCs w:val="24"/>
                <w:lang w:val="de-DE"/>
              </w:rPr>
              <w:t>2. Dự</w:t>
            </w:r>
            <w:r w:rsidRPr="009875DA">
              <w:rPr>
                <w:rFonts w:ascii="Times New Roman" w:hAnsi="Times New Roman" w:cs="Times New Roman"/>
                <w:sz w:val="24"/>
                <w:szCs w:val="24"/>
                <w:lang w:val="vi-VN"/>
              </w:rPr>
              <w:t xml:space="preserve"> án đầu tư t</w:t>
            </w:r>
            <w:r w:rsidRPr="009875DA">
              <w:rPr>
                <w:rFonts w:ascii="Times New Roman" w:hAnsi="Times New Roman" w:cs="Times New Roman"/>
                <w:sz w:val="24"/>
                <w:szCs w:val="24"/>
                <w:lang w:val="de-DE"/>
              </w:rPr>
              <w:t>rung tâm nghiên cứu và phát triển công nghệ cao, công nghệ chiến lược thực hiện các hoạt động theo quy định tại khoản 2 Điều 11, khoản 1 Điều 12 Luật Công nghệ cao phải đáp ứng các nguyên tắc quy định tại khoản 1 Điều này và quy</w:t>
            </w:r>
            <w:r w:rsidRPr="009875DA">
              <w:rPr>
                <w:rFonts w:ascii="Times New Roman" w:hAnsi="Times New Roman" w:cs="Times New Roman"/>
                <w:sz w:val="24"/>
                <w:szCs w:val="24"/>
                <w:lang w:val="vi-VN"/>
              </w:rPr>
              <w:t xml:space="preserve"> định tại khoản 2 Điều 8 Nghị định này.</w:t>
            </w:r>
          </w:p>
          <w:p w14:paraId="0E1ABAB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Dự án đầu tư cơ sở hoạt động đào tạo nhân lực công nghệ cao, công nghệ chiến lược phải đáp ứng các nguyên tắc quy định tại các khoản 1 Điều này và các tiêu chí sau đây:</w:t>
            </w:r>
          </w:p>
          <w:p w14:paraId="32796AA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Đào tạo nhân lực nghiên cứu, phát triển công nghệ cao, công nghệ chiến lược thuộc Danh mục công nghệ cao được ưu tiên đầu tư phát triển và Danh mục công nghệ chiến lược; nhân lực có trình độ cao trong vận hành các thiết bị, dây chuyền sản xuất sản phẩm, cung ứng dịch vụ công nghệ cao, công nghệ chiến lược và quản lý hoạt động công nghệ cao, công nghệ chiến lược.</w:t>
            </w:r>
          </w:p>
          <w:p w14:paraId="76FC50C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Có lộ trình và kế hoạch phát triển nhân lực công nghệ cao cụ thể; tuân thủ các quy định hiện hành về đào tạo, phát triển nguồn nhân lực của Việt Nam;</w:t>
            </w:r>
          </w:p>
          <w:p w14:paraId="48B45F53"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Định hướng hình thành tập thể nghiên cứu khoa học mạnh; phát triển cơ sở đào tạo nhân lực công nghệ cao đạt trình độ quốc tế.</w:t>
            </w:r>
          </w:p>
          <w:p w14:paraId="4AB9DC6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vi-VN"/>
              </w:rPr>
            </w:pPr>
            <w:r w:rsidRPr="009875DA">
              <w:rPr>
                <w:rFonts w:ascii="Times New Roman" w:hAnsi="Times New Roman" w:cs="Times New Roman"/>
                <w:color w:val="000000"/>
                <w:sz w:val="24"/>
                <w:szCs w:val="24"/>
                <w:lang w:val="de-DE"/>
              </w:rPr>
              <w:t>4. Dự án đầu tư cơ sở ươm tạo công nghệ cao, công nghệ chiến lược, ươm tạo doanh nghiệp công nghệ cao, doanh nghiệp công nghệ chiến lược phải đáp ứng các nguyên tắc quy định tại khoản 1 Điều này và quy định về điều kiện, tiêu chí đối với cơ sở ươm tạo công nghệ cao, công nghệ chiến lược, ươm tạo doanh nghiệp công nghệ cao, doanh nghiệp công nghệ chiến lược</w:t>
            </w:r>
            <w:r w:rsidRPr="009875DA">
              <w:rPr>
                <w:rFonts w:ascii="Times New Roman" w:hAnsi="Times New Roman" w:cs="Times New Roman"/>
                <w:color w:val="000000"/>
                <w:sz w:val="24"/>
                <w:szCs w:val="24"/>
                <w:lang w:val="vi-VN"/>
              </w:rPr>
              <w:t xml:space="preserve"> theo quy định của Bộ trưởng Bộ Khoa học và Công nghệ.</w:t>
            </w:r>
          </w:p>
          <w:p w14:paraId="574A234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Ban quản lý khu công nghệ cao có trách nhiệm theo dõi, giám sát và hướng dẫn việc tổ chức lựa chọn các doanh nghiệp và dự án được lựa chọn ươm tạo quy định tại điểm này.</w:t>
            </w:r>
          </w:p>
          <w:p w14:paraId="52393BC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 xml:space="preserve">5. Dự án đầu tư cung ứng dịch vụ công nghệ cao, công nghệ chiến lược phải đáp ứng các nguyên tắc quy định tại </w:t>
            </w:r>
            <w:bookmarkStart w:id="28" w:name="tc_50"/>
            <w:r w:rsidRPr="009875DA">
              <w:rPr>
                <w:rFonts w:ascii="Times New Roman" w:hAnsi="Times New Roman" w:cs="Times New Roman"/>
                <w:color w:val="000000"/>
                <w:sz w:val="24"/>
                <w:szCs w:val="24"/>
                <w:lang w:val="de-DE"/>
              </w:rPr>
              <w:t>khoản 1 Điều này</w:t>
            </w:r>
            <w:bookmarkEnd w:id="28"/>
            <w:r w:rsidRPr="009875DA">
              <w:rPr>
                <w:rFonts w:ascii="Times New Roman" w:hAnsi="Times New Roman" w:cs="Times New Roman"/>
                <w:color w:val="000000"/>
                <w:sz w:val="24"/>
                <w:szCs w:val="24"/>
                <w:lang w:val="de-DE"/>
              </w:rPr>
              <w:t>, đồng thời dịch vụ công nghệ cao, công nghệ chiến lược được cung ứng phải thuộc Danh mục công nghệ cao được ưu tiên đầu tư phát triển và Danh mục sản phẩm công nghệ cao được khuyến khích phát triển hoặc công nghệ chiến lược, sản phẩm công nghệ chiến lược thuộc Danh mục công nghệ chiến lược ban hành kèm theo Quyết định của Thủ tướng Chính phủ.</w:t>
            </w:r>
          </w:p>
          <w:p w14:paraId="3F689E54" w14:textId="35522CF9"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vi-VN"/>
              </w:rPr>
              <w:t>6</w:t>
            </w:r>
            <w:r w:rsidRPr="009875DA">
              <w:rPr>
                <w:rFonts w:ascii="Times New Roman" w:hAnsi="Times New Roman" w:cs="Times New Roman"/>
                <w:color w:val="000000"/>
                <w:sz w:val="24"/>
                <w:szCs w:val="24"/>
                <w:lang w:val="de-DE"/>
              </w:rPr>
              <w:t>. Trong trường hợp công nghệ hoặc sản phẩm của dự án đầu tư Trung tâm nghiên cứu và phát triển công nghệ cao, công nghệ chiến lược là công nghệ mới, công nghệ tiên tiến cần thu hút đầu tư nhưng không nằm trong các danh mục nêu trên, Ủy ban nhân dân cấp tỉnh báo cáo Bộ Khoa học và Công nghệ để Bộ Khoa học và Công nghệ xin ý kiến Thủ tướng Chính phủ về việc chấp thuận công nghệ, sản phẩm nghiên cứu và phát triển của dự án đầu tư.</w:t>
            </w:r>
          </w:p>
        </w:tc>
        <w:tc>
          <w:tcPr>
            <w:tcW w:w="5400" w:type="dxa"/>
          </w:tcPr>
          <w:p w14:paraId="7AF5FB00" w14:textId="2610FED3"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xml:space="preserve">Điều 27 hướng dẫn chi tiết khoản 6 Điều 22 Luật Công nghệ cao. Theo đó, các nội dung quy định được kế thừa và tổng hợp, chắt lọc (để đảm bảo kết cấu chung) các quy định tại Điều 28, 29, 30, 31 và 33 Nghị định số 10/2024/NĐ-CP, phù hợp với các quy định tại Luật Công nghệ cao năm 2025 và pháp luật về khoa học, công nghệ và đổi mới sáng tạo. </w:t>
            </w:r>
          </w:p>
          <w:p w14:paraId="2B8EDE4C" w14:textId="5195454C" w:rsidR="004615D3" w:rsidRPr="009875DA" w:rsidRDefault="004615D3" w:rsidP="004615D3">
            <w:pPr>
              <w:widowControl w:val="0"/>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9875DA">
              <w:rPr>
                <w:rFonts w:ascii="Times New Roman" w:hAnsi="Times New Roman" w:cs="Times New Roman"/>
                <w:sz w:val="24"/>
                <w:szCs w:val="24"/>
                <w:lang w:val="de-DE"/>
              </w:rPr>
              <w:t>Theo quy định tại Luật Công nghệ cao 2025, trong khu công nghệ cao mô hình mới không còn hoạt động sản xuất công nghiệp sản phẩm công nghệ cao, do đó, đối với trường hợp hoạt động sản xuất công nghiệp sản phẩm công nghệ cao (theo quy định chuyển tiếp tại điểm b khoản 3 Điều 27) được quy định tại Điều 40 dự thảo Nghị định.</w:t>
            </w:r>
          </w:p>
        </w:tc>
      </w:tr>
      <w:tr w:rsidR="004615D3" w:rsidRPr="00C857A6" w14:paraId="5D34EF55" w14:textId="77777777" w:rsidTr="00022042">
        <w:tc>
          <w:tcPr>
            <w:tcW w:w="2245" w:type="dxa"/>
          </w:tcPr>
          <w:p w14:paraId="5B48E1BB" w14:textId="1428219D"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24 và Điều 25 Nghị định số 10/2024/NĐ-CP</w:t>
            </w:r>
          </w:p>
        </w:tc>
        <w:tc>
          <w:tcPr>
            <w:tcW w:w="7380" w:type="dxa"/>
          </w:tcPr>
          <w:p w14:paraId="543B29A0"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r w:rsidRPr="009875DA">
              <w:rPr>
                <w:rFonts w:ascii="Times New Roman" w:hAnsi="Times New Roman" w:cs="Times New Roman"/>
                <w:b/>
                <w:bCs/>
                <w:color w:val="000000"/>
                <w:sz w:val="24"/>
                <w:szCs w:val="24"/>
                <w:lang w:val="de-DE"/>
              </w:rPr>
              <w:t>Điều 28. Quyền và nghĩa vụ của nhà đầu tư thực hiện dự án đầu tư và Chủ đầu tư hạ tầng trong khu công nghệ cao</w:t>
            </w:r>
          </w:p>
          <w:p w14:paraId="7CB8B24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Nhà đầu tư thực hiện dự án đầu tư trong khu công nghệ cao ngoài quyền và nghĩa vụ chung của nhà đầu tư, doanh nghiệp theo quy định của pháp luật về đầu tư, pháp luật về doanh nghiệp, Nghị định này và quy định khác của pháp luật có liên quan còn có các quyền và nghĩa vụ sau đây:</w:t>
            </w:r>
          </w:p>
          <w:p w14:paraId="549CD8E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Tuân thủ các quy định về an ninh, trật tự, bảo đảm an toàn, vệ sinh lao động, chất lượng công trình, bảo vệ môi trường và phòng chống cháy, nổ; nộp các khoản thu, phí, lệ phí theo quy định;</w:t>
            </w:r>
          </w:p>
          <w:p w14:paraId="203A519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Phối hợp với lực lượng công an và cơ quan nhà nước có thẩm quyền xây dựng phương án phòng chống cháy, nổ, bảo đảm an ninh, trật tự, an toàn xã hội trong khu vực;</w:t>
            </w:r>
          </w:p>
          <w:p w14:paraId="7859CE3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Báo cáo cơ quan đăng ký đầu tư và cơ quan quản lý nhà nước về thống kê tại địa phương về tình hình thực hiện dự án đầu tư theo quy định của pháp luật về đầu tư;</w:t>
            </w:r>
          </w:p>
          <w:p w14:paraId="284A3B6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 xml:space="preserve">d) Nhà đầu tư sử dụng đất, nhà xưởng, văn phòng, kho bãi thuộc phạm vi khu vực dự án đầu tư kinh doanh kết cấu hạ tầng theo quy định tại </w:t>
            </w:r>
            <w:bookmarkStart w:id="29" w:name="tc_29"/>
            <w:r w:rsidRPr="009875DA">
              <w:rPr>
                <w:rFonts w:ascii="Times New Roman" w:hAnsi="Times New Roman" w:cs="Times New Roman"/>
                <w:color w:val="000000"/>
                <w:sz w:val="24"/>
                <w:szCs w:val="24"/>
                <w:lang w:val="de-DE"/>
              </w:rPr>
              <w:t xml:space="preserve">khoản 2 Điều </w:t>
            </w:r>
            <w:r w:rsidRPr="009875DA">
              <w:rPr>
                <w:rFonts w:ascii="Times New Roman" w:hAnsi="Times New Roman" w:cs="Times New Roman"/>
                <w:color w:val="000000"/>
                <w:sz w:val="24"/>
                <w:szCs w:val="24"/>
                <w:lang w:val="vi-VN"/>
              </w:rPr>
              <w:t>24</w:t>
            </w:r>
            <w:r w:rsidRPr="009875DA">
              <w:rPr>
                <w:rFonts w:ascii="Times New Roman" w:hAnsi="Times New Roman" w:cs="Times New Roman"/>
                <w:color w:val="000000"/>
                <w:sz w:val="24"/>
                <w:szCs w:val="24"/>
                <w:lang w:val="de-DE"/>
              </w:rPr>
              <w:t xml:space="preserve"> Nghị định này</w:t>
            </w:r>
            <w:bookmarkEnd w:id="29"/>
            <w:r w:rsidRPr="009875DA">
              <w:rPr>
                <w:rFonts w:ascii="Times New Roman" w:hAnsi="Times New Roman" w:cs="Times New Roman"/>
                <w:color w:val="000000"/>
                <w:sz w:val="24"/>
                <w:szCs w:val="24"/>
                <w:lang w:val="de-DE"/>
              </w:rPr>
              <w:t xml:space="preserve"> có trách nhiệm trả tiền sử dụng hạ tầng do Nhà nước đầu tư quy định tại </w:t>
            </w:r>
            <w:bookmarkStart w:id="30" w:name="tc_30"/>
            <w:r w:rsidRPr="009875DA">
              <w:rPr>
                <w:rFonts w:ascii="Times New Roman" w:hAnsi="Times New Roman" w:cs="Times New Roman"/>
                <w:color w:val="000000"/>
                <w:sz w:val="24"/>
                <w:szCs w:val="24"/>
                <w:lang w:val="de-DE"/>
              </w:rPr>
              <w:t>khoản 5 Điều 30 Nghị định này</w:t>
            </w:r>
            <w:bookmarkEnd w:id="30"/>
            <w:r w:rsidRPr="009875DA">
              <w:rPr>
                <w:rFonts w:ascii="Times New Roman" w:hAnsi="Times New Roman" w:cs="Times New Roman"/>
                <w:color w:val="000000"/>
                <w:sz w:val="24"/>
                <w:szCs w:val="24"/>
                <w:lang w:val="de-DE"/>
              </w:rPr>
              <w:t xml:space="preserve">; tiền sử dụng hạ tầng do Chủ đầu tư hạ tầng đầu tư quy định tại </w:t>
            </w:r>
            <w:bookmarkStart w:id="31" w:name="tc_31"/>
            <w:r w:rsidRPr="009875DA">
              <w:rPr>
                <w:rFonts w:ascii="Times New Roman" w:hAnsi="Times New Roman" w:cs="Times New Roman"/>
                <w:color w:val="000000"/>
                <w:sz w:val="24"/>
                <w:szCs w:val="24"/>
                <w:lang w:val="de-DE"/>
              </w:rPr>
              <w:t>khoản 7 Điều 30 Nghị định này</w:t>
            </w:r>
            <w:bookmarkEnd w:id="31"/>
            <w:r w:rsidRPr="009875DA">
              <w:rPr>
                <w:rFonts w:ascii="Times New Roman" w:hAnsi="Times New Roman" w:cs="Times New Roman"/>
                <w:color w:val="000000"/>
                <w:sz w:val="24"/>
                <w:szCs w:val="24"/>
                <w:lang w:val="de-DE"/>
              </w:rPr>
              <w:t>; tiền thuê nhà xưởng, văn phòng, kho bãi và chi phí chuẩn bị mặt bằng (nếu có);</w:t>
            </w:r>
          </w:p>
          <w:p w14:paraId="42D5A34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đ) Nhà đầu tư sử dụng đất, nhà xưởng, văn phòng, kho bãi thuộc phạm vi khu vực dự án đầu tư kinh doanh kết cấu hạ tầng theo quy định tại </w:t>
            </w:r>
            <w:bookmarkStart w:id="32" w:name="tc_32"/>
            <w:r w:rsidRPr="009875DA">
              <w:rPr>
                <w:rFonts w:ascii="Times New Roman" w:hAnsi="Times New Roman" w:cs="Times New Roman"/>
                <w:color w:val="000000"/>
                <w:sz w:val="24"/>
                <w:szCs w:val="24"/>
                <w:lang w:val="de-DE"/>
              </w:rPr>
              <w:t>khoản 3 Điều 24 Nghị định này</w:t>
            </w:r>
            <w:bookmarkEnd w:id="32"/>
            <w:r w:rsidRPr="009875DA">
              <w:rPr>
                <w:rFonts w:ascii="Times New Roman" w:hAnsi="Times New Roman" w:cs="Times New Roman"/>
                <w:color w:val="000000"/>
                <w:sz w:val="24"/>
                <w:szCs w:val="24"/>
                <w:lang w:val="de-DE"/>
              </w:rPr>
              <w:t xml:space="preserve"> có trách nhiệm trả cho Chủ đầu tư hạ tầng tiền thuê đất, nhà xưởng, văn phòng, kho bãi (nếu có); tiền sử dụng hạ tầng do Chủ đầu tư hạ tầng đầu tư quy định tại </w:t>
            </w:r>
            <w:bookmarkStart w:id="33" w:name="tc_33"/>
            <w:r w:rsidRPr="009875DA">
              <w:rPr>
                <w:rFonts w:ascii="Times New Roman" w:hAnsi="Times New Roman" w:cs="Times New Roman"/>
                <w:color w:val="000000"/>
                <w:sz w:val="24"/>
                <w:szCs w:val="24"/>
                <w:lang w:val="de-DE"/>
              </w:rPr>
              <w:t>khoản 7 Điều 30 Nghị định này</w:t>
            </w:r>
            <w:bookmarkEnd w:id="33"/>
            <w:r w:rsidRPr="009875DA">
              <w:rPr>
                <w:rFonts w:ascii="Times New Roman" w:hAnsi="Times New Roman" w:cs="Times New Roman"/>
                <w:color w:val="000000"/>
                <w:sz w:val="24"/>
                <w:szCs w:val="24"/>
                <w:lang w:val="de-DE"/>
              </w:rPr>
              <w:t>.</w:t>
            </w:r>
          </w:p>
          <w:p w14:paraId="18E5B1DD" w14:textId="77777777" w:rsidR="004615D3" w:rsidRPr="009875DA" w:rsidRDefault="004615D3" w:rsidP="004615D3">
            <w:pPr>
              <w:snapToGrid w:val="0"/>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sz w:val="24"/>
                <w:szCs w:val="24"/>
                <w:lang w:val="de-DE"/>
              </w:rPr>
              <w:t xml:space="preserve">2. Ngoài các </w:t>
            </w:r>
            <w:r w:rsidRPr="009875DA">
              <w:rPr>
                <w:rFonts w:ascii="Times New Roman" w:hAnsi="Times New Roman" w:cs="Times New Roman"/>
                <w:sz w:val="24"/>
                <w:szCs w:val="24"/>
                <w:lang w:val="de-DE"/>
              </w:rPr>
              <w:t xml:space="preserve">quy định tại khoản 1 Điều này, nhà đầu tư sử dụng đất, văn phòng, nhà xưởng, kho bãi để thực hiện dự án đầu tư thuộc đối tượng quy định tại </w:t>
            </w:r>
            <w:bookmarkStart w:id="34" w:name="tc_34"/>
            <w:r w:rsidRPr="009875DA">
              <w:rPr>
                <w:rFonts w:ascii="Times New Roman" w:hAnsi="Times New Roman" w:cs="Times New Roman"/>
                <w:sz w:val="24"/>
                <w:szCs w:val="24"/>
                <w:lang w:val="de-DE"/>
              </w:rPr>
              <w:t>Điều 27 Nghị định này</w:t>
            </w:r>
            <w:bookmarkEnd w:id="34"/>
            <w:r w:rsidRPr="009875DA">
              <w:rPr>
                <w:rFonts w:ascii="Times New Roman" w:hAnsi="Times New Roman" w:cs="Times New Roman"/>
                <w:sz w:val="24"/>
                <w:szCs w:val="24"/>
                <w:lang w:val="de-DE"/>
              </w:rPr>
              <w:t xml:space="preserve"> phải đáp ứng các nguyên tắc đối với từng loại hình dự án đầu tư tương ứng.</w:t>
            </w:r>
          </w:p>
          <w:p w14:paraId="3EE5214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Cam kết thực hiện các nguyên tắc, tiêu chí quy định tại </w:t>
            </w:r>
            <w:bookmarkStart w:id="35" w:name="tc_35"/>
            <w:r w:rsidRPr="009875DA">
              <w:rPr>
                <w:rFonts w:ascii="Times New Roman" w:hAnsi="Times New Roman" w:cs="Times New Roman"/>
                <w:color w:val="000000"/>
                <w:sz w:val="24"/>
                <w:szCs w:val="24"/>
                <w:lang w:val="de-DE"/>
              </w:rPr>
              <w:t>Điều 8 Nghị định này</w:t>
            </w:r>
            <w:bookmarkEnd w:id="35"/>
            <w:r w:rsidRPr="009875DA">
              <w:rPr>
                <w:rFonts w:ascii="Times New Roman" w:hAnsi="Times New Roman" w:cs="Times New Roman"/>
                <w:color w:val="000000"/>
                <w:sz w:val="24"/>
                <w:szCs w:val="24"/>
                <w:lang w:val="de-DE"/>
              </w:rPr>
              <w:t xml:space="preserve"> của nhà đầu tư được ghi tại Quyết định chấp thuận chủ trương đầu tư/Giấy chứng nhận đăng ký đầu tư/Quyết định giao đất không thu tiền sử dụng đất/Quyết định cho thuê đất/Hợp đồng thuê đất (cho thuê lại đất) hoặc văn bản xác nhận dự án đầu tư đáp ứng nguyên tắc hoạt động công nghệ cao quy định tại Nghị định này làm căn cứ giám sát, đánh giá đầu tư, thanh tra, kiểm tra, xử lý vi phạm khi không thực hiện đúng, gồm: không được áp dụng ưu đãi đầu tư, ngừng hoặc ngừng một phần, chấm dứt hoặc chấm dứt một phần hoạt động của dự án nếu sau thời hạn 01 năm hoặc theo thời hạn quy định tại quyết định ngừng hoạt động nhà đầu tư không khắc phục được vi phạm theo quy định của </w:t>
            </w:r>
            <w:bookmarkStart w:id="36" w:name="tvpllink_gwozgqnrqo_4"/>
            <w:r w:rsidRPr="009875DA">
              <w:rPr>
                <w:rFonts w:ascii="Times New Roman" w:hAnsi="Times New Roman" w:cs="Times New Roman"/>
                <w:color w:val="000000"/>
                <w:sz w:val="24"/>
                <w:szCs w:val="24"/>
                <w:lang w:val="de-DE"/>
              </w:rPr>
              <w:t>Luật Đầu tư</w:t>
            </w:r>
            <w:bookmarkEnd w:id="36"/>
            <w:r w:rsidRPr="009875DA">
              <w:rPr>
                <w:rFonts w:ascii="Times New Roman" w:hAnsi="Times New Roman" w:cs="Times New Roman"/>
                <w:color w:val="000000"/>
                <w:sz w:val="24"/>
                <w:szCs w:val="24"/>
                <w:lang w:val="de-DE"/>
              </w:rPr>
              <w:t xml:space="preserve"> và quy định của pháp luật có liên quan.</w:t>
            </w:r>
          </w:p>
          <w:p w14:paraId="773BAC1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Ngoài quy định tại khoản 1 Điều này, Chủ đầu tư hạ tầng có các quyền và nghĩa vụ sau đây:</w:t>
            </w:r>
          </w:p>
          <w:p w14:paraId="4746BB43" w14:textId="77777777" w:rsidR="004615D3" w:rsidRPr="009875DA" w:rsidRDefault="004615D3" w:rsidP="004615D3">
            <w:pPr>
              <w:snapToGrid w:val="0"/>
              <w:spacing w:line="276" w:lineRule="auto"/>
              <w:jc w:val="both"/>
              <w:rPr>
                <w:rFonts w:ascii="Times New Roman" w:hAnsi="Times New Roman" w:cs="Times New Roman"/>
                <w:sz w:val="24"/>
                <w:szCs w:val="24"/>
                <w:lang w:val="de-DE"/>
              </w:rPr>
            </w:pPr>
            <w:r w:rsidRPr="009875DA">
              <w:rPr>
                <w:rFonts w:ascii="Times New Roman" w:hAnsi="Times New Roman" w:cs="Times New Roman"/>
                <w:color w:val="000000"/>
                <w:sz w:val="24"/>
                <w:szCs w:val="24"/>
                <w:lang w:val="de-DE"/>
              </w:rPr>
              <w:lastRenderedPageBreak/>
              <w:t xml:space="preserve">a) Thuê, thỏa thuận, hợp tác với nhà đầu tư khác để đầu tư xây dựng, duy tu, bảo dưỡng và vận hành các công trình kết cấu hạ tầng khu công nghệ cao hoặc dùng chung các công trình kết cấu hạ tầng trong và </w:t>
            </w:r>
            <w:r w:rsidRPr="009875DA">
              <w:rPr>
                <w:rFonts w:ascii="Times New Roman" w:hAnsi="Times New Roman" w:cs="Times New Roman"/>
                <w:sz w:val="24"/>
                <w:szCs w:val="24"/>
                <w:lang w:val="de-DE"/>
              </w:rPr>
              <w:t>ngoài hàng rào khu công nghệ cao theo quy định của pháp luật về dân sự và quy định khác của pháp luật có liên quan;</w:t>
            </w:r>
          </w:p>
          <w:p w14:paraId="7F8AD460" w14:textId="77777777" w:rsidR="004615D3" w:rsidRPr="009875DA" w:rsidRDefault="004615D3" w:rsidP="004615D3">
            <w:pPr>
              <w:snapToGrid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 xml:space="preserve">b) Tổ chức thu các khoản tiền theo quy định tại </w:t>
            </w:r>
            <w:bookmarkStart w:id="37" w:name="tc_36"/>
            <w:r w:rsidRPr="009875DA">
              <w:rPr>
                <w:rFonts w:ascii="Times New Roman" w:hAnsi="Times New Roman" w:cs="Times New Roman"/>
                <w:sz w:val="24"/>
                <w:szCs w:val="24"/>
                <w:lang w:val="de-DE"/>
              </w:rPr>
              <w:t>khoản 8 Điều 30 Nghị định này</w:t>
            </w:r>
            <w:bookmarkEnd w:id="37"/>
            <w:r w:rsidRPr="009875DA">
              <w:rPr>
                <w:rFonts w:ascii="Times New Roman" w:hAnsi="Times New Roman" w:cs="Times New Roman"/>
                <w:sz w:val="24"/>
                <w:szCs w:val="24"/>
                <w:lang w:val="de-DE"/>
              </w:rPr>
              <w:t>;</w:t>
            </w:r>
          </w:p>
          <w:p w14:paraId="0C025B51" w14:textId="77777777" w:rsidR="004615D3" w:rsidRPr="009875DA" w:rsidRDefault="004615D3" w:rsidP="004615D3">
            <w:pPr>
              <w:snapToGrid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c) Phối hợp với Ban quản lý khu công nghệ cao, cơ quan thuế và các cơ quan liên quan trong việc thanh tra, kiểm tra, giám sát, xử lý vi phạm đối với tình hình thực hiện các quy định trong phạm vi khu vực dự án đầu tư xây dựng và kinh doanh kết cấu hạ tầng khu công nghệ cao;</w:t>
            </w:r>
          </w:p>
          <w:p w14:paraId="1608B8E0" w14:textId="6B38A0D2"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sz w:val="24"/>
                <w:szCs w:val="24"/>
                <w:lang w:val="de-DE"/>
              </w:rPr>
              <w:t xml:space="preserve">d) Chủ đầu tư hạ tầng quy định tại </w:t>
            </w:r>
            <w:bookmarkStart w:id="38" w:name="tc_37"/>
            <w:r w:rsidRPr="009875DA">
              <w:rPr>
                <w:rFonts w:ascii="Times New Roman" w:hAnsi="Times New Roman" w:cs="Times New Roman"/>
                <w:sz w:val="24"/>
                <w:szCs w:val="24"/>
                <w:lang w:val="de-DE"/>
              </w:rPr>
              <w:t>khoản 3 Điều 24 Nghị định n</w:t>
            </w:r>
            <w:r w:rsidRPr="009875DA">
              <w:rPr>
                <w:rFonts w:ascii="Times New Roman" w:hAnsi="Times New Roman" w:cs="Times New Roman"/>
                <w:color w:val="000000"/>
                <w:sz w:val="24"/>
                <w:szCs w:val="24"/>
                <w:lang w:val="de-DE"/>
              </w:rPr>
              <w:t>ày</w:t>
            </w:r>
            <w:bookmarkEnd w:id="38"/>
            <w:r w:rsidRPr="009875DA">
              <w:rPr>
                <w:rFonts w:ascii="Times New Roman" w:hAnsi="Times New Roman" w:cs="Times New Roman"/>
                <w:color w:val="000000"/>
                <w:sz w:val="24"/>
                <w:szCs w:val="24"/>
                <w:lang w:val="de-DE"/>
              </w:rPr>
              <w:t xml:space="preserve"> phải cam kết khi thực hiện thủ tục đề nghị chấp thuận chủ trương đầu tư về việc ngành nghề, loại hình dự án đầu tư thu hút vào khu công nghệ cao căn cứ theo định hướng phát triển khu công nghệ cao tại Quyết định thành lập, mở rộng khu công nghệ cao; cam kết đối với việc thu hút các dự án đầu tư hiện hoạt động công nghệ cao phải đáp ứng nguyên tắc, tiêu chí quy định tại </w:t>
            </w:r>
            <w:bookmarkStart w:id="39" w:name="tc_26"/>
            <w:r w:rsidRPr="009875DA">
              <w:rPr>
                <w:rFonts w:ascii="Times New Roman" w:hAnsi="Times New Roman" w:cs="Times New Roman"/>
                <w:color w:val="000000"/>
                <w:sz w:val="24"/>
                <w:szCs w:val="24"/>
                <w:lang w:val="de-DE"/>
              </w:rPr>
              <w:t>Điều 27 Nghị định này</w:t>
            </w:r>
            <w:bookmarkEnd w:id="39"/>
            <w:r w:rsidRPr="009875DA">
              <w:rPr>
                <w:rFonts w:ascii="Times New Roman" w:hAnsi="Times New Roman" w:cs="Times New Roman"/>
                <w:color w:val="000000"/>
                <w:sz w:val="24"/>
                <w:szCs w:val="24"/>
                <w:lang w:val="de-DE"/>
              </w:rPr>
              <w:t>, thực hiện cơ chế kiểm tra, giám sát tình hình đáp ứng các nguyên tắc, tiêu chí của các dự án đầu tư và báo cáo hằng năm hoặc đột xuất về kết quả thực hiện gửi Ban quản lý khu công nghệ cao.</w:t>
            </w:r>
          </w:p>
        </w:tc>
        <w:tc>
          <w:tcPr>
            <w:tcW w:w="5400" w:type="dxa"/>
          </w:tcPr>
          <w:p w14:paraId="4F0C09E1" w14:textId="10F7AF78"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xml:space="preserve">Điều 28 hướng dẫn chi tiết khoản 6 Điều 22 Luật Công nghệ cao. Theo đó, các nội dung quy định được kế thừa và tổng hợp (để đảm bảo kết cấu chung) các quy định tại Điều 24, 25 Nghị định số 10/2024/NĐ-CP, phù hợp với các quy định tại Luật Công nghệ cao năm 2025 và pháp luật có liên quan. </w:t>
            </w:r>
          </w:p>
          <w:p w14:paraId="67A9191A" w14:textId="77777777" w:rsidR="004615D3" w:rsidRPr="009875DA" w:rsidRDefault="004615D3" w:rsidP="004615D3">
            <w:pPr>
              <w:widowControl w:val="0"/>
              <w:spacing w:line="276" w:lineRule="auto"/>
              <w:jc w:val="both"/>
              <w:rPr>
                <w:rFonts w:ascii="Times New Roman" w:hAnsi="Times New Roman" w:cs="Times New Roman"/>
                <w:sz w:val="24"/>
                <w:szCs w:val="24"/>
                <w:lang w:val="de-DE"/>
              </w:rPr>
            </w:pPr>
          </w:p>
        </w:tc>
      </w:tr>
      <w:tr w:rsidR="004615D3" w:rsidRPr="00C857A6" w14:paraId="20098A6B" w14:textId="77777777" w:rsidTr="00022042">
        <w:tc>
          <w:tcPr>
            <w:tcW w:w="2245" w:type="dxa"/>
          </w:tcPr>
          <w:p w14:paraId="56E7E85D" w14:textId="397EFF3A"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19 Nghị định số 10/2024/NĐ-CP</w:t>
            </w:r>
          </w:p>
        </w:tc>
        <w:tc>
          <w:tcPr>
            <w:tcW w:w="7380" w:type="dxa"/>
          </w:tcPr>
          <w:p w14:paraId="794AF11A"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bookmarkStart w:id="40" w:name="dieu_19"/>
            <w:r w:rsidRPr="009875DA">
              <w:rPr>
                <w:rFonts w:ascii="Times New Roman" w:hAnsi="Times New Roman" w:cs="Times New Roman"/>
                <w:b/>
                <w:bCs/>
                <w:color w:val="000000"/>
                <w:sz w:val="24"/>
                <w:szCs w:val="24"/>
                <w:lang w:val="de-DE"/>
              </w:rPr>
              <w:t>Điều 29. Quản lý hoạt động đầu tư</w:t>
            </w:r>
            <w:bookmarkEnd w:id="40"/>
            <w:r w:rsidRPr="009875DA">
              <w:rPr>
                <w:rFonts w:ascii="Times New Roman" w:hAnsi="Times New Roman" w:cs="Times New Roman"/>
                <w:b/>
                <w:bCs/>
                <w:color w:val="000000"/>
                <w:sz w:val="24"/>
                <w:szCs w:val="24"/>
                <w:lang w:val="de-DE"/>
              </w:rPr>
              <w:t xml:space="preserve"> </w:t>
            </w:r>
          </w:p>
          <w:p w14:paraId="4B10773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1. Ban quản lý khu công nghệ cao phối hợp với các cơ quan liên quan, Chủ đầu tư hạ tầng thực hiện việc giám sát, đánh giá hoạt động đầu tư, xây dựng và phát triển khu công nghệ cao; giám sát, đánh giá, thanh tra, kiểm tra các nội dung quy định tại Quyết định chấp thuận chủ trương đầu tư/Giấy chứng nhận đăng ký đầu tư hoặc văn bản xác nhận dự án đầu tư đáp ứng nguyên tắc hoạt động công nghệ cao quy định tại Nghị định này, việc thực hiện các yêu cầu về quy hoạch, xây dựng, đất đai, bảo vệ môi trường, khoa học và công nghệ và các quy định của pháp luật có liên quan; hướng dẫn, giải quyết các vướng mắc trong quá trình thực hiện các dự án đầu tư tại khu công nghệ </w:t>
            </w:r>
            <w:r w:rsidRPr="009875DA">
              <w:rPr>
                <w:rFonts w:ascii="Times New Roman" w:hAnsi="Times New Roman" w:cs="Times New Roman"/>
                <w:color w:val="000000"/>
                <w:sz w:val="24"/>
                <w:szCs w:val="24"/>
                <w:lang w:val="de-DE"/>
              </w:rPr>
              <w:lastRenderedPageBreak/>
              <w:t>cao; phối hợp xử lý các vi phạm hành chính theo quy định của pháp luật, quyết định ngừng hoặc ngừng một phần, chấm dứt hoặc chấm dứt một phần hoạt động dự án đầu tư tại khu công nghệ cao theo quy định của pháp luật về đầu tư.</w:t>
            </w:r>
          </w:p>
          <w:p w14:paraId="51BA7416"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Ban quản lý khu công nghệ cao định kỳ hằng năm hoặc đột xuất thực hiện rà soát, đánh giá việc thực hiện các điều kiện, nguyên tắc, tiêu chí quy định tại </w:t>
            </w:r>
            <w:bookmarkStart w:id="41" w:name="tc_19"/>
            <w:r w:rsidRPr="009875DA">
              <w:rPr>
                <w:rFonts w:ascii="Times New Roman" w:hAnsi="Times New Roman" w:cs="Times New Roman"/>
                <w:color w:val="000000"/>
                <w:sz w:val="24"/>
                <w:szCs w:val="24"/>
                <w:lang w:val="de-DE"/>
              </w:rPr>
              <w:t>Điều 27 Nghị định này</w:t>
            </w:r>
            <w:bookmarkEnd w:id="41"/>
            <w:r w:rsidRPr="009875DA">
              <w:rPr>
                <w:rFonts w:ascii="Times New Roman" w:hAnsi="Times New Roman" w:cs="Times New Roman"/>
                <w:color w:val="000000"/>
                <w:sz w:val="24"/>
                <w:szCs w:val="24"/>
                <w:lang w:val="de-DE"/>
              </w:rPr>
              <w:t xml:space="preserve"> đối với các dự án đầu tư.</w:t>
            </w:r>
          </w:p>
          <w:p w14:paraId="79045A8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2. Trường hợp dự án đầu tư quy định tại Điều 27 Nghị định này thuộc đối tượng phải thực hiện thủ tục chấp thuận chủ trương đầu tư hoặc cấp Giấy chứng nhận đăng ký đầu tư, Nhà đầu tư có trách nhiệm giải trình và cam kết việc đảm bảo các điều kiện, nguyên tắc, tiêu chí quy định tại </w:t>
            </w:r>
            <w:bookmarkStart w:id="42" w:name="tc_15"/>
            <w:r w:rsidRPr="009875DA">
              <w:rPr>
                <w:rFonts w:ascii="Times New Roman" w:hAnsi="Times New Roman" w:cs="Times New Roman"/>
                <w:color w:val="000000"/>
                <w:sz w:val="24"/>
                <w:szCs w:val="24"/>
                <w:lang w:val="de-DE"/>
              </w:rPr>
              <w:t>Điều 27 Nghị định này</w:t>
            </w:r>
            <w:bookmarkEnd w:id="42"/>
            <w:r w:rsidRPr="009875DA">
              <w:rPr>
                <w:rFonts w:ascii="Times New Roman" w:hAnsi="Times New Roman" w:cs="Times New Roman"/>
                <w:color w:val="000000"/>
                <w:sz w:val="24"/>
                <w:szCs w:val="24"/>
                <w:lang w:val="de-DE"/>
              </w:rPr>
              <w:t xml:space="preserve"> theo từng loại hình dự án đầu tư tương ứng tại hồ sơ đề nghị chấp thuận chủ trương đầu tư/cấp Giấy chứng nhận đăng ký đầu tư. Cơ quan có thẩm quyền chấp thuận chủ trương đầu tư/cấp Giấy chứng nhận đăng ký đầu tư theo quy định của pháp luật về đầu tư tổ chức thẩm định hoặc đánh giá nội dung này trong trình tự chấp thuận chủ trương đầu tư/cấp Giấy chứng nhận đăng ký đầu tư. Chi tiết các nội dung cam kết thực hiện điều kiện, nguyên tắc, tiêu chí quy định tại </w:t>
            </w:r>
            <w:bookmarkStart w:id="43" w:name="tc_16"/>
            <w:r w:rsidRPr="009875DA">
              <w:rPr>
                <w:rFonts w:ascii="Times New Roman" w:hAnsi="Times New Roman" w:cs="Times New Roman"/>
                <w:color w:val="000000"/>
                <w:sz w:val="24"/>
                <w:szCs w:val="24"/>
                <w:lang w:val="de-DE"/>
              </w:rPr>
              <w:t>Điều 27 Nghị định này</w:t>
            </w:r>
            <w:bookmarkEnd w:id="43"/>
            <w:r w:rsidRPr="009875DA">
              <w:rPr>
                <w:rFonts w:ascii="Times New Roman" w:hAnsi="Times New Roman" w:cs="Times New Roman"/>
                <w:color w:val="000000"/>
                <w:sz w:val="24"/>
                <w:szCs w:val="24"/>
                <w:lang w:val="de-DE"/>
              </w:rPr>
              <w:t xml:space="preserve"> của nhà đầu tư được ghi tại Quyết định chấp thuận chủ trương đầu tư/Giấy chứng nhận đăng ký đầu tư làm căn cứ giám sát, đánh giá đầu tư, thanh tra, kiểm tra, xử lý vi phạm theo quy định của </w:t>
            </w:r>
            <w:bookmarkStart w:id="44" w:name="tvpllink_gwozgqnrqo_3"/>
            <w:r w:rsidRPr="009875DA">
              <w:rPr>
                <w:rFonts w:ascii="Times New Roman" w:hAnsi="Times New Roman" w:cs="Times New Roman"/>
                <w:color w:val="000000"/>
                <w:sz w:val="24"/>
                <w:szCs w:val="24"/>
                <w:lang w:val="de-DE"/>
              </w:rPr>
              <w:t>Luật Đầu tư</w:t>
            </w:r>
            <w:bookmarkEnd w:id="44"/>
            <w:r w:rsidRPr="009875DA">
              <w:rPr>
                <w:rFonts w:ascii="Times New Roman" w:hAnsi="Times New Roman" w:cs="Times New Roman"/>
                <w:color w:val="000000"/>
                <w:sz w:val="24"/>
                <w:szCs w:val="24"/>
                <w:lang w:val="de-DE"/>
              </w:rPr>
              <w:t xml:space="preserve"> và quy định của pháp luật có liên quan.</w:t>
            </w:r>
          </w:p>
          <w:p w14:paraId="37124536"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vi-VN"/>
              </w:rPr>
              <w:t>3</w:t>
            </w:r>
            <w:r w:rsidRPr="009875DA">
              <w:rPr>
                <w:rFonts w:ascii="Times New Roman" w:hAnsi="Times New Roman" w:cs="Times New Roman"/>
                <w:color w:val="000000"/>
                <w:sz w:val="24"/>
                <w:szCs w:val="24"/>
                <w:lang w:val="de-DE"/>
              </w:rPr>
              <w:t xml:space="preserve">. Trường hợp dự án đầu tư quy định tại Điều 27 Nghị định này không thuộc đối tượng phải thực hiện thủ tục chấp thuận chủ trương đầu tư hoặc cấp Giấy chứng nhận đăng ký đầu tư, Nhà đầu tư có trách nhiệm giải trình và cam kết việc đảm bảo các nguyên tắc, tiêu chí quy định tại </w:t>
            </w:r>
            <w:bookmarkStart w:id="45" w:name="tc_17"/>
            <w:r w:rsidRPr="009875DA">
              <w:rPr>
                <w:rFonts w:ascii="Times New Roman" w:hAnsi="Times New Roman" w:cs="Times New Roman"/>
                <w:color w:val="000000"/>
                <w:sz w:val="24"/>
                <w:szCs w:val="24"/>
                <w:lang w:val="de-DE"/>
              </w:rPr>
              <w:t>Điều 27 Nghị định này</w:t>
            </w:r>
            <w:bookmarkEnd w:id="45"/>
            <w:r w:rsidRPr="009875DA">
              <w:rPr>
                <w:rFonts w:ascii="Times New Roman" w:hAnsi="Times New Roman" w:cs="Times New Roman"/>
                <w:color w:val="000000"/>
                <w:sz w:val="24"/>
                <w:szCs w:val="24"/>
                <w:lang w:val="de-DE"/>
              </w:rPr>
              <w:t xml:space="preserve"> theo từng loại hình dự án đầu tư tương ứng tại thủ tục đề nghị xác nhận dự án đầu tư đáp ứng nguyên tắc hoạt động công nghệ cao theo quy định tại </w:t>
            </w:r>
            <w:bookmarkStart w:id="46" w:name="tc_18"/>
            <w:r w:rsidRPr="009875DA">
              <w:rPr>
                <w:rFonts w:ascii="Times New Roman" w:hAnsi="Times New Roman" w:cs="Times New Roman"/>
                <w:color w:val="000000"/>
                <w:sz w:val="24"/>
                <w:szCs w:val="24"/>
                <w:lang w:val="de-DE"/>
              </w:rPr>
              <w:t>Điều 32 Nghị định này</w:t>
            </w:r>
            <w:bookmarkEnd w:id="46"/>
            <w:r w:rsidRPr="009875DA">
              <w:rPr>
                <w:rFonts w:ascii="Times New Roman" w:hAnsi="Times New Roman" w:cs="Times New Roman"/>
                <w:color w:val="000000"/>
                <w:sz w:val="24"/>
                <w:szCs w:val="24"/>
                <w:lang w:val="de-DE"/>
              </w:rPr>
              <w:t>.</w:t>
            </w:r>
          </w:p>
          <w:p w14:paraId="19CA258F" w14:textId="210BBBB5"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vi-VN"/>
              </w:rPr>
              <w:lastRenderedPageBreak/>
              <w:t>4</w:t>
            </w:r>
            <w:r w:rsidRPr="009875DA">
              <w:rPr>
                <w:rFonts w:ascii="Times New Roman" w:hAnsi="Times New Roman" w:cs="Times New Roman"/>
                <w:color w:val="000000"/>
                <w:sz w:val="24"/>
                <w:szCs w:val="24"/>
                <w:lang w:val="de-DE"/>
              </w:rPr>
              <w:t>. Căn cứ chiến lược, kế hoạch phát triển từng thời kỳ, Ban quản lý khu công nghệ cao xây dựng và trình Ủy ban nhân dân cấp tỉnh ban hành Danh mục dự án thu hút đầu tư tại khu công nghệ cao sau khi lấy ý kiến của Bộ Khoa học và Công nghệ.</w:t>
            </w:r>
          </w:p>
        </w:tc>
        <w:tc>
          <w:tcPr>
            <w:tcW w:w="5400" w:type="dxa"/>
          </w:tcPr>
          <w:p w14:paraId="4583BF90" w14:textId="429386F7"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xml:space="preserve">Điều 29 hướng dẫn chi tiết khoản 6 Điều 22 Luật Công nghệ cao. Theo đó, các nội dung quy định được kế thừa quy định tại Điều 19 Nghị định số 10/2024/NĐ-CP, phù hợp với các quy định tại Luật Công nghệ cao năm 2025, Luật Đầu tư năm 2025 và pháp luật có liên quan. </w:t>
            </w:r>
          </w:p>
          <w:p w14:paraId="7B0F9665" w14:textId="77777777" w:rsidR="004615D3" w:rsidRPr="009875DA" w:rsidRDefault="004615D3" w:rsidP="004615D3">
            <w:pPr>
              <w:widowControl w:val="0"/>
              <w:jc w:val="both"/>
              <w:rPr>
                <w:rFonts w:ascii="Times New Roman" w:hAnsi="Times New Roman" w:cs="Times New Roman"/>
                <w:sz w:val="24"/>
                <w:szCs w:val="24"/>
                <w:lang w:val="de-DE"/>
              </w:rPr>
            </w:pPr>
          </w:p>
        </w:tc>
      </w:tr>
      <w:tr w:rsidR="004615D3" w:rsidRPr="000C2D51" w14:paraId="0DD56998" w14:textId="77777777" w:rsidTr="00022042">
        <w:tc>
          <w:tcPr>
            <w:tcW w:w="2245" w:type="dxa"/>
          </w:tcPr>
          <w:p w14:paraId="7E79FF7C" w14:textId="6047271A"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21 Nghị định số 10/2024/NĐ-CP</w:t>
            </w:r>
          </w:p>
        </w:tc>
        <w:tc>
          <w:tcPr>
            <w:tcW w:w="7380" w:type="dxa"/>
          </w:tcPr>
          <w:p w14:paraId="36A5D323"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bookmarkStart w:id="47" w:name="dieu_21"/>
            <w:r w:rsidRPr="009875DA">
              <w:rPr>
                <w:rFonts w:ascii="Times New Roman" w:hAnsi="Times New Roman" w:cs="Times New Roman"/>
                <w:b/>
                <w:bCs/>
                <w:color w:val="000000"/>
                <w:sz w:val="24"/>
                <w:szCs w:val="24"/>
                <w:lang w:val="de-DE"/>
              </w:rPr>
              <w:t>Điều 30. Quản lý, vận hành hệ thống kết cấu hạ tầng kỹ thuật</w:t>
            </w:r>
            <w:bookmarkEnd w:id="47"/>
          </w:p>
          <w:p w14:paraId="12A1A85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Ban quản lý khu công nghệ cao tổ chức quản lý, khai thác, vận hành, duy tu hệ thống kết cấu hạ tầng kỹ thuật khu công nghệ cao do Nhà nước đầu tư và các công trình được Chủ đầu tư hạ tầng bàn giao tại khoản 2 Điều này, trừ các công trình quy định tại khoản 3 Điều này.</w:t>
            </w:r>
          </w:p>
          <w:p w14:paraId="5EC3645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Chủ đầu tư hạ tầng tổ chức quản lý, khai thác, vận hành, duy tu các công trình kết cấu hạ tầng kỹ thuật đã đầu tư hoặc có thể bàn giao lại cho Ban quản lý khu công nghệ cao hoặc các doanh nghiệp nhà nước về cấp điện, nước, viễn thông để quản lý, khai thác, vận hành, duy tu nhằm đảm bảo sự đồng bộ của toàn hệ thống.</w:t>
            </w:r>
          </w:p>
          <w:p w14:paraId="08ED8F4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Các doanh nghiệp nhà nước về cấp điện, nước, viễn thông tổ chức quản lý, khai thác, vận hành, duy tu đối với các công trình kết cấu hạ tầng kỹ thuật điện, nước, viễn thông do mình đầu tư và được Chủ đầu tư hạ tầng bàn giao tại khoản 2 Điều này.</w:t>
            </w:r>
          </w:p>
          <w:p w14:paraId="1C9DCA8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4. Việc đầu tư xây dựng, duy tu, bảo dưỡng và vận hành các công trình kết cấu hạ tầng kỹ thuật khu công nghệ cao phải bảo đảm các yêu cầu sau đây:</w:t>
            </w:r>
          </w:p>
          <w:p w14:paraId="6C6F073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Phù hợp với quy hoạch xây dựng, thiết kế xây dựng đã được cấp có thẩm quyền phê duyệt;</w:t>
            </w:r>
          </w:p>
          <w:p w14:paraId="7A758E7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Bảo đảm tính đồng bộ của các công trình kết cấu hạ tầng kỹ thuật trong khu công nghệ cao;</w:t>
            </w:r>
          </w:p>
          <w:p w14:paraId="0AE76D3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Bảo đảm hoạt động của các dự án đầu tư trong khu công nghệ cao.</w:t>
            </w:r>
          </w:p>
          <w:p w14:paraId="6B564FF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5. Tiền sử dụng hạ tầng do Nhà nước đầu tư (bao gồm cả tiền xử lý nước thải) là khoản thu nhằm bù đắp chi phí quản lý, khai thác, vận hành, duy tu hệ thống kết cấu hạ tầng kỹ thuật do Nhà nước đầu tư, không bao gồm chi phí đầu tư xây dựng. Hằng năm, Ban quản lý khu công nghệ cao ban hành </w:t>
            </w:r>
            <w:r w:rsidRPr="009875DA">
              <w:rPr>
                <w:rFonts w:ascii="Times New Roman" w:hAnsi="Times New Roman" w:cs="Times New Roman"/>
                <w:color w:val="000000"/>
                <w:sz w:val="24"/>
                <w:szCs w:val="24"/>
                <w:lang w:val="de-DE"/>
              </w:rPr>
              <w:lastRenderedPageBreak/>
              <w:t>hoặc trình Ủy ban nhân dân cấp tỉnh ban hành mức thu tiền sử dụng hạ tầng do Nhà nước đầu tư.</w:t>
            </w:r>
          </w:p>
          <w:p w14:paraId="6946A74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6. Đối với khu công nghệ cao được ngân sách nhà nước đầu tư xây dựng toàn bộ hoặc một phần hệ thống kết cấu hạ tầng kỹ thuật, nguồn kinh phí thực hiện công tác quản lý, khai thác, vận hành hệ thống kết cấu hạ tầng kỹ thuật được lấy từ nguồn thu tiền sử dụng hạ tầng của nhà đầu tư và nguồn bù đắp, hỗ trợ của ngân sách nhà nước trong giai đoạn khu công nghệ cao chưa lấp đầy và thu chưa đủ bù chi. Việc hỗ trợ từ ngân sách nhà nước thực hiện theo quy định về phân cấp quản lý ngân sách nhà nước.</w:t>
            </w:r>
          </w:p>
          <w:p w14:paraId="568BFBA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7. Tiền sử dụng hạ tầng do Chủ đầu tư hạ tầng đầu tư là khoản thu nhằm bù đắp chi phí quản lý, vận hành, duy tu hệ thống kết cấu hạ tầng kỹ thuật và đầu tư xây dựng (trong trường hợp dự án đầu tư xây dựng và kinh doanh kết cấu hạ tầng quy định tại </w:t>
            </w:r>
            <w:bookmarkStart w:id="48" w:name="tc_20"/>
            <w:r w:rsidRPr="009875DA">
              <w:rPr>
                <w:rFonts w:ascii="Times New Roman" w:hAnsi="Times New Roman" w:cs="Times New Roman"/>
                <w:color w:val="000000"/>
                <w:sz w:val="24"/>
                <w:szCs w:val="24"/>
                <w:lang w:val="de-DE"/>
              </w:rPr>
              <w:t>khoản 2 Điều 2</w:t>
            </w:r>
            <w:r w:rsidRPr="009875DA">
              <w:rPr>
                <w:rFonts w:ascii="Times New Roman" w:hAnsi="Times New Roman" w:cs="Times New Roman"/>
                <w:color w:val="000000"/>
                <w:sz w:val="24"/>
                <w:szCs w:val="24"/>
                <w:lang w:val="vi-VN"/>
              </w:rPr>
              <w:t>4</w:t>
            </w:r>
            <w:r w:rsidRPr="009875DA">
              <w:rPr>
                <w:rFonts w:ascii="Times New Roman" w:hAnsi="Times New Roman" w:cs="Times New Roman"/>
                <w:color w:val="000000"/>
                <w:sz w:val="24"/>
                <w:szCs w:val="24"/>
                <w:lang w:val="de-DE"/>
              </w:rPr>
              <w:t xml:space="preserve"> Nghị định này</w:t>
            </w:r>
            <w:bookmarkEnd w:id="48"/>
            <w:r w:rsidRPr="009875DA">
              <w:rPr>
                <w:rFonts w:ascii="Times New Roman" w:hAnsi="Times New Roman" w:cs="Times New Roman"/>
                <w:color w:val="000000"/>
                <w:sz w:val="24"/>
                <w:szCs w:val="24"/>
                <w:lang w:val="de-DE"/>
              </w:rPr>
              <w:t>) do Chủ đầu tư hạ tầng đầu tư.</w:t>
            </w:r>
          </w:p>
          <w:p w14:paraId="5342EE1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8. Chủ đầu tư hạ tầng định giá tiền sử dụng hạ tầng; chi phí chuẩn bị mặt bằng; giá bán, cho thuê công trình nhà xưởng, văn phòng, kho bãi; giá cho thuê lại đất đã xây dựng kết cấu hạ tầng kỹ thuật và các loại phí dịch vụ khác theo quy định của pháp luật và đăng ký với Ban quản lý khu công nghệ cao về khung giá và các loại phí. Trường hợp Chủ đầu tư hạ tầng tại khu công nghệ cao được ngân sách nhà nước đầu tư xây dựng một phần hệ thống kết cấu hạ tầng kỹ thuật theo quy định tại </w:t>
            </w:r>
            <w:bookmarkStart w:id="49" w:name="tc_21"/>
            <w:r w:rsidRPr="009875DA">
              <w:rPr>
                <w:rFonts w:ascii="Times New Roman" w:hAnsi="Times New Roman" w:cs="Times New Roman"/>
                <w:color w:val="000000"/>
                <w:sz w:val="24"/>
                <w:szCs w:val="24"/>
                <w:lang w:val="de-DE"/>
              </w:rPr>
              <w:t>khoản 2 Điều 24 Nghị định này</w:t>
            </w:r>
            <w:bookmarkEnd w:id="49"/>
            <w:r w:rsidRPr="009875DA">
              <w:rPr>
                <w:rFonts w:ascii="Times New Roman" w:hAnsi="Times New Roman" w:cs="Times New Roman"/>
                <w:color w:val="000000"/>
                <w:sz w:val="24"/>
                <w:szCs w:val="24"/>
                <w:lang w:val="de-DE"/>
              </w:rPr>
              <w:t xml:space="preserve"> thì khung giá và các loại phí trên phải được sự chấp thuận của Ban quản lý khu công nghệ cao.</w:t>
            </w:r>
          </w:p>
          <w:p w14:paraId="49B5DFA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Định kỳ 06 tháng một lần hoặc trong trường hợp có sự điều chỉnh tăng trên 10% so với mức đã đăng ký, Chủ đầu tư hạ tầng đăng ký khung giá và các loại phí với Ban quản lý khu công nghệ cao. Trường hợp cần thiết, trên cơ sở đánh giá các quy định có liên quan và mức độ ảnh hưởng đến môi trường đầu tư kinh doanh trên địa bàn, Ban quản lý khu công nghệ cao tổ chức thẩm định khung giá và các loại phí và đề nghị Chủ đầu tư hạ tầng đăng ký lại khung giá và các loại phí quy định tại khoản này.</w:t>
            </w:r>
          </w:p>
          <w:p w14:paraId="294B3EB2" w14:textId="0F3156A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9. Việc quản lý, sử dụng hệ thống kết cấu hạ tầng kỹ thuật được hình thành từ nguồn vốn ngân sách nhà nước được xác định là tài sản công thực hiện theo các quy định của pháp luật về quản lý, sử dụng tài sản công.</w:t>
            </w:r>
          </w:p>
        </w:tc>
        <w:tc>
          <w:tcPr>
            <w:tcW w:w="5400" w:type="dxa"/>
          </w:tcPr>
          <w:p w14:paraId="46B0F5E0" w14:textId="40376D78" w:rsidR="004615D3" w:rsidRPr="009875DA" w:rsidRDefault="004615D3" w:rsidP="001856D1">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30 hướng dẫn chi tiết khoản 6 Điều 22 Luật Công nghệ cao. Theo đó, các nội dung quy định được kế thừa quy định tại Điều 21 Nghị định số 10/2024/NĐ-CP, tham khảo quy định tại Nghị định số 35/2022/NĐ-CP về quản lý khu công nghiệp, khu kinh tế và đảm bảo sự phù hợp với các quy định tại Luật Công nghệ cao năm 2025, Luật Xây dựng và pháp luật có liên quan</w:t>
            </w:r>
            <w:r w:rsidR="006228DE">
              <w:rPr>
                <w:rFonts w:ascii="Times New Roman" w:hAnsi="Times New Roman" w:cs="Times New Roman"/>
                <w:sz w:val="24"/>
                <w:szCs w:val="24"/>
                <w:lang w:val="de-DE"/>
              </w:rPr>
              <w:t>.</w:t>
            </w:r>
          </w:p>
        </w:tc>
      </w:tr>
      <w:tr w:rsidR="004615D3" w:rsidRPr="000C2D51" w14:paraId="0A40B628" w14:textId="77777777" w:rsidTr="00022042">
        <w:tc>
          <w:tcPr>
            <w:tcW w:w="2245" w:type="dxa"/>
          </w:tcPr>
          <w:p w14:paraId="50217778" w14:textId="06C0BF7F"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22 Nghị định số 10/2024/NĐ-CP</w:t>
            </w:r>
          </w:p>
        </w:tc>
        <w:tc>
          <w:tcPr>
            <w:tcW w:w="7380" w:type="dxa"/>
          </w:tcPr>
          <w:p w14:paraId="04960D51"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bookmarkStart w:id="50" w:name="dieu_22"/>
            <w:bookmarkStart w:id="51" w:name="dieu_26"/>
            <w:r w:rsidRPr="009875DA">
              <w:rPr>
                <w:rFonts w:ascii="Times New Roman" w:hAnsi="Times New Roman" w:cs="Times New Roman"/>
                <w:b/>
                <w:bCs/>
                <w:color w:val="000000"/>
                <w:sz w:val="24"/>
                <w:szCs w:val="24"/>
                <w:lang w:val="de-DE"/>
              </w:rPr>
              <w:t>Điều 31. Tạm trú, lưu trú trong khu công nghệ cao</w:t>
            </w:r>
            <w:bookmarkEnd w:id="50"/>
          </w:p>
          <w:p w14:paraId="0B899B1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Trong khu công nghệ cao không có nơi thường trú theo quy định của pháp luật về cư trú.</w:t>
            </w:r>
          </w:p>
          <w:p w14:paraId="390EAF5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Người lao động được phép tạm trú, lưu trú tại cơ sở lưu trú trong khu công nghệ cao để phục vụ hoạt động trong khu công nghệ cao khi các điều kiện sau đây được đáp ứng:</w:t>
            </w:r>
          </w:p>
          <w:p w14:paraId="0368B5F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Khu vực lưu trú phải bố trí riêng biệt với khu sản xuất, văn phòng, bảo đảm khoảng cách an toàn về môi trường và vệ sinh, an toàn lao động theo quy định của pháp luật về xây dựng và quy định khác của pháp luật có liên quan; bảo đảm an ninh, trật tự và không ảnh hưởng đến hoạt động sản xuất kinh doanh của doanh nghiệp trong khu công nghệ cao;</w:t>
            </w:r>
          </w:p>
          <w:p w14:paraId="6319315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Người lao động là công dân Việt Nam thực hiện tạm trú, lưu trú theo quy định của pháp luật về cư trú; người lao động là người nước ngoài thì thực hiện tạm trú theo quy định của pháp luật về nhập cảnh, xuất cảnh, quá cảnh, cư trú của người nước ngoài tại Việt Nam.</w:t>
            </w:r>
          </w:p>
          <w:p w14:paraId="5886154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Trường hợp bất khả kháng do ảnh hưởng trực tiếp của thiên tai, thảm họa môi trường, hỏa hoạn, dịch bệnh, chiến tranh, biểu tình, bạo loạn hoặc các trường hợp khẩn cấp khác, người lao động được phép lưu trú tại doanh nghiệp, ở lại doanh nghiệp trong khu công nghệ cao theo quy định sau:</w:t>
            </w:r>
          </w:p>
          <w:p w14:paraId="2AEAC2E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Người lao động là công dân Việt Nam được phép lưu trú ở doanh nghiệp trong khu công nghệ cao theo quy định của pháp luật về cư trú;</w:t>
            </w:r>
          </w:p>
          <w:p w14:paraId="2EF11109" w14:textId="24919A1A"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Người lao động là người nước ngoài được phép ở lại doanh nghiệp trong khu công nghệ cao trong thời gian không quá 30 ngày và phải thực hiện việc khai báo tạm trú theo quy định của pháp luật về nhập cảnh, xuất cảnh, quá cảnh, cư trú của người nước ngoài tại Việt Nam.</w:t>
            </w:r>
            <w:bookmarkEnd w:id="51"/>
          </w:p>
        </w:tc>
        <w:tc>
          <w:tcPr>
            <w:tcW w:w="5400" w:type="dxa"/>
          </w:tcPr>
          <w:p w14:paraId="712742F5" w14:textId="38BCC229" w:rsidR="004615D3" w:rsidRPr="009875DA" w:rsidRDefault="004615D3" w:rsidP="001856D1">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t>Điều 31 hướng dẫn chi tiết khoản 6 Điều 22 Luật Công nghệ cao. Theo đó, các nội dung quy định được kế thừa quy định tại Điều 22 Nghị định số 10/2024/NĐ-CP, tham khảo quy định tại Nghị định số 35/2022/NĐ-CP về quản lý khu công nghiệp, khu kinh tế (và dự thảo Nghị định sửa Nghị định số 35/2022/NĐ-CP) và đảm bảo sự phù hợp với các quy định tại Luật Công nghệ cao năm 2025, pháp luật về cư trú và pháp luật có liên quan</w:t>
            </w:r>
            <w:r w:rsidR="001856D1">
              <w:rPr>
                <w:rFonts w:ascii="Times New Roman" w:hAnsi="Times New Roman" w:cs="Times New Roman"/>
                <w:sz w:val="24"/>
                <w:szCs w:val="24"/>
                <w:lang w:val="de-DE"/>
              </w:rPr>
              <w:t>.</w:t>
            </w:r>
          </w:p>
        </w:tc>
      </w:tr>
      <w:tr w:rsidR="004615D3" w:rsidRPr="000C2D51" w14:paraId="5D946893" w14:textId="77777777" w:rsidTr="00022042">
        <w:tc>
          <w:tcPr>
            <w:tcW w:w="2245" w:type="dxa"/>
          </w:tcPr>
          <w:p w14:paraId="47B6CF3F" w14:textId="1EEACE11" w:rsidR="004615D3" w:rsidRPr="009875DA" w:rsidRDefault="004615D3" w:rsidP="004615D3">
            <w:pPr>
              <w:widowControl w:val="0"/>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26 Nghị định số 10/2024/NĐ-CP</w:t>
            </w:r>
          </w:p>
        </w:tc>
        <w:tc>
          <w:tcPr>
            <w:tcW w:w="7380" w:type="dxa"/>
          </w:tcPr>
          <w:p w14:paraId="247DA4AE"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r w:rsidRPr="009875DA">
              <w:rPr>
                <w:rFonts w:ascii="Times New Roman" w:hAnsi="Times New Roman" w:cs="Times New Roman"/>
                <w:b/>
                <w:bCs/>
                <w:color w:val="000000"/>
                <w:sz w:val="24"/>
                <w:szCs w:val="24"/>
                <w:lang w:val="de-DE"/>
              </w:rPr>
              <w:t xml:space="preserve">Điều 32. Trình tự, thủ tục xác nhận dự án đầu tư đáp ứng nguyên tắc </w:t>
            </w:r>
            <w:r w:rsidRPr="009875DA">
              <w:rPr>
                <w:rFonts w:ascii="Times New Roman" w:hAnsi="Times New Roman" w:cs="Times New Roman"/>
                <w:b/>
                <w:color w:val="000000"/>
                <w:sz w:val="24"/>
                <w:szCs w:val="24"/>
                <w:lang w:val="de-DE"/>
              </w:rPr>
              <w:t xml:space="preserve">thực hiện hoạt động công nghệ cao, công nghệ chiến lược quy định tại khoản </w:t>
            </w:r>
            <w:r w:rsidRPr="009875DA">
              <w:rPr>
                <w:rFonts w:ascii="Times New Roman" w:hAnsi="Times New Roman" w:cs="Times New Roman"/>
                <w:b/>
                <w:color w:val="000000"/>
                <w:sz w:val="24"/>
                <w:szCs w:val="24"/>
                <w:lang w:val="vi-VN"/>
              </w:rPr>
              <w:t>3</w:t>
            </w:r>
            <w:r w:rsidRPr="009875DA">
              <w:rPr>
                <w:rFonts w:ascii="Times New Roman" w:hAnsi="Times New Roman" w:cs="Times New Roman"/>
                <w:b/>
                <w:color w:val="000000"/>
                <w:sz w:val="24"/>
                <w:szCs w:val="24"/>
                <w:lang w:val="de-DE"/>
              </w:rPr>
              <w:t xml:space="preserve"> Điều 2</w:t>
            </w:r>
            <w:r w:rsidRPr="009875DA">
              <w:rPr>
                <w:rFonts w:ascii="Times New Roman" w:hAnsi="Times New Roman" w:cs="Times New Roman"/>
                <w:b/>
                <w:color w:val="000000"/>
                <w:sz w:val="24"/>
                <w:szCs w:val="24"/>
                <w:lang w:val="vi-VN"/>
              </w:rPr>
              <w:t>9</w:t>
            </w:r>
            <w:r w:rsidRPr="009875DA">
              <w:rPr>
                <w:rFonts w:ascii="Times New Roman" w:hAnsi="Times New Roman" w:cs="Times New Roman"/>
                <w:b/>
                <w:color w:val="000000"/>
                <w:sz w:val="24"/>
                <w:szCs w:val="24"/>
                <w:lang w:val="de-DE"/>
              </w:rPr>
              <w:t xml:space="preserve"> Nghị định này</w:t>
            </w:r>
          </w:p>
          <w:p w14:paraId="0323648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Nhà đầu tư lập 01 bộ hồ sơ đăng ký xác nhận dự án đầu tư đáp ứng nguyên tắc hoạt động công nghệ cao, công nghệ chiến lược gửi Ban quản lý khu công nghệ cao (trực tiếp hoặc qua dịch vụ bưu chính).</w:t>
            </w:r>
          </w:p>
          <w:p w14:paraId="7FD372A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Hồ sơ xác nhận dự án đầu tư đáp ứng nguyên tắc hoạt động công nghệ cao bao gồm:</w:t>
            </w:r>
          </w:p>
          <w:p w14:paraId="6DE2E0B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Văn bản đề nghị thực hiện dự án đầu tư, trong đó có cam kết về việc chịu mọi chi phí, rủi ro nếu dự án đầu tư nhận được kết quả đánh giá không đạt yêu cầu;</w:t>
            </w:r>
          </w:p>
          <w:p w14:paraId="33D4A2A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Tài liệu về tư cách pháp nhân của nhà đầu tư;</w:t>
            </w:r>
          </w:p>
          <w:p w14:paraId="7F71B5F6"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c) Đề xuất dự án đầu tư gồm các nội dung chủ yếu sau: giải trình và cam kết việc đáp ứng đối với từng nguyên tắc, tiêu chí quy định tại </w:t>
            </w:r>
            <w:bookmarkStart w:id="52" w:name="tc_39"/>
            <w:r w:rsidRPr="009875DA">
              <w:rPr>
                <w:rFonts w:ascii="Times New Roman" w:hAnsi="Times New Roman" w:cs="Times New Roman"/>
                <w:color w:val="000000"/>
                <w:sz w:val="24"/>
                <w:szCs w:val="24"/>
                <w:lang w:val="de-DE"/>
              </w:rPr>
              <w:t>Điều 8 Nghị định này</w:t>
            </w:r>
            <w:bookmarkEnd w:id="52"/>
            <w:r w:rsidRPr="009875DA">
              <w:rPr>
                <w:rFonts w:ascii="Times New Roman" w:hAnsi="Times New Roman" w:cs="Times New Roman"/>
                <w:color w:val="000000"/>
                <w:sz w:val="24"/>
                <w:szCs w:val="24"/>
                <w:lang w:val="de-DE"/>
              </w:rPr>
              <w:t>; mục tiêu, quy mô, vốn, tiến độ đầu tư; nhu cầu sử dụng lao động, đất đai; đề xuất hưởng ưu đãi đầu tư; đánh giá sơ bộ tác động môi trường;</w:t>
            </w:r>
          </w:p>
          <w:p w14:paraId="485EACE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d) Các tài liệu khác (nếu có).</w:t>
            </w:r>
          </w:p>
          <w:p w14:paraId="731B2028"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Trong thời hạn 01 ngày làm việc kể từ ngày nhận đủ hồ sơ, Ban quản lý khu công nghệ cao gửi hồ sơ lấy ý kiến các Sở: Khoa học và Công nghệ, Tài chính, Công Thương, Nông nghiệp và Môi trường và các cơ quan khác căn cứ theo phạm vi và lĩnh vực có liên quan;</w:t>
            </w:r>
          </w:p>
          <w:p w14:paraId="72AD985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4. Trong thời hạn 07 ngày làm việc kể từ ngày nhận đủ hồ sơ, cơ quan được lấy ý kiến có ý kiến về việc đáp ứng các nguyên tắc, tiêu chí quy định tại </w:t>
            </w:r>
            <w:bookmarkStart w:id="53" w:name="tc_40"/>
            <w:r w:rsidRPr="009875DA">
              <w:rPr>
                <w:rFonts w:ascii="Times New Roman" w:hAnsi="Times New Roman" w:cs="Times New Roman"/>
                <w:color w:val="000000"/>
                <w:sz w:val="24"/>
                <w:szCs w:val="24"/>
                <w:lang w:val="de-DE"/>
              </w:rPr>
              <w:t>Điều 8 Nghị định này</w:t>
            </w:r>
            <w:bookmarkEnd w:id="53"/>
            <w:r w:rsidRPr="009875DA">
              <w:rPr>
                <w:rFonts w:ascii="Times New Roman" w:hAnsi="Times New Roman" w:cs="Times New Roman"/>
                <w:color w:val="000000"/>
                <w:sz w:val="24"/>
                <w:szCs w:val="24"/>
                <w:lang w:val="de-DE"/>
              </w:rPr>
              <w:t xml:space="preserve"> đối với từng loại hình dự án đầu tư tương ứng.</w:t>
            </w:r>
          </w:p>
          <w:p w14:paraId="08BB0F1D"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5. Trong thời hạn 15 ngày làm việc kể từ ngày nhận đủ hồ sơ, Ban quản lý khu công nghệ cao tổ chức đánh giá hồ sơ và lập báo cáo đánh giá việc đáp ứng nguyên tắc quy định tại </w:t>
            </w:r>
            <w:bookmarkStart w:id="54" w:name="tc_41"/>
            <w:r w:rsidRPr="009875DA">
              <w:rPr>
                <w:rFonts w:ascii="Times New Roman" w:hAnsi="Times New Roman" w:cs="Times New Roman"/>
                <w:color w:val="000000"/>
                <w:sz w:val="24"/>
                <w:szCs w:val="24"/>
                <w:lang w:val="de-DE"/>
              </w:rPr>
              <w:t>Điều 27 Nghị định này</w:t>
            </w:r>
            <w:bookmarkEnd w:id="54"/>
            <w:r w:rsidRPr="009875DA">
              <w:rPr>
                <w:rFonts w:ascii="Times New Roman" w:hAnsi="Times New Roman" w:cs="Times New Roman"/>
                <w:color w:val="000000"/>
                <w:sz w:val="24"/>
                <w:szCs w:val="24"/>
                <w:lang w:val="de-DE"/>
              </w:rPr>
              <w:t xml:space="preserve"> đối với từng loại hình dự án đầu tư tương ứng.</w:t>
            </w:r>
          </w:p>
          <w:p w14:paraId="0B3F919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6. Trường hợp kết quả đánh giá đạt yêu cầu, trong thời hạn 01 ngày làm việc Ban quản lý khu công nghệ cao gửi nhà đầu tư và Chủ đầu tư hạ tầng, </w:t>
            </w:r>
            <w:r w:rsidRPr="009875DA">
              <w:rPr>
                <w:rFonts w:ascii="Times New Roman" w:hAnsi="Times New Roman" w:cs="Times New Roman"/>
                <w:color w:val="000000"/>
                <w:sz w:val="24"/>
                <w:szCs w:val="24"/>
                <w:lang w:val="de-DE"/>
              </w:rPr>
              <w:lastRenderedPageBreak/>
              <w:t>nhà đầu tư dự án cho thuê văn phòng, nhà xưởng, kho bãi (nếu có) văn bản xác nhận dự án đầu tư đáp ứng nguyên tắc hoạt động công nghệ cao để làm căn cứ thực hiện thuê lại đất; thuê nhà xưởng, văn phòng, kho bãi.</w:t>
            </w:r>
          </w:p>
          <w:p w14:paraId="4B396F90" w14:textId="56A3C6BD"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7. Trường hợp hồ sơ đăng ký chưa đầy đủ, chưa hợp lệ hoặc kết quả đánh giá theo quy định tại khoản 5 Điều này không đạt yêu cầu, trong thời hạn 01 ngày làm việc kể từ ngày nhận được hồ sơ đăng ký hoặc có kết quả đánh giá về dự án đầu tư, Ban quản lý khu công nghệ cao thông báo bằng văn bản cho nhà đầu tư và Chủ đầu tư hạ tầng, nhà đầu tư dự án cho thuê văn phòng, nhà xưởng, kho bãi (nếu có) biết và nêu rõ lý do không đạt yêu cầu.</w:t>
            </w:r>
          </w:p>
        </w:tc>
        <w:tc>
          <w:tcPr>
            <w:tcW w:w="5400" w:type="dxa"/>
          </w:tcPr>
          <w:p w14:paraId="7579D2AF" w14:textId="0EF3C442" w:rsidR="004615D3" w:rsidRPr="009875DA" w:rsidRDefault="004615D3" w:rsidP="001856D1">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32 hướng dẫn chi tiết khoản 6 Điều 22 Luật Công nghệ cao. Theo đó, các nội dung quy định được kế thừa quy định tại Điều 26 Nghị định số 10/2024/NĐ-CP và cập nhật quy định tại Luật Tổ chức chính quyền địa phương, Luật Đầu tư</w:t>
            </w:r>
            <w:r w:rsidR="001856D1">
              <w:rPr>
                <w:rFonts w:ascii="Times New Roman" w:hAnsi="Times New Roman" w:cs="Times New Roman"/>
                <w:sz w:val="24"/>
                <w:szCs w:val="24"/>
                <w:lang w:val="de-DE"/>
              </w:rPr>
              <w:t xml:space="preserve"> </w:t>
            </w:r>
            <w:r w:rsidRPr="009875DA">
              <w:rPr>
                <w:rFonts w:ascii="Times New Roman" w:hAnsi="Times New Roman" w:cs="Times New Roman"/>
                <w:sz w:val="24"/>
                <w:szCs w:val="24"/>
                <w:lang w:val="de-DE"/>
              </w:rPr>
              <w:t>đảm bảo sự phù hợp với các quy định của pháp luật có liên quan</w:t>
            </w:r>
            <w:r w:rsidR="001856D1">
              <w:rPr>
                <w:rFonts w:ascii="Times New Roman" w:hAnsi="Times New Roman" w:cs="Times New Roman"/>
                <w:sz w:val="24"/>
                <w:szCs w:val="24"/>
                <w:lang w:val="de-DE"/>
              </w:rPr>
              <w:t>.</w:t>
            </w:r>
          </w:p>
        </w:tc>
      </w:tr>
      <w:tr w:rsidR="004615D3" w:rsidRPr="000C2D51" w14:paraId="584EB180" w14:textId="77777777" w:rsidTr="00022042">
        <w:tc>
          <w:tcPr>
            <w:tcW w:w="2245" w:type="dxa"/>
          </w:tcPr>
          <w:p w14:paraId="52CE7781" w14:textId="77777777" w:rsidR="004615D3" w:rsidRPr="009875DA" w:rsidRDefault="004615D3" w:rsidP="004615D3">
            <w:pPr>
              <w:widowControl w:val="0"/>
              <w:spacing w:line="276" w:lineRule="auto"/>
              <w:jc w:val="both"/>
              <w:rPr>
                <w:rFonts w:ascii="Times New Roman" w:hAnsi="Times New Roman" w:cs="Times New Roman"/>
                <w:b/>
                <w:sz w:val="24"/>
                <w:szCs w:val="24"/>
                <w:lang w:val="nl-NL" w:eastAsia="vi-VN"/>
              </w:rPr>
            </w:pPr>
          </w:p>
        </w:tc>
        <w:tc>
          <w:tcPr>
            <w:tcW w:w="7380" w:type="dxa"/>
          </w:tcPr>
          <w:p w14:paraId="55CB71B8" w14:textId="582F2B5B" w:rsidR="004615D3" w:rsidRPr="009875DA" w:rsidRDefault="004615D3" w:rsidP="004615D3">
            <w:pPr>
              <w:spacing w:line="276" w:lineRule="auto"/>
              <w:jc w:val="both"/>
              <w:rPr>
                <w:rFonts w:ascii="Times New Roman" w:hAnsi="Times New Roman" w:cs="Times New Roman"/>
                <w:sz w:val="24"/>
                <w:szCs w:val="24"/>
                <w:lang w:val="nl-NL"/>
              </w:rPr>
            </w:pPr>
            <w:r w:rsidRPr="009875DA">
              <w:rPr>
                <w:rFonts w:ascii="Times New Roman" w:hAnsi="Times New Roman" w:cs="Times New Roman"/>
                <w:b/>
                <w:color w:val="000000"/>
                <w:sz w:val="24"/>
                <w:szCs w:val="24"/>
                <w:lang w:val="de-DE"/>
              </w:rPr>
              <w:t>Mục 4. QUẢN LÝ NHÀ NƯỚC VỀ KHU CÔNG NGHỆ CAO</w:t>
            </w:r>
          </w:p>
        </w:tc>
        <w:tc>
          <w:tcPr>
            <w:tcW w:w="5400" w:type="dxa"/>
          </w:tcPr>
          <w:p w14:paraId="78D68239" w14:textId="77777777" w:rsidR="004615D3" w:rsidRPr="009875DA" w:rsidRDefault="004615D3" w:rsidP="004615D3">
            <w:pPr>
              <w:widowControl w:val="0"/>
              <w:spacing w:line="276" w:lineRule="auto"/>
              <w:jc w:val="both"/>
              <w:rPr>
                <w:rFonts w:ascii="Times New Roman" w:hAnsi="Times New Roman" w:cs="Times New Roman"/>
                <w:sz w:val="24"/>
                <w:szCs w:val="24"/>
                <w:lang w:val="nl-NL"/>
              </w:rPr>
            </w:pPr>
          </w:p>
        </w:tc>
      </w:tr>
      <w:tr w:rsidR="004615D3" w:rsidRPr="000C2D51" w14:paraId="08AB3397" w14:textId="77777777" w:rsidTr="00022042">
        <w:tc>
          <w:tcPr>
            <w:tcW w:w="2245" w:type="dxa"/>
          </w:tcPr>
          <w:p w14:paraId="1E9EF16A" w14:textId="1E6D254E"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t>Điều 40, 41, 42, 44, 45 Nghị định số 10/2024/NĐ-CP</w:t>
            </w:r>
          </w:p>
        </w:tc>
        <w:tc>
          <w:tcPr>
            <w:tcW w:w="7380" w:type="dxa"/>
          </w:tcPr>
          <w:p w14:paraId="3D365E9A"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bookmarkStart w:id="55" w:name="dieu_41"/>
            <w:r w:rsidRPr="009875DA">
              <w:rPr>
                <w:rFonts w:ascii="Times New Roman" w:hAnsi="Times New Roman" w:cs="Times New Roman"/>
                <w:b/>
                <w:bCs/>
                <w:color w:val="000000"/>
                <w:sz w:val="24"/>
                <w:szCs w:val="24"/>
                <w:lang w:val="de-DE"/>
              </w:rPr>
              <w:t>Điều 33. Trách nhiệm quản lý nhà nước đối với khu công nghệ cao</w:t>
            </w:r>
            <w:bookmarkEnd w:id="55"/>
          </w:p>
          <w:p w14:paraId="69D7FD8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Chính phủ thống nhất quản lý nhà nước về khu công nghệ cao trong phạm vi cả nước trên cơ sở phân công nhiệm vụ, quyền hạn cụ thể của từng bộ, cơ quan ngang bộ, Ủy ban nhân dân cấp tỉnh và Ban quản lý khu công nghệ cao theo quy định tại Nghị định này; chỉ đạo việc xây dựng và thực hiện quy hoạch, kế hoạch phát triển và ban hành chính sách, văn bản quy phạm pháp luật về khu công nghệ cao.</w:t>
            </w:r>
          </w:p>
          <w:p w14:paraId="1E261E1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Thủ tướng Chính phủ chỉ đạo các bộ, cơ quan ngang bộ, Ủy ban nhân dân cấp tỉnh và Ban quản lý khu công nghệ cao thực hiện pháp luật, chính sách về khu công nghệ cao; chỉ đạo xử lý và giải quyết những vấn đề vướng mắc trong quá trình đầu tư, quản lý hoạt động của khu công nghệ cao vượt thẩm quyền của các bộ, cơ quan ngang bộ, Ủy ban nhân dân cấp tỉnh.</w:t>
            </w:r>
          </w:p>
          <w:p w14:paraId="375DA12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3. Bộ Khoa học và Công nghệ chủ trì giúp Chính phủ thống nhất quản lý nhà nước về khu công nghệ cao. Chủ trì, phối hợp với các bộ, cơ quan ngang bộ, Ủy ban nhân dân cấp tỉnh, Ban quản lý khu công nghệ cao, tổ chức có liên quan:</w:t>
            </w:r>
          </w:p>
          <w:p w14:paraId="1DFC9A4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a) Xây dựng các văn bản pháp luật, chính sách về quản lý và phát triển khu công nghệ cao trình cơ quan nhà nước có thẩm quyền ban hành hoặc ban hành theo thẩm quyền; </w:t>
            </w:r>
          </w:p>
          <w:p w14:paraId="7EB87833"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b) Tham gia ý kiến về danh mục dự án thu hút đầu tư vào khu công nghệ cao, xin ý kiến Thủ tướng Chính phủ về việc chấp thuận công nghệ, sản phẩm của dự án đầu tư trung tâm nghiên cứu và phát triển công nghệ cao quy định tại khoản 6 Điều 9 Nghị định này;</w:t>
            </w:r>
          </w:p>
          <w:p w14:paraId="05E842E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c) Ban hành và thực hiện chế độ báo cáo, tổng kết đánh giá kết quả xây dựng, hoạt động, hiệu quả kinh tế - xã hội của khu công nghệ cao; xây dựng cơ sở dữ liệu, hệ thống thông tin quốc gia về khu công nghệ cao tại Hệ thống thông tin quốc gia về khoa học và công nghệ; </w:t>
            </w:r>
          </w:p>
          <w:p w14:paraId="3A5A591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Phối hợp giám sát, kiểm tra, thanh tra việc đầu tư xây dựng, và hoạt động của khu công nghệ cao;</w:t>
            </w:r>
          </w:p>
          <w:p w14:paraId="3718159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d) Thực hiện các nhiệm vụ quản lý nhà nước khác về khu công nghệ cao theo thẩm quyền.</w:t>
            </w:r>
          </w:p>
          <w:p w14:paraId="32019DC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4. Các bộ, cơ quan ngang bộ trong phạm vi chức năng, nhiệm vụ, quyền hạn được phân công có trách nhiệm:</w:t>
            </w:r>
          </w:p>
          <w:p w14:paraId="030E6CD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Thực hiện chức năng quản lý nhà nước về ngành, lĩnh vực theo thẩm quyền đối với khu công nghệ cao;</w:t>
            </w:r>
          </w:p>
          <w:p w14:paraId="5B71C7D2"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Hướng dẫn, quy định phân cấp hoặc ủy quyền cho Ban quản lý khu công nghệ cao thực hiện một số nhiệm vụ quản lý nhà nước thuộc thẩm quyền theo quy định của pháp luật liên quan.</w:t>
            </w:r>
          </w:p>
          <w:p w14:paraId="370BB615"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Việc phân cấp, ủy quyền được thực hiện theo nguyên tắc đảm bảo sự ổn định, tạo điều kiện thực hiện cơ chế hành chính “một cửa tại chỗ”, hỗ trợ nhà đầu tư thực hiện hoạt động đầu tư kinh doanh trong khu công nghệ cao và phù hợp với năng lực, trình độ tổ chức của Ban quản lý khu công nghệ cao;</w:t>
            </w:r>
          </w:p>
          <w:p w14:paraId="57551899"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Kiểm tra, thanh tra, giám sát và xử lý vi phạm theo thẩm quyền quản lý nhà nước đối với Ban quản lý khu công nghệ cao và nhà đầu tư thực hiện dự án đầu tư tại khu công nghệ cao.</w:t>
            </w:r>
          </w:p>
          <w:p w14:paraId="769D7EAB"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5. Ủy ban nhân dân cấp tỉnh chủ trì chỉ đạo, tổ chức thực hiện các nhiệm vụ phát triển khu công nghệ cao, chịu trách nhiệm trước Chính phủ về các hoạt động, hiệu quả đầu tư của khu công nghệ cao. </w:t>
            </w:r>
          </w:p>
          <w:p w14:paraId="1311653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a) Đề xuất phương hướng xây dựng khu công nghệ cao trong quy hoạch vùng, quy hoạch tỉnh và tổ chức thực hiện sau khi quy hoạch được cấp có thẩm quyền phê duyệt; quyết định thành lập, mở rộng, điều chỉnh khu công nghệ cao, ban hành quy chế hoạt động của khu công nghệ cao và thành lập, tổ chức Ban quản lý khu công nghệ cao; tổ chức đầu tư xây dựng và phát triển khu công nghệ cao đồng bộ với xây dựng hệ thống kết cấu hạ tầng kỹ thuật, hạ tầng xã hội bên ngoài khu công nghệ cao;</w:t>
            </w:r>
          </w:p>
          <w:p w14:paraId="1D6431C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Xây dựng dự toán và phân bổ ngân sách địa phương chi cho đầu tư, xây dựng, hỗ trợ đầu tư và đảm bảo các hoạt động của khu công nghệ cao trình Hội đồng nhân dân cấp tỉnh quyết định; đề xuất nguồn vốn hỗ trợ từ ngân sách trung ương huy động các nguồn vốn hợp pháp khác để đầu tư xây dựng và phát triển khu công nghệ cao;</w:t>
            </w:r>
          </w:p>
          <w:p w14:paraId="27D5F6A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d) Ban hành và trình ban hành các chính sách và bố trí nguồn lực hỗ trợ đầu tư để thu hút đầu tư, thu hút nguồn nhân lực và triển khai các chương trình khoa học, công nghệ và đổi mới sáng tạo tại khu công nghệ cao theo thẩm quyền;</w:t>
            </w:r>
          </w:p>
          <w:p w14:paraId="5665602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đ) Chỉ đạo, tổ chức thực hiện các nhiệm vụ quản lý nhà nước tại khu công nghệ cao; phân cấp, ủy quyền, chỉ đạo ủy quyền, phối hợp giữa các cơ quan thuộc Ủy ban nhân dân cấp tỉnh với Ban quản lý khu công nghệ cao để đảm bảo giải quyết thủ tục hành chính một cửa, một cửa liên thông theo quy định của pháp luật tại khu công nghệ cao;</w:t>
            </w:r>
          </w:p>
          <w:p w14:paraId="52A03437" w14:textId="51FEF8B4"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e) Tổ chức giám sát, thanh tra, kiểm tra, xử lý vi phạm, giải quyết khiếu nại, tố cáo, khen thưởng; hướng dẫn, hỗ trợ và kịp thời xử lý các vướng mắc phát sinh; thực hiện chế độ báo cáo, tổng kết hoạt động khu công nghệ cao và các nhiệm vụ, quyền hạn quản lý nhà nước khác đối với khu công nghệ cao theo quy định của pháp luật.</w:t>
            </w:r>
          </w:p>
        </w:tc>
        <w:tc>
          <w:tcPr>
            <w:tcW w:w="5400" w:type="dxa"/>
          </w:tcPr>
          <w:p w14:paraId="67001179" w14:textId="3C7182D9"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33 hướng dẫn chi tiết khoản 6 Điều 22 Luật Công nghệ cao. Theo đó, các nội dung quy định được kế thừa và tổng hợp (để đảm bảo kết cấu phù hợp) các quy định tại Điều 40, 41, 42, 44, 45 Nghị định số 10/2024/NĐ-CP và cập nhật quy định tại Luật Tổ chức Chính phủ, Luật Tổ chức chính quyền địa phương, bảo sự phù hợp với các quy định của pháp luật có liên quan</w:t>
            </w:r>
            <w:r w:rsidR="001856D1">
              <w:rPr>
                <w:rFonts w:ascii="Times New Roman" w:hAnsi="Times New Roman" w:cs="Times New Roman"/>
                <w:sz w:val="24"/>
                <w:szCs w:val="24"/>
                <w:lang w:val="de-DE"/>
              </w:rPr>
              <w:t>.</w:t>
            </w:r>
          </w:p>
        </w:tc>
      </w:tr>
      <w:tr w:rsidR="004615D3" w:rsidRPr="000C2D51" w14:paraId="22B52CA3" w14:textId="77777777" w:rsidTr="00022042">
        <w:tc>
          <w:tcPr>
            <w:tcW w:w="2245" w:type="dxa"/>
          </w:tcPr>
          <w:p w14:paraId="7299AA9F" w14:textId="0E2F498D"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46, 47 Nghị định số 10/2024/NĐ-CP</w:t>
            </w:r>
          </w:p>
        </w:tc>
        <w:tc>
          <w:tcPr>
            <w:tcW w:w="7380" w:type="dxa"/>
          </w:tcPr>
          <w:p w14:paraId="3130398F"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r w:rsidRPr="009875DA">
              <w:rPr>
                <w:rFonts w:ascii="Times New Roman" w:hAnsi="Times New Roman" w:cs="Times New Roman"/>
                <w:b/>
                <w:bCs/>
                <w:color w:val="000000"/>
                <w:sz w:val="24"/>
                <w:szCs w:val="24"/>
                <w:lang w:val="de-DE"/>
              </w:rPr>
              <w:t>Điều 34. Ban quản lý khu công nghệ cao</w:t>
            </w:r>
          </w:p>
          <w:p w14:paraId="221CDE5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1. Ban quản lý khu công nghệ cao là cơ quan trực thuộc Ủy ban nhân dân cấp tỉnh thực hiện chức năng quản lý nhà nước trực tiếp đối với khu công </w:t>
            </w:r>
            <w:r w:rsidRPr="009875DA">
              <w:rPr>
                <w:rFonts w:ascii="Times New Roman" w:hAnsi="Times New Roman" w:cs="Times New Roman"/>
                <w:color w:val="000000"/>
                <w:sz w:val="24"/>
                <w:szCs w:val="24"/>
                <w:lang w:val="de-DE"/>
              </w:rPr>
              <w:lastRenderedPageBreak/>
              <w:t>nghệ cao trên địa bàn tỉnh, thành phố trực thuộc trung ương theo quy định tại Nghị định này và quy định pháp luật có liên quan.</w:t>
            </w:r>
          </w:p>
          <w:p w14:paraId="488B979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Ban quản lý khu công nghệ cao có tư cách pháp nhân, được sử dụng con dấu hình quốc huy, được mở tài khoản tại Kho bạc Nhà nước và ngân hàng và được cấp kinh phí hoạt động từ ngân sách nhà nước.</w:t>
            </w:r>
          </w:p>
          <w:p w14:paraId="0C339358" w14:textId="474DC0C3"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Ủy ban nhân dân cấp tỉnh quyết định thành lập và ban hành chức năng nhiệm vụ, quyền hạn của Ban quản lý khu công nghệ cao theo quy định của pháp luật có liên quan và các nội dung phân cấp, ủy quyền của Ủy ban nhân dân cấp tỉnh, cơ chế phối hợp với các cơ quan liên quan để đảm bảo Ban quản lý khu công nghệ cao thực hiện các nhiệm vụ quản lý nhà nước tại khu công nghệ cao về đầu tư xây dựng và phát triển khu công nghệ cao; khoa học và công nghệ; đầu tư; đất đai; quy hoạch; xây dựng; bảo vệ môi trường; vận hành, duy tu hạ tầng kỹ thuật; lao động; an toàn, vệ sinh lao động, an toàn thực phẩm; thanh tra, kiểm tra, giám sát; tuyên truyền phổ biến pháp luật và các nhiệm vụ quản lý nhà nước khác trong khu công nghệ cao.</w:t>
            </w:r>
          </w:p>
        </w:tc>
        <w:tc>
          <w:tcPr>
            <w:tcW w:w="5400" w:type="dxa"/>
          </w:tcPr>
          <w:p w14:paraId="3CD72FDC" w14:textId="7874FBB8"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 xml:space="preserve">Điều 34 hướng dẫn chi tiết khoản 6 Điều 22 Luật Công nghệ cao. Theo đó, các nội dung quy định được kế thừa và tổng hợp (để đảm bảo kết cấu phù hợp) các quy định tại Điều 46, 47 Nghị định số 10/2024/NĐ-CP và cập </w:t>
            </w:r>
            <w:r w:rsidRPr="009875DA">
              <w:rPr>
                <w:rFonts w:ascii="Times New Roman" w:hAnsi="Times New Roman" w:cs="Times New Roman"/>
                <w:sz w:val="24"/>
                <w:szCs w:val="24"/>
                <w:lang w:val="de-DE"/>
              </w:rPr>
              <w:lastRenderedPageBreak/>
              <w:t>nhật quy định tại Luật Công nghệ cao năm 2025 và các quy định của pháp luật có liên quan.</w:t>
            </w:r>
          </w:p>
          <w:p w14:paraId="0DF280C6" w14:textId="7FF3A5C8" w:rsidR="004615D3" w:rsidRPr="009875DA" w:rsidRDefault="004615D3" w:rsidP="004615D3">
            <w:pPr>
              <w:widowControl w:val="0"/>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9875DA">
              <w:rPr>
                <w:rFonts w:ascii="Times New Roman" w:hAnsi="Times New Roman" w:cs="Times New Roman"/>
                <w:sz w:val="24"/>
                <w:szCs w:val="24"/>
                <w:lang w:val="de-DE"/>
              </w:rPr>
              <w:t xml:space="preserve">Trong đó, đối với quy định về thành lập Ban quản lý, để đảm bảo sự đồng bộ với cập nhật về thẩm quyền thành lập, mở rộng và điểu chỉnh khu công nghệ cao đã được Luật Công nghệ cao giao cho Ủy ban nhân dân cấp tỉnh, dự thảo Nghị định quy định giao thẩm quyền thành lập và </w:t>
            </w:r>
            <w:r w:rsidRPr="009875DA">
              <w:rPr>
                <w:rFonts w:ascii="Times New Roman" w:hAnsi="Times New Roman" w:cs="Times New Roman"/>
                <w:color w:val="000000"/>
                <w:sz w:val="24"/>
                <w:szCs w:val="24"/>
                <w:lang w:val="de-DE"/>
              </w:rPr>
              <w:t xml:space="preserve">ban hành chức năng nhiệm vụ, quyền hạn </w:t>
            </w:r>
            <w:r w:rsidRPr="009875DA">
              <w:rPr>
                <w:rFonts w:ascii="Times New Roman" w:hAnsi="Times New Roman" w:cs="Times New Roman"/>
                <w:sz w:val="24"/>
                <w:szCs w:val="24"/>
                <w:lang w:val="de-DE"/>
              </w:rPr>
              <w:t>Ban quản lý khu công nghệ cao cho Ủy ban nhân dân cấp tỉnh.</w:t>
            </w:r>
          </w:p>
          <w:p w14:paraId="31A85AEE" w14:textId="5ED9B8D4" w:rsidR="004615D3" w:rsidRPr="009875DA" w:rsidRDefault="004615D3" w:rsidP="004615D3">
            <w:pPr>
              <w:widowControl w:val="0"/>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9875DA">
              <w:rPr>
                <w:rFonts w:ascii="Times New Roman" w:hAnsi="Times New Roman" w:cs="Times New Roman"/>
                <w:sz w:val="24"/>
                <w:szCs w:val="24"/>
                <w:lang w:val="de-DE"/>
              </w:rPr>
              <w:t>Để đảm bảo kết cấu phù hợp của Nghị định, các quy định cụ thể liên quan đến thẩm quyền của Ban quản lý đã được lược bỏ trên cơ sở đánh giá việc vẫn đảm bảo hoạt động do các thẩm quyền đã được quy định tại các văn bản pháp luật chuyên ngành</w:t>
            </w:r>
          </w:p>
        </w:tc>
      </w:tr>
      <w:tr w:rsidR="004615D3" w:rsidRPr="000C2D51" w14:paraId="5B5A8B8E" w14:textId="77777777" w:rsidTr="00022042">
        <w:tc>
          <w:tcPr>
            <w:tcW w:w="2245" w:type="dxa"/>
          </w:tcPr>
          <w:p w14:paraId="3E190CE6" w14:textId="3B6BF4A4" w:rsidR="004615D3" w:rsidRPr="009875DA" w:rsidRDefault="004615D3" w:rsidP="004615D3">
            <w:pPr>
              <w:widowControl w:val="0"/>
              <w:spacing w:line="276" w:lineRule="auto"/>
              <w:jc w:val="both"/>
              <w:rPr>
                <w:rFonts w:ascii="Times New Roman" w:hAnsi="Times New Roman" w:cs="Times New Roman"/>
                <w:b/>
                <w:bCs/>
                <w:sz w:val="24"/>
                <w:szCs w:val="24"/>
                <w:lang w:val="nl-NL" w:eastAsia="vi-VN"/>
              </w:rPr>
            </w:pPr>
            <w:r w:rsidRPr="009875DA">
              <w:rPr>
                <w:rFonts w:ascii="Times New Roman" w:hAnsi="Times New Roman" w:cs="Times New Roman"/>
                <w:b/>
                <w:bCs/>
                <w:sz w:val="24"/>
                <w:szCs w:val="24"/>
                <w:lang w:val="de-DE"/>
              </w:rPr>
              <w:lastRenderedPageBreak/>
              <w:t>Điều 48 Nghị định số 10/2024/NĐ-CP</w:t>
            </w:r>
          </w:p>
        </w:tc>
        <w:tc>
          <w:tcPr>
            <w:tcW w:w="7380" w:type="dxa"/>
          </w:tcPr>
          <w:p w14:paraId="20F9A9EC" w14:textId="77777777" w:rsidR="004615D3" w:rsidRPr="009875DA" w:rsidRDefault="004615D3" w:rsidP="004615D3">
            <w:pPr>
              <w:snapToGrid w:val="0"/>
              <w:spacing w:line="276" w:lineRule="auto"/>
              <w:jc w:val="both"/>
              <w:rPr>
                <w:rFonts w:ascii="Times New Roman" w:hAnsi="Times New Roman" w:cs="Times New Roman"/>
                <w:b/>
                <w:bCs/>
                <w:color w:val="000000"/>
                <w:sz w:val="24"/>
                <w:szCs w:val="24"/>
                <w:lang w:val="de-DE"/>
              </w:rPr>
            </w:pPr>
            <w:bookmarkStart w:id="56" w:name="dieu_48"/>
            <w:r w:rsidRPr="009875DA">
              <w:rPr>
                <w:rFonts w:ascii="Times New Roman" w:hAnsi="Times New Roman" w:cs="Times New Roman"/>
                <w:b/>
                <w:bCs/>
                <w:color w:val="000000"/>
                <w:sz w:val="24"/>
                <w:szCs w:val="24"/>
                <w:lang w:val="de-DE"/>
              </w:rPr>
              <w:t>Điều 35. Cơ cấu tổ chức và biên chế của Ban quản lý khu công nghệ cao</w:t>
            </w:r>
            <w:bookmarkEnd w:id="56"/>
          </w:p>
          <w:p w14:paraId="24F8850C"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1. Ban quản lý khu công nghệ cao có Trưởng ban và không quá 03 Phó Trưởng ban.</w:t>
            </w:r>
          </w:p>
          <w:p w14:paraId="6D14EDA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Trưởng ban do Chủ tịch Ủy ban nhân dân cấp tỉnh bổ nhiệm, miễn nhiệm. Phó Trưởng ban do Chủ tịch Ủy ban nhân dân cấp tỉnh bổ nhiệm, miễn nhiệm theo đề nghị của Trưởng ban.</w:t>
            </w:r>
          </w:p>
          <w:p w14:paraId="56EF219F"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2. Trưởng ban Ban quản lý khu công nghệ cao có trách nhiệm điều hành mọi hoạt động của Ban quản lý khu công nghệ cao, chịu trách nhiệm trước Ủy ban nhân dân cấp tỉnh và trước pháp luật về hoạt động của khu công nghệ cao.</w:t>
            </w:r>
          </w:p>
          <w:p w14:paraId="2EE9C2E1"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 xml:space="preserve">3. Cơ cấu tổ chức của Ban quản lý khu công nghệ cao gồm: bộ máy giúp việc (Văn phòng, các phòng chuyên môn, nghiệp vụ); các đơn vị sự nghiệp công lập trực thuộc thực hiện nhiệm vụ công ích, công cộng, dịch vụ hỗ trợ </w:t>
            </w:r>
            <w:r w:rsidRPr="009875DA">
              <w:rPr>
                <w:rFonts w:ascii="Times New Roman" w:hAnsi="Times New Roman" w:cs="Times New Roman"/>
                <w:color w:val="000000"/>
                <w:sz w:val="24"/>
                <w:szCs w:val="24"/>
                <w:lang w:val="de-DE"/>
              </w:rPr>
              <w:lastRenderedPageBreak/>
              <w:t>đầu tư, kinh doanh, hỗ trợ triển khai hoạt động công nghệ cao và các tổ chức khác phù hợp với tình hình phát triển khu công nghệ cao, nhiệm vụ, quyền hạn của Ban quản lý khu công nghệ cao và quy định của pháp luật.</w:t>
            </w:r>
          </w:p>
          <w:p w14:paraId="58E5FDB7"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4. Việc thành lập bộ máy giúp việc phải bảo đảm phù hợp với các điều kiện, tiêu chí sau đây:</w:t>
            </w:r>
          </w:p>
          <w:p w14:paraId="0A43365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a) Tổ chức phòng quản lý đa ngành, đa lĩnh vực; các ngành, lĩnh vực công tác do phòng phụ trách phải có quy trình quản lý hoặc đối tượng quản lý rõ ràng, phù hợp với nhiệm vụ quyền hạn của Ban quản lý khu công nghệ cao;</w:t>
            </w:r>
          </w:p>
          <w:p w14:paraId="4F89624E"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b) Khối lượng công việc yêu cầu bố trí tối thiểu từ 07 biên chế công chức đối với phòng thuộc Ban quản lý khu công nghệ cao của thành phố Hà Nội và Thành phố Hồ Chí Minh; tối thiểu 06 biên chế công chức đối với phòng thuộc Ban quản lý khu công nghệ cao của cấp tỉnh loại I; tối thiểu 05 biên chế công chức đối với phòng thuộc Ban quản lý khu công nghệ cao của cấp tỉnh loại II và loại III;</w:t>
            </w:r>
          </w:p>
          <w:p w14:paraId="648D1FFA"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c) Được bố trí 01 Phó Trưởng phòng đối với phòng thuộc Ban quản lý khu công nghệ cao của thành phố Hà Nội và Thành phố Hồ Chí Minh có dưới 10 biên chế công chức, phòng thuộc Ban quản lý khu công nghệ cao của cấp tỉnh loại I có dưới 09 biên chế công chức và phòng thuộc Ban quản lý khu công nghệ cao của cấp tỉnh loại II và loại III có dưới 08 biên chế công chức;</w:t>
            </w:r>
          </w:p>
          <w:p w14:paraId="1510AB4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d) Được bố trí không quá 02 Phó Trưởng phòng đối với phòng thuộc Ban quản lý khu công nghệ cao của thành phố Hà Nội và Thành phố Hồ Chí Minh có từ 10 đến 14 biên chế công chức, phòng thuộc Ban quản lý khu công nghệ cao của cấp tỉnh loại I có từ 09 đến 14 biên chế công chức và phòng thuộc Ban quản lý khu công nghệ cao của cấp tỉnh loại II và loại III có từ 08 đến 14 biên chế công chức;</w:t>
            </w:r>
          </w:p>
          <w:p w14:paraId="3B870354"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đ) Số lượng cấp phó của Văn phòng Ban quản lý khu công nghệ cao thực hiện như đối với phòng chuyên môn, nghiệp vụ.</w:t>
            </w:r>
          </w:p>
          <w:p w14:paraId="45978D20" w14:textId="77777777"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lastRenderedPageBreak/>
              <w:t>5. Việc thành lập, tổ chức bộ máy của đơn vị sự nghiệp công lập thuộc Ban quản lý khu công nghệ cao thực hiện theo quy định của pháp luật về thành lập, tổ chức lại, giải thể đơn vị sự nghiệp công lập.</w:t>
            </w:r>
          </w:p>
          <w:p w14:paraId="621097E3" w14:textId="53808B50" w:rsidR="004615D3" w:rsidRPr="009875DA" w:rsidRDefault="004615D3" w:rsidP="004615D3">
            <w:pPr>
              <w:snapToGrid w:val="0"/>
              <w:spacing w:line="276" w:lineRule="auto"/>
              <w:jc w:val="both"/>
              <w:rPr>
                <w:rFonts w:ascii="Times New Roman" w:hAnsi="Times New Roman" w:cs="Times New Roman"/>
                <w:color w:val="000000"/>
                <w:sz w:val="24"/>
                <w:szCs w:val="24"/>
                <w:lang w:val="de-DE"/>
              </w:rPr>
            </w:pPr>
            <w:r w:rsidRPr="009875DA">
              <w:rPr>
                <w:rFonts w:ascii="Times New Roman" w:hAnsi="Times New Roman" w:cs="Times New Roman"/>
                <w:color w:val="000000"/>
                <w:sz w:val="24"/>
                <w:szCs w:val="24"/>
                <w:lang w:val="de-DE"/>
              </w:rPr>
              <w:t>6. Biên chế công chức và số lượng người làm việc trong các đơn vị sự nghiệp công lập của Ban quản lý khu công nghệ cao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thành phố trực thuộc trung ương được cơ quan nhà nước có thẩm quyền giao hoặc phê duyệt.</w:t>
            </w:r>
          </w:p>
        </w:tc>
        <w:tc>
          <w:tcPr>
            <w:tcW w:w="5400" w:type="dxa"/>
          </w:tcPr>
          <w:p w14:paraId="6D2C226F" w14:textId="4F5D9FD6" w:rsidR="004615D3" w:rsidRPr="009875DA" w:rsidRDefault="004615D3" w:rsidP="004615D3">
            <w:pPr>
              <w:widowControl w:val="0"/>
              <w:spacing w:line="276" w:lineRule="auto"/>
              <w:jc w:val="both"/>
              <w:rPr>
                <w:rFonts w:ascii="Times New Roman" w:hAnsi="Times New Roman" w:cs="Times New Roman"/>
                <w:sz w:val="24"/>
                <w:szCs w:val="24"/>
                <w:lang w:val="de-DE"/>
              </w:rPr>
            </w:pPr>
            <w:r w:rsidRPr="009875DA">
              <w:rPr>
                <w:rFonts w:ascii="Times New Roman" w:hAnsi="Times New Roman" w:cs="Times New Roman"/>
                <w:sz w:val="24"/>
                <w:szCs w:val="24"/>
                <w:lang w:val="de-DE"/>
              </w:rPr>
              <w:lastRenderedPageBreak/>
              <w:t>Điều 35 hướng dẫn chi tiết khoản 6 Điều 22 Luật Công nghệ cao, nội dung Điều 35 tiếp tục kế thừa quy định tại Điều 48 Nghị định số 10/2024/NĐ-CP (hiện nay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 đã xác định các ban quản lý thuộc Ủy ban nhân dân cấp tỉnh không thuộc phạm vi quy định (khoản 3 Điều 1). Do đó, đề nghị cần quy định cụ thể về tổ chức bộ máy của Ban quản lý để Ủy ban nhân cấp tỉnh có căn cứ triển khai).</w:t>
            </w:r>
          </w:p>
          <w:p w14:paraId="319FD27B" w14:textId="77777777" w:rsidR="004615D3" w:rsidRPr="009875DA" w:rsidRDefault="004615D3" w:rsidP="004615D3">
            <w:pPr>
              <w:widowControl w:val="0"/>
              <w:spacing w:line="276" w:lineRule="auto"/>
              <w:jc w:val="both"/>
              <w:rPr>
                <w:rFonts w:ascii="Times New Roman" w:hAnsi="Times New Roman" w:cs="Times New Roman"/>
                <w:sz w:val="24"/>
                <w:szCs w:val="24"/>
                <w:lang w:val="de-DE"/>
              </w:rPr>
            </w:pPr>
          </w:p>
        </w:tc>
      </w:tr>
      <w:tr w:rsidR="004615D3" w:rsidRPr="000C2D51" w14:paraId="0F829687" w14:textId="77777777" w:rsidTr="00022042">
        <w:tc>
          <w:tcPr>
            <w:tcW w:w="2245" w:type="dxa"/>
          </w:tcPr>
          <w:p w14:paraId="34839106" w14:textId="77777777" w:rsidR="004615D3" w:rsidRPr="009875DA" w:rsidRDefault="004615D3" w:rsidP="004615D3">
            <w:pPr>
              <w:widowControl w:val="0"/>
              <w:jc w:val="center"/>
              <w:rPr>
                <w:rFonts w:ascii="Times New Roman" w:hAnsi="Times New Roman" w:cs="Times New Roman"/>
                <w:b/>
                <w:sz w:val="24"/>
                <w:szCs w:val="24"/>
                <w:lang w:val="nl-NL" w:eastAsia="vi-VN"/>
              </w:rPr>
            </w:pPr>
          </w:p>
        </w:tc>
        <w:tc>
          <w:tcPr>
            <w:tcW w:w="7380" w:type="dxa"/>
          </w:tcPr>
          <w:p w14:paraId="426C175D" w14:textId="77777777" w:rsidR="004615D3" w:rsidRPr="002E0290" w:rsidRDefault="004615D3" w:rsidP="004615D3">
            <w:pPr>
              <w:pStyle w:val="Heading1"/>
              <w:snapToGrid w:val="0"/>
              <w:spacing w:line="276" w:lineRule="auto"/>
              <w:jc w:val="center"/>
              <w:rPr>
                <w:b/>
                <w:i w:val="0"/>
              </w:rPr>
            </w:pPr>
            <w:r w:rsidRPr="002E0290">
              <w:rPr>
                <w:b/>
                <w:i w:val="0"/>
              </w:rPr>
              <w:t>Chương V</w:t>
            </w:r>
          </w:p>
          <w:p w14:paraId="365F5E43" w14:textId="4F8ED33A" w:rsidR="004615D3" w:rsidRPr="002E0290" w:rsidRDefault="004615D3" w:rsidP="004615D3">
            <w:pPr>
              <w:pStyle w:val="Heading1"/>
              <w:snapToGrid w:val="0"/>
              <w:spacing w:line="276" w:lineRule="auto"/>
              <w:jc w:val="center"/>
            </w:pPr>
            <w:r w:rsidRPr="002E0290">
              <w:rPr>
                <w:b/>
                <w:i w:val="0"/>
              </w:rPr>
              <w:t>QUẢN LÝ NHÀ NƯỚC VỀ HOẠT ĐỘNG CÔNG NGHỆ CAO, CÔNG NGHỆ CHIẾN LƯỢC</w:t>
            </w:r>
          </w:p>
        </w:tc>
        <w:tc>
          <w:tcPr>
            <w:tcW w:w="5400" w:type="dxa"/>
          </w:tcPr>
          <w:p w14:paraId="03AFEF79" w14:textId="77777777" w:rsidR="004615D3" w:rsidRPr="009875DA" w:rsidRDefault="004615D3" w:rsidP="004615D3">
            <w:pPr>
              <w:widowControl w:val="0"/>
              <w:jc w:val="center"/>
              <w:rPr>
                <w:rFonts w:ascii="Times New Roman" w:hAnsi="Times New Roman" w:cs="Times New Roman"/>
                <w:b/>
                <w:sz w:val="24"/>
                <w:szCs w:val="24"/>
                <w:lang w:val="nl-NL"/>
              </w:rPr>
            </w:pPr>
          </w:p>
        </w:tc>
      </w:tr>
      <w:tr w:rsidR="004615D3" w:rsidRPr="000C2D51" w14:paraId="58FB6921" w14:textId="77777777" w:rsidTr="00022042">
        <w:tc>
          <w:tcPr>
            <w:tcW w:w="2245" w:type="dxa"/>
          </w:tcPr>
          <w:p w14:paraId="1FD57AE8" w14:textId="77777777" w:rsidR="004615D3" w:rsidRPr="009875DA" w:rsidRDefault="004615D3" w:rsidP="004615D3">
            <w:pPr>
              <w:widowControl w:val="0"/>
              <w:jc w:val="center"/>
              <w:rPr>
                <w:rFonts w:ascii="Times New Roman" w:hAnsi="Times New Roman" w:cs="Times New Roman"/>
                <w:b/>
                <w:sz w:val="24"/>
                <w:szCs w:val="24"/>
                <w:lang w:val="nl-NL" w:eastAsia="vi-VN"/>
              </w:rPr>
            </w:pPr>
          </w:p>
        </w:tc>
        <w:tc>
          <w:tcPr>
            <w:tcW w:w="7380" w:type="dxa"/>
          </w:tcPr>
          <w:p w14:paraId="0FC3075F" w14:textId="77777777" w:rsidR="004615D3" w:rsidRPr="002E0290" w:rsidRDefault="004615D3" w:rsidP="004615D3">
            <w:pPr>
              <w:pStyle w:val="Heading2"/>
              <w:snapToGrid w:val="0"/>
              <w:spacing w:line="276" w:lineRule="auto"/>
              <w:jc w:val="both"/>
            </w:pPr>
            <w:r w:rsidRPr="002E0290">
              <w:t>Điều 36. Cơ chế thực hiện vai trò cơ quan đầu mối quản lý nhà nước về công nghệ cao, công nghệ chiến lược</w:t>
            </w:r>
          </w:p>
          <w:p w14:paraId="47FE8F5E"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Bộ Khoa học và Công nghệ thực hiện vai trò cơ quan đầu mối giúp Chính phủ thống nhất quản lý nhà nước về hoạt động công nghệ cao, công nghệ chiến lược thông qua các biện pháp sau đây:</w:t>
            </w:r>
          </w:p>
          <w:p w14:paraId="0BCEEA69"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a) Chủ trì hướng dẫn, điều phối việc triển khai các chính sách, chương trình, nhiệm vụ về công nghệ cao, công nghệ chiến lược trên phạm vi cả nước;</w:t>
            </w:r>
          </w:p>
          <w:p w14:paraId="1C0368C8"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b) Chủ trì tổng hợp, xử lý các vấn đề liên ngành, liên lĩnh vực phát sinh trong quá trình thực hiện Luật Công nghệ cao;</w:t>
            </w:r>
          </w:p>
          <w:p w14:paraId="49D781B2"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c) Là đầu mối trao đổi, phối hợp với các Bộ, cơ quan ngang Bộ và Ủy ban nhân dân cấp tỉnh trong quản lý nhà nước về công nghệ cao, công nghệ chiến lược.</w:t>
            </w:r>
          </w:p>
          <w:p w14:paraId="5BD8E328" w14:textId="36B4D914"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Bộ, cơ quan ngang Bộ và Ủy ban nhân dân cấp tỉnh có trách nhiệm phối hợp, cung cấp thông tin, dữ liệu và báo cáo theo yêu cầu của Bộ Khoa học và Công nghệ để bảo đảm quản lý thống nhất.</w:t>
            </w:r>
          </w:p>
        </w:tc>
        <w:tc>
          <w:tcPr>
            <w:tcW w:w="5400" w:type="dxa"/>
          </w:tcPr>
          <w:p w14:paraId="2DB06166" w14:textId="44F994A0" w:rsidR="004615D3" w:rsidRPr="002E0290" w:rsidRDefault="004615D3" w:rsidP="004615D3">
            <w:pPr>
              <w:pStyle w:val="Heading3"/>
              <w:spacing w:before="0" w:line="276" w:lineRule="auto"/>
              <w:jc w:val="both"/>
              <w:rPr>
                <w:rFonts w:ascii="Times New Roman" w:hAnsi="Times New Roman" w:cs="Times New Roman"/>
                <w:color w:val="auto"/>
                <w:lang w:val="de-DE"/>
              </w:rPr>
            </w:pPr>
            <w:r w:rsidRPr="002E0290">
              <w:rPr>
                <w:rFonts w:ascii="Times New Roman" w:hAnsi="Times New Roman" w:cs="Times New Roman"/>
                <w:color w:val="auto"/>
                <w:lang w:val="de-DE"/>
              </w:rPr>
              <w:t xml:space="preserve">Điều 36 </w:t>
            </w:r>
            <w:r w:rsidR="00514986">
              <w:rPr>
                <w:rFonts w:ascii="Times New Roman" w:hAnsi="Times New Roman" w:cs="Times New Roman"/>
                <w:color w:val="auto"/>
                <w:lang w:val="de-DE"/>
              </w:rPr>
              <w:t>cụ thể hóa quy định tại khoản 2 Điều 9 Luật Công nghệ cao</w:t>
            </w:r>
            <w:r w:rsidR="0001630C">
              <w:rPr>
                <w:rFonts w:ascii="Times New Roman" w:hAnsi="Times New Roman" w:cs="Times New Roman"/>
                <w:color w:val="auto"/>
                <w:lang w:val="de-DE"/>
              </w:rPr>
              <w:t xml:space="preserve"> về vai trò cơ quan đầu mối của Bộ Khoa học và Công nghệ trong việc thực hiện thống nhất quản lý nhà nước về </w:t>
            </w:r>
            <w:r w:rsidR="0001630C" w:rsidRPr="0001630C">
              <w:rPr>
                <w:rFonts w:ascii="Times New Roman" w:hAnsi="Times New Roman" w:cs="Times New Roman"/>
                <w:color w:val="auto"/>
                <w:lang w:val="de-DE"/>
              </w:rPr>
              <w:t>hoạt động công nghệ cao, công nghệ chiến lược</w:t>
            </w:r>
            <w:r w:rsidRPr="002E0290">
              <w:rPr>
                <w:rFonts w:ascii="Times New Roman" w:hAnsi="Times New Roman" w:cs="Times New Roman"/>
                <w:color w:val="auto"/>
                <w:lang w:val="de-DE"/>
              </w:rPr>
              <w:t>.</w:t>
            </w:r>
          </w:p>
          <w:p w14:paraId="2A8F5D4F" w14:textId="35C7872E" w:rsidR="004615D3" w:rsidRPr="002E0290" w:rsidRDefault="004615D3" w:rsidP="004615D3">
            <w:pPr>
              <w:pStyle w:val="NormalWeb"/>
              <w:spacing w:before="0" w:beforeAutospacing="0" w:after="0" w:afterAutospacing="0" w:line="276" w:lineRule="auto"/>
              <w:jc w:val="both"/>
              <w:rPr>
                <w:lang w:val="de-DE"/>
              </w:rPr>
            </w:pPr>
          </w:p>
        </w:tc>
      </w:tr>
      <w:tr w:rsidR="004615D3" w:rsidRPr="000C2D51" w14:paraId="345C9C18" w14:textId="77777777" w:rsidTr="00022042">
        <w:tc>
          <w:tcPr>
            <w:tcW w:w="2245" w:type="dxa"/>
          </w:tcPr>
          <w:p w14:paraId="46B80558" w14:textId="77777777" w:rsidR="004615D3" w:rsidRPr="009875DA" w:rsidRDefault="004615D3" w:rsidP="004615D3">
            <w:pPr>
              <w:widowControl w:val="0"/>
              <w:jc w:val="center"/>
              <w:rPr>
                <w:rFonts w:ascii="Times New Roman" w:hAnsi="Times New Roman" w:cs="Times New Roman"/>
                <w:b/>
                <w:sz w:val="24"/>
                <w:szCs w:val="24"/>
                <w:lang w:val="nl-NL" w:eastAsia="vi-VN"/>
              </w:rPr>
            </w:pPr>
          </w:p>
        </w:tc>
        <w:tc>
          <w:tcPr>
            <w:tcW w:w="7380" w:type="dxa"/>
          </w:tcPr>
          <w:p w14:paraId="2FA1A4D4" w14:textId="77777777" w:rsidR="004615D3" w:rsidRPr="002E0290" w:rsidRDefault="004615D3" w:rsidP="004615D3">
            <w:pPr>
              <w:pStyle w:val="Heading2"/>
              <w:snapToGrid w:val="0"/>
              <w:spacing w:line="276" w:lineRule="auto"/>
              <w:jc w:val="both"/>
            </w:pPr>
            <w:r w:rsidRPr="002E0290">
              <w:t>Điều 37. Phát triển và vận hành cơ sở dữ liệu, hạ tầng số về công nghệ cao, công nghệ chiến lược</w:t>
            </w:r>
          </w:p>
          <w:p w14:paraId="673D1DDF"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1. Bộ Khoa học và Công nghệ chủ trì xây dựng, phát triển và vận hành cơ sở dữ liệu và hạ tầng số phục vụ quản lý nhà nước về công nghệ cao, công nghệ chiến lược.</w:t>
            </w:r>
          </w:p>
          <w:p w14:paraId="2EAFF171"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2. Cơ sở dữ liệu và hạ tầng số quy định tại khoản 1 Điều này bao gồm các nội dung chủ yếu sau đây:</w:t>
            </w:r>
          </w:p>
          <w:p w14:paraId="2ECE5870"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a) Thông tin về công nghệ cao, công nghệ chiến lược, sản phẩm công nghệ cao, sản phẩm công nghệ chiến lược; thông tin về khu công nghệ cao.</w:t>
            </w:r>
          </w:p>
          <w:p w14:paraId="3D23991A"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b) Thông tin về tổ chức, doanh nghiệp, dự án, chương trình, nhiệm vụ liên quan;</w:t>
            </w:r>
          </w:p>
          <w:p w14:paraId="19B5612D"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c) Dữ liệu phục vụ đánh giá hiệu quả hoạt động công nghệ cao, công nghệ chiến lược.</w:t>
            </w:r>
          </w:p>
          <w:p w14:paraId="1CB1E081" w14:textId="03CFF652"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Việc xây dựng, vận hành và khai thác cơ sở dữ liệu, hạ tầng số phải bảo đảm kết nối, liên thông với Hệ thống thông tin quốc gia về khoa học, công nghệ và đổi mới sáng tạo; bảo đảm an toàn, an ninh thông tin theo quy định của pháp luật.</w:t>
            </w:r>
          </w:p>
        </w:tc>
        <w:tc>
          <w:tcPr>
            <w:tcW w:w="5400" w:type="dxa"/>
          </w:tcPr>
          <w:p w14:paraId="1B2F6148" w14:textId="58FF7877" w:rsidR="0001630C" w:rsidRDefault="004615D3" w:rsidP="004615D3">
            <w:pPr>
              <w:pStyle w:val="NormalWeb"/>
              <w:spacing w:before="0" w:beforeAutospacing="0" w:after="0" w:afterAutospacing="0" w:line="276" w:lineRule="auto"/>
              <w:jc w:val="both"/>
              <w:rPr>
                <w:lang w:val="de-DE"/>
              </w:rPr>
            </w:pPr>
            <w:r w:rsidRPr="002E0290">
              <w:rPr>
                <w:lang w:val="de-DE"/>
              </w:rPr>
              <w:t xml:space="preserve">Điều 37 </w:t>
            </w:r>
            <w:r w:rsidR="00514986" w:rsidRPr="00514986">
              <w:rPr>
                <w:lang w:val="de-DE"/>
              </w:rPr>
              <w:t>cụ thể hóa quy định tại khoản 2 Điều 9 Luật Công nghệ cao</w:t>
            </w:r>
            <w:r w:rsidR="0001630C">
              <w:rPr>
                <w:lang w:val="de-DE"/>
              </w:rPr>
              <w:t xml:space="preserve"> về p</w:t>
            </w:r>
            <w:r w:rsidR="0001630C" w:rsidRPr="0001630C">
              <w:rPr>
                <w:lang w:val="de-DE"/>
              </w:rPr>
              <w:t>hát triển và vận hành cơ sở dữ liệu, hạ tầng số về công nghệ cao, công nghệ chiến lược</w:t>
            </w:r>
            <w:r w:rsidR="0001630C">
              <w:rPr>
                <w:lang w:val="de-DE"/>
              </w:rPr>
              <w:t>.</w:t>
            </w:r>
          </w:p>
          <w:p w14:paraId="6EFE7F0A" w14:textId="03B3B611" w:rsidR="004615D3" w:rsidRPr="002E0290" w:rsidRDefault="004615D3" w:rsidP="004615D3">
            <w:pPr>
              <w:spacing w:line="276" w:lineRule="auto"/>
              <w:rPr>
                <w:rFonts w:ascii="Times New Roman" w:eastAsia="Times New Roman" w:hAnsi="Times New Roman" w:cs="Times New Roman"/>
                <w:sz w:val="24"/>
                <w:szCs w:val="24"/>
                <w:lang w:val="de-DE"/>
              </w:rPr>
            </w:pPr>
          </w:p>
        </w:tc>
      </w:tr>
      <w:tr w:rsidR="004615D3" w:rsidRPr="000C2D51" w14:paraId="29F9F267" w14:textId="77777777" w:rsidTr="00022042">
        <w:tc>
          <w:tcPr>
            <w:tcW w:w="2245" w:type="dxa"/>
          </w:tcPr>
          <w:p w14:paraId="5FDD0920" w14:textId="77777777" w:rsidR="004615D3" w:rsidRPr="009875DA" w:rsidRDefault="004615D3" w:rsidP="004615D3">
            <w:pPr>
              <w:widowControl w:val="0"/>
              <w:jc w:val="center"/>
              <w:rPr>
                <w:rFonts w:ascii="Times New Roman" w:hAnsi="Times New Roman" w:cs="Times New Roman"/>
                <w:b/>
                <w:sz w:val="24"/>
                <w:szCs w:val="24"/>
                <w:lang w:val="nl-NL" w:eastAsia="vi-VN"/>
              </w:rPr>
            </w:pPr>
          </w:p>
        </w:tc>
        <w:tc>
          <w:tcPr>
            <w:tcW w:w="7380" w:type="dxa"/>
          </w:tcPr>
          <w:p w14:paraId="0CE5AF7F" w14:textId="77777777" w:rsidR="004615D3" w:rsidRPr="002E0290" w:rsidRDefault="004615D3" w:rsidP="004615D3">
            <w:pPr>
              <w:pStyle w:val="Heading2"/>
              <w:snapToGrid w:val="0"/>
              <w:spacing w:line="276" w:lineRule="auto"/>
              <w:jc w:val="both"/>
            </w:pPr>
            <w:r w:rsidRPr="002E0290">
              <w:t>Điều 38. Tổng hợp và sử dụng kết quả đánh giá hiệu quả hoạt động công nghệ cao, công nghệ chiến lược</w:t>
            </w:r>
          </w:p>
          <w:p w14:paraId="628A46E5" w14:textId="77777777" w:rsidR="004615D3" w:rsidRPr="002E0290" w:rsidRDefault="004615D3" w:rsidP="004615D3">
            <w:pPr>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1. Bộ Khoa học và Công nghệ chủ trì, hướng dẫn các Bộ, cơ quan ngang Bộ, Ủy ban nhân dân cấp tỉnh thực hiện việc đánh giá hiệu quả hoạt động công nghệ cao, công nghệ chiến lược theo hệ thống chỉ tiêu, tiêu chí đo lường do Bộ Khoa học và Công nghệ ban hành.</w:t>
            </w:r>
          </w:p>
          <w:p w14:paraId="6DCE9C06"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2. Bộ Khoa học và Công nghệ tổng hợp kết quả đánh giá quy định tại khoản 1 Điều này để:</w:t>
            </w:r>
          </w:p>
          <w:p w14:paraId="2A449468"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a) Báo cáo Chính phủ, Thủ tướng Chính phủ;</w:t>
            </w:r>
          </w:p>
          <w:p w14:paraId="23FE27EF"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b) Làm căn cứ đề xuất điều chỉnh chính sách, chương trình, kế hoạch phát triển công nghệ cao, công nghệ chiến lược;</w:t>
            </w:r>
          </w:p>
          <w:p w14:paraId="3DB40A9C" w14:textId="6DD9681F"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c) Phục vụ công tác phân bổ, điều chỉnh nguồn lực nhà nước theo quy định.</w:t>
            </w:r>
          </w:p>
        </w:tc>
        <w:tc>
          <w:tcPr>
            <w:tcW w:w="5400" w:type="dxa"/>
          </w:tcPr>
          <w:p w14:paraId="2A5B59BD" w14:textId="4299CD5F" w:rsidR="0001630C" w:rsidRPr="002E0290" w:rsidRDefault="004615D3" w:rsidP="0001630C">
            <w:pPr>
              <w:pStyle w:val="NormalWeb"/>
              <w:spacing w:before="0" w:beforeAutospacing="0" w:after="0" w:afterAutospacing="0" w:line="276" w:lineRule="auto"/>
              <w:jc w:val="both"/>
              <w:rPr>
                <w:lang w:val="de-DE"/>
              </w:rPr>
            </w:pPr>
            <w:r w:rsidRPr="002E0290">
              <w:rPr>
                <w:lang w:val="de-DE"/>
              </w:rPr>
              <w:t xml:space="preserve">Điều 38 </w:t>
            </w:r>
            <w:r w:rsidR="0001630C">
              <w:rPr>
                <w:lang w:val="de-DE"/>
              </w:rPr>
              <w:t xml:space="preserve">cụ thể hóa quy định </w:t>
            </w:r>
            <w:r w:rsidR="0001630C" w:rsidRPr="0001630C">
              <w:rPr>
                <w:lang w:val="de-DE"/>
              </w:rPr>
              <w:t>tại khoản 2 Điều 9 Luật Công nghệ cao</w:t>
            </w:r>
            <w:r w:rsidR="0001630C">
              <w:rPr>
                <w:lang w:val="de-DE"/>
              </w:rPr>
              <w:t xml:space="preserve"> về t</w:t>
            </w:r>
            <w:r w:rsidR="0001630C" w:rsidRPr="0001630C">
              <w:rPr>
                <w:lang w:val="de-DE"/>
              </w:rPr>
              <w:t>ổng hợp và sử dụng kết quả đánh giá hiệu quả hoạt động công nghệ cao, công nghệ chiến lược</w:t>
            </w:r>
            <w:r w:rsidR="0001630C">
              <w:rPr>
                <w:lang w:val="de-DE"/>
              </w:rPr>
              <w:t>.</w:t>
            </w:r>
          </w:p>
          <w:p w14:paraId="3F07D16C" w14:textId="72654E73" w:rsidR="004615D3" w:rsidRPr="002E0290" w:rsidRDefault="004615D3" w:rsidP="004615D3">
            <w:pPr>
              <w:pStyle w:val="NormalWeb"/>
              <w:spacing w:before="0" w:beforeAutospacing="0" w:after="0" w:afterAutospacing="0" w:line="276" w:lineRule="auto"/>
              <w:jc w:val="both"/>
              <w:rPr>
                <w:lang w:val="de-DE"/>
              </w:rPr>
            </w:pPr>
          </w:p>
        </w:tc>
      </w:tr>
      <w:tr w:rsidR="004615D3" w:rsidRPr="009875DA" w14:paraId="681BA32F" w14:textId="77777777" w:rsidTr="00022042">
        <w:tc>
          <w:tcPr>
            <w:tcW w:w="2245" w:type="dxa"/>
          </w:tcPr>
          <w:p w14:paraId="0F449437" w14:textId="77777777" w:rsidR="004615D3" w:rsidRPr="009875DA" w:rsidRDefault="004615D3" w:rsidP="004615D3">
            <w:pPr>
              <w:widowControl w:val="0"/>
              <w:jc w:val="center"/>
              <w:rPr>
                <w:rFonts w:ascii="Times New Roman" w:hAnsi="Times New Roman" w:cs="Times New Roman"/>
                <w:b/>
                <w:sz w:val="24"/>
                <w:szCs w:val="24"/>
                <w:lang w:val="nl-NL" w:eastAsia="vi-VN"/>
              </w:rPr>
            </w:pPr>
          </w:p>
        </w:tc>
        <w:tc>
          <w:tcPr>
            <w:tcW w:w="7380" w:type="dxa"/>
          </w:tcPr>
          <w:p w14:paraId="53065BBF" w14:textId="77777777" w:rsidR="004615D3" w:rsidRPr="002E0290" w:rsidRDefault="004615D3" w:rsidP="004615D3">
            <w:pPr>
              <w:pStyle w:val="Heading2"/>
              <w:snapToGrid w:val="0"/>
              <w:spacing w:line="276" w:lineRule="auto"/>
              <w:jc w:val="both"/>
            </w:pPr>
            <w:r w:rsidRPr="002E0290">
              <w:t>Điều 39. Kiểm tra và xử lý vi phạm trong hoạt động công nghệ cao, công nghệ chiến lược</w:t>
            </w:r>
          </w:p>
          <w:p w14:paraId="35FA9DA8"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lang w:val="de-DE"/>
              </w:rPr>
            </w:pPr>
            <w:r w:rsidRPr="002E0290">
              <w:rPr>
                <w:rFonts w:ascii="Times New Roman" w:hAnsi="Times New Roman" w:cs="Times New Roman"/>
                <w:sz w:val="24"/>
                <w:szCs w:val="24"/>
                <w:lang w:val="de-DE"/>
              </w:rPr>
              <w:t>1. Bộ Khoa học và Công nghệ chủ trì, phối hợp với cơ quan có thẩm quyền thực hiện kiểm tra việc chấp hành pháp luật về công nghệ cao, công nghệ chiến lược theo quy định của pháp luật.</w:t>
            </w:r>
          </w:p>
          <w:p w14:paraId="6A7F05C1"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rPr>
            </w:pPr>
            <w:r w:rsidRPr="002E0290">
              <w:rPr>
                <w:rFonts w:ascii="Times New Roman" w:hAnsi="Times New Roman" w:cs="Times New Roman"/>
                <w:sz w:val="24"/>
                <w:szCs w:val="24"/>
              </w:rPr>
              <w:t>2. Nội dung kiểm tra bao gồm:</w:t>
            </w:r>
          </w:p>
          <w:p w14:paraId="260CA125"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rPr>
            </w:pPr>
            <w:r w:rsidRPr="002E0290">
              <w:rPr>
                <w:rFonts w:ascii="Times New Roman" w:hAnsi="Times New Roman" w:cs="Times New Roman"/>
                <w:sz w:val="24"/>
                <w:szCs w:val="24"/>
              </w:rPr>
              <w:t>a) Việc đáp ứng tiêu chí, điều kiện để được hưởng chính sách ưu đãi, hỗ trợ;</w:t>
            </w:r>
          </w:p>
          <w:p w14:paraId="4D8ECEB9" w14:textId="77777777" w:rsidR="004615D3" w:rsidRPr="002E0290" w:rsidRDefault="004615D3" w:rsidP="004615D3">
            <w:pPr>
              <w:tabs>
                <w:tab w:val="num" w:pos="720"/>
              </w:tabs>
              <w:snapToGrid w:val="0"/>
              <w:spacing w:line="276" w:lineRule="auto"/>
              <w:jc w:val="both"/>
              <w:rPr>
                <w:rFonts w:ascii="Times New Roman" w:hAnsi="Times New Roman" w:cs="Times New Roman"/>
                <w:sz w:val="24"/>
                <w:szCs w:val="24"/>
              </w:rPr>
            </w:pPr>
            <w:r w:rsidRPr="002E0290">
              <w:rPr>
                <w:rFonts w:ascii="Times New Roman" w:hAnsi="Times New Roman" w:cs="Times New Roman"/>
                <w:sz w:val="24"/>
                <w:szCs w:val="24"/>
              </w:rPr>
              <w:t>b) Việc sử dụng ngân sách nhà nước cho hoạt động công nghệ cao, công nghệ chiến lược.</w:t>
            </w:r>
          </w:p>
          <w:p w14:paraId="54F6C856" w14:textId="0E96A20B" w:rsidR="004615D3" w:rsidRPr="002E0290" w:rsidRDefault="004615D3" w:rsidP="004615D3">
            <w:pPr>
              <w:tabs>
                <w:tab w:val="num" w:pos="720"/>
              </w:tabs>
              <w:snapToGrid w:val="0"/>
              <w:spacing w:line="276" w:lineRule="auto"/>
              <w:jc w:val="both"/>
              <w:rPr>
                <w:rFonts w:ascii="Times New Roman" w:hAnsi="Times New Roman" w:cs="Times New Roman"/>
                <w:sz w:val="24"/>
                <w:szCs w:val="24"/>
              </w:rPr>
            </w:pPr>
            <w:r w:rsidRPr="002E0290">
              <w:rPr>
                <w:rFonts w:ascii="Times New Roman" w:hAnsi="Times New Roman" w:cs="Times New Roman"/>
                <w:sz w:val="24"/>
                <w:szCs w:val="24"/>
              </w:rPr>
              <w:t>3. Việc xử lý vi phạm được thực hiện theo quy định của pháp luật về xử phạt vi phạm hành chính và pháp luật có liên quan.</w:t>
            </w:r>
          </w:p>
        </w:tc>
        <w:tc>
          <w:tcPr>
            <w:tcW w:w="5400" w:type="dxa"/>
          </w:tcPr>
          <w:p w14:paraId="781DDC9C" w14:textId="2168914D" w:rsidR="004615D3" w:rsidRPr="002E0290" w:rsidRDefault="004615D3" w:rsidP="0001630C">
            <w:pPr>
              <w:spacing w:line="276" w:lineRule="auto"/>
              <w:jc w:val="both"/>
              <w:rPr>
                <w:rFonts w:ascii="Times New Roman" w:eastAsia="Times New Roman" w:hAnsi="Times New Roman" w:cs="Times New Roman"/>
                <w:sz w:val="24"/>
                <w:szCs w:val="24"/>
              </w:rPr>
            </w:pPr>
            <w:r w:rsidRPr="002E0290">
              <w:rPr>
                <w:rFonts w:ascii="Times New Roman" w:hAnsi="Times New Roman" w:cs="Times New Roman"/>
                <w:sz w:val="24"/>
                <w:szCs w:val="24"/>
              </w:rPr>
              <w:t xml:space="preserve">Điều 39 </w:t>
            </w:r>
            <w:r w:rsidR="0001630C" w:rsidRPr="0001630C">
              <w:rPr>
                <w:rFonts w:ascii="Times New Roman" w:hAnsi="Times New Roman" w:cs="Times New Roman"/>
                <w:sz w:val="24"/>
                <w:szCs w:val="24"/>
              </w:rPr>
              <w:t>cụ thể hóa quy định tại khoản 2 Điều 9 Luật Công nghệ cao về</w:t>
            </w:r>
            <w:r w:rsidR="0001630C">
              <w:rPr>
                <w:rFonts w:ascii="Times New Roman" w:hAnsi="Times New Roman" w:cs="Times New Roman"/>
                <w:sz w:val="24"/>
                <w:szCs w:val="24"/>
              </w:rPr>
              <w:t xml:space="preserve"> k</w:t>
            </w:r>
            <w:r w:rsidR="0001630C" w:rsidRPr="0001630C">
              <w:rPr>
                <w:rFonts w:ascii="Times New Roman" w:hAnsi="Times New Roman" w:cs="Times New Roman"/>
                <w:sz w:val="24"/>
                <w:szCs w:val="24"/>
              </w:rPr>
              <w:t>iểm tra và xử lý vi phạm trong hoạt động công nghệ cao, công nghệ chiến lược</w:t>
            </w:r>
            <w:r w:rsidRPr="002E0290">
              <w:rPr>
                <w:rFonts w:ascii="Times New Roman" w:hAnsi="Times New Roman" w:cs="Times New Roman"/>
                <w:sz w:val="24"/>
                <w:szCs w:val="24"/>
              </w:rPr>
              <w:t>.</w:t>
            </w:r>
          </w:p>
          <w:p w14:paraId="1A707A97" w14:textId="6F73A582" w:rsidR="004615D3" w:rsidRPr="002E0290" w:rsidRDefault="004615D3" w:rsidP="004615D3">
            <w:pPr>
              <w:widowControl w:val="0"/>
              <w:jc w:val="both"/>
              <w:rPr>
                <w:rFonts w:ascii="Times New Roman" w:hAnsi="Times New Roman" w:cs="Times New Roman"/>
                <w:b/>
                <w:sz w:val="24"/>
                <w:szCs w:val="24"/>
              </w:rPr>
            </w:pPr>
          </w:p>
        </w:tc>
      </w:tr>
      <w:tr w:rsidR="004615D3" w:rsidRPr="000C2D51" w14:paraId="556EFBAF" w14:textId="77777777" w:rsidTr="00022042">
        <w:tc>
          <w:tcPr>
            <w:tcW w:w="2245" w:type="dxa"/>
          </w:tcPr>
          <w:p w14:paraId="485C1E36" w14:textId="77777777" w:rsidR="004615D3" w:rsidRPr="009875DA" w:rsidRDefault="004615D3" w:rsidP="004615D3">
            <w:pPr>
              <w:widowControl w:val="0"/>
              <w:spacing w:line="276" w:lineRule="auto"/>
              <w:jc w:val="center"/>
              <w:rPr>
                <w:rFonts w:ascii="Times New Roman" w:hAnsi="Times New Roman" w:cs="Times New Roman"/>
                <w:b/>
                <w:color w:val="FF0000"/>
                <w:sz w:val="24"/>
                <w:szCs w:val="24"/>
                <w:lang w:val="nl-NL" w:eastAsia="vi-VN"/>
              </w:rPr>
            </w:pPr>
          </w:p>
        </w:tc>
        <w:tc>
          <w:tcPr>
            <w:tcW w:w="7380" w:type="dxa"/>
          </w:tcPr>
          <w:p w14:paraId="0782594A" w14:textId="3DAFA879" w:rsidR="004615D3" w:rsidRPr="00785D5D" w:rsidRDefault="004615D3" w:rsidP="004615D3">
            <w:pPr>
              <w:tabs>
                <w:tab w:val="left" w:pos="851"/>
              </w:tabs>
              <w:spacing w:line="276" w:lineRule="auto"/>
              <w:jc w:val="center"/>
              <w:rPr>
                <w:rFonts w:ascii="Times New Roman" w:hAnsi="Times New Roman" w:cs="Times New Roman"/>
                <w:b/>
                <w:sz w:val="24"/>
                <w:szCs w:val="24"/>
                <w:lang w:val="nl-NL"/>
              </w:rPr>
            </w:pPr>
            <w:r w:rsidRPr="00785D5D">
              <w:rPr>
                <w:rFonts w:ascii="Times New Roman" w:hAnsi="Times New Roman" w:cs="Times New Roman"/>
                <w:b/>
                <w:bCs/>
                <w:sz w:val="24"/>
                <w:szCs w:val="24"/>
                <w:lang w:val="nl-NL"/>
              </w:rPr>
              <w:t>Chương VI</w:t>
            </w:r>
          </w:p>
          <w:p w14:paraId="10FFCBD8" w14:textId="2EA8146C" w:rsidR="004615D3" w:rsidRPr="00785D5D" w:rsidRDefault="004615D3" w:rsidP="004615D3">
            <w:pPr>
              <w:pStyle w:val="Heading2"/>
              <w:keepNext w:val="0"/>
              <w:widowControl w:val="0"/>
              <w:spacing w:line="276" w:lineRule="auto"/>
            </w:pPr>
            <w:r w:rsidRPr="00785D5D">
              <w:rPr>
                <w:bCs/>
              </w:rPr>
              <w:t>ĐIỀU KHOẢN THI HÀNH</w:t>
            </w:r>
          </w:p>
        </w:tc>
        <w:tc>
          <w:tcPr>
            <w:tcW w:w="5400" w:type="dxa"/>
          </w:tcPr>
          <w:p w14:paraId="403BE939" w14:textId="1ACB9F05" w:rsidR="004615D3" w:rsidRPr="000C2D51" w:rsidRDefault="004615D3" w:rsidP="004615D3">
            <w:pPr>
              <w:widowControl w:val="0"/>
              <w:spacing w:line="276" w:lineRule="auto"/>
              <w:jc w:val="center"/>
              <w:rPr>
                <w:rFonts w:ascii="Times New Roman" w:hAnsi="Times New Roman" w:cs="Times New Roman"/>
                <w:b/>
                <w:sz w:val="24"/>
                <w:szCs w:val="24"/>
                <w:lang w:val="nl-NL"/>
              </w:rPr>
            </w:pPr>
          </w:p>
        </w:tc>
      </w:tr>
      <w:tr w:rsidR="004615D3" w:rsidRPr="000C2D51" w14:paraId="5A16CABB" w14:textId="77777777" w:rsidTr="00022042">
        <w:tc>
          <w:tcPr>
            <w:tcW w:w="2245" w:type="dxa"/>
          </w:tcPr>
          <w:p w14:paraId="1DBA4975" w14:textId="77777777" w:rsidR="004615D3" w:rsidRPr="009875DA" w:rsidRDefault="004615D3" w:rsidP="004615D3">
            <w:pPr>
              <w:widowControl w:val="0"/>
              <w:spacing w:line="276" w:lineRule="auto"/>
              <w:jc w:val="both"/>
              <w:rPr>
                <w:rFonts w:ascii="Times New Roman" w:hAnsi="Times New Roman" w:cs="Times New Roman"/>
                <w:b/>
                <w:color w:val="FF0000"/>
                <w:sz w:val="24"/>
                <w:szCs w:val="24"/>
                <w:lang w:val="nl-NL" w:eastAsia="vi-VN"/>
              </w:rPr>
            </w:pPr>
          </w:p>
        </w:tc>
        <w:tc>
          <w:tcPr>
            <w:tcW w:w="7380" w:type="dxa"/>
          </w:tcPr>
          <w:p w14:paraId="3BD43058" w14:textId="77777777" w:rsidR="004615D3" w:rsidRPr="00785D5D" w:rsidRDefault="004615D3" w:rsidP="004615D3">
            <w:pPr>
              <w:pStyle w:val="Heading2"/>
              <w:snapToGrid w:val="0"/>
              <w:spacing w:line="276" w:lineRule="auto"/>
              <w:jc w:val="both"/>
            </w:pPr>
            <w:r w:rsidRPr="00785D5D">
              <w:t>Điều 40. Quy định chuyển tiếp</w:t>
            </w:r>
          </w:p>
          <w:p w14:paraId="564F7396" w14:textId="77777777" w:rsidR="004615D3" w:rsidRPr="00785D5D" w:rsidRDefault="004615D3" w:rsidP="004615D3">
            <w:pPr>
              <w:tabs>
                <w:tab w:val="left" w:pos="851"/>
              </w:tabs>
              <w:snapToGrid w:val="0"/>
              <w:spacing w:line="276" w:lineRule="auto"/>
              <w:jc w:val="both"/>
              <w:rPr>
                <w:rFonts w:ascii="Times New Roman" w:hAnsi="Times New Roman" w:cs="Times New Roman"/>
                <w:sz w:val="24"/>
                <w:szCs w:val="24"/>
                <w:lang w:val="nl-NL"/>
              </w:rPr>
            </w:pPr>
            <w:r w:rsidRPr="00785D5D">
              <w:rPr>
                <w:rFonts w:ascii="Times New Roman" w:hAnsi="Times New Roman" w:cs="Times New Roman"/>
                <w:sz w:val="24"/>
                <w:szCs w:val="24"/>
                <w:lang w:val="nl-NL"/>
              </w:rPr>
              <w:t>1. Các khu công nghệ cao đã hoàn thành các thủ tục quy hoạch, đầu tư, thành lập theo quy định của pháp luật trước thời điểm có hiệu lực thi hành của Nghị định này thì không phải thực hiện thêm các thủ tục quy hoạch, đầu tư, thành lập theo quy định của Nghị định này.</w:t>
            </w:r>
          </w:p>
          <w:p w14:paraId="4112369B"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 xml:space="preserve">2. Các dự án đầu tư trong khu công nghệ cao đã được cấp Giấy phép đầu tư/Giấy chứng nhận đầu tư/Quyết định chấp thuận chủ trương đầu tư/Giấy chứng nhận đăng ký đầu tư trước ngày Nghị định này có hiệu lực thi hành nếu điều chỉnh dự án đầu tư mà có sự thay đổi liên quan đến hoạt động công nghệ cao, công nghệ chiến lược thì các nội dung điều chỉnh dự án đầu tư phải đáp ứng các nguyên tắc đối với dự án đầu tư quy định tại </w:t>
            </w:r>
            <w:bookmarkStart w:id="57" w:name="tc_66"/>
            <w:r w:rsidRPr="00785D5D">
              <w:rPr>
                <w:rFonts w:ascii="Times New Roman" w:hAnsi="Times New Roman" w:cs="Times New Roman"/>
                <w:sz w:val="24"/>
                <w:szCs w:val="24"/>
                <w:lang w:val="de-DE"/>
              </w:rPr>
              <w:t>khoản 4 Điều này và Điều 27 Nghị định này</w:t>
            </w:r>
            <w:bookmarkEnd w:id="57"/>
            <w:r w:rsidRPr="00785D5D">
              <w:rPr>
                <w:rFonts w:ascii="Times New Roman" w:hAnsi="Times New Roman" w:cs="Times New Roman"/>
                <w:sz w:val="24"/>
                <w:szCs w:val="24"/>
                <w:lang w:val="de-DE"/>
              </w:rPr>
              <w:t>.</w:t>
            </w:r>
          </w:p>
          <w:p w14:paraId="72C5AE79"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 xml:space="preserve">3. Khu công nghệ cao được ngân sách nhà nước đầu tư toàn bộ hoặc một phần hệ thống kết cấu hạ tầng kỹ thuật và Ủy ban nhân dân cấp tỉnh đã giao đất cho Ban quản lý khu công nghệ cao để quản lý mà trong quy hoạch xây dựng được cấp có thẩm quyền phê duyệt trước ngày 01 tháng 7 năm 2014 </w:t>
            </w:r>
            <w:r w:rsidRPr="00785D5D">
              <w:rPr>
                <w:rFonts w:ascii="Times New Roman" w:hAnsi="Times New Roman" w:cs="Times New Roman"/>
                <w:sz w:val="24"/>
                <w:szCs w:val="24"/>
                <w:lang w:val="de-DE"/>
              </w:rPr>
              <w:lastRenderedPageBreak/>
              <w:t>đã có khu nhà ở, công trình công cộng phục vụ đời sống chuyên gia, người lao động làm việc trong khu công nghệ cao bên trong ranh giới khu công nghệ cao theo quy định tại khoản 12 Điều 112 Nghị định số 102/2024/NĐ-CP ngày 30/7/2024 của Chính phủ quy định chi tiết thi hành một số điều của Luật Đất đai được tiếp tục thực hiện các công trình nêu trên theo quy hoạch xây dựng đã được phê duyệt, người lao động. Tổ chức là nhà đầu tư và cá nhân là người lao động làm việc tại khu công nghệ cao được thuê nhà ở tại khoản này trong thời gian làm việc tại khu công nghệ cao; người lao động và thành viên gia đình (bao gồm bố, mẹ, vợ hoặc chồng, con) được sinh sống và đăng ký tạm trú trong khoảng thời gian làm việc tại khu công nghệ cao.</w:t>
            </w:r>
          </w:p>
          <w:p w14:paraId="24C353D1"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4. Khu công nghệ cao đã thành lập trước ngày Luật này có hiệu lực thi hành quy định tại điểm a khoản 3 Điều 27 Luật Công nghệ cao nếu tiếp tục thu hút dự án đầu tư c</w:t>
            </w:r>
            <w:r w:rsidRPr="00785D5D">
              <w:rPr>
                <w:rFonts w:ascii="Times New Roman" w:hAnsi="Times New Roman" w:cs="Times New Roman"/>
                <w:sz w:val="24"/>
                <w:szCs w:val="24"/>
                <w:lang w:val="vi-VN"/>
              </w:rPr>
              <w:t xml:space="preserve">ó mục tiêu sản xuất </w:t>
            </w:r>
            <w:r w:rsidRPr="00785D5D">
              <w:rPr>
                <w:rFonts w:ascii="Times New Roman" w:hAnsi="Times New Roman" w:cs="Times New Roman"/>
                <w:sz w:val="24"/>
                <w:szCs w:val="24"/>
                <w:lang w:val="de-DE"/>
              </w:rPr>
              <w:t>thì hoạt động đầu tư thực hiện theo quy định tại Điều 29 Nghị định này và pháp luật có liên quan; dự án đầu tư có</w:t>
            </w:r>
            <w:r w:rsidRPr="00785D5D">
              <w:rPr>
                <w:rFonts w:ascii="Times New Roman" w:hAnsi="Times New Roman" w:cs="Times New Roman"/>
                <w:sz w:val="24"/>
                <w:szCs w:val="24"/>
                <w:lang w:val="vi-VN"/>
              </w:rPr>
              <w:t xml:space="preserve"> mục tiêu sản xuất </w:t>
            </w:r>
            <w:r w:rsidRPr="00785D5D">
              <w:rPr>
                <w:rFonts w:ascii="Times New Roman" w:hAnsi="Times New Roman" w:cs="Times New Roman"/>
                <w:sz w:val="24"/>
                <w:szCs w:val="24"/>
                <w:lang w:val="de-DE"/>
              </w:rPr>
              <w:t>phải đáp ứng nguyên tắc quy định tại các điểm a, b, c, d, đ khoản 1 Điều 27 Nghị định này và đáp ứng các tiêu chí sau:</w:t>
            </w:r>
          </w:p>
          <w:p w14:paraId="74733624"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a) Công nghệ được ứng dụng trong dự án đầu tư thuộc Danh mục công nghệ cao được ưu tiên đầu tư phát triển</w:t>
            </w:r>
            <w:r w:rsidRPr="00785D5D">
              <w:rPr>
                <w:rFonts w:ascii="Times New Roman" w:hAnsi="Times New Roman" w:cs="Times New Roman"/>
                <w:sz w:val="24"/>
                <w:szCs w:val="24"/>
                <w:lang w:val="vi-VN"/>
              </w:rPr>
              <w:t>, Danh mục công nghệ chiến lược</w:t>
            </w:r>
            <w:r w:rsidRPr="00785D5D">
              <w:rPr>
                <w:rFonts w:ascii="Times New Roman" w:hAnsi="Times New Roman" w:cs="Times New Roman"/>
                <w:sz w:val="24"/>
                <w:szCs w:val="24"/>
                <w:lang w:val="de-DE"/>
              </w:rPr>
              <w:t xml:space="preserve"> được ban hành kèm theo Quyết định của Thủ tướng Chính phủ</w:t>
            </w:r>
            <w:r w:rsidRPr="00785D5D">
              <w:rPr>
                <w:rFonts w:ascii="Times New Roman" w:hAnsi="Times New Roman" w:cs="Times New Roman"/>
                <w:sz w:val="24"/>
                <w:szCs w:val="24"/>
                <w:lang w:val="vi-VN"/>
              </w:rPr>
              <w:t>;</w:t>
            </w:r>
          </w:p>
          <w:p w14:paraId="02F0EC48"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b) Sử dụng năng lượng tiết kiệm và hiệu quả;</w:t>
            </w:r>
          </w:p>
          <w:p w14:paraId="6FA53A87"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c) Hệ thống quản lý chất lượng đạt các tiêu chuẩn quốc tế chuyên ngành;</w:t>
            </w:r>
          </w:p>
          <w:p w14:paraId="30C34BFA"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d) Tuân thủ các tiêu chuẩn và quy chuẩn kỹ thuật về môi trường trong lĩnh vực hoạt động của dự án đầu tư theo quy định của pháp luật Việt Nam. Khuyến khích đạt được các tiêu chuẩn quốc tế về môi trường ISO 14000 hoặc tiêu chuẩn tương đương;</w:t>
            </w:r>
          </w:p>
          <w:p w14:paraId="4F4674D6" w14:textId="77E25D18" w:rsidR="004615D3" w:rsidRPr="00785D5D" w:rsidRDefault="004615D3" w:rsidP="004615D3">
            <w:pPr>
              <w:snapToGrid w:val="0"/>
              <w:spacing w:line="276" w:lineRule="auto"/>
              <w:jc w:val="both"/>
              <w:rPr>
                <w:rFonts w:ascii="Times New Roman" w:hAnsi="Times New Roman" w:cs="Times New Roman"/>
                <w:sz w:val="24"/>
                <w:szCs w:val="24"/>
                <w:lang w:val="vi-VN"/>
              </w:rPr>
            </w:pPr>
            <w:r w:rsidRPr="00785D5D">
              <w:rPr>
                <w:rFonts w:ascii="Times New Roman" w:hAnsi="Times New Roman" w:cs="Times New Roman"/>
                <w:sz w:val="24"/>
                <w:szCs w:val="24"/>
                <w:lang w:val="de-DE"/>
              </w:rPr>
              <w:t>đ) Đáp ứng tiêu chí về tỷ lệ doanh thu, nhân lực, tỷ lệ chi cho hoạt động nghiên cứu, phát triển và ứng dụng công nghệ, dây chuyền công nghệ theo quy định tại</w:t>
            </w:r>
            <w:r w:rsidRPr="00785D5D">
              <w:rPr>
                <w:rFonts w:ascii="Times New Roman" w:hAnsi="Times New Roman" w:cs="Times New Roman"/>
                <w:sz w:val="24"/>
                <w:szCs w:val="24"/>
                <w:lang w:val="vi-VN"/>
              </w:rPr>
              <w:t xml:space="preserve"> khoản </w:t>
            </w:r>
            <w:r w:rsidR="0026564A" w:rsidRPr="000C2D51">
              <w:rPr>
                <w:rFonts w:ascii="Times New Roman" w:hAnsi="Times New Roman" w:cs="Times New Roman"/>
                <w:sz w:val="24"/>
                <w:szCs w:val="24"/>
                <w:lang w:val="de-DE"/>
              </w:rPr>
              <w:t>5</w:t>
            </w:r>
            <w:r w:rsidRPr="00785D5D">
              <w:rPr>
                <w:rFonts w:ascii="Times New Roman" w:hAnsi="Times New Roman" w:cs="Times New Roman"/>
                <w:sz w:val="24"/>
                <w:szCs w:val="24"/>
                <w:lang w:val="vi-VN"/>
              </w:rPr>
              <w:t xml:space="preserve"> Điều này.</w:t>
            </w:r>
          </w:p>
          <w:p w14:paraId="5CFD065D" w14:textId="77777777" w:rsidR="004615D3" w:rsidRPr="00785D5D" w:rsidRDefault="004615D3" w:rsidP="004615D3">
            <w:pPr>
              <w:snapToGrid w:val="0"/>
              <w:spacing w:line="276" w:lineRule="auto"/>
              <w:jc w:val="both"/>
              <w:rPr>
                <w:rFonts w:ascii="Times New Roman" w:hAnsi="Times New Roman" w:cs="Times New Roman"/>
                <w:i/>
                <w:iCs/>
                <w:sz w:val="24"/>
                <w:szCs w:val="24"/>
                <w:lang w:val="vi-VN"/>
              </w:rPr>
            </w:pPr>
            <w:r w:rsidRPr="00785D5D">
              <w:rPr>
                <w:rFonts w:ascii="Times New Roman" w:hAnsi="Times New Roman" w:cs="Times New Roman"/>
                <w:sz w:val="24"/>
                <w:szCs w:val="24"/>
                <w:lang w:val="vi-VN"/>
              </w:rPr>
              <w:lastRenderedPageBreak/>
              <w:t>5</w:t>
            </w:r>
            <w:r w:rsidRPr="00785D5D">
              <w:rPr>
                <w:rFonts w:ascii="Times New Roman" w:hAnsi="Times New Roman" w:cs="Times New Roman"/>
                <w:i/>
                <w:iCs/>
                <w:sz w:val="24"/>
                <w:szCs w:val="24"/>
                <w:lang w:val="vi-VN"/>
              </w:rPr>
              <w:t>.</w:t>
            </w:r>
            <w:r w:rsidRPr="00785D5D">
              <w:rPr>
                <w:rFonts w:ascii="Times New Roman" w:hAnsi="Times New Roman" w:cs="Times New Roman"/>
                <w:sz w:val="24"/>
                <w:szCs w:val="24"/>
                <w:lang w:val="vi-VN"/>
              </w:rPr>
              <w:t xml:space="preserve"> Tiêu chí </w:t>
            </w:r>
            <w:r w:rsidRPr="00785D5D">
              <w:rPr>
                <w:rFonts w:ascii="Times New Roman" w:hAnsi="Times New Roman" w:cs="Times New Roman"/>
                <w:sz w:val="24"/>
                <w:szCs w:val="24"/>
                <w:lang w:val="de-DE"/>
              </w:rPr>
              <w:t>về tỷ lệ doanh thu, nhân lực, tỷ lệ chi cho hoạt động nghiên cứu, phát triển và ứng dụng công nghệ, dây chuyền công nghệ đối</w:t>
            </w:r>
            <w:r w:rsidRPr="00785D5D">
              <w:rPr>
                <w:rFonts w:ascii="Times New Roman" w:hAnsi="Times New Roman" w:cs="Times New Roman"/>
                <w:sz w:val="24"/>
                <w:szCs w:val="24"/>
                <w:lang w:val="vi-VN"/>
              </w:rPr>
              <w:t xml:space="preserve"> với dự án đầu tư có mục tiêu sản xuất quy định tại khoản 4 Điều này:</w:t>
            </w:r>
          </w:p>
          <w:p w14:paraId="71EA08B5" w14:textId="77777777" w:rsidR="004615D3" w:rsidRPr="00785D5D" w:rsidRDefault="004615D3" w:rsidP="004615D3">
            <w:pPr>
              <w:snapToGrid w:val="0"/>
              <w:spacing w:line="276" w:lineRule="auto"/>
              <w:jc w:val="both"/>
              <w:rPr>
                <w:rFonts w:ascii="Times New Roman" w:hAnsi="Times New Roman" w:cs="Times New Roman"/>
                <w:i/>
                <w:iCs/>
                <w:sz w:val="24"/>
                <w:szCs w:val="24"/>
                <w:lang w:val="vi-VN"/>
              </w:rPr>
            </w:pPr>
            <w:r w:rsidRPr="00785D5D">
              <w:rPr>
                <w:rFonts w:ascii="Times New Roman" w:hAnsi="Times New Roman" w:cs="Times New Roman"/>
                <w:sz w:val="24"/>
                <w:szCs w:val="24"/>
                <w:lang w:val="vi-VN"/>
              </w:rPr>
              <w:t xml:space="preserve">a) </w:t>
            </w:r>
            <w:r w:rsidRPr="00785D5D">
              <w:rPr>
                <w:rFonts w:ascii="Times New Roman" w:hAnsi="Times New Roman" w:cs="Times New Roman"/>
                <w:sz w:val="24"/>
                <w:szCs w:val="24"/>
                <w:lang w:val="de-DE"/>
              </w:rPr>
              <w:t>Các sản phẩm của dự án đầu tư phải thuộc Danh mục sản phẩm công nghệ cao được khuyến khích phát triển</w:t>
            </w:r>
            <w:r w:rsidRPr="00785D5D">
              <w:rPr>
                <w:rFonts w:ascii="Times New Roman" w:hAnsi="Times New Roman" w:cs="Times New Roman"/>
                <w:sz w:val="24"/>
                <w:szCs w:val="24"/>
                <w:lang w:val="vi-VN"/>
              </w:rPr>
              <w:t>, Danh mục sản phẩm công nghệ chiến lược</w:t>
            </w:r>
            <w:r w:rsidRPr="00785D5D">
              <w:rPr>
                <w:rFonts w:ascii="Times New Roman" w:hAnsi="Times New Roman" w:cs="Times New Roman"/>
                <w:sz w:val="24"/>
                <w:szCs w:val="24"/>
                <w:lang w:val="de-DE"/>
              </w:rPr>
              <w:t xml:space="preserve"> ban hành kèm theo Quyết định của Thủ tướng Chính phủ, trong đó tỷ lệ doanh thu từ sản xuất các</w:t>
            </w:r>
            <w:r w:rsidRPr="00785D5D">
              <w:rPr>
                <w:rFonts w:ascii="Times New Roman" w:hAnsi="Times New Roman" w:cs="Times New Roman"/>
                <w:sz w:val="24"/>
                <w:szCs w:val="24"/>
                <w:lang w:val="vi-VN"/>
              </w:rPr>
              <w:t xml:space="preserve"> </w:t>
            </w:r>
            <w:r w:rsidRPr="00785D5D">
              <w:rPr>
                <w:rFonts w:ascii="Times New Roman" w:hAnsi="Times New Roman" w:cs="Times New Roman"/>
                <w:sz w:val="24"/>
                <w:szCs w:val="24"/>
                <w:lang w:val="de-DE"/>
              </w:rPr>
              <w:t>sản phẩm nêu</w:t>
            </w:r>
            <w:r w:rsidRPr="00785D5D">
              <w:rPr>
                <w:rFonts w:ascii="Times New Roman" w:hAnsi="Times New Roman" w:cs="Times New Roman"/>
                <w:sz w:val="24"/>
                <w:szCs w:val="24"/>
                <w:lang w:val="vi-VN"/>
              </w:rPr>
              <w:t xml:space="preserve"> trên</w:t>
            </w:r>
            <w:r w:rsidRPr="00785D5D">
              <w:rPr>
                <w:rFonts w:ascii="Times New Roman" w:hAnsi="Times New Roman" w:cs="Times New Roman"/>
                <w:sz w:val="24"/>
                <w:szCs w:val="24"/>
                <w:lang w:val="de-DE"/>
              </w:rPr>
              <w:t xml:space="preserve"> hằng năm của dự án đầu tư phải đạt ít nhất 80% tổng doanh thu hằng năm của dự án đầu tư;</w:t>
            </w:r>
          </w:p>
          <w:p w14:paraId="3A5CE950"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t>b)</w:t>
            </w:r>
            <w:r w:rsidRPr="00785D5D">
              <w:rPr>
                <w:rFonts w:ascii="Times New Roman" w:hAnsi="Times New Roman" w:cs="Times New Roman"/>
                <w:sz w:val="24"/>
                <w:szCs w:val="24"/>
                <w:lang w:val="de-DE"/>
              </w:rPr>
              <w:t xml:space="preserve"> Số lượng người lao động đã được cấp văn bằng, chứng chỉ giáo dục nghề nghiệp hoặc văn bằng giáo dục đại học đạt ít nhất 75% tổng số người lao động của dự án đầu tư;</w:t>
            </w:r>
          </w:p>
          <w:p w14:paraId="196F68B9"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t xml:space="preserve">c) </w:t>
            </w:r>
            <w:r w:rsidRPr="00785D5D">
              <w:rPr>
                <w:rFonts w:ascii="Times New Roman" w:hAnsi="Times New Roman" w:cs="Times New Roman"/>
                <w:sz w:val="24"/>
                <w:szCs w:val="24"/>
                <w:lang w:val="de-DE"/>
              </w:rPr>
              <w:t>Số lượng người lao động có trình độ từ cao đẳng trở lên trực tiếp tham gia hoạt động nghiên cứu, phát triển và ứng dụng công nghệ của dự án đầu tư đáp ứng yêu cầu sau:</w:t>
            </w:r>
          </w:p>
          <w:p w14:paraId="62113FB2"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t>c1</w:t>
            </w:r>
            <w:r w:rsidRPr="00785D5D">
              <w:rPr>
                <w:rFonts w:ascii="Times New Roman" w:hAnsi="Times New Roman" w:cs="Times New Roman"/>
                <w:sz w:val="24"/>
                <w:szCs w:val="24"/>
                <w:lang w:val="de-DE"/>
              </w:rPr>
              <w:t>) Đối với trường hợp dự án đầu tư có quy mô vốn đầu tư từ 6.000 tỷ đồng trở lên, thực hiện giải ngân tối thiểu 6.000 tỷ đồng trong thời hạn 03 năm kể từ ngày được cấp Giấy chứng nhận đăng ký đầu tư hoặc chấp thuận chủ trương đầu tư, đồng thời có tổng số người lao động từ 3.000 người trở lên: đạt ít nhất 2,5% tổng số người lao động của dự án đầu tư;</w:t>
            </w:r>
          </w:p>
          <w:p w14:paraId="4AC57C3C"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t>c2</w:t>
            </w:r>
            <w:r w:rsidRPr="00785D5D">
              <w:rPr>
                <w:rFonts w:ascii="Times New Roman" w:hAnsi="Times New Roman" w:cs="Times New Roman"/>
                <w:sz w:val="24"/>
                <w:szCs w:val="24"/>
                <w:lang w:val="de-DE"/>
              </w:rPr>
              <w:t>) Đối với các trường hợp còn lại: đạt ít nhất 5% tổng số người lao động của dự án đầu tư;</w:t>
            </w:r>
          </w:p>
          <w:p w14:paraId="153BEB35"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c</w:t>
            </w:r>
            <w:r w:rsidRPr="00785D5D">
              <w:rPr>
                <w:rFonts w:ascii="Times New Roman" w:hAnsi="Times New Roman" w:cs="Times New Roman"/>
                <w:sz w:val="24"/>
                <w:szCs w:val="24"/>
                <w:lang w:val="vi-VN"/>
              </w:rPr>
              <w:t>3</w:t>
            </w:r>
            <w:r w:rsidRPr="00785D5D">
              <w:rPr>
                <w:rFonts w:ascii="Times New Roman" w:hAnsi="Times New Roman" w:cs="Times New Roman"/>
                <w:sz w:val="24"/>
                <w:szCs w:val="24"/>
                <w:lang w:val="de-DE"/>
              </w:rPr>
              <w:t>) Số người lao động trực tiếp tham gia hoạt động nghiên cứu, phát triển và ứng dụng công nghệ của dự án đầu tư quy định tại khoản này phải có hợp đồng lao động không xác định thời hạn hoặc hợp đồng lao động có thời hạn từ 01 năm trở lên để trực tiếp tham gia hoạt động nghiên cứu, phát triển và ứng dụng công nghệ của dự án đầu tư, trong đó, số người lao động có trình độ cao đẳng chiếm tỷ lệ không vượt quá 30%.</w:t>
            </w:r>
          </w:p>
          <w:p w14:paraId="36BB08D3"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t>d)</w:t>
            </w:r>
            <w:r w:rsidRPr="00785D5D">
              <w:rPr>
                <w:rFonts w:ascii="Times New Roman" w:hAnsi="Times New Roman" w:cs="Times New Roman"/>
                <w:sz w:val="24"/>
                <w:szCs w:val="24"/>
                <w:lang w:val="de-DE"/>
              </w:rPr>
              <w:t xml:space="preserve"> Tỷ lệ tổng chi cho hoạt động nghiên cứu, phát triển và ứng dụng công nghệ hằng năm trên tổng doanh thu hằng năm của dự án đầu tư đáp ứng yêu cầu sau:</w:t>
            </w:r>
          </w:p>
          <w:p w14:paraId="404E65D0"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lastRenderedPageBreak/>
              <w:t>d1</w:t>
            </w:r>
            <w:r w:rsidRPr="00785D5D">
              <w:rPr>
                <w:rFonts w:ascii="Times New Roman" w:hAnsi="Times New Roman" w:cs="Times New Roman"/>
                <w:sz w:val="24"/>
                <w:szCs w:val="24"/>
                <w:lang w:val="de-DE"/>
              </w:rPr>
              <w:t>) Đối với các dự án đầu tư có quy mô vốn đầu tư từ 6.000 tỷ đồng trở lên, thực hiện giải ngân tối thiểu 6.000 tỷ đồng trong thời hạn 03 năm kể từ ngày được cấp Giấy chứng nhận đăng ký đầu tư hoặc chấp thuận chủ trương đầu tư hoặc dự án đầu tư có tổng doanh thu đạt tối thiểu 10.000 tỷ mỗi năm trong thời gian chậm nhất sau 03 năm kể từ năm có doanh thu: đạt ít nhất 0,5%;</w:t>
            </w:r>
          </w:p>
          <w:p w14:paraId="1AA4AA44"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t>d2</w:t>
            </w:r>
            <w:r w:rsidRPr="00785D5D">
              <w:rPr>
                <w:rFonts w:ascii="Times New Roman" w:hAnsi="Times New Roman" w:cs="Times New Roman"/>
                <w:sz w:val="24"/>
                <w:szCs w:val="24"/>
                <w:lang w:val="de-DE"/>
              </w:rPr>
              <w:t>) Đối với các trường hợp còn lại: đạt ít nhất 1%.</w:t>
            </w:r>
          </w:p>
          <w:p w14:paraId="3A24B40B"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Nội dung chi hoạt động nghiên cứu, phát triển và ứng dụng công nghệ tại điểm này theo quy định tại </w:t>
            </w:r>
            <w:bookmarkStart w:id="58" w:name="tc_3"/>
            <w:r w:rsidRPr="00785D5D">
              <w:rPr>
                <w:rFonts w:ascii="Times New Roman" w:hAnsi="Times New Roman" w:cs="Times New Roman"/>
                <w:sz w:val="24"/>
                <w:szCs w:val="24"/>
                <w:lang w:val="de-DE"/>
              </w:rPr>
              <w:t>điểm</w:t>
            </w:r>
            <w:r w:rsidRPr="00785D5D">
              <w:rPr>
                <w:rFonts w:ascii="Times New Roman" w:hAnsi="Times New Roman" w:cs="Times New Roman"/>
                <w:sz w:val="24"/>
                <w:szCs w:val="24"/>
                <w:lang w:val="vi-VN"/>
              </w:rPr>
              <w:t xml:space="preserve"> b khoản 2 Điều 15</w:t>
            </w:r>
            <w:r w:rsidRPr="00785D5D">
              <w:rPr>
                <w:rFonts w:ascii="Times New Roman" w:hAnsi="Times New Roman" w:cs="Times New Roman"/>
                <w:sz w:val="24"/>
                <w:szCs w:val="24"/>
                <w:lang w:val="de-DE"/>
              </w:rPr>
              <w:t xml:space="preserve"> Nghị</w:t>
            </w:r>
            <w:r w:rsidRPr="00785D5D">
              <w:rPr>
                <w:rFonts w:ascii="Times New Roman" w:hAnsi="Times New Roman" w:cs="Times New Roman"/>
                <w:sz w:val="24"/>
                <w:szCs w:val="24"/>
                <w:lang w:val="vi-VN"/>
              </w:rPr>
              <w:t xml:space="preserve"> định</w:t>
            </w:r>
            <w:r w:rsidRPr="00785D5D">
              <w:rPr>
                <w:rFonts w:ascii="Times New Roman" w:hAnsi="Times New Roman" w:cs="Times New Roman"/>
                <w:sz w:val="24"/>
                <w:szCs w:val="24"/>
                <w:lang w:val="de-DE"/>
              </w:rPr>
              <w:t xml:space="preserve"> này</w:t>
            </w:r>
            <w:bookmarkEnd w:id="58"/>
            <w:r w:rsidRPr="00785D5D">
              <w:rPr>
                <w:rFonts w:ascii="Times New Roman" w:hAnsi="Times New Roman" w:cs="Times New Roman"/>
                <w:sz w:val="24"/>
                <w:szCs w:val="24"/>
                <w:lang w:val="de-DE"/>
              </w:rPr>
              <w:t>.</w:t>
            </w:r>
          </w:p>
          <w:p w14:paraId="2D1BCC75" w14:textId="77777777"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vi-VN"/>
              </w:rPr>
              <w:t>đ)</w:t>
            </w:r>
            <w:r w:rsidRPr="00785D5D">
              <w:rPr>
                <w:rFonts w:ascii="Times New Roman" w:hAnsi="Times New Roman" w:cs="Times New Roman"/>
                <w:sz w:val="24"/>
                <w:szCs w:val="24"/>
                <w:lang w:val="de-DE"/>
              </w:rPr>
              <w:t xml:space="preserve"> Dây chuyền công nghệ của dự án phải được đầu tư đồng bộ, đạt trình độ tiên tiến, được tổ chức theo phương pháp chuyên môn hóa, tự động hóa, trong đó có ít nhất 1/3 (một phần ba) số lượng thiết bị tự động được điều khiển theo chương trình; được bố trí trong không gian làm việc đảm bảo tiêu chuẩn an toàn vệ sinh lao động theo quy định của pháp luật Việt Nam. Ưu tiên đối với các trường hợp đầu tư mới 100%.</w:t>
            </w:r>
          </w:p>
          <w:p w14:paraId="1E7F82C4" w14:textId="3D3FC5F4"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 xml:space="preserve">6. Trong khu công nghệ cao đã thành lập trước ngày Luật </w:t>
            </w:r>
            <w:r w:rsidR="00A231AA" w:rsidRPr="00785D5D">
              <w:rPr>
                <w:rFonts w:ascii="Times New Roman" w:hAnsi="Times New Roman" w:cs="Times New Roman"/>
                <w:sz w:val="24"/>
                <w:szCs w:val="24"/>
                <w:lang w:val="de-DE"/>
              </w:rPr>
              <w:t>Công nghệ cao số 133/2025/QH15</w:t>
            </w:r>
            <w:r w:rsidRPr="00785D5D">
              <w:rPr>
                <w:rFonts w:ascii="Times New Roman" w:hAnsi="Times New Roman" w:cs="Times New Roman"/>
                <w:sz w:val="24"/>
                <w:szCs w:val="24"/>
                <w:lang w:val="de-DE"/>
              </w:rPr>
              <w:t xml:space="preserve"> có hiệu lực thi hành quy định tại điểm a khoản 3 Điều 27 Luật Công nghệ cao, doanh nghiệp chế xuất là doanh nghiệp được thành lập để thực hiện dự án đầu tư ứng dụng công nghệ cao để sản xuất sản phẩm công nghệ cao chuyên phục vụ xuất khẩu, được ngăn cách với khu vực bên ngoài theo các quy định áp dụng đối với khu phi thuế quan tại pháp luật về thuế xuất khẩu, thuế nhập khẩu. Doanh nghiệp chế xuất tại khoản này được áp dụng các quy định riêng đối với doanh nghiệp chế xuất hoạt động trong khu công nghiệp, khu kinh tế theo quy định của pháp luật về khu công nghiệp, khu kinh tế kể từ khi đáp ứng điều kiện về kiểm tra, giám sát hải quan, quy định áp dụng đối với khu phi thuế quan quy định tại pháp luật về thuế nhập khẩu, thuế xuất khẩu. </w:t>
            </w:r>
          </w:p>
          <w:p w14:paraId="0EA0E207" w14:textId="7B6E4560" w:rsidR="004615D3" w:rsidRPr="00785D5D" w:rsidRDefault="004615D3" w:rsidP="004615D3">
            <w:pPr>
              <w:snapToGrid w:val="0"/>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 xml:space="preserve">Việc đăng ký đầu tư đối với dự án đầu tư thành lập doanh nghiệp chế xuất thực hiện theo quy định của pháp luật về đầu tư và Nghị định này; hồ sơ dự án đầu tư gồm các tài liệu quy định đối với dự án đầu tư ứng dụng công </w:t>
            </w:r>
            <w:r w:rsidRPr="00785D5D">
              <w:rPr>
                <w:rFonts w:ascii="Times New Roman" w:hAnsi="Times New Roman" w:cs="Times New Roman"/>
                <w:sz w:val="24"/>
                <w:szCs w:val="24"/>
                <w:lang w:val="de-DE"/>
              </w:rPr>
              <w:lastRenderedPageBreak/>
              <w:t>nghệ cao để sản xuất sản phẩm công nghệ cao và Bản cam kết về khả năng đáp ứng các điều kiện kiểm tra, giám sát hải quan áp dụng đối với khu phi thuế quan theo quy định tại pháp luật về thuế xuất khẩu, thuế nhập khẩu; mục tiêu đầu tư doanh nghiệp chế xuất được ghi tại Quyết định chấp thuận chủ trương đầu tư/Giấy chứng nhận đăng ký đầu tư hoặc văn bản xác nhận dự án đầu tư đáp ứng nguyên tắc hoạt động công nghệ cao, công nghệ chiến lược quy định tại Nghị định này.</w:t>
            </w:r>
          </w:p>
        </w:tc>
        <w:tc>
          <w:tcPr>
            <w:tcW w:w="5400" w:type="dxa"/>
          </w:tcPr>
          <w:p w14:paraId="6790EECD" w14:textId="6AD956FA" w:rsidR="004615D3" w:rsidRPr="00785D5D" w:rsidRDefault="004615D3" w:rsidP="004615D3">
            <w:pPr>
              <w:pStyle w:val="NormalWeb"/>
              <w:spacing w:before="0" w:beforeAutospacing="0" w:after="0" w:afterAutospacing="0" w:line="276" w:lineRule="auto"/>
              <w:jc w:val="both"/>
              <w:rPr>
                <w:lang w:val="de-DE"/>
              </w:rPr>
            </w:pPr>
            <w:r w:rsidRPr="00785D5D">
              <w:rPr>
                <w:rStyle w:val="whitespace-normal"/>
                <w:lang w:val="de-DE"/>
              </w:rPr>
              <w:lastRenderedPageBreak/>
              <w:t>Luật Công nghệ cao</w:t>
            </w:r>
            <w:r w:rsidRPr="00785D5D">
              <w:rPr>
                <w:lang w:val="de-DE"/>
              </w:rPr>
              <w:t xml:space="preserve"> </w:t>
            </w:r>
            <w:r w:rsidR="0001630C" w:rsidRPr="00785D5D">
              <w:rPr>
                <w:lang w:val="de-DE"/>
              </w:rPr>
              <w:t>số 133/2025/QH15</w:t>
            </w:r>
            <w:r w:rsidRPr="00785D5D">
              <w:rPr>
                <w:lang w:val="de-DE"/>
              </w:rPr>
              <w:t xml:space="preserve"> không quy định chi tiết cơ chế xử lý đối với các khu công nghệ cao</w:t>
            </w:r>
            <w:r w:rsidR="007427A2" w:rsidRPr="00785D5D">
              <w:rPr>
                <w:lang w:val="de-DE"/>
              </w:rPr>
              <w:t xml:space="preserve"> đã được thành lập</w:t>
            </w:r>
            <w:r w:rsidRPr="00785D5D">
              <w:rPr>
                <w:lang w:val="de-DE"/>
              </w:rPr>
              <w:t>, dự án đầu tư</w:t>
            </w:r>
            <w:r w:rsidR="007427A2" w:rsidRPr="00785D5D">
              <w:rPr>
                <w:lang w:val="de-DE"/>
              </w:rPr>
              <w:t xml:space="preserve"> vào khu công nghệ cao đã được</w:t>
            </w:r>
            <w:r w:rsidRPr="00785D5D">
              <w:rPr>
                <w:lang w:val="de-DE"/>
              </w:rPr>
              <w:t xml:space="preserve"> cấp phép trước thời điểm Luật/Nghị định có hiệu lực; </w:t>
            </w:r>
            <w:r w:rsidR="007427A2" w:rsidRPr="00785D5D">
              <w:rPr>
                <w:lang w:val="de-DE"/>
              </w:rPr>
              <w:t>k</w:t>
            </w:r>
            <w:r w:rsidRPr="00785D5D">
              <w:rPr>
                <w:lang w:val="de-DE"/>
              </w:rPr>
              <w:t xml:space="preserve">hông làm rõ việc áp dụng tiêu chí mới đối với dự án đang hoạt động; </w:t>
            </w:r>
            <w:r w:rsidR="007427A2" w:rsidRPr="00785D5D">
              <w:rPr>
                <w:lang w:val="de-DE"/>
              </w:rPr>
              <w:t>k</w:t>
            </w:r>
            <w:r w:rsidRPr="00785D5D">
              <w:rPr>
                <w:lang w:val="de-DE"/>
              </w:rPr>
              <w:t xml:space="preserve">hông hướng dẫn cụ thể việc tiếp tục thực hiện các quy hoạch đã được phê duyệt; </w:t>
            </w:r>
            <w:r w:rsidR="007427A2" w:rsidRPr="00785D5D">
              <w:rPr>
                <w:lang w:val="de-DE"/>
              </w:rPr>
              <w:t>k</w:t>
            </w:r>
            <w:r w:rsidRPr="00785D5D">
              <w:rPr>
                <w:lang w:val="de-DE"/>
              </w:rPr>
              <w:t>hông quy định rõ địa vị pháp lý của doanh nghiệp chế xuất trong khu công nghệ cao hình thành trước đây.</w:t>
            </w:r>
          </w:p>
          <w:p w14:paraId="7C5D5A0A" w14:textId="73DC24E0" w:rsidR="004615D3" w:rsidRPr="00785D5D" w:rsidRDefault="007427A2" w:rsidP="004615D3">
            <w:pPr>
              <w:pStyle w:val="NormalWeb"/>
              <w:spacing w:before="0" w:beforeAutospacing="0" w:after="0" w:afterAutospacing="0" w:line="276" w:lineRule="auto"/>
              <w:jc w:val="both"/>
              <w:rPr>
                <w:lang w:val="de-DE"/>
              </w:rPr>
            </w:pPr>
            <w:r w:rsidRPr="00785D5D">
              <w:rPr>
                <w:lang w:val="de-DE"/>
              </w:rPr>
              <w:t>Q</w:t>
            </w:r>
            <w:r w:rsidR="004615D3" w:rsidRPr="00785D5D">
              <w:rPr>
                <w:lang w:val="de-DE"/>
              </w:rPr>
              <w:t>uy định chuyển tiếp</w:t>
            </w:r>
            <w:r w:rsidRPr="00785D5D">
              <w:rPr>
                <w:lang w:val="de-DE"/>
              </w:rPr>
              <w:t xml:space="preserve"> nhằm tránh</w:t>
            </w:r>
            <w:r w:rsidR="004615D3" w:rsidRPr="00785D5D">
              <w:rPr>
                <w:lang w:val="de-DE"/>
              </w:rPr>
              <w:t xml:space="preserve"> phát sinh xung đột pháp lý giữa quy định cũ và mới, làm </w:t>
            </w:r>
            <w:r w:rsidRPr="00785D5D">
              <w:rPr>
                <w:lang w:val="de-DE"/>
              </w:rPr>
              <w:t>g</w:t>
            </w:r>
            <w:r w:rsidR="004615D3" w:rsidRPr="00785D5D">
              <w:rPr>
                <w:lang w:val="de-DE"/>
              </w:rPr>
              <w:t>ián đoạn hoạt động đầu tư;</w:t>
            </w:r>
            <w:r w:rsidRPr="00785D5D">
              <w:rPr>
                <w:lang w:val="de-DE"/>
              </w:rPr>
              <w:t xml:space="preserve"> </w:t>
            </w:r>
            <w:r w:rsidR="004615D3" w:rsidRPr="00785D5D">
              <w:rPr>
                <w:lang w:val="de-DE"/>
              </w:rPr>
              <w:t>ảnh hưởng đến quyền, lợi ích hợp pháp của nhà đầu tư; tạo rủi ro pháp lý trong quá trình điều chỉnh dự án</w:t>
            </w:r>
            <w:r w:rsidRPr="00785D5D">
              <w:rPr>
                <w:lang w:val="de-DE"/>
              </w:rPr>
              <w:t xml:space="preserve"> đối với dự án đầu tư trong khu công nghệ cao</w:t>
            </w:r>
            <w:r w:rsidR="004615D3" w:rsidRPr="00785D5D">
              <w:rPr>
                <w:lang w:val="de-DE"/>
              </w:rPr>
              <w:t>.</w:t>
            </w:r>
          </w:p>
          <w:p w14:paraId="6004C159" w14:textId="5BBA6293" w:rsidR="004615D3" w:rsidRPr="00785D5D" w:rsidRDefault="007427A2" w:rsidP="004615D3">
            <w:pPr>
              <w:pStyle w:val="NormalWeb"/>
              <w:spacing w:before="0" w:beforeAutospacing="0" w:after="0" w:afterAutospacing="0" w:line="276" w:lineRule="auto"/>
              <w:jc w:val="both"/>
              <w:rPr>
                <w:lang w:val="de-DE"/>
              </w:rPr>
            </w:pPr>
            <w:r w:rsidRPr="00785D5D">
              <w:rPr>
                <w:lang w:val="de-DE"/>
              </w:rPr>
              <w:lastRenderedPageBreak/>
              <w:t>Các nội dung quy định</w:t>
            </w:r>
            <w:r w:rsidR="004615D3" w:rsidRPr="00785D5D">
              <w:rPr>
                <w:lang w:val="de-DE"/>
              </w:rPr>
              <w:t xml:space="preserve"> nhằm:</w:t>
            </w:r>
          </w:p>
          <w:p w14:paraId="4CA7DC59" w14:textId="77777777" w:rsidR="007427A2" w:rsidRPr="00785D5D" w:rsidRDefault="007427A2" w:rsidP="004615D3">
            <w:pPr>
              <w:spacing w:line="276" w:lineRule="auto"/>
              <w:jc w:val="both"/>
              <w:rPr>
                <w:rFonts w:ascii="Times New Roman" w:eastAsia="Times New Roman" w:hAnsi="Times New Roman" w:cs="Times New Roman"/>
                <w:sz w:val="24"/>
                <w:szCs w:val="24"/>
                <w:lang w:val="de-DE"/>
              </w:rPr>
            </w:pPr>
            <w:r w:rsidRPr="00785D5D">
              <w:rPr>
                <w:rFonts w:ascii="Times New Roman" w:eastAsia="Times New Roman" w:hAnsi="Times New Roman" w:cs="Times New Roman"/>
                <w:sz w:val="24"/>
                <w:szCs w:val="24"/>
                <w:lang w:val="de-DE"/>
              </w:rPr>
              <w:t xml:space="preserve">- </w:t>
            </w:r>
            <w:r w:rsidR="004615D3" w:rsidRPr="00785D5D">
              <w:rPr>
                <w:rFonts w:ascii="Times New Roman" w:eastAsia="Times New Roman" w:hAnsi="Times New Roman" w:cs="Times New Roman"/>
                <w:sz w:val="24"/>
                <w:szCs w:val="24"/>
                <w:lang w:val="de-DE"/>
              </w:rPr>
              <w:t>Bảo đảm không hồi tố thủ tục đã hoàn thành</w:t>
            </w:r>
            <w:r w:rsidRPr="00785D5D">
              <w:rPr>
                <w:rFonts w:ascii="Times New Roman" w:eastAsia="Times New Roman" w:hAnsi="Times New Roman" w:cs="Times New Roman"/>
                <w:sz w:val="24"/>
                <w:szCs w:val="24"/>
                <w:lang w:val="de-DE"/>
              </w:rPr>
              <w:t>;</w:t>
            </w:r>
          </w:p>
          <w:p w14:paraId="0CED8A09" w14:textId="77777777" w:rsidR="007427A2" w:rsidRPr="00785D5D" w:rsidRDefault="007427A2" w:rsidP="004615D3">
            <w:pPr>
              <w:spacing w:line="276" w:lineRule="auto"/>
              <w:jc w:val="both"/>
              <w:rPr>
                <w:rFonts w:ascii="Times New Roman" w:eastAsia="Times New Roman" w:hAnsi="Times New Roman" w:cs="Times New Roman"/>
                <w:sz w:val="24"/>
                <w:szCs w:val="24"/>
                <w:lang w:val="de-DE"/>
              </w:rPr>
            </w:pPr>
            <w:r w:rsidRPr="00785D5D">
              <w:rPr>
                <w:rFonts w:ascii="Times New Roman" w:eastAsia="Times New Roman" w:hAnsi="Times New Roman" w:cs="Times New Roman"/>
                <w:sz w:val="24"/>
                <w:szCs w:val="24"/>
                <w:lang w:val="de-DE"/>
              </w:rPr>
              <w:t xml:space="preserve">- </w:t>
            </w:r>
            <w:r w:rsidR="004615D3" w:rsidRPr="00785D5D">
              <w:rPr>
                <w:rFonts w:ascii="Times New Roman" w:eastAsia="Times New Roman" w:hAnsi="Times New Roman" w:cs="Times New Roman"/>
                <w:sz w:val="24"/>
                <w:szCs w:val="24"/>
                <w:lang w:val="de-DE"/>
              </w:rPr>
              <w:t>Quy định rõ cơ chế áp dụng khi điều chỉnh dự án</w:t>
            </w:r>
            <w:r w:rsidRPr="00785D5D">
              <w:rPr>
                <w:rFonts w:ascii="Times New Roman" w:eastAsia="Times New Roman" w:hAnsi="Times New Roman" w:cs="Times New Roman"/>
                <w:sz w:val="24"/>
                <w:szCs w:val="24"/>
                <w:lang w:val="de-DE"/>
              </w:rPr>
              <w:t>;</w:t>
            </w:r>
          </w:p>
          <w:p w14:paraId="670E9BF8" w14:textId="3DE13FE0" w:rsidR="007427A2" w:rsidRPr="00785D5D" w:rsidRDefault="007427A2" w:rsidP="004615D3">
            <w:pPr>
              <w:spacing w:line="276" w:lineRule="auto"/>
              <w:jc w:val="both"/>
              <w:rPr>
                <w:rFonts w:ascii="Times New Roman" w:eastAsia="Times New Roman" w:hAnsi="Times New Roman" w:cs="Times New Roman"/>
                <w:sz w:val="24"/>
                <w:szCs w:val="24"/>
                <w:lang w:val="de-DE"/>
              </w:rPr>
            </w:pPr>
            <w:r w:rsidRPr="00785D5D">
              <w:rPr>
                <w:rFonts w:ascii="Times New Roman" w:eastAsia="Times New Roman" w:hAnsi="Times New Roman" w:cs="Times New Roman"/>
                <w:sz w:val="24"/>
                <w:szCs w:val="24"/>
                <w:lang w:val="de-DE"/>
              </w:rPr>
              <w:t xml:space="preserve">- </w:t>
            </w:r>
            <w:r w:rsidR="004615D3" w:rsidRPr="00785D5D">
              <w:rPr>
                <w:rFonts w:ascii="Times New Roman" w:eastAsia="Times New Roman" w:hAnsi="Times New Roman" w:cs="Times New Roman"/>
                <w:sz w:val="24"/>
                <w:szCs w:val="24"/>
                <w:lang w:val="de-DE"/>
              </w:rPr>
              <w:t>Lượng hóa tiêu chí kỹ thuật cho dự án sản xuất</w:t>
            </w:r>
            <w:r w:rsidRPr="00785D5D">
              <w:rPr>
                <w:rFonts w:ascii="Times New Roman" w:eastAsia="Times New Roman" w:hAnsi="Times New Roman" w:cs="Times New Roman"/>
                <w:sz w:val="24"/>
                <w:szCs w:val="24"/>
                <w:lang w:val="de-DE"/>
              </w:rPr>
              <w:t xml:space="preserve"> đầu tư vào khu chức năng công nghiệp công nghệ cao đối với các khu công nghệ cao đã được thành lập có khu chức năng này;</w:t>
            </w:r>
          </w:p>
          <w:p w14:paraId="2D047FA9" w14:textId="6704F3F7" w:rsidR="007427A2" w:rsidRPr="00785D5D" w:rsidRDefault="007427A2" w:rsidP="004615D3">
            <w:pPr>
              <w:spacing w:line="276" w:lineRule="auto"/>
              <w:jc w:val="both"/>
              <w:rPr>
                <w:rFonts w:ascii="Times New Roman" w:eastAsia="Times New Roman" w:hAnsi="Times New Roman" w:cs="Times New Roman"/>
                <w:sz w:val="24"/>
                <w:szCs w:val="24"/>
                <w:lang w:val="de-DE"/>
              </w:rPr>
            </w:pPr>
            <w:r w:rsidRPr="00785D5D">
              <w:rPr>
                <w:rFonts w:ascii="Times New Roman" w:eastAsia="Times New Roman" w:hAnsi="Times New Roman" w:cs="Times New Roman"/>
                <w:sz w:val="24"/>
                <w:szCs w:val="24"/>
                <w:lang w:val="de-DE"/>
              </w:rPr>
              <w:t xml:space="preserve">- </w:t>
            </w:r>
            <w:r w:rsidR="004615D3" w:rsidRPr="00785D5D">
              <w:rPr>
                <w:rFonts w:ascii="Times New Roman" w:eastAsia="Times New Roman" w:hAnsi="Times New Roman" w:cs="Times New Roman"/>
                <w:sz w:val="24"/>
                <w:szCs w:val="24"/>
                <w:lang w:val="de-DE"/>
              </w:rPr>
              <w:t xml:space="preserve">Ổn định quy hoạch nhà ở </w:t>
            </w:r>
            <w:r w:rsidRPr="00785D5D">
              <w:rPr>
                <w:rFonts w:ascii="Times New Roman" w:eastAsia="Times New Roman" w:hAnsi="Times New Roman" w:cs="Times New Roman"/>
                <w:sz w:val="24"/>
                <w:szCs w:val="24"/>
                <w:lang w:val="de-DE"/>
              </w:rPr>
              <w:t xml:space="preserve">(cho thuê) </w:t>
            </w:r>
            <w:r w:rsidR="004615D3" w:rsidRPr="00785D5D">
              <w:rPr>
                <w:rFonts w:ascii="Times New Roman" w:eastAsia="Times New Roman" w:hAnsi="Times New Roman" w:cs="Times New Roman"/>
                <w:sz w:val="24"/>
                <w:szCs w:val="24"/>
                <w:lang w:val="de-DE"/>
              </w:rPr>
              <w:t>trong khu công nghệ cao</w:t>
            </w:r>
            <w:r w:rsidRPr="00785D5D">
              <w:rPr>
                <w:rFonts w:ascii="Times New Roman" w:eastAsia="Times New Roman" w:hAnsi="Times New Roman" w:cs="Times New Roman"/>
                <w:sz w:val="24"/>
                <w:szCs w:val="24"/>
                <w:lang w:val="de-DE"/>
              </w:rPr>
              <w:t>;</w:t>
            </w:r>
          </w:p>
          <w:p w14:paraId="0624D7EE" w14:textId="4723D873" w:rsidR="004615D3" w:rsidRPr="00785D5D" w:rsidRDefault="007427A2" w:rsidP="004615D3">
            <w:pPr>
              <w:spacing w:line="276" w:lineRule="auto"/>
              <w:jc w:val="both"/>
              <w:rPr>
                <w:rFonts w:ascii="Times New Roman" w:eastAsia="Times New Roman" w:hAnsi="Times New Roman" w:cs="Times New Roman"/>
                <w:sz w:val="24"/>
                <w:szCs w:val="24"/>
                <w:lang w:val="de-DE"/>
              </w:rPr>
            </w:pPr>
            <w:r w:rsidRPr="00785D5D">
              <w:rPr>
                <w:rFonts w:ascii="Times New Roman" w:eastAsia="Times New Roman" w:hAnsi="Times New Roman" w:cs="Times New Roman"/>
                <w:sz w:val="24"/>
                <w:szCs w:val="24"/>
                <w:lang w:val="de-DE"/>
              </w:rPr>
              <w:t>-</w:t>
            </w:r>
            <w:r w:rsidR="004615D3" w:rsidRPr="00785D5D">
              <w:rPr>
                <w:rFonts w:ascii="Times New Roman" w:eastAsia="Times New Roman" w:hAnsi="Times New Roman" w:cs="Times New Roman"/>
                <w:sz w:val="24"/>
                <w:szCs w:val="24"/>
                <w:lang w:val="de-DE"/>
              </w:rPr>
              <w:t xml:space="preserve"> Làm rõ cơ chế doanh nghiệp chế xuất.</w:t>
            </w:r>
          </w:p>
          <w:p w14:paraId="3F65267E" w14:textId="3A4A961A" w:rsidR="004615D3" w:rsidRPr="00785D5D" w:rsidRDefault="004615D3" w:rsidP="004615D3">
            <w:pPr>
              <w:spacing w:line="276" w:lineRule="auto"/>
              <w:jc w:val="both"/>
              <w:rPr>
                <w:rFonts w:ascii="Times New Roman" w:eastAsia="Times New Roman" w:hAnsi="Times New Roman" w:cs="Times New Roman"/>
                <w:sz w:val="24"/>
                <w:szCs w:val="24"/>
                <w:lang w:val="de-DE"/>
              </w:rPr>
            </w:pPr>
            <w:r w:rsidRPr="00785D5D">
              <w:rPr>
                <w:rFonts w:ascii="Times New Roman" w:hAnsi="Times New Roman" w:cs="Times New Roman"/>
                <w:sz w:val="24"/>
                <w:szCs w:val="24"/>
                <w:lang w:val="de-DE"/>
              </w:rPr>
              <w:t xml:space="preserve">- Khoản 4, 5, 6 hướng dẫn chi tiết nội dung quy định tại điểm b khoản 3 Điều 27 Luật Công nghệ cao về trường hợp tiếp tục thu hút các dự án sản xuất (trong đó bao gồm trường hợp doanh nghiệp chế xuất) cần quy định các nguyên tắc, tiêu chí để đảm bảo hoạt động khu công nghệ cao. </w:t>
            </w:r>
            <w:r w:rsidRPr="00785D5D">
              <w:rPr>
                <w:rFonts w:ascii="Times New Roman" w:eastAsia="Times New Roman" w:hAnsi="Times New Roman" w:cs="Times New Roman"/>
                <w:sz w:val="24"/>
                <w:szCs w:val="24"/>
                <w:lang w:val="de-DE"/>
              </w:rPr>
              <w:t>Các quy định được kế thừa từ quy định tại Điều 32 Nghị định số 10/2024/NĐ-CP (và các quy định chi tiết tại Thông tư số 08/2024/TT-BKHCN</w:t>
            </w:r>
            <w:r w:rsidR="0026564A" w:rsidRPr="00785D5D">
              <w:rPr>
                <w:rFonts w:ascii="Times New Roman" w:eastAsia="Times New Roman" w:hAnsi="Times New Roman" w:cs="Times New Roman"/>
                <w:sz w:val="24"/>
                <w:szCs w:val="24"/>
                <w:lang w:val="de-DE"/>
              </w:rPr>
              <w:t xml:space="preserve"> ngày 6/11/2024 của Bộ trưởng Bộ Khoa học và Công nghệ quy định một số tiêu chí đối với dự án đầu tư cơ sở nghiên cứu và phát triển công nghệ cao, dự án đầu tư ứng dụng công nghệ cao để sản xuất sản phẩm công nghệ cao đầu tư vào khu công nghệ cao</w:t>
            </w:r>
            <w:r w:rsidRPr="00785D5D">
              <w:rPr>
                <w:rFonts w:ascii="Times New Roman" w:eastAsia="Times New Roman" w:hAnsi="Times New Roman" w:cs="Times New Roman"/>
                <w:sz w:val="24"/>
                <w:szCs w:val="24"/>
                <w:lang w:val="de-DE"/>
              </w:rPr>
              <w:t xml:space="preserve">), và dẫn chiếu đảm bảo sự phù hợp với quy định đối với hoạt động công nghệ cao tại Luật Công nghệ cao </w:t>
            </w:r>
            <w:r w:rsidR="00785D5D" w:rsidRPr="00785D5D">
              <w:rPr>
                <w:rFonts w:ascii="Times New Roman" w:eastAsia="Times New Roman" w:hAnsi="Times New Roman" w:cs="Times New Roman"/>
                <w:sz w:val="24"/>
                <w:szCs w:val="24"/>
                <w:lang w:val="de-DE"/>
              </w:rPr>
              <w:t>số 133/2025/QH15.</w:t>
            </w:r>
          </w:p>
          <w:p w14:paraId="226474B8" w14:textId="77777777" w:rsidR="004615D3" w:rsidRPr="00785D5D" w:rsidRDefault="004615D3" w:rsidP="004615D3">
            <w:pPr>
              <w:pStyle w:val="NormalWeb"/>
              <w:rPr>
                <w:lang w:val="de-DE"/>
              </w:rPr>
            </w:pPr>
          </w:p>
          <w:p w14:paraId="4D0BD5D2" w14:textId="772D9311" w:rsidR="004615D3" w:rsidRPr="00785D5D" w:rsidRDefault="004615D3" w:rsidP="004615D3">
            <w:pPr>
              <w:widowControl w:val="0"/>
              <w:spacing w:line="276" w:lineRule="auto"/>
              <w:jc w:val="both"/>
              <w:rPr>
                <w:rFonts w:ascii="Times New Roman" w:hAnsi="Times New Roman" w:cs="Times New Roman"/>
                <w:sz w:val="24"/>
                <w:szCs w:val="24"/>
                <w:lang w:val="de-DE"/>
              </w:rPr>
            </w:pPr>
          </w:p>
        </w:tc>
      </w:tr>
      <w:tr w:rsidR="004615D3" w:rsidRPr="000C2D51" w14:paraId="0377D4E0" w14:textId="77777777" w:rsidTr="00022042">
        <w:tc>
          <w:tcPr>
            <w:tcW w:w="2245" w:type="dxa"/>
          </w:tcPr>
          <w:p w14:paraId="376C41EC" w14:textId="77777777" w:rsidR="004615D3" w:rsidRPr="009875DA" w:rsidRDefault="004615D3" w:rsidP="004615D3">
            <w:pPr>
              <w:widowControl w:val="0"/>
              <w:spacing w:line="276" w:lineRule="auto"/>
              <w:jc w:val="both"/>
              <w:rPr>
                <w:rFonts w:ascii="Times New Roman" w:hAnsi="Times New Roman" w:cs="Times New Roman"/>
                <w:b/>
                <w:color w:val="FF0000"/>
                <w:sz w:val="24"/>
                <w:szCs w:val="24"/>
                <w:lang w:val="nl-NL" w:eastAsia="vi-VN"/>
              </w:rPr>
            </w:pPr>
          </w:p>
        </w:tc>
        <w:tc>
          <w:tcPr>
            <w:tcW w:w="7380" w:type="dxa"/>
          </w:tcPr>
          <w:p w14:paraId="522A7B11" w14:textId="77777777" w:rsidR="004615D3" w:rsidRPr="000C2D51" w:rsidRDefault="004615D3" w:rsidP="00DE65A6">
            <w:pPr>
              <w:tabs>
                <w:tab w:val="left" w:pos="851"/>
              </w:tabs>
              <w:spacing w:line="276" w:lineRule="auto"/>
              <w:jc w:val="both"/>
              <w:rPr>
                <w:rFonts w:ascii="Times New Roman" w:hAnsi="Times New Roman" w:cs="Times New Roman"/>
                <w:b/>
                <w:bCs/>
                <w:sz w:val="24"/>
                <w:szCs w:val="24"/>
                <w:lang w:val="de-DE"/>
              </w:rPr>
            </w:pPr>
            <w:r w:rsidRPr="000C2D51">
              <w:rPr>
                <w:rFonts w:ascii="Times New Roman" w:hAnsi="Times New Roman" w:cs="Times New Roman"/>
                <w:b/>
                <w:bCs/>
                <w:sz w:val="24"/>
                <w:szCs w:val="24"/>
                <w:lang w:val="de-DE"/>
              </w:rPr>
              <w:t>Điều 41. Hiệu lực thi hành</w:t>
            </w:r>
          </w:p>
          <w:p w14:paraId="4951699A" w14:textId="77777777"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1. Nghị định này có hiệu lực thi hành từ ngày      tháng      năm 2026.</w:t>
            </w:r>
          </w:p>
          <w:p w14:paraId="534D1B7A" w14:textId="58FD35E6"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2. Bãi bỏ Nghị định số 10/2024/NĐ-CP ngày 01</w:t>
            </w:r>
            <w:r>
              <w:rPr>
                <w:rFonts w:ascii="Times New Roman" w:hAnsi="Times New Roman" w:cs="Times New Roman"/>
                <w:sz w:val="24"/>
                <w:szCs w:val="24"/>
                <w:lang w:val="de-DE"/>
              </w:rPr>
              <w:t>/</w:t>
            </w:r>
            <w:r w:rsidRPr="000C2D51">
              <w:rPr>
                <w:rFonts w:ascii="Times New Roman" w:hAnsi="Times New Roman" w:cs="Times New Roman"/>
                <w:sz w:val="24"/>
                <w:szCs w:val="24"/>
                <w:lang w:val="de-DE"/>
              </w:rPr>
              <w:t>02</w:t>
            </w:r>
            <w:r>
              <w:rPr>
                <w:rFonts w:ascii="Times New Roman" w:hAnsi="Times New Roman" w:cs="Times New Roman"/>
                <w:sz w:val="24"/>
                <w:szCs w:val="24"/>
                <w:lang w:val="de-DE"/>
              </w:rPr>
              <w:t>/</w:t>
            </w:r>
            <w:r w:rsidRPr="000C2D51">
              <w:rPr>
                <w:rFonts w:ascii="Times New Roman" w:hAnsi="Times New Roman" w:cs="Times New Roman"/>
                <w:sz w:val="24"/>
                <w:szCs w:val="24"/>
                <w:lang w:val="de-DE"/>
              </w:rPr>
              <w:t>2024 của Chính phủ quy định về khu công nghệ cao.</w:t>
            </w:r>
          </w:p>
          <w:p w14:paraId="5023EBB0" w14:textId="77777777"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3. Bãi bỏ các Điều 65, Điều 66, Điều 67, Điều 68, Điều 69, Điều 70, Điều 71, Điều 72, Điều 73, Điều 74 Nghị định số 133/2025/NĐ-CP ngày 12/6/2025 của Chính phủ quy định về phân quyền, phân cấp trong lĩnh vực quản lý Nhà nước của Bộ Khoa học và Công nghệ.</w:t>
            </w:r>
          </w:p>
          <w:p w14:paraId="0D15AD03" w14:textId="77777777"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4. Bãi bỏ Quyết định số 10/2021/QĐ-TTg ngày 16/3/2021 của Thủ tướng Chính phủ quy định tiêu chí xác định doanh nghiệp công nghệ cao.</w:t>
            </w:r>
          </w:p>
          <w:p w14:paraId="139AF90D" w14:textId="77777777"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5. Bãi bỏ Quyết định số 55/2010/QĐ-TTg ngày 10/9/2010 của Thủ tướng Chính phủ về thẩm quyền, trình tự, thủ tục chứng nhận tổ chức, cá nhân hoạt động ứng dụng công nghệ cao, nghiên cứu và phát triển công nghệ cao và công nhận doanh nghiệp công nghệ cao.</w:t>
            </w:r>
          </w:p>
          <w:p w14:paraId="3B511A99" w14:textId="77777777"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6. Bãi bỏ Thông tư số 32/2011/TT-BKHCN ngày 15/11/2011 của Bộ trưởng Bộ Khoa học và Công nghệ quy định về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14:paraId="3176463C" w14:textId="77777777"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 xml:space="preserve">7. Bãi bỏ Thông tư số 04/2020/TT-BKHCN ngày 28/9/2020 của Bộ trưởng Bộ Khoa học và Công nghệ sửa đổi Thông tư số 32/2011/TT-BKHCN quy định về việc xác định tiêu chí dự án ứng dụng công nghệ cao, dự án đầu tư </w:t>
            </w:r>
            <w:r w:rsidRPr="000C2D51">
              <w:rPr>
                <w:rFonts w:ascii="Times New Roman" w:hAnsi="Times New Roman" w:cs="Times New Roman"/>
                <w:sz w:val="24"/>
                <w:szCs w:val="24"/>
                <w:lang w:val="de-DE"/>
              </w:rPr>
              <w:lastRenderedPageBreak/>
              <w:t>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14:paraId="21713FCB" w14:textId="77777777" w:rsidR="000C2D51" w:rsidRPr="000C2D51"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8. Bãi bỏ Điều 1 Thông tư số 15/2023/TT-BKHCN ngày 26/7/2023 của Bộ trưởng Bộ Khoa học và Công nghệ sửa đổi, bổ sung một số điều của Thông tư số 32/2011/TT-BKHCN và Thông tư số 03/2014/TT-BKHCN.</w:t>
            </w:r>
          </w:p>
          <w:p w14:paraId="4F29DA58" w14:textId="491DC8DB" w:rsidR="004615D3" w:rsidRPr="00785D5D" w:rsidRDefault="000C2D51" w:rsidP="00DE65A6">
            <w:pPr>
              <w:tabs>
                <w:tab w:val="left" w:pos="851"/>
              </w:tabs>
              <w:spacing w:line="276" w:lineRule="auto"/>
              <w:jc w:val="both"/>
              <w:rPr>
                <w:rFonts w:ascii="Times New Roman" w:hAnsi="Times New Roman" w:cs="Times New Roman"/>
                <w:sz w:val="24"/>
                <w:szCs w:val="24"/>
                <w:lang w:val="de-DE"/>
              </w:rPr>
            </w:pPr>
            <w:r w:rsidRPr="000C2D51">
              <w:rPr>
                <w:rFonts w:ascii="Times New Roman" w:hAnsi="Times New Roman" w:cs="Times New Roman"/>
                <w:sz w:val="24"/>
                <w:szCs w:val="24"/>
                <w:lang w:val="de-DE"/>
              </w:rPr>
              <w:t>9. Trường hợp các văn bản dẫn chiếu tại Nghị định này được sửa đổi, bổ sung, thay thế thì thực hiện theo các văn bản sửa đổi, bổ sung hoặc thay thế đó.</w:t>
            </w:r>
          </w:p>
        </w:tc>
        <w:tc>
          <w:tcPr>
            <w:tcW w:w="5400" w:type="dxa"/>
          </w:tcPr>
          <w:p w14:paraId="0FC6DF01" w14:textId="228232AB" w:rsidR="00960F00" w:rsidRPr="00785D5D" w:rsidRDefault="00785D5D" w:rsidP="00960F00">
            <w:pPr>
              <w:pStyle w:val="NormalWeb"/>
              <w:spacing w:before="0" w:beforeAutospacing="0" w:after="0" w:afterAutospacing="0" w:line="276" w:lineRule="auto"/>
              <w:jc w:val="both"/>
              <w:rPr>
                <w:lang w:val="de-DE"/>
              </w:rPr>
            </w:pPr>
            <w:r>
              <w:rPr>
                <w:rStyle w:val="whitespace-normal"/>
                <w:lang w:val="de-DE"/>
              </w:rPr>
              <w:lastRenderedPageBreak/>
              <w:t>Điều 41 quy định về hiệu lực thi hành của Nghị định này</w:t>
            </w:r>
            <w:r w:rsidR="00E45A4E">
              <w:rPr>
                <w:rStyle w:val="whitespace-normal"/>
                <w:lang w:val="de-DE"/>
              </w:rPr>
              <w:t>.</w:t>
            </w:r>
            <w:r>
              <w:rPr>
                <w:rStyle w:val="whitespace-normal"/>
                <w:lang w:val="de-DE"/>
              </w:rPr>
              <w:t xml:space="preserve"> </w:t>
            </w:r>
            <w:r w:rsidR="00E45A4E">
              <w:rPr>
                <w:rStyle w:val="whitespace-normal"/>
                <w:lang w:val="de-DE"/>
              </w:rPr>
              <w:t>Q</w:t>
            </w:r>
            <w:r>
              <w:rPr>
                <w:rStyle w:val="whitespace-normal"/>
                <w:lang w:val="de-DE"/>
              </w:rPr>
              <w:t xml:space="preserve">uy định </w:t>
            </w:r>
            <w:r w:rsidR="00C723B0">
              <w:rPr>
                <w:rStyle w:val="whitespace-normal"/>
                <w:lang w:val="de-DE"/>
              </w:rPr>
              <w:t>q</w:t>
            </w:r>
            <w:r w:rsidR="00C723B0" w:rsidRPr="00C723B0">
              <w:rPr>
                <w:rStyle w:val="whitespace-normal"/>
                <w:lang w:val="de-DE"/>
              </w:rPr>
              <w:t xml:space="preserve">uy </w:t>
            </w:r>
            <w:r w:rsidR="00C723B0">
              <w:rPr>
                <w:rStyle w:val="whitespace-normal"/>
                <w:lang w:val="de-DE"/>
              </w:rPr>
              <w:t>định bãi bỏ</w:t>
            </w:r>
            <w:r w:rsidR="00E45A4E">
              <w:rPr>
                <w:rStyle w:val="whitespace-normal"/>
                <w:lang w:val="de-DE"/>
              </w:rPr>
              <w:t>:</w:t>
            </w:r>
            <w:r w:rsidR="00C723B0">
              <w:rPr>
                <w:rStyle w:val="whitespace-normal"/>
                <w:lang w:val="de-DE"/>
              </w:rPr>
              <w:t xml:space="preserve"> </w:t>
            </w:r>
            <w:r w:rsidR="004615D3" w:rsidRPr="00785D5D">
              <w:rPr>
                <w:rStyle w:val="whitespace-normal"/>
                <w:lang w:val="de-DE"/>
              </w:rPr>
              <w:t>Nghị định số 10/2024/NĐ-CP</w:t>
            </w:r>
            <w:r w:rsidR="004615D3" w:rsidRPr="00785D5D">
              <w:rPr>
                <w:lang w:val="de-DE"/>
              </w:rPr>
              <w:t xml:space="preserve"> </w:t>
            </w:r>
            <w:r w:rsidR="00960F00" w:rsidRPr="00960F00">
              <w:rPr>
                <w:lang w:val="de-DE"/>
              </w:rPr>
              <w:t>ngày 01</w:t>
            </w:r>
            <w:r w:rsidR="00960F00">
              <w:rPr>
                <w:lang w:val="de-DE"/>
              </w:rPr>
              <w:t>/</w:t>
            </w:r>
            <w:r w:rsidR="00960F00" w:rsidRPr="00960F00">
              <w:rPr>
                <w:lang w:val="de-DE"/>
              </w:rPr>
              <w:t>02</w:t>
            </w:r>
            <w:r w:rsidR="00960F00">
              <w:rPr>
                <w:lang w:val="de-DE"/>
              </w:rPr>
              <w:t>/</w:t>
            </w:r>
            <w:r w:rsidR="00960F00" w:rsidRPr="00960F00">
              <w:rPr>
                <w:lang w:val="de-DE"/>
              </w:rPr>
              <w:t xml:space="preserve">2024 của Chính phủ </w:t>
            </w:r>
            <w:r w:rsidR="004615D3" w:rsidRPr="00785D5D">
              <w:rPr>
                <w:lang w:val="de-DE"/>
              </w:rPr>
              <w:t>quy định về khu công nghệ cao</w:t>
            </w:r>
            <w:r w:rsidR="00C723B0">
              <w:rPr>
                <w:lang w:val="de-DE"/>
              </w:rPr>
              <w:t xml:space="preserve">; một số điều của </w:t>
            </w:r>
            <w:r w:rsidR="00C723B0" w:rsidRPr="000C2D51">
              <w:rPr>
                <w:lang w:val="de-DE"/>
              </w:rPr>
              <w:t>Nghị định số 133/2025/NĐ-CP</w:t>
            </w:r>
            <w:r w:rsidR="00C723B0">
              <w:rPr>
                <w:lang w:val="de-DE"/>
              </w:rPr>
              <w:t xml:space="preserve"> liên quan đến công nghệ cao; </w:t>
            </w:r>
            <w:r w:rsidR="00C723B0" w:rsidRPr="000C2D51">
              <w:rPr>
                <w:lang w:val="de-DE"/>
              </w:rPr>
              <w:t>Quyết định số 10/2021/QĐ-TTg</w:t>
            </w:r>
            <w:r w:rsidR="00C723B0">
              <w:rPr>
                <w:lang w:val="de-DE"/>
              </w:rPr>
              <w:t>;</w:t>
            </w:r>
            <w:r w:rsidR="00C723B0" w:rsidRPr="000C2D51">
              <w:rPr>
                <w:lang w:val="de-DE"/>
              </w:rPr>
              <w:t xml:space="preserve"> Quyết định số 55/2010/QĐ-TTg</w:t>
            </w:r>
            <w:r w:rsidR="00C723B0">
              <w:rPr>
                <w:lang w:val="de-DE"/>
              </w:rPr>
              <w:t>; các Thông tư của Bộ trưởng Bộ Khoa học và Công nghệ liên quan đến hoạt động công nghệ cao</w:t>
            </w:r>
            <w:r w:rsidR="00C60017">
              <w:rPr>
                <w:lang w:val="de-DE"/>
              </w:rPr>
              <w:t>.</w:t>
            </w:r>
          </w:p>
          <w:p w14:paraId="13AA331E" w14:textId="3A67A0CC" w:rsidR="004615D3" w:rsidRPr="00785D5D" w:rsidRDefault="004615D3" w:rsidP="004615D3">
            <w:pPr>
              <w:pStyle w:val="NormalWeb"/>
              <w:spacing w:before="0" w:beforeAutospacing="0" w:after="0" w:afterAutospacing="0" w:line="276" w:lineRule="auto"/>
              <w:jc w:val="both"/>
              <w:rPr>
                <w:lang w:val="de-DE"/>
              </w:rPr>
            </w:pPr>
          </w:p>
        </w:tc>
      </w:tr>
      <w:tr w:rsidR="004615D3" w:rsidRPr="000C2D51" w14:paraId="7D3D067E" w14:textId="77777777" w:rsidTr="00022042">
        <w:tc>
          <w:tcPr>
            <w:tcW w:w="2245" w:type="dxa"/>
          </w:tcPr>
          <w:p w14:paraId="272E5A16" w14:textId="77777777" w:rsidR="004615D3" w:rsidRPr="009875DA" w:rsidRDefault="004615D3" w:rsidP="004615D3">
            <w:pPr>
              <w:widowControl w:val="0"/>
              <w:spacing w:line="276" w:lineRule="auto"/>
              <w:jc w:val="both"/>
              <w:rPr>
                <w:rFonts w:ascii="Times New Roman" w:hAnsi="Times New Roman" w:cs="Times New Roman"/>
                <w:b/>
                <w:color w:val="FF0000"/>
                <w:sz w:val="24"/>
                <w:szCs w:val="24"/>
                <w:lang w:val="nl-NL" w:eastAsia="vi-VN"/>
              </w:rPr>
            </w:pPr>
          </w:p>
        </w:tc>
        <w:tc>
          <w:tcPr>
            <w:tcW w:w="7380" w:type="dxa"/>
          </w:tcPr>
          <w:p w14:paraId="140410BA" w14:textId="77777777" w:rsidR="004615D3" w:rsidRPr="00785D5D" w:rsidRDefault="004615D3" w:rsidP="004615D3">
            <w:pPr>
              <w:pStyle w:val="Heading2"/>
              <w:spacing w:line="276" w:lineRule="auto"/>
              <w:jc w:val="both"/>
            </w:pPr>
            <w:r w:rsidRPr="00785D5D">
              <w:t>Điều 42. Tổ chức thực hiện</w:t>
            </w:r>
          </w:p>
          <w:p w14:paraId="7B025E19" w14:textId="77777777" w:rsidR="004615D3" w:rsidRPr="00785D5D" w:rsidRDefault="004615D3" w:rsidP="004615D3">
            <w:pPr>
              <w:tabs>
                <w:tab w:val="left" w:pos="851"/>
              </w:tabs>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1. Bộ trưởng Bộ Khoa học và Công nghệ quy định chi tiết khoản 3 Điều 9, điểm d khoản 3 Điều 10, khoản 3 Điều 12, điểm d khoản 2 Điều 15, khoản 4 Điều 16, các khoản 1, 2 và 6 Nghị định này.</w:t>
            </w:r>
          </w:p>
          <w:p w14:paraId="3842C71F" w14:textId="652D0CDA" w:rsidR="004615D3" w:rsidRPr="00785D5D" w:rsidRDefault="004615D3" w:rsidP="004615D3">
            <w:pPr>
              <w:tabs>
                <w:tab w:val="left" w:pos="851"/>
              </w:tabs>
              <w:spacing w:line="276" w:lineRule="auto"/>
              <w:jc w:val="both"/>
              <w:rPr>
                <w:rFonts w:ascii="Times New Roman" w:hAnsi="Times New Roman" w:cs="Times New Roman"/>
                <w:sz w:val="24"/>
                <w:szCs w:val="24"/>
                <w:lang w:val="de-DE"/>
              </w:rPr>
            </w:pPr>
            <w:r w:rsidRPr="00785D5D">
              <w:rPr>
                <w:rFonts w:ascii="Times New Roman" w:hAnsi="Times New Roman" w:cs="Times New Roman"/>
                <w:sz w:val="24"/>
                <w:szCs w:val="24"/>
                <w:lang w:val="de-DE"/>
              </w:rPr>
              <w:t>2. Các Bộ trưởng, Thủ trưởng cơ quan ngang bộ, Thủ trưởng cơ quan thuộc Chính phủ, Chủ tịch Ủy ban nhân dân tỉnh, thành phố trực thuộc trung ương, Trưởng ban Ban quản lý khu công nghệ cao và các tổ chức, cá nhân có liên quan chịu trách nhiệm thi hành Nghị định này./.</w:t>
            </w:r>
          </w:p>
        </w:tc>
        <w:tc>
          <w:tcPr>
            <w:tcW w:w="5400" w:type="dxa"/>
          </w:tcPr>
          <w:p w14:paraId="74DDD4E3" w14:textId="02710DEC" w:rsidR="004615D3" w:rsidRPr="00785D5D" w:rsidRDefault="00960F00" w:rsidP="00960F00">
            <w:pPr>
              <w:pStyle w:val="NormalWeb"/>
              <w:spacing w:before="0" w:beforeAutospacing="0" w:after="0" w:afterAutospacing="0" w:line="276" w:lineRule="auto"/>
              <w:jc w:val="both"/>
              <w:rPr>
                <w:lang w:val="de-DE"/>
              </w:rPr>
            </w:pPr>
            <w:r>
              <w:rPr>
                <w:lang w:val="de-DE"/>
              </w:rPr>
              <w:t xml:space="preserve">Điều 42 quy định </w:t>
            </w:r>
            <w:r w:rsidR="004615D3" w:rsidRPr="00785D5D">
              <w:rPr>
                <w:lang w:val="de-DE"/>
              </w:rPr>
              <w:t>trách nhiệm</w:t>
            </w:r>
            <w:r>
              <w:rPr>
                <w:lang w:val="de-DE"/>
              </w:rPr>
              <w:t xml:space="preserve"> của Bộ trưởng Bộ Khoa học và Công nghệ đối với việc quy định chi tiết các nội dung được giao trong Nghị định; trách nhiệm của </w:t>
            </w:r>
            <w:r w:rsidRPr="00960F00">
              <w:rPr>
                <w:lang w:val="de-DE"/>
              </w:rPr>
              <w:t>Bộ trưởng, Thủ trưởng cơ quan ngang bộ, Thủ trưởng cơ quan thuộc Chính phủ, Chủ tịch Ủy ban nhân dân tỉnh, thành phố trực thuộc trung ương, Trưởng ban Ban quản lý khu công nghệ cao và các tổ chức, cá nhân có liên quan</w:t>
            </w:r>
            <w:r>
              <w:rPr>
                <w:lang w:val="de-DE"/>
              </w:rPr>
              <w:t xml:space="preserve"> trong việc thi hành Nghị định.</w:t>
            </w:r>
          </w:p>
        </w:tc>
      </w:tr>
    </w:tbl>
    <w:p w14:paraId="2FE01EE5" w14:textId="77777777" w:rsidR="00366574" w:rsidRPr="009875DA" w:rsidRDefault="00366574" w:rsidP="00B06260">
      <w:pPr>
        <w:widowControl w:val="0"/>
        <w:spacing w:after="0"/>
        <w:jc w:val="both"/>
        <w:rPr>
          <w:rFonts w:ascii="Times New Roman" w:hAnsi="Times New Roman" w:cs="Times New Roman"/>
          <w:color w:val="FF0000"/>
          <w:sz w:val="24"/>
          <w:szCs w:val="24"/>
          <w:lang w:val="vi-VN"/>
        </w:rPr>
      </w:pPr>
    </w:p>
    <w:sectPr w:rsidR="00366574" w:rsidRPr="009875DA" w:rsidSect="0087216B">
      <w:headerReference w:type="default" r:id="rId8"/>
      <w:pgSz w:w="16834" w:h="11909" w:orient="landscape" w:code="9"/>
      <w:pgMar w:top="1152"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3BDD" w14:textId="77777777" w:rsidR="00AD45F1" w:rsidRDefault="00AD45F1" w:rsidP="002655EC">
      <w:pPr>
        <w:spacing w:after="0" w:line="240" w:lineRule="auto"/>
      </w:pPr>
      <w:r>
        <w:separator/>
      </w:r>
    </w:p>
  </w:endnote>
  <w:endnote w:type="continuationSeparator" w:id="0">
    <w:p w14:paraId="50DA51DE" w14:textId="77777777" w:rsidR="00AD45F1" w:rsidRDefault="00AD45F1" w:rsidP="0026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657A" w14:textId="77777777" w:rsidR="00AD45F1" w:rsidRDefault="00AD45F1" w:rsidP="002655EC">
      <w:pPr>
        <w:spacing w:after="0" w:line="240" w:lineRule="auto"/>
      </w:pPr>
      <w:r>
        <w:separator/>
      </w:r>
    </w:p>
  </w:footnote>
  <w:footnote w:type="continuationSeparator" w:id="0">
    <w:p w14:paraId="25922688" w14:textId="77777777" w:rsidR="00AD45F1" w:rsidRDefault="00AD45F1" w:rsidP="002655EC">
      <w:pPr>
        <w:spacing w:after="0" w:line="240" w:lineRule="auto"/>
      </w:pPr>
      <w:r>
        <w:continuationSeparator/>
      </w:r>
    </w:p>
  </w:footnote>
  <w:footnote w:id="1">
    <w:p w14:paraId="1E92601B" w14:textId="77777777" w:rsidR="00F530D6" w:rsidRPr="002655EC" w:rsidRDefault="00F530D6" w:rsidP="002655EC">
      <w:pPr>
        <w:pStyle w:val="FootnoteText"/>
        <w:rPr>
          <w:rFonts w:ascii="Times New Roman" w:hAnsi="Times New Roman" w:cs="Times New Roman"/>
        </w:rPr>
      </w:pPr>
      <w:r w:rsidRPr="002655EC">
        <w:rPr>
          <w:rStyle w:val="FootnoteReference"/>
          <w:rFonts w:ascii="Times New Roman" w:hAnsi="Times New Roman" w:cs="Times New Roman"/>
        </w:rPr>
        <w:footnoteRef/>
      </w:r>
      <w:r w:rsidRPr="002655EC">
        <w:rPr>
          <w:rFonts w:ascii="Times New Roman" w:hAnsi="Times New Roman" w:cs="Times New Roman"/>
        </w:rPr>
        <w:t xml:space="preserve"> Thuyết minh những nội dung được kế thừa; nội dung được sửa đổi, bổ sung, bãi bỏ, thay thế. Nội dung phân quyền, phân cấp và cắt giảm, đơn giản hóa thủ tục hành chính (nếu có).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849991"/>
      <w:docPartObj>
        <w:docPartGallery w:val="Page Numbers (Top of Page)"/>
        <w:docPartUnique/>
      </w:docPartObj>
    </w:sdtPr>
    <w:sdtEndPr>
      <w:rPr>
        <w:rFonts w:ascii="Times New Roman" w:hAnsi="Times New Roman" w:cs="Times New Roman"/>
        <w:noProof/>
      </w:rPr>
    </w:sdtEndPr>
    <w:sdtContent>
      <w:p w14:paraId="44544F7B" w14:textId="4218C60F" w:rsidR="00F530D6" w:rsidRPr="0087216B" w:rsidRDefault="00F530D6">
        <w:pPr>
          <w:pStyle w:val="Header"/>
          <w:jc w:val="center"/>
          <w:rPr>
            <w:rFonts w:ascii="Times New Roman" w:hAnsi="Times New Roman" w:cs="Times New Roman"/>
          </w:rPr>
        </w:pPr>
        <w:r w:rsidRPr="0087216B">
          <w:rPr>
            <w:rFonts w:ascii="Times New Roman" w:hAnsi="Times New Roman" w:cs="Times New Roman"/>
          </w:rPr>
          <w:fldChar w:fldCharType="begin"/>
        </w:r>
        <w:r w:rsidRPr="0087216B">
          <w:rPr>
            <w:rFonts w:ascii="Times New Roman" w:hAnsi="Times New Roman" w:cs="Times New Roman"/>
          </w:rPr>
          <w:instrText xml:space="preserve"> PAGE   \* MERGEFORMAT </w:instrText>
        </w:r>
        <w:r w:rsidRPr="0087216B">
          <w:rPr>
            <w:rFonts w:ascii="Times New Roman" w:hAnsi="Times New Roman" w:cs="Times New Roman"/>
          </w:rPr>
          <w:fldChar w:fldCharType="separate"/>
        </w:r>
        <w:r w:rsidR="00340C7B">
          <w:rPr>
            <w:rFonts w:ascii="Times New Roman" w:hAnsi="Times New Roman" w:cs="Times New Roman"/>
            <w:noProof/>
          </w:rPr>
          <w:t>72</w:t>
        </w:r>
        <w:r w:rsidRPr="0087216B">
          <w:rPr>
            <w:rFonts w:ascii="Times New Roman" w:hAnsi="Times New Roman" w:cs="Times New Roman"/>
            <w:noProof/>
          </w:rPr>
          <w:fldChar w:fldCharType="end"/>
        </w:r>
      </w:p>
    </w:sdtContent>
  </w:sdt>
  <w:p w14:paraId="538FDFF9" w14:textId="77777777" w:rsidR="00F530D6" w:rsidRDefault="00F53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DD5"/>
    <w:multiLevelType w:val="multilevel"/>
    <w:tmpl w:val="845C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73F7B"/>
    <w:multiLevelType w:val="multilevel"/>
    <w:tmpl w:val="2EF0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035E"/>
    <w:multiLevelType w:val="multilevel"/>
    <w:tmpl w:val="B19E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7309E"/>
    <w:multiLevelType w:val="multilevel"/>
    <w:tmpl w:val="C65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20B0F"/>
    <w:multiLevelType w:val="multilevel"/>
    <w:tmpl w:val="C47E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1461"/>
    <w:multiLevelType w:val="multilevel"/>
    <w:tmpl w:val="1AB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E2CC1"/>
    <w:multiLevelType w:val="multilevel"/>
    <w:tmpl w:val="6D6C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C0EFE"/>
    <w:multiLevelType w:val="multilevel"/>
    <w:tmpl w:val="A6B2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065B2"/>
    <w:multiLevelType w:val="multilevel"/>
    <w:tmpl w:val="522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C7C24"/>
    <w:multiLevelType w:val="multilevel"/>
    <w:tmpl w:val="958C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A36BE"/>
    <w:multiLevelType w:val="multilevel"/>
    <w:tmpl w:val="8C6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F6568"/>
    <w:multiLevelType w:val="multilevel"/>
    <w:tmpl w:val="3F9C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17EAD"/>
    <w:multiLevelType w:val="multilevel"/>
    <w:tmpl w:val="F56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758F1"/>
    <w:multiLevelType w:val="multilevel"/>
    <w:tmpl w:val="A0D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A3BF4"/>
    <w:multiLevelType w:val="multilevel"/>
    <w:tmpl w:val="598A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32E10"/>
    <w:multiLevelType w:val="multilevel"/>
    <w:tmpl w:val="A3A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A7402"/>
    <w:multiLevelType w:val="multilevel"/>
    <w:tmpl w:val="5E2E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D6920"/>
    <w:multiLevelType w:val="multilevel"/>
    <w:tmpl w:val="7F16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56045"/>
    <w:multiLevelType w:val="multilevel"/>
    <w:tmpl w:val="E69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725E7"/>
    <w:multiLevelType w:val="multilevel"/>
    <w:tmpl w:val="A8E8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87F20"/>
    <w:multiLevelType w:val="multilevel"/>
    <w:tmpl w:val="A51E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859F0"/>
    <w:multiLevelType w:val="multilevel"/>
    <w:tmpl w:val="472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42C3F"/>
    <w:multiLevelType w:val="multilevel"/>
    <w:tmpl w:val="51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42A82"/>
    <w:multiLevelType w:val="multilevel"/>
    <w:tmpl w:val="0832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3511F"/>
    <w:multiLevelType w:val="multilevel"/>
    <w:tmpl w:val="A0DE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314EF"/>
    <w:multiLevelType w:val="multilevel"/>
    <w:tmpl w:val="B8E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85197"/>
    <w:multiLevelType w:val="multilevel"/>
    <w:tmpl w:val="CE3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E1EF8"/>
    <w:multiLevelType w:val="multilevel"/>
    <w:tmpl w:val="7A2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47D91"/>
    <w:multiLevelType w:val="multilevel"/>
    <w:tmpl w:val="FCF4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B0599"/>
    <w:multiLevelType w:val="multilevel"/>
    <w:tmpl w:val="C94E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435E3"/>
    <w:multiLevelType w:val="multilevel"/>
    <w:tmpl w:val="F370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56A31"/>
    <w:multiLevelType w:val="multilevel"/>
    <w:tmpl w:val="362E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62438"/>
    <w:multiLevelType w:val="multilevel"/>
    <w:tmpl w:val="79D0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5748D"/>
    <w:multiLevelType w:val="multilevel"/>
    <w:tmpl w:val="4B50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B2CA4"/>
    <w:multiLevelType w:val="multilevel"/>
    <w:tmpl w:val="B896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67ED2"/>
    <w:multiLevelType w:val="multilevel"/>
    <w:tmpl w:val="470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C2168"/>
    <w:multiLevelType w:val="multilevel"/>
    <w:tmpl w:val="AD7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32D87"/>
    <w:multiLevelType w:val="multilevel"/>
    <w:tmpl w:val="C028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734B3"/>
    <w:multiLevelType w:val="multilevel"/>
    <w:tmpl w:val="E8CA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94E8A"/>
    <w:multiLevelType w:val="multilevel"/>
    <w:tmpl w:val="74AA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00F30"/>
    <w:multiLevelType w:val="multilevel"/>
    <w:tmpl w:val="C80A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447014"/>
    <w:multiLevelType w:val="multilevel"/>
    <w:tmpl w:val="103E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34E2D"/>
    <w:multiLevelType w:val="multilevel"/>
    <w:tmpl w:val="C94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225EB"/>
    <w:multiLevelType w:val="multilevel"/>
    <w:tmpl w:val="C5F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618897">
    <w:abstractNumId w:val="18"/>
  </w:num>
  <w:num w:numId="2" w16cid:durableId="240258804">
    <w:abstractNumId w:val="19"/>
  </w:num>
  <w:num w:numId="3" w16cid:durableId="126243408">
    <w:abstractNumId w:val="38"/>
  </w:num>
  <w:num w:numId="4" w16cid:durableId="1873305055">
    <w:abstractNumId w:val="3"/>
  </w:num>
  <w:num w:numId="5" w16cid:durableId="1639264473">
    <w:abstractNumId w:val="6"/>
  </w:num>
  <w:num w:numId="6" w16cid:durableId="312761835">
    <w:abstractNumId w:val="33"/>
  </w:num>
  <w:num w:numId="7" w16cid:durableId="630524912">
    <w:abstractNumId w:val="8"/>
  </w:num>
  <w:num w:numId="8" w16cid:durableId="289242871">
    <w:abstractNumId w:val="39"/>
  </w:num>
  <w:num w:numId="9" w16cid:durableId="280654950">
    <w:abstractNumId w:val="26"/>
  </w:num>
  <w:num w:numId="10" w16cid:durableId="377976942">
    <w:abstractNumId w:val="22"/>
  </w:num>
  <w:num w:numId="11" w16cid:durableId="754398602">
    <w:abstractNumId w:val="12"/>
  </w:num>
  <w:num w:numId="12" w16cid:durableId="1904171055">
    <w:abstractNumId w:val="17"/>
  </w:num>
  <w:num w:numId="13" w16cid:durableId="1756127707">
    <w:abstractNumId w:val="25"/>
  </w:num>
  <w:num w:numId="14" w16cid:durableId="373163109">
    <w:abstractNumId w:val="29"/>
  </w:num>
  <w:num w:numId="15" w16cid:durableId="1042904072">
    <w:abstractNumId w:val="4"/>
  </w:num>
  <w:num w:numId="16" w16cid:durableId="1386177900">
    <w:abstractNumId w:val="36"/>
  </w:num>
  <w:num w:numId="17" w16cid:durableId="229662036">
    <w:abstractNumId w:val="1"/>
  </w:num>
  <w:num w:numId="18" w16cid:durableId="184754702">
    <w:abstractNumId w:val="32"/>
  </w:num>
  <w:num w:numId="19" w16cid:durableId="336269061">
    <w:abstractNumId w:val="21"/>
  </w:num>
  <w:num w:numId="20" w16cid:durableId="477606">
    <w:abstractNumId w:val="28"/>
  </w:num>
  <w:num w:numId="21" w16cid:durableId="1624312476">
    <w:abstractNumId w:val="23"/>
  </w:num>
  <w:num w:numId="22" w16cid:durableId="1333334567">
    <w:abstractNumId w:val="20"/>
  </w:num>
  <w:num w:numId="23" w16cid:durableId="586812888">
    <w:abstractNumId w:val="43"/>
  </w:num>
  <w:num w:numId="24" w16cid:durableId="217477026">
    <w:abstractNumId w:val="15"/>
  </w:num>
  <w:num w:numId="25" w16cid:durableId="1555236464">
    <w:abstractNumId w:val="40"/>
  </w:num>
  <w:num w:numId="26" w16cid:durableId="1843665284">
    <w:abstractNumId w:val="2"/>
  </w:num>
  <w:num w:numId="27" w16cid:durableId="2071072795">
    <w:abstractNumId w:val="37"/>
  </w:num>
  <w:num w:numId="28" w16cid:durableId="564417917">
    <w:abstractNumId w:val="31"/>
  </w:num>
  <w:num w:numId="29" w16cid:durableId="1106464331">
    <w:abstractNumId w:val="35"/>
  </w:num>
  <w:num w:numId="30" w16cid:durableId="1769501519">
    <w:abstractNumId w:val="30"/>
  </w:num>
  <w:num w:numId="31" w16cid:durableId="1970545040">
    <w:abstractNumId w:val="11"/>
  </w:num>
  <w:num w:numId="32" w16cid:durableId="533468411">
    <w:abstractNumId w:val="10"/>
  </w:num>
  <w:num w:numId="33" w16cid:durableId="1984844047">
    <w:abstractNumId w:val="13"/>
  </w:num>
  <w:num w:numId="34" w16cid:durableId="341249171">
    <w:abstractNumId w:val="42"/>
  </w:num>
  <w:num w:numId="35" w16cid:durableId="1086652604">
    <w:abstractNumId w:val="0"/>
  </w:num>
  <w:num w:numId="36" w16cid:durableId="1320958691">
    <w:abstractNumId w:val="41"/>
  </w:num>
  <w:num w:numId="37" w16cid:durableId="1820416682">
    <w:abstractNumId w:val="16"/>
  </w:num>
  <w:num w:numId="38" w16cid:durableId="2074350281">
    <w:abstractNumId w:val="34"/>
  </w:num>
  <w:num w:numId="39" w16cid:durableId="496656123">
    <w:abstractNumId w:val="7"/>
  </w:num>
  <w:num w:numId="40" w16cid:durableId="1524441088">
    <w:abstractNumId w:val="9"/>
  </w:num>
  <w:num w:numId="41" w16cid:durableId="1447699080">
    <w:abstractNumId w:val="5"/>
  </w:num>
  <w:num w:numId="42" w16cid:durableId="1161390176">
    <w:abstractNumId w:val="14"/>
  </w:num>
  <w:num w:numId="43" w16cid:durableId="1973290173">
    <w:abstractNumId w:val="24"/>
  </w:num>
  <w:num w:numId="44" w16cid:durableId="747076436">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74"/>
    <w:rsid w:val="00001BB5"/>
    <w:rsid w:val="0001630C"/>
    <w:rsid w:val="000207E4"/>
    <w:rsid w:val="00022042"/>
    <w:rsid w:val="00052046"/>
    <w:rsid w:val="0005760C"/>
    <w:rsid w:val="00075A27"/>
    <w:rsid w:val="000773C0"/>
    <w:rsid w:val="00081799"/>
    <w:rsid w:val="000B0FD0"/>
    <w:rsid w:val="000B159B"/>
    <w:rsid w:val="000B2843"/>
    <w:rsid w:val="000C2D51"/>
    <w:rsid w:val="00102F49"/>
    <w:rsid w:val="001169E2"/>
    <w:rsid w:val="001226B5"/>
    <w:rsid w:val="0012679B"/>
    <w:rsid w:val="001428E8"/>
    <w:rsid w:val="00143F59"/>
    <w:rsid w:val="00144007"/>
    <w:rsid w:val="0014672F"/>
    <w:rsid w:val="00175E1D"/>
    <w:rsid w:val="001763F1"/>
    <w:rsid w:val="00181C64"/>
    <w:rsid w:val="001829DC"/>
    <w:rsid w:val="00183680"/>
    <w:rsid w:val="00184E1C"/>
    <w:rsid w:val="001856D1"/>
    <w:rsid w:val="00191310"/>
    <w:rsid w:val="001945D2"/>
    <w:rsid w:val="00195B1B"/>
    <w:rsid w:val="001A10C0"/>
    <w:rsid w:val="001B1755"/>
    <w:rsid w:val="001B471B"/>
    <w:rsid w:val="001C29CC"/>
    <w:rsid w:val="001D4A8E"/>
    <w:rsid w:val="001D5050"/>
    <w:rsid w:val="001D620A"/>
    <w:rsid w:val="001E7C91"/>
    <w:rsid w:val="001F61CB"/>
    <w:rsid w:val="002016AE"/>
    <w:rsid w:val="00205C4A"/>
    <w:rsid w:val="002205E1"/>
    <w:rsid w:val="00223127"/>
    <w:rsid w:val="00223B33"/>
    <w:rsid w:val="002349E5"/>
    <w:rsid w:val="00241920"/>
    <w:rsid w:val="00242F19"/>
    <w:rsid w:val="002431A0"/>
    <w:rsid w:val="002505E1"/>
    <w:rsid w:val="0025087F"/>
    <w:rsid w:val="00255200"/>
    <w:rsid w:val="0025521C"/>
    <w:rsid w:val="00257FC2"/>
    <w:rsid w:val="0026039A"/>
    <w:rsid w:val="00263E6A"/>
    <w:rsid w:val="002655EC"/>
    <w:rsid w:val="0026564A"/>
    <w:rsid w:val="002711C1"/>
    <w:rsid w:val="00280259"/>
    <w:rsid w:val="00283DBF"/>
    <w:rsid w:val="002842EC"/>
    <w:rsid w:val="0028587D"/>
    <w:rsid w:val="0028588F"/>
    <w:rsid w:val="00292D1F"/>
    <w:rsid w:val="00295BFB"/>
    <w:rsid w:val="002A1187"/>
    <w:rsid w:val="002A39F8"/>
    <w:rsid w:val="002A3E13"/>
    <w:rsid w:val="002B18F7"/>
    <w:rsid w:val="002B35FF"/>
    <w:rsid w:val="002C5146"/>
    <w:rsid w:val="002D2ECF"/>
    <w:rsid w:val="002D6432"/>
    <w:rsid w:val="002D67CE"/>
    <w:rsid w:val="002E0290"/>
    <w:rsid w:val="002E2740"/>
    <w:rsid w:val="002E657C"/>
    <w:rsid w:val="002E6B58"/>
    <w:rsid w:val="002F26FF"/>
    <w:rsid w:val="002F3127"/>
    <w:rsid w:val="00302B03"/>
    <w:rsid w:val="003034F3"/>
    <w:rsid w:val="003218EC"/>
    <w:rsid w:val="003252A8"/>
    <w:rsid w:val="00340C7B"/>
    <w:rsid w:val="00342828"/>
    <w:rsid w:val="00361C65"/>
    <w:rsid w:val="00363F4C"/>
    <w:rsid w:val="00364A01"/>
    <w:rsid w:val="00366574"/>
    <w:rsid w:val="0036701E"/>
    <w:rsid w:val="0037059D"/>
    <w:rsid w:val="00376EF3"/>
    <w:rsid w:val="0038051C"/>
    <w:rsid w:val="003870EE"/>
    <w:rsid w:val="003A2A77"/>
    <w:rsid w:val="003A2F09"/>
    <w:rsid w:val="003A63C9"/>
    <w:rsid w:val="003A7F65"/>
    <w:rsid w:val="003D4358"/>
    <w:rsid w:val="003D44BC"/>
    <w:rsid w:val="003E2B78"/>
    <w:rsid w:val="003E7541"/>
    <w:rsid w:val="003F5345"/>
    <w:rsid w:val="003F5A1A"/>
    <w:rsid w:val="003F7C18"/>
    <w:rsid w:val="00407B93"/>
    <w:rsid w:val="00414564"/>
    <w:rsid w:val="004174EE"/>
    <w:rsid w:val="00421AE5"/>
    <w:rsid w:val="00424663"/>
    <w:rsid w:val="00424896"/>
    <w:rsid w:val="004300E0"/>
    <w:rsid w:val="00436CA3"/>
    <w:rsid w:val="00443ADD"/>
    <w:rsid w:val="00450D82"/>
    <w:rsid w:val="00455478"/>
    <w:rsid w:val="00460466"/>
    <w:rsid w:val="004615D3"/>
    <w:rsid w:val="004930C0"/>
    <w:rsid w:val="004964D6"/>
    <w:rsid w:val="00496FEF"/>
    <w:rsid w:val="004A7D8B"/>
    <w:rsid w:val="004B13FF"/>
    <w:rsid w:val="004B3BB2"/>
    <w:rsid w:val="004B79B3"/>
    <w:rsid w:val="004C37FC"/>
    <w:rsid w:val="004D5EAC"/>
    <w:rsid w:val="004D74CA"/>
    <w:rsid w:val="004E25B5"/>
    <w:rsid w:val="004E4334"/>
    <w:rsid w:val="004F4E81"/>
    <w:rsid w:val="004F79FC"/>
    <w:rsid w:val="00514239"/>
    <w:rsid w:val="00514986"/>
    <w:rsid w:val="00517003"/>
    <w:rsid w:val="0052743F"/>
    <w:rsid w:val="0053071C"/>
    <w:rsid w:val="005362ED"/>
    <w:rsid w:val="00552848"/>
    <w:rsid w:val="00556EE7"/>
    <w:rsid w:val="00567320"/>
    <w:rsid w:val="005678CD"/>
    <w:rsid w:val="00570C38"/>
    <w:rsid w:val="005814B8"/>
    <w:rsid w:val="00584D5E"/>
    <w:rsid w:val="00594D7A"/>
    <w:rsid w:val="005A1A12"/>
    <w:rsid w:val="005A250C"/>
    <w:rsid w:val="005A44A4"/>
    <w:rsid w:val="005A6D8A"/>
    <w:rsid w:val="005D6CCC"/>
    <w:rsid w:val="005D6E0C"/>
    <w:rsid w:val="005E3690"/>
    <w:rsid w:val="005E6E5F"/>
    <w:rsid w:val="005F2074"/>
    <w:rsid w:val="005F3451"/>
    <w:rsid w:val="00600BA7"/>
    <w:rsid w:val="00600FE2"/>
    <w:rsid w:val="00621B91"/>
    <w:rsid w:val="006228DE"/>
    <w:rsid w:val="00643857"/>
    <w:rsid w:val="00656E79"/>
    <w:rsid w:val="00660DA7"/>
    <w:rsid w:val="00671CD8"/>
    <w:rsid w:val="006862A6"/>
    <w:rsid w:val="00690B91"/>
    <w:rsid w:val="00691212"/>
    <w:rsid w:val="0069418F"/>
    <w:rsid w:val="00696BEE"/>
    <w:rsid w:val="006C42BF"/>
    <w:rsid w:val="006D048E"/>
    <w:rsid w:val="006D6A61"/>
    <w:rsid w:val="006E505F"/>
    <w:rsid w:val="006F38B1"/>
    <w:rsid w:val="00707DC7"/>
    <w:rsid w:val="0071038D"/>
    <w:rsid w:val="00713137"/>
    <w:rsid w:val="0071640E"/>
    <w:rsid w:val="00722202"/>
    <w:rsid w:val="007233E2"/>
    <w:rsid w:val="00733BA6"/>
    <w:rsid w:val="00734D89"/>
    <w:rsid w:val="0074111E"/>
    <w:rsid w:val="007427A2"/>
    <w:rsid w:val="00750E88"/>
    <w:rsid w:val="00766105"/>
    <w:rsid w:val="00785D5D"/>
    <w:rsid w:val="007860A8"/>
    <w:rsid w:val="00790508"/>
    <w:rsid w:val="00790656"/>
    <w:rsid w:val="00790FB0"/>
    <w:rsid w:val="007A3EAB"/>
    <w:rsid w:val="007A66CA"/>
    <w:rsid w:val="007A78F7"/>
    <w:rsid w:val="007B3BEC"/>
    <w:rsid w:val="007D3E32"/>
    <w:rsid w:val="007F379A"/>
    <w:rsid w:val="00815CC6"/>
    <w:rsid w:val="00823D06"/>
    <w:rsid w:val="00823EE7"/>
    <w:rsid w:val="00824C04"/>
    <w:rsid w:val="00830CB9"/>
    <w:rsid w:val="0083325E"/>
    <w:rsid w:val="00836073"/>
    <w:rsid w:val="0084029F"/>
    <w:rsid w:val="0085274D"/>
    <w:rsid w:val="00856FB1"/>
    <w:rsid w:val="0086405A"/>
    <w:rsid w:val="0087216B"/>
    <w:rsid w:val="0088103A"/>
    <w:rsid w:val="008835E8"/>
    <w:rsid w:val="00885A91"/>
    <w:rsid w:val="00890E47"/>
    <w:rsid w:val="008947F1"/>
    <w:rsid w:val="00897B66"/>
    <w:rsid w:val="008A14A7"/>
    <w:rsid w:val="008A1739"/>
    <w:rsid w:val="008B61A9"/>
    <w:rsid w:val="008B6DE8"/>
    <w:rsid w:val="008C0F05"/>
    <w:rsid w:val="008C1742"/>
    <w:rsid w:val="008C3227"/>
    <w:rsid w:val="008C7FE7"/>
    <w:rsid w:val="008D2778"/>
    <w:rsid w:val="008F5631"/>
    <w:rsid w:val="009037B4"/>
    <w:rsid w:val="00914BCB"/>
    <w:rsid w:val="009424BC"/>
    <w:rsid w:val="00943078"/>
    <w:rsid w:val="009443A1"/>
    <w:rsid w:val="00947F13"/>
    <w:rsid w:val="00951E10"/>
    <w:rsid w:val="009537DF"/>
    <w:rsid w:val="00953B1E"/>
    <w:rsid w:val="00953F16"/>
    <w:rsid w:val="00960F00"/>
    <w:rsid w:val="00964A9C"/>
    <w:rsid w:val="00966AF4"/>
    <w:rsid w:val="0098120D"/>
    <w:rsid w:val="009875DA"/>
    <w:rsid w:val="009A330C"/>
    <w:rsid w:val="009C632A"/>
    <w:rsid w:val="009C6A88"/>
    <w:rsid w:val="009D4991"/>
    <w:rsid w:val="009D4D47"/>
    <w:rsid w:val="009D595B"/>
    <w:rsid w:val="009F5D59"/>
    <w:rsid w:val="00A01CE1"/>
    <w:rsid w:val="00A17A28"/>
    <w:rsid w:val="00A21A7F"/>
    <w:rsid w:val="00A21CFF"/>
    <w:rsid w:val="00A231AA"/>
    <w:rsid w:val="00A26C26"/>
    <w:rsid w:val="00A4763A"/>
    <w:rsid w:val="00A479E1"/>
    <w:rsid w:val="00A50CAC"/>
    <w:rsid w:val="00A608E2"/>
    <w:rsid w:val="00A64C6A"/>
    <w:rsid w:val="00A66B46"/>
    <w:rsid w:val="00A676D5"/>
    <w:rsid w:val="00A70497"/>
    <w:rsid w:val="00A72A86"/>
    <w:rsid w:val="00A75193"/>
    <w:rsid w:val="00A91632"/>
    <w:rsid w:val="00AB475F"/>
    <w:rsid w:val="00AB7766"/>
    <w:rsid w:val="00AD003C"/>
    <w:rsid w:val="00AD45F1"/>
    <w:rsid w:val="00AE42B0"/>
    <w:rsid w:val="00AE4838"/>
    <w:rsid w:val="00AF1F63"/>
    <w:rsid w:val="00B06260"/>
    <w:rsid w:val="00B12E0A"/>
    <w:rsid w:val="00B245D7"/>
    <w:rsid w:val="00B25100"/>
    <w:rsid w:val="00B270D6"/>
    <w:rsid w:val="00B414D1"/>
    <w:rsid w:val="00B558D0"/>
    <w:rsid w:val="00B63EA6"/>
    <w:rsid w:val="00B6613E"/>
    <w:rsid w:val="00B66787"/>
    <w:rsid w:val="00B708C1"/>
    <w:rsid w:val="00B84667"/>
    <w:rsid w:val="00B93289"/>
    <w:rsid w:val="00B97342"/>
    <w:rsid w:val="00B97896"/>
    <w:rsid w:val="00BA36E9"/>
    <w:rsid w:val="00BA3B81"/>
    <w:rsid w:val="00BA5E22"/>
    <w:rsid w:val="00BB3449"/>
    <w:rsid w:val="00BB73F7"/>
    <w:rsid w:val="00BC592B"/>
    <w:rsid w:val="00BD1664"/>
    <w:rsid w:val="00BD2A09"/>
    <w:rsid w:val="00BD3931"/>
    <w:rsid w:val="00BF5DC3"/>
    <w:rsid w:val="00C1295F"/>
    <w:rsid w:val="00C156E2"/>
    <w:rsid w:val="00C22A39"/>
    <w:rsid w:val="00C2623F"/>
    <w:rsid w:val="00C31164"/>
    <w:rsid w:val="00C31D93"/>
    <w:rsid w:val="00C44621"/>
    <w:rsid w:val="00C47488"/>
    <w:rsid w:val="00C60017"/>
    <w:rsid w:val="00C62A64"/>
    <w:rsid w:val="00C63895"/>
    <w:rsid w:val="00C66F15"/>
    <w:rsid w:val="00C723B0"/>
    <w:rsid w:val="00C857A6"/>
    <w:rsid w:val="00C954C6"/>
    <w:rsid w:val="00CA12AD"/>
    <w:rsid w:val="00CB4C22"/>
    <w:rsid w:val="00CB6B70"/>
    <w:rsid w:val="00CC284E"/>
    <w:rsid w:val="00CC5695"/>
    <w:rsid w:val="00CD7FB4"/>
    <w:rsid w:val="00D04F38"/>
    <w:rsid w:val="00D07276"/>
    <w:rsid w:val="00D10D80"/>
    <w:rsid w:val="00D21A58"/>
    <w:rsid w:val="00D2468A"/>
    <w:rsid w:val="00D40576"/>
    <w:rsid w:val="00D419A0"/>
    <w:rsid w:val="00D61860"/>
    <w:rsid w:val="00D62A61"/>
    <w:rsid w:val="00D66820"/>
    <w:rsid w:val="00D730A6"/>
    <w:rsid w:val="00D764B9"/>
    <w:rsid w:val="00D9060C"/>
    <w:rsid w:val="00DB45F0"/>
    <w:rsid w:val="00DC2F4C"/>
    <w:rsid w:val="00DC53C5"/>
    <w:rsid w:val="00DC636D"/>
    <w:rsid w:val="00DE65A6"/>
    <w:rsid w:val="00DF54F8"/>
    <w:rsid w:val="00E2244F"/>
    <w:rsid w:val="00E270A9"/>
    <w:rsid w:val="00E45A4E"/>
    <w:rsid w:val="00E464EE"/>
    <w:rsid w:val="00E66ABD"/>
    <w:rsid w:val="00E77A94"/>
    <w:rsid w:val="00E830F7"/>
    <w:rsid w:val="00E83454"/>
    <w:rsid w:val="00E86054"/>
    <w:rsid w:val="00E914CC"/>
    <w:rsid w:val="00E938D2"/>
    <w:rsid w:val="00E96356"/>
    <w:rsid w:val="00EA1B21"/>
    <w:rsid w:val="00EA1EAD"/>
    <w:rsid w:val="00EA3F20"/>
    <w:rsid w:val="00EB10DA"/>
    <w:rsid w:val="00EC6967"/>
    <w:rsid w:val="00ED6CC1"/>
    <w:rsid w:val="00EE2BDD"/>
    <w:rsid w:val="00EF6F6C"/>
    <w:rsid w:val="00F06D63"/>
    <w:rsid w:val="00F17259"/>
    <w:rsid w:val="00F21625"/>
    <w:rsid w:val="00F26CDE"/>
    <w:rsid w:val="00F4594A"/>
    <w:rsid w:val="00F47C91"/>
    <w:rsid w:val="00F530D6"/>
    <w:rsid w:val="00F70768"/>
    <w:rsid w:val="00F73473"/>
    <w:rsid w:val="00F73C59"/>
    <w:rsid w:val="00F9529C"/>
    <w:rsid w:val="00FA2B6D"/>
    <w:rsid w:val="00FB6DBA"/>
    <w:rsid w:val="00FC2591"/>
    <w:rsid w:val="00FC46AF"/>
    <w:rsid w:val="00FD03EA"/>
    <w:rsid w:val="00FE6113"/>
    <w:rsid w:val="00FF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2AE3"/>
  <w15:docId w15:val="{3D666A41-09FC-4B2D-B6BE-5FF4CDA0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08"/>
  </w:style>
  <w:style w:type="paragraph" w:styleId="Heading1">
    <w:name w:val="heading 1"/>
    <w:basedOn w:val="Normal"/>
    <w:next w:val="Normal"/>
    <w:link w:val="Heading1Char"/>
    <w:qFormat/>
    <w:rsid w:val="00EF6F6C"/>
    <w:pPr>
      <w:keepNext/>
      <w:tabs>
        <w:tab w:val="center" w:pos="1418"/>
        <w:tab w:val="center" w:pos="6521"/>
      </w:tabs>
      <w:spacing w:before="60" w:after="0" w:line="340" w:lineRule="exact"/>
      <w:jc w:val="right"/>
      <w:outlineLvl w:val="0"/>
    </w:pPr>
    <w:rPr>
      <w:rFonts w:ascii="Times New Roman" w:eastAsia="Times New Roman" w:hAnsi="Times New Roman" w:cs="Times New Roman"/>
      <w:i/>
      <w:sz w:val="24"/>
      <w:szCs w:val="24"/>
      <w:lang w:val="de-DE"/>
    </w:rPr>
  </w:style>
  <w:style w:type="paragraph" w:styleId="Heading2">
    <w:name w:val="heading 2"/>
    <w:basedOn w:val="Normal"/>
    <w:next w:val="Normal"/>
    <w:link w:val="Heading2Char"/>
    <w:qFormat/>
    <w:rsid w:val="00EF6F6C"/>
    <w:pPr>
      <w:keepNext/>
      <w:tabs>
        <w:tab w:val="center" w:pos="1418"/>
        <w:tab w:val="center" w:pos="6521"/>
      </w:tabs>
      <w:spacing w:after="0" w:line="240" w:lineRule="atLeast"/>
      <w:jc w:val="center"/>
      <w:outlineLvl w:val="1"/>
    </w:pPr>
    <w:rPr>
      <w:rFonts w:ascii="Times New Roman" w:eastAsia="Times New Roman" w:hAnsi="Times New Roman" w:cs="Times New Roman"/>
      <w:b/>
      <w:sz w:val="24"/>
      <w:szCs w:val="24"/>
      <w:lang w:val="de-DE"/>
    </w:rPr>
  </w:style>
  <w:style w:type="paragraph" w:styleId="Heading3">
    <w:name w:val="heading 3"/>
    <w:basedOn w:val="Normal"/>
    <w:next w:val="Normal"/>
    <w:link w:val="Heading3Char"/>
    <w:uiPriority w:val="9"/>
    <w:unhideWhenUsed/>
    <w:qFormat/>
    <w:rsid w:val="002A39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7661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D7A"/>
    <w:pPr>
      <w:ind w:left="720"/>
      <w:contextualSpacing/>
    </w:pPr>
  </w:style>
  <w:style w:type="table" w:styleId="TableGrid">
    <w:name w:val="Table Grid"/>
    <w:basedOn w:val="TableNormal"/>
    <w:uiPriority w:val="39"/>
    <w:rsid w:val="00366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6F6C"/>
    <w:rPr>
      <w:rFonts w:ascii="Times New Roman" w:eastAsia="Times New Roman" w:hAnsi="Times New Roman" w:cs="Times New Roman"/>
      <w:i/>
      <w:sz w:val="24"/>
      <w:szCs w:val="24"/>
      <w:lang w:val="de-DE"/>
    </w:rPr>
  </w:style>
  <w:style w:type="character" w:customStyle="1" w:styleId="Heading2Char">
    <w:name w:val="Heading 2 Char"/>
    <w:basedOn w:val="DefaultParagraphFont"/>
    <w:link w:val="Heading2"/>
    <w:rsid w:val="00EF6F6C"/>
    <w:rPr>
      <w:rFonts w:ascii="Times New Roman" w:eastAsia="Times New Roman" w:hAnsi="Times New Roman" w:cs="Times New Roman"/>
      <w:b/>
      <w:sz w:val="24"/>
      <w:szCs w:val="24"/>
      <w:lang w:val="de-DE"/>
    </w:rPr>
  </w:style>
  <w:style w:type="paragraph" w:styleId="BalloonText">
    <w:name w:val="Balloon Text"/>
    <w:basedOn w:val="Normal"/>
    <w:link w:val="BalloonTextChar"/>
    <w:uiPriority w:val="99"/>
    <w:semiHidden/>
    <w:unhideWhenUsed/>
    <w:rsid w:val="00EF6F6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F6C"/>
    <w:rPr>
      <w:rFonts w:ascii="Times New Roman" w:hAnsi="Times New Roman" w:cs="Times New Roman"/>
      <w:sz w:val="18"/>
      <w:szCs w:val="18"/>
    </w:rPr>
  </w:style>
  <w:style w:type="paragraph" w:styleId="NormalWeb">
    <w:name w:val="Normal (Web)"/>
    <w:aliases w:val="Char Char Char Char Char Char Char Char Char Char,Char Char Char Char Char Char Char Char Char Char Char,Normal (Web) Char Char, Char Char25,Char Char25, Char Char Char,Char Char Char,Обычный (веб)1,Обычный (веб) Знак,Обычный (веб) Знак1"/>
    <w:basedOn w:val="Normal"/>
    <w:link w:val="NormalWebChar"/>
    <w:uiPriority w:val="99"/>
    <w:unhideWhenUsed/>
    <w:qFormat/>
    <w:rsid w:val="00897B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B66"/>
    <w:rPr>
      <w:color w:val="0000FF"/>
      <w:u w:val="single"/>
    </w:rPr>
  </w:style>
  <w:style w:type="character" w:styleId="Emphasis">
    <w:name w:val="Emphasis"/>
    <w:uiPriority w:val="20"/>
    <w:qFormat/>
    <w:rsid w:val="004E25B5"/>
    <w:rPr>
      <w:i/>
      <w:iCs/>
    </w:rPr>
  </w:style>
  <w:style w:type="character" w:styleId="Strong">
    <w:name w:val="Strong"/>
    <w:uiPriority w:val="22"/>
    <w:qFormat/>
    <w:rsid w:val="004E25B5"/>
    <w:rPr>
      <w:b/>
      <w:bCs/>
    </w:rPr>
  </w:style>
  <w:style w:type="paragraph" w:styleId="FootnoteText">
    <w:name w:val="footnote text"/>
    <w:basedOn w:val="Normal"/>
    <w:link w:val="FootnoteTextChar"/>
    <w:uiPriority w:val="99"/>
    <w:semiHidden/>
    <w:unhideWhenUsed/>
    <w:rsid w:val="00265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5EC"/>
    <w:rPr>
      <w:sz w:val="20"/>
      <w:szCs w:val="20"/>
    </w:rPr>
  </w:style>
  <w:style w:type="character" w:styleId="FootnoteReference">
    <w:name w:val="footnote reference"/>
    <w:basedOn w:val="DefaultParagraphFont"/>
    <w:uiPriority w:val="99"/>
    <w:semiHidden/>
    <w:unhideWhenUsed/>
    <w:rsid w:val="002655EC"/>
    <w:rPr>
      <w:vertAlign w:val="superscript"/>
    </w:rPr>
  </w:style>
  <w:style w:type="character" w:customStyle="1" w:styleId="apple-converted-space">
    <w:name w:val="apple-converted-space"/>
    <w:qFormat/>
    <w:rsid w:val="00F26CDE"/>
  </w:style>
  <w:style w:type="character" w:customStyle="1" w:styleId="Heading3Char">
    <w:name w:val="Heading 3 Char"/>
    <w:basedOn w:val="DefaultParagraphFont"/>
    <w:link w:val="Heading3"/>
    <w:uiPriority w:val="9"/>
    <w:rsid w:val="002A39F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7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6B"/>
  </w:style>
  <w:style w:type="paragraph" w:styleId="Footer">
    <w:name w:val="footer"/>
    <w:basedOn w:val="Normal"/>
    <w:link w:val="FooterChar"/>
    <w:uiPriority w:val="99"/>
    <w:unhideWhenUsed/>
    <w:rsid w:val="0087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6B"/>
  </w:style>
  <w:style w:type="character" w:customStyle="1" w:styleId="apple-tab-span">
    <w:name w:val="apple-tab-span"/>
    <w:basedOn w:val="DefaultParagraphFont"/>
    <w:rsid w:val="00AB776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uiPriority w:val="99"/>
    <w:locked/>
    <w:rsid w:val="00CC284E"/>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766105"/>
    <w:rPr>
      <w:rFonts w:asciiTheme="majorHAnsi" w:eastAsiaTheme="majorEastAsia" w:hAnsiTheme="majorHAnsi" w:cstheme="majorBidi"/>
      <w:i/>
      <w:iCs/>
      <w:color w:val="243F60" w:themeColor="accent1" w:themeShade="7F"/>
    </w:rPr>
  </w:style>
  <w:style w:type="character" w:customStyle="1" w:styleId="whitespace-normal">
    <w:name w:val="whitespace-normal"/>
    <w:basedOn w:val="DefaultParagraphFont"/>
    <w:rsid w:val="00255200"/>
  </w:style>
  <w:style w:type="paragraph" w:styleId="Revision">
    <w:name w:val="Revision"/>
    <w:hidden/>
    <w:uiPriority w:val="99"/>
    <w:semiHidden/>
    <w:rsid w:val="006F3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03">
      <w:bodyDiv w:val="1"/>
      <w:marLeft w:val="0"/>
      <w:marRight w:val="0"/>
      <w:marTop w:val="0"/>
      <w:marBottom w:val="0"/>
      <w:divBdr>
        <w:top w:val="none" w:sz="0" w:space="0" w:color="auto"/>
        <w:left w:val="none" w:sz="0" w:space="0" w:color="auto"/>
        <w:bottom w:val="none" w:sz="0" w:space="0" w:color="auto"/>
        <w:right w:val="none" w:sz="0" w:space="0" w:color="auto"/>
      </w:divBdr>
    </w:div>
    <w:div w:id="37900532">
      <w:bodyDiv w:val="1"/>
      <w:marLeft w:val="0"/>
      <w:marRight w:val="0"/>
      <w:marTop w:val="0"/>
      <w:marBottom w:val="0"/>
      <w:divBdr>
        <w:top w:val="none" w:sz="0" w:space="0" w:color="auto"/>
        <w:left w:val="none" w:sz="0" w:space="0" w:color="auto"/>
        <w:bottom w:val="none" w:sz="0" w:space="0" w:color="auto"/>
        <w:right w:val="none" w:sz="0" w:space="0" w:color="auto"/>
      </w:divBdr>
    </w:div>
    <w:div w:id="41757402">
      <w:bodyDiv w:val="1"/>
      <w:marLeft w:val="0"/>
      <w:marRight w:val="0"/>
      <w:marTop w:val="0"/>
      <w:marBottom w:val="0"/>
      <w:divBdr>
        <w:top w:val="none" w:sz="0" w:space="0" w:color="auto"/>
        <w:left w:val="none" w:sz="0" w:space="0" w:color="auto"/>
        <w:bottom w:val="none" w:sz="0" w:space="0" w:color="auto"/>
        <w:right w:val="none" w:sz="0" w:space="0" w:color="auto"/>
      </w:divBdr>
    </w:div>
    <w:div w:id="43454889">
      <w:bodyDiv w:val="1"/>
      <w:marLeft w:val="0"/>
      <w:marRight w:val="0"/>
      <w:marTop w:val="0"/>
      <w:marBottom w:val="0"/>
      <w:divBdr>
        <w:top w:val="none" w:sz="0" w:space="0" w:color="auto"/>
        <w:left w:val="none" w:sz="0" w:space="0" w:color="auto"/>
        <w:bottom w:val="none" w:sz="0" w:space="0" w:color="auto"/>
        <w:right w:val="none" w:sz="0" w:space="0" w:color="auto"/>
      </w:divBdr>
    </w:div>
    <w:div w:id="62457645">
      <w:bodyDiv w:val="1"/>
      <w:marLeft w:val="0"/>
      <w:marRight w:val="0"/>
      <w:marTop w:val="0"/>
      <w:marBottom w:val="0"/>
      <w:divBdr>
        <w:top w:val="none" w:sz="0" w:space="0" w:color="auto"/>
        <w:left w:val="none" w:sz="0" w:space="0" w:color="auto"/>
        <w:bottom w:val="none" w:sz="0" w:space="0" w:color="auto"/>
        <w:right w:val="none" w:sz="0" w:space="0" w:color="auto"/>
      </w:divBdr>
    </w:div>
    <w:div w:id="102113857">
      <w:bodyDiv w:val="1"/>
      <w:marLeft w:val="0"/>
      <w:marRight w:val="0"/>
      <w:marTop w:val="0"/>
      <w:marBottom w:val="0"/>
      <w:divBdr>
        <w:top w:val="none" w:sz="0" w:space="0" w:color="auto"/>
        <w:left w:val="none" w:sz="0" w:space="0" w:color="auto"/>
        <w:bottom w:val="none" w:sz="0" w:space="0" w:color="auto"/>
        <w:right w:val="none" w:sz="0" w:space="0" w:color="auto"/>
      </w:divBdr>
    </w:div>
    <w:div w:id="129247127">
      <w:bodyDiv w:val="1"/>
      <w:marLeft w:val="0"/>
      <w:marRight w:val="0"/>
      <w:marTop w:val="0"/>
      <w:marBottom w:val="0"/>
      <w:divBdr>
        <w:top w:val="none" w:sz="0" w:space="0" w:color="auto"/>
        <w:left w:val="none" w:sz="0" w:space="0" w:color="auto"/>
        <w:bottom w:val="none" w:sz="0" w:space="0" w:color="auto"/>
        <w:right w:val="none" w:sz="0" w:space="0" w:color="auto"/>
      </w:divBdr>
    </w:div>
    <w:div w:id="133183713">
      <w:bodyDiv w:val="1"/>
      <w:marLeft w:val="0"/>
      <w:marRight w:val="0"/>
      <w:marTop w:val="0"/>
      <w:marBottom w:val="0"/>
      <w:divBdr>
        <w:top w:val="none" w:sz="0" w:space="0" w:color="auto"/>
        <w:left w:val="none" w:sz="0" w:space="0" w:color="auto"/>
        <w:bottom w:val="none" w:sz="0" w:space="0" w:color="auto"/>
        <w:right w:val="none" w:sz="0" w:space="0" w:color="auto"/>
      </w:divBdr>
    </w:div>
    <w:div w:id="148910748">
      <w:bodyDiv w:val="1"/>
      <w:marLeft w:val="0"/>
      <w:marRight w:val="0"/>
      <w:marTop w:val="0"/>
      <w:marBottom w:val="0"/>
      <w:divBdr>
        <w:top w:val="none" w:sz="0" w:space="0" w:color="auto"/>
        <w:left w:val="none" w:sz="0" w:space="0" w:color="auto"/>
        <w:bottom w:val="none" w:sz="0" w:space="0" w:color="auto"/>
        <w:right w:val="none" w:sz="0" w:space="0" w:color="auto"/>
      </w:divBdr>
    </w:div>
    <w:div w:id="156380954">
      <w:bodyDiv w:val="1"/>
      <w:marLeft w:val="0"/>
      <w:marRight w:val="0"/>
      <w:marTop w:val="0"/>
      <w:marBottom w:val="0"/>
      <w:divBdr>
        <w:top w:val="none" w:sz="0" w:space="0" w:color="auto"/>
        <w:left w:val="none" w:sz="0" w:space="0" w:color="auto"/>
        <w:bottom w:val="none" w:sz="0" w:space="0" w:color="auto"/>
        <w:right w:val="none" w:sz="0" w:space="0" w:color="auto"/>
      </w:divBdr>
    </w:div>
    <w:div w:id="172187991">
      <w:bodyDiv w:val="1"/>
      <w:marLeft w:val="0"/>
      <w:marRight w:val="0"/>
      <w:marTop w:val="0"/>
      <w:marBottom w:val="0"/>
      <w:divBdr>
        <w:top w:val="none" w:sz="0" w:space="0" w:color="auto"/>
        <w:left w:val="none" w:sz="0" w:space="0" w:color="auto"/>
        <w:bottom w:val="none" w:sz="0" w:space="0" w:color="auto"/>
        <w:right w:val="none" w:sz="0" w:space="0" w:color="auto"/>
      </w:divBdr>
    </w:div>
    <w:div w:id="218247723">
      <w:bodyDiv w:val="1"/>
      <w:marLeft w:val="0"/>
      <w:marRight w:val="0"/>
      <w:marTop w:val="0"/>
      <w:marBottom w:val="0"/>
      <w:divBdr>
        <w:top w:val="none" w:sz="0" w:space="0" w:color="auto"/>
        <w:left w:val="none" w:sz="0" w:space="0" w:color="auto"/>
        <w:bottom w:val="none" w:sz="0" w:space="0" w:color="auto"/>
        <w:right w:val="none" w:sz="0" w:space="0" w:color="auto"/>
      </w:divBdr>
    </w:div>
    <w:div w:id="232206189">
      <w:bodyDiv w:val="1"/>
      <w:marLeft w:val="0"/>
      <w:marRight w:val="0"/>
      <w:marTop w:val="0"/>
      <w:marBottom w:val="0"/>
      <w:divBdr>
        <w:top w:val="none" w:sz="0" w:space="0" w:color="auto"/>
        <w:left w:val="none" w:sz="0" w:space="0" w:color="auto"/>
        <w:bottom w:val="none" w:sz="0" w:space="0" w:color="auto"/>
        <w:right w:val="none" w:sz="0" w:space="0" w:color="auto"/>
      </w:divBdr>
    </w:div>
    <w:div w:id="235210681">
      <w:bodyDiv w:val="1"/>
      <w:marLeft w:val="0"/>
      <w:marRight w:val="0"/>
      <w:marTop w:val="0"/>
      <w:marBottom w:val="0"/>
      <w:divBdr>
        <w:top w:val="none" w:sz="0" w:space="0" w:color="auto"/>
        <w:left w:val="none" w:sz="0" w:space="0" w:color="auto"/>
        <w:bottom w:val="none" w:sz="0" w:space="0" w:color="auto"/>
        <w:right w:val="none" w:sz="0" w:space="0" w:color="auto"/>
      </w:divBdr>
    </w:div>
    <w:div w:id="266086211">
      <w:bodyDiv w:val="1"/>
      <w:marLeft w:val="0"/>
      <w:marRight w:val="0"/>
      <w:marTop w:val="0"/>
      <w:marBottom w:val="0"/>
      <w:divBdr>
        <w:top w:val="none" w:sz="0" w:space="0" w:color="auto"/>
        <w:left w:val="none" w:sz="0" w:space="0" w:color="auto"/>
        <w:bottom w:val="none" w:sz="0" w:space="0" w:color="auto"/>
        <w:right w:val="none" w:sz="0" w:space="0" w:color="auto"/>
      </w:divBdr>
    </w:div>
    <w:div w:id="296103662">
      <w:bodyDiv w:val="1"/>
      <w:marLeft w:val="0"/>
      <w:marRight w:val="0"/>
      <w:marTop w:val="0"/>
      <w:marBottom w:val="0"/>
      <w:divBdr>
        <w:top w:val="none" w:sz="0" w:space="0" w:color="auto"/>
        <w:left w:val="none" w:sz="0" w:space="0" w:color="auto"/>
        <w:bottom w:val="none" w:sz="0" w:space="0" w:color="auto"/>
        <w:right w:val="none" w:sz="0" w:space="0" w:color="auto"/>
      </w:divBdr>
    </w:div>
    <w:div w:id="299384159">
      <w:bodyDiv w:val="1"/>
      <w:marLeft w:val="0"/>
      <w:marRight w:val="0"/>
      <w:marTop w:val="0"/>
      <w:marBottom w:val="0"/>
      <w:divBdr>
        <w:top w:val="none" w:sz="0" w:space="0" w:color="auto"/>
        <w:left w:val="none" w:sz="0" w:space="0" w:color="auto"/>
        <w:bottom w:val="none" w:sz="0" w:space="0" w:color="auto"/>
        <w:right w:val="none" w:sz="0" w:space="0" w:color="auto"/>
      </w:divBdr>
    </w:div>
    <w:div w:id="307633272">
      <w:bodyDiv w:val="1"/>
      <w:marLeft w:val="0"/>
      <w:marRight w:val="0"/>
      <w:marTop w:val="0"/>
      <w:marBottom w:val="0"/>
      <w:divBdr>
        <w:top w:val="none" w:sz="0" w:space="0" w:color="auto"/>
        <w:left w:val="none" w:sz="0" w:space="0" w:color="auto"/>
        <w:bottom w:val="none" w:sz="0" w:space="0" w:color="auto"/>
        <w:right w:val="none" w:sz="0" w:space="0" w:color="auto"/>
      </w:divBdr>
    </w:div>
    <w:div w:id="308023210">
      <w:bodyDiv w:val="1"/>
      <w:marLeft w:val="0"/>
      <w:marRight w:val="0"/>
      <w:marTop w:val="0"/>
      <w:marBottom w:val="0"/>
      <w:divBdr>
        <w:top w:val="none" w:sz="0" w:space="0" w:color="auto"/>
        <w:left w:val="none" w:sz="0" w:space="0" w:color="auto"/>
        <w:bottom w:val="none" w:sz="0" w:space="0" w:color="auto"/>
        <w:right w:val="none" w:sz="0" w:space="0" w:color="auto"/>
      </w:divBdr>
    </w:div>
    <w:div w:id="319425394">
      <w:bodyDiv w:val="1"/>
      <w:marLeft w:val="0"/>
      <w:marRight w:val="0"/>
      <w:marTop w:val="0"/>
      <w:marBottom w:val="0"/>
      <w:divBdr>
        <w:top w:val="none" w:sz="0" w:space="0" w:color="auto"/>
        <w:left w:val="none" w:sz="0" w:space="0" w:color="auto"/>
        <w:bottom w:val="none" w:sz="0" w:space="0" w:color="auto"/>
        <w:right w:val="none" w:sz="0" w:space="0" w:color="auto"/>
      </w:divBdr>
    </w:div>
    <w:div w:id="362025669">
      <w:bodyDiv w:val="1"/>
      <w:marLeft w:val="0"/>
      <w:marRight w:val="0"/>
      <w:marTop w:val="0"/>
      <w:marBottom w:val="0"/>
      <w:divBdr>
        <w:top w:val="none" w:sz="0" w:space="0" w:color="auto"/>
        <w:left w:val="none" w:sz="0" w:space="0" w:color="auto"/>
        <w:bottom w:val="none" w:sz="0" w:space="0" w:color="auto"/>
        <w:right w:val="none" w:sz="0" w:space="0" w:color="auto"/>
      </w:divBdr>
    </w:div>
    <w:div w:id="366178883">
      <w:bodyDiv w:val="1"/>
      <w:marLeft w:val="0"/>
      <w:marRight w:val="0"/>
      <w:marTop w:val="0"/>
      <w:marBottom w:val="0"/>
      <w:divBdr>
        <w:top w:val="none" w:sz="0" w:space="0" w:color="auto"/>
        <w:left w:val="none" w:sz="0" w:space="0" w:color="auto"/>
        <w:bottom w:val="none" w:sz="0" w:space="0" w:color="auto"/>
        <w:right w:val="none" w:sz="0" w:space="0" w:color="auto"/>
      </w:divBdr>
    </w:div>
    <w:div w:id="367684924">
      <w:bodyDiv w:val="1"/>
      <w:marLeft w:val="0"/>
      <w:marRight w:val="0"/>
      <w:marTop w:val="0"/>
      <w:marBottom w:val="0"/>
      <w:divBdr>
        <w:top w:val="none" w:sz="0" w:space="0" w:color="auto"/>
        <w:left w:val="none" w:sz="0" w:space="0" w:color="auto"/>
        <w:bottom w:val="none" w:sz="0" w:space="0" w:color="auto"/>
        <w:right w:val="none" w:sz="0" w:space="0" w:color="auto"/>
      </w:divBdr>
    </w:div>
    <w:div w:id="392118869">
      <w:bodyDiv w:val="1"/>
      <w:marLeft w:val="0"/>
      <w:marRight w:val="0"/>
      <w:marTop w:val="0"/>
      <w:marBottom w:val="0"/>
      <w:divBdr>
        <w:top w:val="none" w:sz="0" w:space="0" w:color="auto"/>
        <w:left w:val="none" w:sz="0" w:space="0" w:color="auto"/>
        <w:bottom w:val="none" w:sz="0" w:space="0" w:color="auto"/>
        <w:right w:val="none" w:sz="0" w:space="0" w:color="auto"/>
      </w:divBdr>
    </w:div>
    <w:div w:id="410783651">
      <w:bodyDiv w:val="1"/>
      <w:marLeft w:val="0"/>
      <w:marRight w:val="0"/>
      <w:marTop w:val="0"/>
      <w:marBottom w:val="0"/>
      <w:divBdr>
        <w:top w:val="none" w:sz="0" w:space="0" w:color="auto"/>
        <w:left w:val="none" w:sz="0" w:space="0" w:color="auto"/>
        <w:bottom w:val="none" w:sz="0" w:space="0" w:color="auto"/>
        <w:right w:val="none" w:sz="0" w:space="0" w:color="auto"/>
      </w:divBdr>
    </w:div>
    <w:div w:id="426586280">
      <w:bodyDiv w:val="1"/>
      <w:marLeft w:val="0"/>
      <w:marRight w:val="0"/>
      <w:marTop w:val="0"/>
      <w:marBottom w:val="0"/>
      <w:divBdr>
        <w:top w:val="none" w:sz="0" w:space="0" w:color="auto"/>
        <w:left w:val="none" w:sz="0" w:space="0" w:color="auto"/>
        <w:bottom w:val="none" w:sz="0" w:space="0" w:color="auto"/>
        <w:right w:val="none" w:sz="0" w:space="0" w:color="auto"/>
      </w:divBdr>
    </w:div>
    <w:div w:id="450590021">
      <w:bodyDiv w:val="1"/>
      <w:marLeft w:val="0"/>
      <w:marRight w:val="0"/>
      <w:marTop w:val="0"/>
      <w:marBottom w:val="0"/>
      <w:divBdr>
        <w:top w:val="none" w:sz="0" w:space="0" w:color="auto"/>
        <w:left w:val="none" w:sz="0" w:space="0" w:color="auto"/>
        <w:bottom w:val="none" w:sz="0" w:space="0" w:color="auto"/>
        <w:right w:val="none" w:sz="0" w:space="0" w:color="auto"/>
      </w:divBdr>
    </w:div>
    <w:div w:id="499658244">
      <w:bodyDiv w:val="1"/>
      <w:marLeft w:val="0"/>
      <w:marRight w:val="0"/>
      <w:marTop w:val="0"/>
      <w:marBottom w:val="0"/>
      <w:divBdr>
        <w:top w:val="none" w:sz="0" w:space="0" w:color="auto"/>
        <w:left w:val="none" w:sz="0" w:space="0" w:color="auto"/>
        <w:bottom w:val="none" w:sz="0" w:space="0" w:color="auto"/>
        <w:right w:val="none" w:sz="0" w:space="0" w:color="auto"/>
      </w:divBdr>
    </w:div>
    <w:div w:id="501434090">
      <w:bodyDiv w:val="1"/>
      <w:marLeft w:val="0"/>
      <w:marRight w:val="0"/>
      <w:marTop w:val="0"/>
      <w:marBottom w:val="0"/>
      <w:divBdr>
        <w:top w:val="none" w:sz="0" w:space="0" w:color="auto"/>
        <w:left w:val="none" w:sz="0" w:space="0" w:color="auto"/>
        <w:bottom w:val="none" w:sz="0" w:space="0" w:color="auto"/>
        <w:right w:val="none" w:sz="0" w:space="0" w:color="auto"/>
      </w:divBdr>
    </w:div>
    <w:div w:id="556863055">
      <w:bodyDiv w:val="1"/>
      <w:marLeft w:val="0"/>
      <w:marRight w:val="0"/>
      <w:marTop w:val="0"/>
      <w:marBottom w:val="0"/>
      <w:divBdr>
        <w:top w:val="none" w:sz="0" w:space="0" w:color="auto"/>
        <w:left w:val="none" w:sz="0" w:space="0" w:color="auto"/>
        <w:bottom w:val="none" w:sz="0" w:space="0" w:color="auto"/>
        <w:right w:val="none" w:sz="0" w:space="0" w:color="auto"/>
      </w:divBdr>
    </w:div>
    <w:div w:id="566257839">
      <w:bodyDiv w:val="1"/>
      <w:marLeft w:val="0"/>
      <w:marRight w:val="0"/>
      <w:marTop w:val="0"/>
      <w:marBottom w:val="0"/>
      <w:divBdr>
        <w:top w:val="none" w:sz="0" w:space="0" w:color="auto"/>
        <w:left w:val="none" w:sz="0" w:space="0" w:color="auto"/>
        <w:bottom w:val="none" w:sz="0" w:space="0" w:color="auto"/>
        <w:right w:val="none" w:sz="0" w:space="0" w:color="auto"/>
      </w:divBdr>
    </w:div>
    <w:div w:id="584732772">
      <w:bodyDiv w:val="1"/>
      <w:marLeft w:val="0"/>
      <w:marRight w:val="0"/>
      <w:marTop w:val="0"/>
      <w:marBottom w:val="0"/>
      <w:divBdr>
        <w:top w:val="none" w:sz="0" w:space="0" w:color="auto"/>
        <w:left w:val="none" w:sz="0" w:space="0" w:color="auto"/>
        <w:bottom w:val="none" w:sz="0" w:space="0" w:color="auto"/>
        <w:right w:val="none" w:sz="0" w:space="0" w:color="auto"/>
      </w:divBdr>
    </w:div>
    <w:div w:id="621419485">
      <w:bodyDiv w:val="1"/>
      <w:marLeft w:val="0"/>
      <w:marRight w:val="0"/>
      <w:marTop w:val="0"/>
      <w:marBottom w:val="0"/>
      <w:divBdr>
        <w:top w:val="none" w:sz="0" w:space="0" w:color="auto"/>
        <w:left w:val="none" w:sz="0" w:space="0" w:color="auto"/>
        <w:bottom w:val="none" w:sz="0" w:space="0" w:color="auto"/>
        <w:right w:val="none" w:sz="0" w:space="0" w:color="auto"/>
      </w:divBdr>
    </w:div>
    <w:div w:id="627707326">
      <w:bodyDiv w:val="1"/>
      <w:marLeft w:val="0"/>
      <w:marRight w:val="0"/>
      <w:marTop w:val="0"/>
      <w:marBottom w:val="0"/>
      <w:divBdr>
        <w:top w:val="none" w:sz="0" w:space="0" w:color="auto"/>
        <w:left w:val="none" w:sz="0" w:space="0" w:color="auto"/>
        <w:bottom w:val="none" w:sz="0" w:space="0" w:color="auto"/>
        <w:right w:val="none" w:sz="0" w:space="0" w:color="auto"/>
      </w:divBdr>
    </w:div>
    <w:div w:id="629946226">
      <w:bodyDiv w:val="1"/>
      <w:marLeft w:val="0"/>
      <w:marRight w:val="0"/>
      <w:marTop w:val="0"/>
      <w:marBottom w:val="0"/>
      <w:divBdr>
        <w:top w:val="none" w:sz="0" w:space="0" w:color="auto"/>
        <w:left w:val="none" w:sz="0" w:space="0" w:color="auto"/>
        <w:bottom w:val="none" w:sz="0" w:space="0" w:color="auto"/>
        <w:right w:val="none" w:sz="0" w:space="0" w:color="auto"/>
      </w:divBdr>
    </w:div>
    <w:div w:id="635720821">
      <w:bodyDiv w:val="1"/>
      <w:marLeft w:val="0"/>
      <w:marRight w:val="0"/>
      <w:marTop w:val="0"/>
      <w:marBottom w:val="0"/>
      <w:divBdr>
        <w:top w:val="none" w:sz="0" w:space="0" w:color="auto"/>
        <w:left w:val="none" w:sz="0" w:space="0" w:color="auto"/>
        <w:bottom w:val="none" w:sz="0" w:space="0" w:color="auto"/>
        <w:right w:val="none" w:sz="0" w:space="0" w:color="auto"/>
      </w:divBdr>
    </w:div>
    <w:div w:id="663632120">
      <w:bodyDiv w:val="1"/>
      <w:marLeft w:val="0"/>
      <w:marRight w:val="0"/>
      <w:marTop w:val="0"/>
      <w:marBottom w:val="0"/>
      <w:divBdr>
        <w:top w:val="none" w:sz="0" w:space="0" w:color="auto"/>
        <w:left w:val="none" w:sz="0" w:space="0" w:color="auto"/>
        <w:bottom w:val="none" w:sz="0" w:space="0" w:color="auto"/>
        <w:right w:val="none" w:sz="0" w:space="0" w:color="auto"/>
      </w:divBdr>
    </w:div>
    <w:div w:id="686179098">
      <w:bodyDiv w:val="1"/>
      <w:marLeft w:val="0"/>
      <w:marRight w:val="0"/>
      <w:marTop w:val="0"/>
      <w:marBottom w:val="0"/>
      <w:divBdr>
        <w:top w:val="none" w:sz="0" w:space="0" w:color="auto"/>
        <w:left w:val="none" w:sz="0" w:space="0" w:color="auto"/>
        <w:bottom w:val="none" w:sz="0" w:space="0" w:color="auto"/>
        <w:right w:val="none" w:sz="0" w:space="0" w:color="auto"/>
      </w:divBdr>
    </w:div>
    <w:div w:id="686255033">
      <w:bodyDiv w:val="1"/>
      <w:marLeft w:val="0"/>
      <w:marRight w:val="0"/>
      <w:marTop w:val="0"/>
      <w:marBottom w:val="0"/>
      <w:divBdr>
        <w:top w:val="none" w:sz="0" w:space="0" w:color="auto"/>
        <w:left w:val="none" w:sz="0" w:space="0" w:color="auto"/>
        <w:bottom w:val="none" w:sz="0" w:space="0" w:color="auto"/>
        <w:right w:val="none" w:sz="0" w:space="0" w:color="auto"/>
      </w:divBdr>
    </w:div>
    <w:div w:id="692343602">
      <w:bodyDiv w:val="1"/>
      <w:marLeft w:val="0"/>
      <w:marRight w:val="0"/>
      <w:marTop w:val="0"/>
      <w:marBottom w:val="0"/>
      <w:divBdr>
        <w:top w:val="none" w:sz="0" w:space="0" w:color="auto"/>
        <w:left w:val="none" w:sz="0" w:space="0" w:color="auto"/>
        <w:bottom w:val="none" w:sz="0" w:space="0" w:color="auto"/>
        <w:right w:val="none" w:sz="0" w:space="0" w:color="auto"/>
      </w:divBdr>
    </w:div>
    <w:div w:id="715158244">
      <w:bodyDiv w:val="1"/>
      <w:marLeft w:val="0"/>
      <w:marRight w:val="0"/>
      <w:marTop w:val="0"/>
      <w:marBottom w:val="0"/>
      <w:divBdr>
        <w:top w:val="none" w:sz="0" w:space="0" w:color="auto"/>
        <w:left w:val="none" w:sz="0" w:space="0" w:color="auto"/>
        <w:bottom w:val="none" w:sz="0" w:space="0" w:color="auto"/>
        <w:right w:val="none" w:sz="0" w:space="0" w:color="auto"/>
      </w:divBdr>
    </w:div>
    <w:div w:id="715663262">
      <w:bodyDiv w:val="1"/>
      <w:marLeft w:val="0"/>
      <w:marRight w:val="0"/>
      <w:marTop w:val="0"/>
      <w:marBottom w:val="0"/>
      <w:divBdr>
        <w:top w:val="none" w:sz="0" w:space="0" w:color="auto"/>
        <w:left w:val="none" w:sz="0" w:space="0" w:color="auto"/>
        <w:bottom w:val="none" w:sz="0" w:space="0" w:color="auto"/>
        <w:right w:val="none" w:sz="0" w:space="0" w:color="auto"/>
      </w:divBdr>
    </w:div>
    <w:div w:id="724838867">
      <w:bodyDiv w:val="1"/>
      <w:marLeft w:val="0"/>
      <w:marRight w:val="0"/>
      <w:marTop w:val="0"/>
      <w:marBottom w:val="0"/>
      <w:divBdr>
        <w:top w:val="none" w:sz="0" w:space="0" w:color="auto"/>
        <w:left w:val="none" w:sz="0" w:space="0" w:color="auto"/>
        <w:bottom w:val="none" w:sz="0" w:space="0" w:color="auto"/>
        <w:right w:val="none" w:sz="0" w:space="0" w:color="auto"/>
      </w:divBdr>
    </w:div>
    <w:div w:id="822166356">
      <w:bodyDiv w:val="1"/>
      <w:marLeft w:val="0"/>
      <w:marRight w:val="0"/>
      <w:marTop w:val="0"/>
      <w:marBottom w:val="0"/>
      <w:divBdr>
        <w:top w:val="none" w:sz="0" w:space="0" w:color="auto"/>
        <w:left w:val="none" w:sz="0" w:space="0" w:color="auto"/>
        <w:bottom w:val="none" w:sz="0" w:space="0" w:color="auto"/>
        <w:right w:val="none" w:sz="0" w:space="0" w:color="auto"/>
      </w:divBdr>
    </w:div>
    <w:div w:id="861095146">
      <w:bodyDiv w:val="1"/>
      <w:marLeft w:val="0"/>
      <w:marRight w:val="0"/>
      <w:marTop w:val="0"/>
      <w:marBottom w:val="0"/>
      <w:divBdr>
        <w:top w:val="none" w:sz="0" w:space="0" w:color="auto"/>
        <w:left w:val="none" w:sz="0" w:space="0" w:color="auto"/>
        <w:bottom w:val="none" w:sz="0" w:space="0" w:color="auto"/>
        <w:right w:val="none" w:sz="0" w:space="0" w:color="auto"/>
      </w:divBdr>
    </w:div>
    <w:div w:id="878932334">
      <w:bodyDiv w:val="1"/>
      <w:marLeft w:val="0"/>
      <w:marRight w:val="0"/>
      <w:marTop w:val="0"/>
      <w:marBottom w:val="0"/>
      <w:divBdr>
        <w:top w:val="none" w:sz="0" w:space="0" w:color="auto"/>
        <w:left w:val="none" w:sz="0" w:space="0" w:color="auto"/>
        <w:bottom w:val="none" w:sz="0" w:space="0" w:color="auto"/>
        <w:right w:val="none" w:sz="0" w:space="0" w:color="auto"/>
      </w:divBdr>
    </w:div>
    <w:div w:id="888608854">
      <w:bodyDiv w:val="1"/>
      <w:marLeft w:val="0"/>
      <w:marRight w:val="0"/>
      <w:marTop w:val="0"/>
      <w:marBottom w:val="0"/>
      <w:divBdr>
        <w:top w:val="none" w:sz="0" w:space="0" w:color="auto"/>
        <w:left w:val="none" w:sz="0" w:space="0" w:color="auto"/>
        <w:bottom w:val="none" w:sz="0" w:space="0" w:color="auto"/>
        <w:right w:val="none" w:sz="0" w:space="0" w:color="auto"/>
      </w:divBdr>
    </w:div>
    <w:div w:id="913929428">
      <w:bodyDiv w:val="1"/>
      <w:marLeft w:val="0"/>
      <w:marRight w:val="0"/>
      <w:marTop w:val="0"/>
      <w:marBottom w:val="0"/>
      <w:divBdr>
        <w:top w:val="none" w:sz="0" w:space="0" w:color="auto"/>
        <w:left w:val="none" w:sz="0" w:space="0" w:color="auto"/>
        <w:bottom w:val="none" w:sz="0" w:space="0" w:color="auto"/>
        <w:right w:val="none" w:sz="0" w:space="0" w:color="auto"/>
      </w:divBdr>
    </w:div>
    <w:div w:id="944456230">
      <w:bodyDiv w:val="1"/>
      <w:marLeft w:val="0"/>
      <w:marRight w:val="0"/>
      <w:marTop w:val="0"/>
      <w:marBottom w:val="0"/>
      <w:divBdr>
        <w:top w:val="none" w:sz="0" w:space="0" w:color="auto"/>
        <w:left w:val="none" w:sz="0" w:space="0" w:color="auto"/>
        <w:bottom w:val="none" w:sz="0" w:space="0" w:color="auto"/>
        <w:right w:val="none" w:sz="0" w:space="0" w:color="auto"/>
      </w:divBdr>
    </w:div>
    <w:div w:id="955673854">
      <w:bodyDiv w:val="1"/>
      <w:marLeft w:val="0"/>
      <w:marRight w:val="0"/>
      <w:marTop w:val="0"/>
      <w:marBottom w:val="0"/>
      <w:divBdr>
        <w:top w:val="none" w:sz="0" w:space="0" w:color="auto"/>
        <w:left w:val="none" w:sz="0" w:space="0" w:color="auto"/>
        <w:bottom w:val="none" w:sz="0" w:space="0" w:color="auto"/>
        <w:right w:val="none" w:sz="0" w:space="0" w:color="auto"/>
      </w:divBdr>
    </w:div>
    <w:div w:id="989871235">
      <w:bodyDiv w:val="1"/>
      <w:marLeft w:val="0"/>
      <w:marRight w:val="0"/>
      <w:marTop w:val="0"/>
      <w:marBottom w:val="0"/>
      <w:divBdr>
        <w:top w:val="none" w:sz="0" w:space="0" w:color="auto"/>
        <w:left w:val="none" w:sz="0" w:space="0" w:color="auto"/>
        <w:bottom w:val="none" w:sz="0" w:space="0" w:color="auto"/>
        <w:right w:val="none" w:sz="0" w:space="0" w:color="auto"/>
      </w:divBdr>
    </w:div>
    <w:div w:id="993336251">
      <w:bodyDiv w:val="1"/>
      <w:marLeft w:val="0"/>
      <w:marRight w:val="0"/>
      <w:marTop w:val="0"/>
      <w:marBottom w:val="0"/>
      <w:divBdr>
        <w:top w:val="none" w:sz="0" w:space="0" w:color="auto"/>
        <w:left w:val="none" w:sz="0" w:space="0" w:color="auto"/>
        <w:bottom w:val="none" w:sz="0" w:space="0" w:color="auto"/>
        <w:right w:val="none" w:sz="0" w:space="0" w:color="auto"/>
      </w:divBdr>
    </w:div>
    <w:div w:id="1049257286">
      <w:bodyDiv w:val="1"/>
      <w:marLeft w:val="0"/>
      <w:marRight w:val="0"/>
      <w:marTop w:val="0"/>
      <w:marBottom w:val="0"/>
      <w:divBdr>
        <w:top w:val="none" w:sz="0" w:space="0" w:color="auto"/>
        <w:left w:val="none" w:sz="0" w:space="0" w:color="auto"/>
        <w:bottom w:val="none" w:sz="0" w:space="0" w:color="auto"/>
        <w:right w:val="none" w:sz="0" w:space="0" w:color="auto"/>
      </w:divBdr>
    </w:div>
    <w:div w:id="1056975857">
      <w:bodyDiv w:val="1"/>
      <w:marLeft w:val="0"/>
      <w:marRight w:val="0"/>
      <w:marTop w:val="0"/>
      <w:marBottom w:val="0"/>
      <w:divBdr>
        <w:top w:val="none" w:sz="0" w:space="0" w:color="auto"/>
        <w:left w:val="none" w:sz="0" w:space="0" w:color="auto"/>
        <w:bottom w:val="none" w:sz="0" w:space="0" w:color="auto"/>
        <w:right w:val="none" w:sz="0" w:space="0" w:color="auto"/>
      </w:divBdr>
    </w:div>
    <w:div w:id="1065492960">
      <w:bodyDiv w:val="1"/>
      <w:marLeft w:val="0"/>
      <w:marRight w:val="0"/>
      <w:marTop w:val="0"/>
      <w:marBottom w:val="0"/>
      <w:divBdr>
        <w:top w:val="none" w:sz="0" w:space="0" w:color="auto"/>
        <w:left w:val="none" w:sz="0" w:space="0" w:color="auto"/>
        <w:bottom w:val="none" w:sz="0" w:space="0" w:color="auto"/>
        <w:right w:val="none" w:sz="0" w:space="0" w:color="auto"/>
      </w:divBdr>
    </w:div>
    <w:div w:id="1090812769">
      <w:bodyDiv w:val="1"/>
      <w:marLeft w:val="0"/>
      <w:marRight w:val="0"/>
      <w:marTop w:val="0"/>
      <w:marBottom w:val="0"/>
      <w:divBdr>
        <w:top w:val="none" w:sz="0" w:space="0" w:color="auto"/>
        <w:left w:val="none" w:sz="0" w:space="0" w:color="auto"/>
        <w:bottom w:val="none" w:sz="0" w:space="0" w:color="auto"/>
        <w:right w:val="none" w:sz="0" w:space="0" w:color="auto"/>
      </w:divBdr>
    </w:div>
    <w:div w:id="1115910269">
      <w:bodyDiv w:val="1"/>
      <w:marLeft w:val="0"/>
      <w:marRight w:val="0"/>
      <w:marTop w:val="0"/>
      <w:marBottom w:val="0"/>
      <w:divBdr>
        <w:top w:val="none" w:sz="0" w:space="0" w:color="auto"/>
        <w:left w:val="none" w:sz="0" w:space="0" w:color="auto"/>
        <w:bottom w:val="none" w:sz="0" w:space="0" w:color="auto"/>
        <w:right w:val="none" w:sz="0" w:space="0" w:color="auto"/>
      </w:divBdr>
    </w:div>
    <w:div w:id="1168516608">
      <w:bodyDiv w:val="1"/>
      <w:marLeft w:val="0"/>
      <w:marRight w:val="0"/>
      <w:marTop w:val="0"/>
      <w:marBottom w:val="0"/>
      <w:divBdr>
        <w:top w:val="none" w:sz="0" w:space="0" w:color="auto"/>
        <w:left w:val="none" w:sz="0" w:space="0" w:color="auto"/>
        <w:bottom w:val="none" w:sz="0" w:space="0" w:color="auto"/>
        <w:right w:val="none" w:sz="0" w:space="0" w:color="auto"/>
      </w:divBdr>
    </w:div>
    <w:div w:id="1193492456">
      <w:bodyDiv w:val="1"/>
      <w:marLeft w:val="0"/>
      <w:marRight w:val="0"/>
      <w:marTop w:val="0"/>
      <w:marBottom w:val="0"/>
      <w:divBdr>
        <w:top w:val="none" w:sz="0" w:space="0" w:color="auto"/>
        <w:left w:val="none" w:sz="0" w:space="0" w:color="auto"/>
        <w:bottom w:val="none" w:sz="0" w:space="0" w:color="auto"/>
        <w:right w:val="none" w:sz="0" w:space="0" w:color="auto"/>
      </w:divBdr>
    </w:div>
    <w:div w:id="1211844984">
      <w:bodyDiv w:val="1"/>
      <w:marLeft w:val="0"/>
      <w:marRight w:val="0"/>
      <w:marTop w:val="0"/>
      <w:marBottom w:val="0"/>
      <w:divBdr>
        <w:top w:val="none" w:sz="0" w:space="0" w:color="auto"/>
        <w:left w:val="none" w:sz="0" w:space="0" w:color="auto"/>
        <w:bottom w:val="none" w:sz="0" w:space="0" w:color="auto"/>
        <w:right w:val="none" w:sz="0" w:space="0" w:color="auto"/>
      </w:divBdr>
    </w:div>
    <w:div w:id="1217088986">
      <w:bodyDiv w:val="1"/>
      <w:marLeft w:val="0"/>
      <w:marRight w:val="0"/>
      <w:marTop w:val="0"/>
      <w:marBottom w:val="0"/>
      <w:divBdr>
        <w:top w:val="none" w:sz="0" w:space="0" w:color="auto"/>
        <w:left w:val="none" w:sz="0" w:space="0" w:color="auto"/>
        <w:bottom w:val="none" w:sz="0" w:space="0" w:color="auto"/>
        <w:right w:val="none" w:sz="0" w:space="0" w:color="auto"/>
      </w:divBdr>
    </w:div>
    <w:div w:id="1237521685">
      <w:bodyDiv w:val="1"/>
      <w:marLeft w:val="0"/>
      <w:marRight w:val="0"/>
      <w:marTop w:val="0"/>
      <w:marBottom w:val="0"/>
      <w:divBdr>
        <w:top w:val="none" w:sz="0" w:space="0" w:color="auto"/>
        <w:left w:val="none" w:sz="0" w:space="0" w:color="auto"/>
        <w:bottom w:val="none" w:sz="0" w:space="0" w:color="auto"/>
        <w:right w:val="none" w:sz="0" w:space="0" w:color="auto"/>
      </w:divBdr>
    </w:div>
    <w:div w:id="1242567392">
      <w:bodyDiv w:val="1"/>
      <w:marLeft w:val="0"/>
      <w:marRight w:val="0"/>
      <w:marTop w:val="0"/>
      <w:marBottom w:val="0"/>
      <w:divBdr>
        <w:top w:val="none" w:sz="0" w:space="0" w:color="auto"/>
        <w:left w:val="none" w:sz="0" w:space="0" w:color="auto"/>
        <w:bottom w:val="none" w:sz="0" w:space="0" w:color="auto"/>
        <w:right w:val="none" w:sz="0" w:space="0" w:color="auto"/>
      </w:divBdr>
    </w:div>
    <w:div w:id="1249198448">
      <w:bodyDiv w:val="1"/>
      <w:marLeft w:val="0"/>
      <w:marRight w:val="0"/>
      <w:marTop w:val="0"/>
      <w:marBottom w:val="0"/>
      <w:divBdr>
        <w:top w:val="none" w:sz="0" w:space="0" w:color="auto"/>
        <w:left w:val="none" w:sz="0" w:space="0" w:color="auto"/>
        <w:bottom w:val="none" w:sz="0" w:space="0" w:color="auto"/>
        <w:right w:val="none" w:sz="0" w:space="0" w:color="auto"/>
      </w:divBdr>
    </w:div>
    <w:div w:id="1252934504">
      <w:bodyDiv w:val="1"/>
      <w:marLeft w:val="0"/>
      <w:marRight w:val="0"/>
      <w:marTop w:val="0"/>
      <w:marBottom w:val="0"/>
      <w:divBdr>
        <w:top w:val="none" w:sz="0" w:space="0" w:color="auto"/>
        <w:left w:val="none" w:sz="0" w:space="0" w:color="auto"/>
        <w:bottom w:val="none" w:sz="0" w:space="0" w:color="auto"/>
        <w:right w:val="none" w:sz="0" w:space="0" w:color="auto"/>
      </w:divBdr>
    </w:div>
    <w:div w:id="1276907387">
      <w:bodyDiv w:val="1"/>
      <w:marLeft w:val="0"/>
      <w:marRight w:val="0"/>
      <w:marTop w:val="0"/>
      <w:marBottom w:val="0"/>
      <w:divBdr>
        <w:top w:val="none" w:sz="0" w:space="0" w:color="auto"/>
        <w:left w:val="none" w:sz="0" w:space="0" w:color="auto"/>
        <w:bottom w:val="none" w:sz="0" w:space="0" w:color="auto"/>
        <w:right w:val="none" w:sz="0" w:space="0" w:color="auto"/>
      </w:divBdr>
    </w:div>
    <w:div w:id="1284388888">
      <w:bodyDiv w:val="1"/>
      <w:marLeft w:val="0"/>
      <w:marRight w:val="0"/>
      <w:marTop w:val="0"/>
      <w:marBottom w:val="0"/>
      <w:divBdr>
        <w:top w:val="none" w:sz="0" w:space="0" w:color="auto"/>
        <w:left w:val="none" w:sz="0" w:space="0" w:color="auto"/>
        <w:bottom w:val="none" w:sz="0" w:space="0" w:color="auto"/>
        <w:right w:val="none" w:sz="0" w:space="0" w:color="auto"/>
      </w:divBdr>
    </w:div>
    <w:div w:id="1348209972">
      <w:bodyDiv w:val="1"/>
      <w:marLeft w:val="0"/>
      <w:marRight w:val="0"/>
      <w:marTop w:val="0"/>
      <w:marBottom w:val="0"/>
      <w:divBdr>
        <w:top w:val="none" w:sz="0" w:space="0" w:color="auto"/>
        <w:left w:val="none" w:sz="0" w:space="0" w:color="auto"/>
        <w:bottom w:val="none" w:sz="0" w:space="0" w:color="auto"/>
        <w:right w:val="none" w:sz="0" w:space="0" w:color="auto"/>
      </w:divBdr>
    </w:div>
    <w:div w:id="1355300616">
      <w:bodyDiv w:val="1"/>
      <w:marLeft w:val="0"/>
      <w:marRight w:val="0"/>
      <w:marTop w:val="0"/>
      <w:marBottom w:val="0"/>
      <w:divBdr>
        <w:top w:val="none" w:sz="0" w:space="0" w:color="auto"/>
        <w:left w:val="none" w:sz="0" w:space="0" w:color="auto"/>
        <w:bottom w:val="none" w:sz="0" w:space="0" w:color="auto"/>
        <w:right w:val="none" w:sz="0" w:space="0" w:color="auto"/>
      </w:divBdr>
    </w:div>
    <w:div w:id="1361280132">
      <w:bodyDiv w:val="1"/>
      <w:marLeft w:val="0"/>
      <w:marRight w:val="0"/>
      <w:marTop w:val="0"/>
      <w:marBottom w:val="0"/>
      <w:divBdr>
        <w:top w:val="none" w:sz="0" w:space="0" w:color="auto"/>
        <w:left w:val="none" w:sz="0" w:space="0" w:color="auto"/>
        <w:bottom w:val="none" w:sz="0" w:space="0" w:color="auto"/>
        <w:right w:val="none" w:sz="0" w:space="0" w:color="auto"/>
      </w:divBdr>
    </w:div>
    <w:div w:id="1416825610">
      <w:bodyDiv w:val="1"/>
      <w:marLeft w:val="0"/>
      <w:marRight w:val="0"/>
      <w:marTop w:val="0"/>
      <w:marBottom w:val="0"/>
      <w:divBdr>
        <w:top w:val="none" w:sz="0" w:space="0" w:color="auto"/>
        <w:left w:val="none" w:sz="0" w:space="0" w:color="auto"/>
        <w:bottom w:val="none" w:sz="0" w:space="0" w:color="auto"/>
        <w:right w:val="none" w:sz="0" w:space="0" w:color="auto"/>
      </w:divBdr>
    </w:div>
    <w:div w:id="1437022729">
      <w:bodyDiv w:val="1"/>
      <w:marLeft w:val="0"/>
      <w:marRight w:val="0"/>
      <w:marTop w:val="0"/>
      <w:marBottom w:val="0"/>
      <w:divBdr>
        <w:top w:val="none" w:sz="0" w:space="0" w:color="auto"/>
        <w:left w:val="none" w:sz="0" w:space="0" w:color="auto"/>
        <w:bottom w:val="none" w:sz="0" w:space="0" w:color="auto"/>
        <w:right w:val="none" w:sz="0" w:space="0" w:color="auto"/>
      </w:divBdr>
    </w:div>
    <w:div w:id="1494953025">
      <w:bodyDiv w:val="1"/>
      <w:marLeft w:val="0"/>
      <w:marRight w:val="0"/>
      <w:marTop w:val="0"/>
      <w:marBottom w:val="0"/>
      <w:divBdr>
        <w:top w:val="none" w:sz="0" w:space="0" w:color="auto"/>
        <w:left w:val="none" w:sz="0" w:space="0" w:color="auto"/>
        <w:bottom w:val="none" w:sz="0" w:space="0" w:color="auto"/>
        <w:right w:val="none" w:sz="0" w:space="0" w:color="auto"/>
      </w:divBdr>
    </w:div>
    <w:div w:id="1559823586">
      <w:bodyDiv w:val="1"/>
      <w:marLeft w:val="0"/>
      <w:marRight w:val="0"/>
      <w:marTop w:val="0"/>
      <w:marBottom w:val="0"/>
      <w:divBdr>
        <w:top w:val="none" w:sz="0" w:space="0" w:color="auto"/>
        <w:left w:val="none" w:sz="0" w:space="0" w:color="auto"/>
        <w:bottom w:val="none" w:sz="0" w:space="0" w:color="auto"/>
        <w:right w:val="none" w:sz="0" w:space="0" w:color="auto"/>
      </w:divBdr>
    </w:div>
    <w:div w:id="1637950852">
      <w:bodyDiv w:val="1"/>
      <w:marLeft w:val="0"/>
      <w:marRight w:val="0"/>
      <w:marTop w:val="0"/>
      <w:marBottom w:val="0"/>
      <w:divBdr>
        <w:top w:val="none" w:sz="0" w:space="0" w:color="auto"/>
        <w:left w:val="none" w:sz="0" w:space="0" w:color="auto"/>
        <w:bottom w:val="none" w:sz="0" w:space="0" w:color="auto"/>
        <w:right w:val="none" w:sz="0" w:space="0" w:color="auto"/>
      </w:divBdr>
    </w:div>
    <w:div w:id="1664702048">
      <w:bodyDiv w:val="1"/>
      <w:marLeft w:val="0"/>
      <w:marRight w:val="0"/>
      <w:marTop w:val="0"/>
      <w:marBottom w:val="0"/>
      <w:divBdr>
        <w:top w:val="none" w:sz="0" w:space="0" w:color="auto"/>
        <w:left w:val="none" w:sz="0" w:space="0" w:color="auto"/>
        <w:bottom w:val="none" w:sz="0" w:space="0" w:color="auto"/>
        <w:right w:val="none" w:sz="0" w:space="0" w:color="auto"/>
      </w:divBdr>
    </w:div>
    <w:div w:id="1669599033">
      <w:bodyDiv w:val="1"/>
      <w:marLeft w:val="0"/>
      <w:marRight w:val="0"/>
      <w:marTop w:val="0"/>
      <w:marBottom w:val="0"/>
      <w:divBdr>
        <w:top w:val="none" w:sz="0" w:space="0" w:color="auto"/>
        <w:left w:val="none" w:sz="0" w:space="0" w:color="auto"/>
        <w:bottom w:val="none" w:sz="0" w:space="0" w:color="auto"/>
        <w:right w:val="none" w:sz="0" w:space="0" w:color="auto"/>
      </w:divBdr>
    </w:div>
    <w:div w:id="1676692713">
      <w:bodyDiv w:val="1"/>
      <w:marLeft w:val="0"/>
      <w:marRight w:val="0"/>
      <w:marTop w:val="0"/>
      <w:marBottom w:val="0"/>
      <w:divBdr>
        <w:top w:val="none" w:sz="0" w:space="0" w:color="auto"/>
        <w:left w:val="none" w:sz="0" w:space="0" w:color="auto"/>
        <w:bottom w:val="none" w:sz="0" w:space="0" w:color="auto"/>
        <w:right w:val="none" w:sz="0" w:space="0" w:color="auto"/>
      </w:divBdr>
    </w:div>
    <w:div w:id="1681851762">
      <w:bodyDiv w:val="1"/>
      <w:marLeft w:val="0"/>
      <w:marRight w:val="0"/>
      <w:marTop w:val="0"/>
      <w:marBottom w:val="0"/>
      <w:divBdr>
        <w:top w:val="none" w:sz="0" w:space="0" w:color="auto"/>
        <w:left w:val="none" w:sz="0" w:space="0" w:color="auto"/>
        <w:bottom w:val="none" w:sz="0" w:space="0" w:color="auto"/>
        <w:right w:val="none" w:sz="0" w:space="0" w:color="auto"/>
      </w:divBdr>
    </w:div>
    <w:div w:id="1682734256">
      <w:bodyDiv w:val="1"/>
      <w:marLeft w:val="0"/>
      <w:marRight w:val="0"/>
      <w:marTop w:val="0"/>
      <w:marBottom w:val="0"/>
      <w:divBdr>
        <w:top w:val="none" w:sz="0" w:space="0" w:color="auto"/>
        <w:left w:val="none" w:sz="0" w:space="0" w:color="auto"/>
        <w:bottom w:val="none" w:sz="0" w:space="0" w:color="auto"/>
        <w:right w:val="none" w:sz="0" w:space="0" w:color="auto"/>
      </w:divBdr>
    </w:div>
    <w:div w:id="1683623033">
      <w:bodyDiv w:val="1"/>
      <w:marLeft w:val="0"/>
      <w:marRight w:val="0"/>
      <w:marTop w:val="0"/>
      <w:marBottom w:val="0"/>
      <w:divBdr>
        <w:top w:val="none" w:sz="0" w:space="0" w:color="auto"/>
        <w:left w:val="none" w:sz="0" w:space="0" w:color="auto"/>
        <w:bottom w:val="none" w:sz="0" w:space="0" w:color="auto"/>
        <w:right w:val="none" w:sz="0" w:space="0" w:color="auto"/>
      </w:divBdr>
    </w:div>
    <w:div w:id="1695302713">
      <w:bodyDiv w:val="1"/>
      <w:marLeft w:val="0"/>
      <w:marRight w:val="0"/>
      <w:marTop w:val="0"/>
      <w:marBottom w:val="0"/>
      <w:divBdr>
        <w:top w:val="none" w:sz="0" w:space="0" w:color="auto"/>
        <w:left w:val="none" w:sz="0" w:space="0" w:color="auto"/>
        <w:bottom w:val="none" w:sz="0" w:space="0" w:color="auto"/>
        <w:right w:val="none" w:sz="0" w:space="0" w:color="auto"/>
      </w:divBdr>
    </w:div>
    <w:div w:id="1728187132">
      <w:bodyDiv w:val="1"/>
      <w:marLeft w:val="0"/>
      <w:marRight w:val="0"/>
      <w:marTop w:val="0"/>
      <w:marBottom w:val="0"/>
      <w:divBdr>
        <w:top w:val="none" w:sz="0" w:space="0" w:color="auto"/>
        <w:left w:val="none" w:sz="0" w:space="0" w:color="auto"/>
        <w:bottom w:val="none" w:sz="0" w:space="0" w:color="auto"/>
        <w:right w:val="none" w:sz="0" w:space="0" w:color="auto"/>
      </w:divBdr>
    </w:div>
    <w:div w:id="1735157889">
      <w:bodyDiv w:val="1"/>
      <w:marLeft w:val="0"/>
      <w:marRight w:val="0"/>
      <w:marTop w:val="0"/>
      <w:marBottom w:val="0"/>
      <w:divBdr>
        <w:top w:val="none" w:sz="0" w:space="0" w:color="auto"/>
        <w:left w:val="none" w:sz="0" w:space="0" w:color="auto"/>
        <w:bottom w:val="none" w:sz="0" w:space="0" w:color="auto"/>
        <w:right w:val="none" w:sz="0" w:space="0" w:color="auto"/>
      </w:divBdr>
    </w:div>
    <w:div w:id="1751539270">
      <w:bodyDiv w:val="1"/>
      <w:marLeft w:val="0"/>
      <w:marRight w:val="0"/>
      <w:marTop w:val="0"/>
      <w:marBottom w:val="0"/>
      <w:divBdr>
        <w:top w:val="none" w:sz="0" w:space="0" w:color="auto"/>
        <w:left w:val="none" w:sz="0" w:space="0" w:color="auto"/>
        <w:bottom w:val="none" w:sz="0" w:space="0" w:color="auto"/>
        <w:right w:val="none" w:sz="0" w:space="0" w:color="auto"/>
      </w:divBdr>
    </w:div>
    <w:div w:id="1776437553">
      <w:bodyDiv w:val="1"/>
      <w:marLeft w:val="0"/>
      <w:marRight w:val="0"/>
      <w:marTop w:val="0"/>
      <w:marBottom w:val="0"/>
      <w:divBdr>
        <w:top w:val="none" w:sz="0" w:space="0" w:color="auto"/>
        <w:left w:val="none" w:sz="0" w:space="0" w:color="auto"/>
        <w:bottom w:val="none" w:sz="0" w:space="0" w:color="auto"/>
        <w:right w:val="none" w:sz="0" w:space="0" w:color="auto"/>
      </w:divBdr>
    </w:div>
    <w:div w:id="1822768978">
      <w:bodyDiv w:val="1"/>
      <w:marLeft w:val="0"/>
      <w:marRight w:val="0"/>
      <w:marTop w:val="0"/>
      <w:marBottom w:val="0"/>
      <w:divBdr>
        <w:top w:val="none" w:sz="0" w:space="0" w:color="auto"/>
        <w:left w:val="none" w:sz="0" w:space="0" w:color="auto"/>
        <w:bottom w:val="none" w:sz="0" w:space="0" w:color="auto"/>
        <w:right w:val="none" w:sz="0" w:space="0" w:color="auto"/>
      </w:divBdr>
    </w:div>
    <w:div w:id="1823617245">
      <w:bodyDiv w:val="1"/>
      <w:marLeft w:val="0"/>
      <w:marRight w:val="0"/>
      <w:marTop w:val="0"/>
      <w:marBottom w:val="0"/>
      <w:divBdr>
        <w:top w:val="none" w:sz="0" w:space="0" w:color="auto"/>
        <w:left w:val="none" w:sz="0" w:space="0" w:color="auto"/>
        <w:bottom w:val="none" w:sz="0" w:space="0" w:color="auto"/>
        <w:right w:val="none" w:sz="0" w:space="0" w:color="auto"/>
      </w:divBdr>
    </w:div>
    <w:div w:id="1852601617">
      <w:bodyDiv w:val="1"/>
      <w:marLeft w:val="0"/>
      <w:marRight w:val="0"/>
      <w:marTop w:val="0"/>
      <w:marBottom w:val="0"/>
      <w:divBdr>
        <w:top w:val="none" w:sz="0" w:space="0" w:color="auto"/>
        <w:left w:val="none" w:sz="0" w:space="0" w:color="auto"/>
        <w:bottom w:val="none" w:sz="0" w:space="0" w:color="auto"/>
        <w:right w:val="none" w:sz="0" w:space="0" w:color="auto"/>
      </w:divBdr>
    </w:div>
    <w:div w:id="1859734732">
      <w:bodyDiv w:val="1"/>
      <w:marLeft w:val="0"/>
      <w:marRight w:val="0"/>
      <w:marTop w:val="0"/>
      <w:marBottom w:val="0"/>
      <w:divBdr>
        <w:top w:val="none" w:sz="0" w:space="0" w:color="auto"/>
        <w:left w:val="none" w:sz="0" w:space="0" w:color="auto"/>
        <w:bottom w:val="none" w:sz="0" w:space="0" w:color="auto"/>
        <w:right w:val="none" w:sz="0" w:space="0" w:color="auto"/>
      </w:divBdr>
    </w:div>
    <w:div w:id="1867015614">
      <w:bodyDiv w:val="1"/>
      <w:marLeft w:val="0"/>
      <w:marRight w:val="0"/>
      <w:marTop w:val="0"/>
      <w:marBottom w:val="0"/>
      <w:divBdr>
        <w:top w:val="none" w:sz="0" w:space="0" w:color="auto"/>
        <w:left w:val="none" w:sz="0" w:space="0" w:color="auto"/>
        <w:bottom w:val="none" w:sz="0" w:space="0" w:color="auto"/>
        <w:right w:val="none" w:sz="0" w:space="0" w:color="auto"/>
      </w:divBdr>
    </w:div>
    <w:div w:id="1891266400">
      <w:bodyDiv w:val="1"/>
      <w:marLeft w:val="0"/>
      <w:marRight w:val="0"/>
      <w:marTop w:val="0"/>
      <w:marBottom w:val="0"/>
      <w:divBdr>
        <w:top w:val="none" w:sz="0" w:space="0" w:color="auto"/>
        <w:left w:val="none" w:sz="0" w:space="0" w:color="auto"/>
        <w:bottom w:val="none" w:sz="0" w:space="0" w:color="auto"/>
        <w:right w:val="none" w:sz="0" w:space="0" w:color="auto"/>
      </w:divBdr>
    </w:div>
    <w:div w:id="1896509204">
      <w:bodyDiv w:val="1"/>
      <w:marLeft w:val="0"/>
      <w:marRight w:val="0"/>
      <w:marTop w:val="0"/>
      <w:marBottom w:val="0"/>
      <w:divBdr>
        <w:top w:val="none" w:sz="0" w:space="0" w:color="auto"/>
        <w:left w:val="none" w:sz="0" w:space="0" w:color="auto"/>
        <w:bottom w:val="none" w:sz="0" w:space="0" w:color="auto"/>
        <w:right w:val="none" w:sz="0" w:space="0" w:color="auto"/>
      </w:divBdr>
    </w:div>
    <w:div w:id="1933930550">
      <w:bodyDiv w:val="1"/>
      <w:marLeft w:val="0"/>
      <w:marRight w:val="0"/>
      <w:marTop w:val="0"/>
      <w:marBottom w:val="0"/>
      <w:divBdr>
        <w:top w:val="none" w:sz="0" w:space="0" w:color="auto"/>
        <w:left w:val="none" w:sz="0" w:space="0" w:color="auto"/>
        <w:bottom w:val="none" w:sz="0" w:space="0" w:color="auto"/>
        <w:right w:val="none" w:sz="0" w:space="0" w:color="auto"/>
      </w:divBdr>
    </w:div>
    <w:div w:id="1958945696">
      <w:bodyDiv w:val="1"/>
      <w:marLeft w:val="0"/>
      <w:marRight w:val="0"/>
      <w:marTop w:val="0"/>
      <w:marBottom w:val="0"/>
      <w:divBdr>
        <w:top w:val="none" w:sz="0" w:space="0" w:color="auto"/>
        <w:left w:val="none" w:sz="0" w:space="0" w:color="auto"/>
        <w:bottom w:val="none" w:sz="0" w:space="0" w:color="auto"/>
        <w:right w:val="none" w:sz="0" w:space="0" w:color="auto"/>
      </w:divBdr>
    </w:div>
    <w:div w:id="1969357367">
      <w:bodyDiv w:val="1"/>
      <w:marLeft w:val="0"/>
      <w:marRight w:val="0"/>
      <w:marTop w:val="0"/>
      <w:marBottom w:val="0"/>
      <w:divBdr>
        <w:top w:val="none" w:sz="0" w:space="0" w:color="auto"/>
        <w:left w:val="none" w:sz="0" w:space="0" w:color="auto"/>
        <w:bottom w:val="none" w:sz="0" w:space="0" w:color="auto"/>
        <w:right w:val="none" w:sz="0" w:space="0" w:color="auto"/>
      </w:divBdr>
    </w:div>
    <w:div w:id="1969582502">
      <w:bodyDiv w:val="1"/>
      <w:marLeft w:val="0"/>
      <w:marRight w:val="0"/>
      <w:marTop w:val="0"/>
      <w:marBottom w:val="0"/>
      <w:divBdr>
        <w:top w:val="none" w:sz="0" w:space="0" w:color="auto"/>
        <w:left w:val="none" w:sz="0" w:space="0" w:color="auto"/>
        <w:bottom w:val="none" w:sz="0" w:space="0" w:color="auto"/>
        <w:right w:val="none" w:sz="0" w:space="0" w:color="auto"/>
      </w:divBdr>
    </w:div>
    <w:div w:id="2014526741">
      <w:bodyDiv w:val="1"/>
      <w:marLeft w:val="0"/>
      <w:marRight w:val="0"/>
      <w:marTop w:val="0"/>
      <w:marBottom w:val="0"/>
      <w:divBdr>
        <w:top w:val="none" w:sz="0" w:space="0" w:color="auto"/>
        <w:left w:val="none" w:sz="0" w:space="0" w:color="auto"/>
        <w:bottom w:val="none" w:sz="0" w:space="0" w:color="auto"/>
        <w:right w:val="none" w:sz="0" w:space="0" w:color="auto"/>
      </w:divBdr>
    </w:div>
    <w:div w:id="2036224028">
      <w:bodyDiv w:val="1"/>
      <w:marLeft w:val="0"/>
      <w:marRight w:val="0"/>
      <w:marTop w:val="0"/>
      <w:marBottom w:val="0"/>
      <w:divBdr>
        <w:top w:val="none" w:sz="0" w:space="0" w:color="auto"/>
        <w:left w:val="none" w:sz="0" w:space="0" w:color="auto"/>
        <w:bottom w:val="none" w:sz="0" w:space="0" w:color="auto"/>
        <w:right w:val="none" w:sz="0" w:space="0" w:color="auto"/>
      </w:divBdr>
    </w:div>
    <w:div w:id="2072653891">
      <w:bodyDiv w:val="1"/>
      <w:marLeft w:val="0"/>
      <w:marRight w:val="0"/>
      <w:marTop w:val="0"/>
      <w:marBottom w:val="0"/>
      <w:divBdr>
        <w:top w:val="none" w:sz="0" w:space="0" w:color="auto"/>
        <w:left w:val="none" w:sz="0" w:space="0" w:color="auto"/>
        <w:bottom w:val="none" w:sz="0" w:space="0" w:color="auto"/>
        <w:right w:val="none" w:sz="0" w:space="0" w:color="auto"/>
      </w:divBdr>
    </w:div>
    <w:div w:id="2095205396">
      <w:bodyDiv w:val="1"/>
      <w:marLeft w:val="0"/>
      <w:marRight w:val="0"/>
      <w:marTop w:val="0"/>
      <w:marBottom w:val="0"/>
      <w:divBdr>
        <w:top w:val="none" w:sz="0" w:space="0" w:color="auto"/>
        <w:left w:val="none" w:sz="0" w:space="0" w:color="auto"/>
        <w:bottom w:val="none" w:sz="0" w:space="0" w:color="auto"/>
        <w:right w:val="none" w:sz="0" w:space="0" w:color="auto"/>
      </w:divBdr>
    </w:div>
    <w:div w:id="2112624647">
      <w:bodyDiv w:val="1"/>
      <w:marLeft w:val="0"/>
      <w:marRight w:val="0"/>
      <w:marTop w:val="0"/>
      <w:marBottom w:val="0"/>
      <w:divBdr>
        <w:top w:val="none" w:sz="0" w:space="0" w:color="auto"/>
        <w:left w:val="none" w:sz="0" w:space="0" w:color="auto"/>
        <w:bottom w:val="none" w:sz="0" w:space="0" w:color="auto"/>
        <w:right w:val="none" w:sz="0" w:space="0" w:color="auto"/>
      </w:divBdr>
    </w:div>
    <w:div w:id="21166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DD6B-AE3E-43E4-869B-ABF38060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64</Pages>
  <Words>20570</Words>
  <Characters>117252</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Ha</dc:creator>
  <cp:lastModifiedBy>hung nguyen le</cp:lastModifiedBy>
  <cp:revision>8</cp:revision>
  <cp:lastPrinted>2025-08-07T08:48:00Z</cp:lastPrinted>
  <dcterms:created xsi:type="dcterms:W3CDTF">2026-02-27T03:44:00Z</dcterms:created>
  <dcterms:modified xsi:type="dcterms:W3CDTF">2026-02-27T09:24:00Z</dcterms:modified>
</cp:coreProperties>
</file>