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2" w:type="pct"/>
        <w:tblInd w:w="-176" w:type="dxa"/>
        <w:tblLook w:val="0000" w:firstRow="0" w:lastRow="0" w:firstColumn="0" w:lastColumn="0" w:noHBand="0" w:noVBand="0"/>
      </w:tblPr>
      <w:tblGrid>
        <w:gridCol w:w="5884"/>
        <w:gridCol w:w="8855"/>
      </w:tblGrid>
      <w:tr w:rsidR="004C4449" w:rsidRPr="004C4449" w14:paraId="60287198" w14:textId="77777777" w:rsidTr="00BE4A6B">
        <w:trPr>
          <w:trHeight w:val="340"/>
        </w:trPr>
        <w:tc>
          <w:tcPr>
            <w:tcW w:w="1996" w:type="pct"/>
          </w:tcPr>
          <w:p w14:paraId="0B4BB521" w14:textId="77777777" w:rsidR="004C4449" w:rsidRPr="009071B4" w:rsidRDefault="004C4449" w:rsidP="004C4449">
            <w:pPr>
              <w:spacing w:after="0" w:line="240" w:lineRule="auto"/>
              <w:jc w:val="center"/>
              <w:rPr>
                <w:rFonts w:ascii="Times New Roman" w:eastAsia="Times New Roman" w:hAnsi="Times New Roman" w:cs="Times New Roman"/>
                <w:b/>
                <w:kern w:val="0"/>
                <w:sz w:val="28"/>
                <w:szCs w:val="28"/>
                <w14:ligatures w14:val="none"/>
              </w:rPr>
            </w:pPr>
            <w:r w:rsidRPr="009071B4">
              <w:rPr>
                <w:rFonts w:ascii="Times New Roman" w:eastAsia="Times New Roman" w:hAnsi="Times New Roman" w:cs="Times New Roman"/>
                <w:kern w:val="0"/>
                <w:sz w:val="28"/>
                <w:szCs w:val="28"/>
                <w14:ligatures w14:val="none"/>
              </w:rPr>
              <w:br w:type="page"/>
            </w:r>
            <w:r w:rsidRPr="009071B4">
              <w:rPr>
                <w:rFonts w:ascii="Times New Roman" w:eastAsia="Times New Roman" w:hAnsi="Times New Roman" w:cs="Times New Roman"/>
                <w:b/>
                <w:kern w:val="0"/>
                <w:sz w:val="28"/>
                <w:szCs w:val="28"/>
                <w14:ligatures w14:val="none"/>
              </w:rPr>
              <w:t xml:space="preserve">BỘ CÔNG THƯƠNG </w:t>
            </w:r>
          </w:p>
        </w:tc>
        <w:tc>
          <w:tcPr>
            <w:tcW w:w="3004" w:type="pct"/>
          </w:tcPr>
          <w:p w14:paraId="72707AEB" w14:textId="77777777" w:rsidR="004C4449" w:rsidRPr="009071B4" w:rsidRDefault="004C4449" w:rsidP="004C4449">
            <w:pPr>
              <w:spacing w:after="0" w:line="240" w:lineRule="auto"/>
              <w:ind w:left="-99" w:right="-108"/>
              <w:jc w:val="center"/>
              <w:rPr>
                <w:rFonts w:ascii="Times New Roman" w:eastAsia="Times New Roman" w:hAnsi="Times New Roman" w:cs="Times New Roman"/>
                <w:b/>
                <w:kern w:val="0"/>
                <w:sz w:val="28"/>
                <w:szCs w:val="28"/>
                <w14:ligatures w14:val="none"/>
              </w:rPr>
            </w:pPr>
            <w:r w:rsidRPr="009071B4">
              <w:rPr>
                <w:rFonts w:ascii="Times New Roman" w:eastAsia="Times New Roman" w:hAnsi="Times New Roman" w:cs="Times New Roman"/>
                <w:b/>
                <w:kern w:val="0"/>
                <w:sz w:val="28"/>
                <w:szCs w:val="28"/>
                <w14:ligatures w14:val="none"/>
              </w:rPr>
              <w:t>CỘNG HOÀ XÃ HỘI CHỦ NGHĨA VIỆT NAM</w:t>
            </w:r>
          </w:p>
        </w:tc>
      </w:tr>
      <w:tr w:rsidR="004C4449" w:rsidRPr="004C4449" w14:paraId="797DEC79" w14:textId="77777777" w:rsidTr="00BE4A6B">
        <w:trPr>
          <w:trHeight w:val="340"/>
        </w:trPr>
        <w:tc>
          <w:tcPr>
            <w:tcW w:w="1996" w:type="pct"/>
          </w:tcPr>
          <w:p w14:paraId="0A9AC789" w14:textId="7E72766C" w:rsidR="004C4449" w:rsidRPr="009071B4" w:rsidRDefault="00677635" w:rsidP="004C4449">
            <w:pPr>
              <w:spacing w:after="0" w:line="240" w:lineRule="auto"/>
              <w:jc w:val="center"/>
              <w:rPr>
                <w:rFonts w:ascii="Times New Roman" w:eastAsia="Times New Roman" w:hAnsi="Times New Roman" w:cs="Times New Roman"/>
                <w:kern w:val="0"/>
                <w:sz w:val="28"/>
                <w:szCs w:val="28"/>
                <w14:ligatures w14:val="none"/>
              </w:rPr>
            </w:pPr>
            <w:r w:rsidRPr="009071B4">
              <w:rPr>
                <w:rFonts w:ascii="Times New Roman" w:eastAsia="Times New Roman" w:hAnsi="Times New Roman" w:cs="Times New Roman"/>
                <w:noProof/>
                <w:kern w:val="0"/>
                <w:sz w:val="28"/>
                <w:szCs w:val="28"/>
              </w:rPr>
              <mc:AlternateContent>
                <mc:Choice Requires="wps">
                  <w:drawing>
                    <wp:anchor distT="0" distB="0" distL="114300" distR="114300" simplePos="0" relativeHeight="251659264" behindDoc="0" locked="0" layoutInCell="1" allowOverlap="1" wp14:anchorId="08360619" wp14:editId="7397352C">
                      <wp:simplePos x="0" y="0"/>
                      <wp:positionH relativeFrom="column">
                        <wp:posOffset>1324012</wp:posOffset>
                      </wp:positionH>
                      <wp:positionV relativeFrom="paragraph">
                        <wp:posOffset>80944</wp:posOffset>
                      </wp:positionV>
                      <wp:extent cx="1000462" cy="0"/>
                      <wp:effectExtent l="0" t="0" r="0" b="0"/>
                      <wp:wrapNone/>
                      <wp:docPr id="1200781953" name="Straight Connector 1"/>
                      <wp:cNvGraphicFramePr/>
                      <a:graphic xmlns:a="http://schemas.openxmlformats.org/drawingml/2006/main">
                        <a:graphicData uri="http://schemas.microsoft.com/office/word/2010/wordprocessingShape">
                          <wps:wsp>
                            <wps:cNvCnPr/>
                            <wps:spPr>
                              <a:xfrm>
                                <a:off x="0" y="0"/>
                                <a:ext cx="10004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622AF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25pt,6.35pt" to="183.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" strokecolor="black [3200]" strokeweight=".5pt">
                      <v:stroke joinstyle="miter"/>
                    </v:line>
                  </w:pict>
                </mc:Fallback>
              </mc:AlternateContent>
            </w:r>
          </w:p>
        </w:tc>
        <w:tc>
          <w:tcPr>
            <w:tcW w:w="3004" w:type="pct"/>
          </w:tcPr>
          <w:p w14:paraId="6EE59B26" w14:textId="77777777" w:rsidR="004C4449" w:rsidRPr="009071B4" w:rsidRDefault="004C4449" w:rsidP="004C4449">
            <w:pPr>
              <w:spacing w:after="0" w:line="240" w:lineRule="auto"/>
              <w:ind w:left="-99" w:right="-108"/>
              <w:jc w:val="center"/>
              <w:rPr>
                <w:rFonts w:ascii="Times New Roman" w:eastAsia="Times New Roman" w:hAnsi="Times New Roman" w:cs="Times New Roman"/>
                <w:b/>
                <w:kern w:val="0"/>
                <w:sz w:val="28"/>
                <w:szCs w:val="28"/>
                <w14:ligatures w14:val="none"/>
              </w:rPr>
            </w:pPr>
            <w:r w:rsidRPr="009071B4">
              <w:rPr>
                <w:rFonts w:ascii="Times New Roman" w:eastAsia="Times New Roman" w:hAnsi="Times New Roman" w:cs="Times New Roman"/>
                <w:b/>
                <w:kern w:val="0"/>
                <w:sz w:val="28"/>
                <w:szCs w:val="28"/>
                <w14:ligatures w14:val="none"/>
              </w:rPr>
              <w:t>Độc lập - Tự do - Hạnh phúc</w:t>
            </w:r>
          </w:p>
        </w:tc>
      </w:tr>
      <w:tr w:rsidR="004C4449" w:rsidRPr="004C4449" w14:paraId="79AE42EA" w14:textId="77777777" w:rsidTr="00BE4A6B">
        <w:trPr>
          <w:trHeight w:val="374"/>
        </w:trPr>
        <w:tc>
          <w:tcPr>
            <w:tcW w:w="1996" w:type="pct"/>
          </w:tcPr>
          <w:p w14:paraId="6EE5DEE8" w14:textId="076DDEF9" w:rsidR="004C4449" w:rsidRPr="009071B4" w:rsidRDefault="004C4449" w:rsidP="004C4449">
            <w:pPr>
              <w:spacing w:after="0" w:line="240" w:lineRule="auto"/>
              <w:jc w:val="center"/>
              <w:rPr>
                <w:rFonts w:ascii="Times New Roman" w:eastAsia="Times New Roman" w:hAnsi="Times New Roman" w:cs="Times New Roman"/>
                <w:kern w:val="0"/>
                <w:sz w:val="28"/>
                <w:szCs w:val="28"/>
                <w14:ligatures w14:val="none"/>
              </w:rPr>
            </w:pPr>
          </w:p>
        </w:tc>
        <w:tc>
          <w:tcPr>
            <w:tcW w:w="3004" w:type="pct"/>
          </w:tcPr>
          <w:p w14:paraId="03A55B5A" w14:textId="09423FD5" w:rsidR="004C4449" w:rsidRPr="009071B4" w:rsidRDefault="009071B4" w:rsidP="004C4449">
            <w:pPr>
              <w:spacing w:after="0" w:line="240" w:lineRule="auto"/>
              <w:ind w:left="-99" w:right="-108"/>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4D9782E7" wp14:editId="3E8AD244">
                      <wp:simplePos x="0" y="0"/>
                      <wp:positionH relativeFrom="column">
                        <wp:posOffset>1605990</wp:posOffset>
                      </wp:positionH>
                      <wp:positionV relativeFrom="paragraph">
                        <wp:posOffset>9936</wp:posOffset>
                      </wp:positionV>
                      <wp:extent cx="2248348" cy="0"/>
                      <wp:effectExtent l="0" t="0" r="0" b="0"/>
                      <wp:wrapNone/>
                      <wp:docPr id="1720753239" name="Straight Connector 2"/>
                      <wp:cNvGraphicFramePr/>
                      <a:graphic xmlns:a="http://schemas.openxmlformats.org/drawingml/2006/main">
                        <a:graphicData uri="http://schemas.microsoft.com/office/word/2010/wordprocessingShape">
                          <wps:wsp>
                            <wps:cNvCnPr/>
                            <wps:spPr>
                              <a:xfrm>
                                <a:off x="0" y="0"/>
                                <a:ext cx="22483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9A41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45pt,.8pt" to="3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w1mQEAAIgDAAAOAAAAZHJzL2Uyb0RvYy54bWysU9uO0zAQfUfiHyy/06Rlh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" strokecolor="black [3200]" strokeweight=".5pt">
                      <v:stroke joinstyle="miter"/>
                    </v:line>
                  </w:pict>
                </mc:Fallback>
              </mc:AlternateContent>
            </w:r>
          </w:p>
        </w:tc>
      </w:tr>
      <w:tr w:rsidR="004C4449" w:rsidRPr="004C4449" w14:paraId="1E1A819A" w14:textId="77777777" w:rsidTr="00BE4A6B">
        <w:tc>
          <w:tcPr>
            <w:tcW w:w="1996" w:type="pct"/>
          </w:tcPr>
          <w:p w14:paraId="2D4A0631" w14:textId="77777777" w:rsidR="004C4449" w:rsidRPr="009071B4" w:rsidRDefault="004C4449" w:rsidP="004C4449">
            <w:pPr>
              <w:spacing w:before="120" w:after="0" w:line="240" w:lineRule="auto"/>
              <w:jc w:val="center"/>
              <w:rPr>
                <w:rFonts w:ascii="Times New Roman" w:eastAsia="Times New Roman" w:hAnsi="Times New Roman" w:cs="Times New Roman"/>
                <w:kern w:val="0"/>
                <w:sz w:val="28"/>
                <w:szCs w:val="28"/>
                <w14:ligatures w14:val="none"/>
              </w:rPr>
            </w:pPr>
          </w:p>
        </w:tc>
        <w:tc>
          <w:tcPr>
            <w:tcW w:w="3004" w:type="pct"/>
          </w:tcPr>
          <w:p w14:paraId="0BDC50F5" w14:textId="3AE8CD1A" w:rsidR="004C4449" w:rsidRPr="009071B4" w:rsidRDefault="004C4449" w:rsidP="004C4449">
            <w:pPr>
              <w:spacing w:after="0" w:line="240" w:lineRule="auto"/>
              <w:ind w:right="-48"/>
              <w:jc w:val="center"/>
              <w:rPr>
                <w:rFonts w:ascii="Times New Roman" w:eastAsia="Times New Roman" w:hAnsi="Times New Roman" w:cs="Times New Roman"/>
                <w:i/>
                <w:kern w:val="0"/>
                <w:sz w:val="28"/>
                <w:szCs w:val="28"/>
                <w14:ligatures w14:val="none"/>
              </w:rPr>
            </w:pPr>
            <w:r w:rsidRPr="009071B4">
              <w:rPr>
                <w:rFonts w:ascii="Times New Roman" w:eastAsia="Times New Roman" w:hAnsi="Times New Roman" w:cs="Times New Roman"/>
                <w:i/>
                <w:kern w:val="0"/>
                <w:sz w:val="28"/>
                <w:szCs w:val="28"/>
                <w14:ligatures w14:val="none"/>
              </w:rPr>
              <w:t xml:space="preserve">Hà Nội, ngày      tháng </w:t>
            </w:r>
            <w:r w:rsidR="00B92E0B">
              <w:rPr>
                <w:rFonts w:ascii="Times New Roman" w:eastAsia="Times New Roman" w:hAnsi="Times New Roman" w:cs="Times New Roman"/>
                <w:i/>
                <w:kern w:val="0"/>
                <w:sz w:val="28"/>
                <w:szCs w:val="28"/>
                <w14:ligatures w14:val="none"/>
              </w:rPr>
              <w:t xml:space="preserve">   </w:t>
            </w:r>
            <w:r w:rsidRPr="009071B4">
              <w:rPr>
                <w:rFonts w:ascii="Times New Roman" w:eastAsia="Times New Roman" w:hAnsi="Times New Roman" w:cs="Times New Roman"/>
                <w:i/>
                <w:kern w:val="0"/>
                <w:sz w:val="28"/>
                <w:szCs w:val="28"/>
                <w14:ligatures w14:val="none"/>
              </w:rPr>
              <w:t xml:space="preserve"> năm 202</w:t>
            </w:r>
            <w:r w:rsidR="00B92E0B">
              <w:rPr>
                <w:rFonts w:ascii="Times New Roman" w:eastAsia="Times New Roman" w:hAnsi="Times New Roman" w:cs="Times New Roman"/>
                <w:i/>
                <w:kern w:val="0"/>
                <w:sz w:val="28"/>
                <w:szCs w:val="28"/>
                <w14:ligatures w14:val="none"/>
              </w:rPr>
              <w:t>6</w:t>
            </w:r>
          </w:p>
        </w:tc>
      </w:tr>
    </w:tbl>
    <w:p w14:paraId="1006A1E6" w14:textId="77777777" w:rsidR="004C4449" w:rsidRDefault="004C4449" w:rsidP="00D51912">
      <w:pPr>
        <w:spacing w:before="120" w:after="120" w:line="240" w:lineRule="auto"/>
        <w:jc w:val="center"/>
        <w:rPr>
          <w:rFonts w:ascii="Times New Roman" w:hAnsi="Times New Roman" w:cs="Times New Roman"/>
          <w:b/>
          <w:bCs/>
          <w:sz w:val="28"/>
          <w:szCs w:val="28"/>
        </w:rPr>
      </w:pPr>
    </w:p>
    <w:p w14:paraId="07DEF2EB" w14:textId="2379FFFA" w:rsidR="00D51912" w:rsidRPr="00D15F0D" w:rsidRDefault="004C4449" w:rsidP="00D51912">
      <w:pPr>
        <w:spacing w:before="120" w:after="120" w:line="240" w:lineRule="auto"/>
        <w:jc w:val="center"/>
        <w:rPr>
          <w:rFonts w:ascii="Times New Roman" w:hAnsi="Times New Roman" w:cs="Times New Roman"/>
          <w:b/>
          <w:bCs/>
          <w:sz w:val="28"/>
          <w:szCs w:val="28"/>
        </w:rPr>
      </w:pPr>
      <w:r w:rsidRPr="00D15F0D">
        <w:rPr>
          <w:rFonts w:ascii="Times New Roman" w:hAnsi="Times New Roman" w:cs="Times New Roman"/>
          <w:b/>
          <w:bCs/>
          <w:sz w:val="28"/>
          <w:szCs w:val="28"/>
        </w:rPr>
        <w:t xml:space="preserve">BẢN THUYẾT MINH QUY PHẠM HÓA CHÍNH SÁCH </w:t>
      </w:r>
      <w:r w:rsidR="00677635" w:rsidRPr="00D15F0D">
        <w:rPr>
          <w:rFonts w:ascii="Times New Roman" w:hAnsi="Times New Roman" w:cs="Times New Roman"/>
          <w:b/>
          <w:bCs/>
          <w:sz w:val="28"/>
          <w:szCs w:val="28"/>
        </w:rPr>
        <w:t>CỦA</w:t>
      </w:r>
      <w:r w:rsidRPr="00D15F0D">
        <w:rPr>
          <w:rFonts w:ascii="Times New Roman" w:hAnsi="Times New Roman" w:cs="Times New Roman"/>
          <w:b/>
          <w:bCs/>
          <w:sz w:val="28"/>
          <w:szCs w:val="28"/>
        </w:rPr>
        <w:t xml:space="preserve"> LUẬT GIAO DỊCH HÀNG HÓA PHÁI SINH</w:t>
      </w:r>
    </w:p>
    <w:p w14:paraId="2EF21F8B" w14:textId="77777777" w:rsidR="00E23A71" w:rsidRDefault="00E23A71" w:rsidP="00D51912">
      <w:pPr>
        <w:spacing w:before="120" w:after="120" w:line="240" w:lineRule="auto"/>
        <w:jc w:val="center"/>
        <w:rPr>
          <w:rFonts w:ascii="Times New Roman" w:hAnsi="Times New Roman" w:cs="Times New Roman"/>
          <w:b/>
          <w:bCs/>
          <w:sz w:val="28"/>
          <w:szCs w:val="28"/>
        </w:rPr>
      </w:pPr>
    </w:p>
    <w:tbl>
      <w:tblPr>
        <w:tblStyle w:val="TableGrid"/>
        <w:tblW w:w="13608" w:type="dxa"/>
        <w:tblInd w:w="137" w:type="dxa"/>
        <w:tblLook w:val="04A0" w:firstRow="1" w:lastRow="0" w:firstColumn="1" w:lastColumn="0" w:noHBand="0" w:noVBand="1"/>
      </w:tblPr>
      <w:tblGrid>
        <w:gridCol w:w="3260"/>
        <w:gridCol w:w="4253"/>
        <w:gridCol w:w="6095"/>
      </w:tblGrid>
      <w:tr w:rsidR="00E23A71" w:rsidRPr="00D15F0D" w14:paraId="2873F9E9" w14:textId="77777777" w:rsidTr="00B77E79">
        <w:trPr>
          <w:tblHeader/>
        </w:trPr>
        <w:tc>
          <w:tcPr>
            <w:tcW w:w="3260" w:type="dxa"/>
          </w:tcPr>
          <w:p w14:paraId="649D96B8" w14:textId="3F54E8B2" w:rsidR="00E23A71" w:rsidRPr="00D15F0D" w:rsidRDefault="00E23A71" w:rsidP="00D51912">
            <w:pPr>
              <w:spacing w:before="120" w:after="120"/>
              <w:jc w:val="center"/>
              <w:rPr>
                <w:rFonts w:ascii="Times New Roman" w:hAnsi="Times New Roman" w:cs="Times New Roman"/>
                <w:b/>
                <w:bCs/>
                <w:sz w:val="28"/>
                <w:szCs w:val="28"/>
              </w:rPr>
            </w:pPr>
            <w:r w:rsidRPr="00D15F0D">
              <w:rPr>
                <w:rFonts w:ascii="Times New Roman" w:hAnsi="Times New Roman" w:cs="Times New Roman"/>
                <w:b/>
                <w:bCs/>
                <w:sz w:val="28"/>
                <w:szCs w:val="28"/>
              </w:rPr>
              <w:t>TÊN CHÍNH SÁCH</w:t>
            </w:r>
          </w:p>
        </w:tc>
        <w:tc>
          <w:tcPr>
            <w:tcW w:w="4253" w:type="dxa"/>
          </w:tcPr>
          <w:p w14:paraId="0CABFC12" w14:textId="7798AA31" w:rsidR="00E23A71" w:rsidRPr="00D15F0D" w:rsidRDefault="00E23A71" w:rsidP="00D51912">
            <w:pPr>
              <w:spacing w:before="120" w:after="120"/>
              <w:jc w:val="center"/>
              <w:rPr>
                <w:rFonts w:ascii="Times New Roman" w:hAnsi="Times New Roman" w:cs="Times New Roman"/>
                <w:b/>
                <w:bCs/>
                <w:sz w:val="28"/>
                <w:szCs w:val="28"/>
              </w:rPr>
            </w:pPr>
            <w:r w:rsidRPr="00D15F0D">
              <w:rPr>
                <w:rFonts w:ascii="Times New Roman" w:hAnsi="Times New Roman" w:cs="Times New Roman"/>
                <w:b/>
                <w:bCs/>
                <w:sz w:val="28"/>
                <w:szCs w:val="28"/>
              </w:rPr>
              <w:t xml:space="preserve">NỘI DUNG CHÍNH SÁCH </w:t>
            </w:r>
          </w:p>
        </w:tc>
        <w:tc>
          <w:tcPr>
            <w:tcW w:w="6095" w:type="dxa"/>
          </w:tcPr>
          <w:p w14:paraId="3CF1EF3E" w14:textId="6642A851" w:rsidR="00E23A71" w:rsidRPr="00D15F0D" w:rsidRDefault="00E23A71" w:rsidP="00D51912">
            <w:pPr>
              <w:spacing w:before="120" w:after="120"/>
              <w:jc w:val="center"/>
              <w:rPr>
                <w:rFonts w:ascii="Times New Roman" w:hAnsi="Times New Roman" w:cs="Times New Roman"/>
                <w:b/>
                <w:bCs/>
                <w:sz w:val="28"/>
                <w:szCs w:val="28"/>
              </w:rPr>
            </w:pPr>
            <w:r w:rsidRPr="00D15F0D">
              <w:rPr>
                <w:rFonts w:ascii="Times New Roman" w:hAnsi="Times New Roman" w:cs="Times New Roman"/>
                <w:b/>
                <w:bCs/>
                <w:sz w:val="28"/>
                <w:szCs w:val="28"/>
              </w:rPr>
              <w:t>DỰ KIẾN QUY ĐỊNH</w:t>
            </w:r>
          </w:p>
        </w:tc>
      </w:tr>
      <w:tr w:rsidR="00E57709" w:rsidRPr="00D15F0D" w14:paraId="4882501E" w14:textId="77777777" w:rsidTr="00C45A23">
        <w:tc>
          <w:tcPr>
            <w:tcW w:w="3260" w:type="dxa"/>
            <w:vMerge w:val="restart"/>
            <w:vAlign w:val="center"/>
          </w:tcPr>
          <w:p w14:paraId="5792CC01" w14:textId="77777777" w:rsidR="00E57709" w:rsidRPr="00D15F0D" w:rsidRDefault="00E57709" w:rsidP="00677635">
            <w:pPr>
              <w:spacing w:before="120" w:after="120"/>
              <w:jc w:val="center"/>
              <w:rPr>
                <w:rFonts w:ascii="Times New Roman" w:hAnsi="Times New Roman" w:cs="Times New Roman"/>
                <w:b/>
                <w:bCs/>
                <w:sz w:val="28"/>
                <w:szCs w:val="28"/>
              </w:rPr>
            </w:pPr>
            <w:r w:rsidRPr="00D15F0D">
              <w:rPr>
                <w:rFonts w:ascii="Times New Roman" w:hAnsi="Times New Roman" w:cs="Times New Roman"/>
                <w:b/>
                <w:bCs/>
                <w:sz w:val="28"/>
                <w:szCs w:val="28"/>
              </w:rPr>
              <w:t>Chính sách 1:</w:t>
            </w:r>
          </w:p>
          <w:p w14:paraId="39001C13" w14:textId="77777777" w:rsidR="00B77E79" w:rsidRPr="00A65DF1" w:rsidRDefault="00B77E79" w:rsidP="00B77E79">
            <w:pPr>
              <w:pStyle w:val="NormalWeb"/>
              <w:tabs>
                <w:tab w:val="left" w:pos="993"/>
              </w:tabs>
              <w:spacing w:before="120" w:beforeAutospacing="0" w:after="120" w:afterAutospacing="0" w:line="264" w:lineRule="auto"/>
              <w:jc w:val="center"/>
              <w:rPr>
                <w:b/>
                <w:bCs/>
                <w:sz w:val="28"/>
                <w:szCs w:val="28"/>
              </w:rPr>
            </w:pPr>
            <w:r w:rsidRPr="00A65DF1">
              <w:rPr>
                <w:b/>
                <w:bCs/>
                <w:sz w:val="28"/>
                <w:szCs w:val="28"/>
              </w:rPr>
              <w:t>Hoàn thiện nền tảng pháp lý và phạm vi điều chỉnh chuyên biệt</w:t>
            </w:r>
          </w:p>
          <w:p w14:paraId="70507B39" w14:textId="0472890B" w:rsidR="00E57709" w:rsidRPr="00D15F0D" w:rsidRDefault="00E57709" w:rsidP="00677635">
            <w:pPr>
              <w:spacing w:before="120" w:after="120"/>
              <w:jc w:val="center"/>
              <w:rPr>
                <w:rFonts w:ascii="Times New Roman" w:hAnsi="Times New Roman" w:cs="Times New Roman"/>
                <w:b/>
                <w:bCs/>
                <w:sz w:val="28"/>
                <w:szCs w:val="28"/>
              </w:rPr>
            </w:pPr>
          </w:p>
        </w:tc>
        <w:tc>
          <w:tcPr>
            <w:tcW w:w="4253" w:type="dxa"/>
          </w:tcPr>
          <w:p w14:paraId="5A943004" w14:textId="103F04CB" w:rsidR="00E57709" w:rsidRPr="00D15F0D" w:rsidRDefault="00E57709" w:rsidP="00B85D56">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phạm vi điều chỉnh và chủ thể áp dụng</w:t>
            </w:r>
          </w:p>
        </w:tc>
        <w:tc>
          <w:tcPr>
            <w:tcW w:w="6095" w:type="dxa"/>
          </w:tcPr>
          <w:p w14:paraId="400FC83D" w14:textId="77777777" w:rsidR="00E57709" w:rsidRPr="00D15F0D" w:rsidRDefault="00E57709" w:rsidP="00677635">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Xác định rõ phạm vi điều chỉnh của Luật: điều chỉnh hoạt động giao dịch hàng hóa phái sinh; tổ chức, quản lý, giám sát thị trường hàng hóa phái sinh; quyền và nghĩa vụ của các chủ thể tham gia.</w:t>
            </w:r>
          </w:p>
          <w:p w14:paraId="02030277" w14:textId="7EAACBFA" w:rsidR="00E57709" w:rsidRPr="00D15F0D" w:rsidRDefault="00E57709" w:rsidP="00677635">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đối tượng áp dụng: Sở giao dịch hàng hóa phái sinh, thành viên giao dịch, thành viên bù trừ, nhà đầu tư, tổ chức cung cấp dịch vụ liên quan (lưu ký, thanh toán, giám sát), cơ quan quản lý nhà nước và các tổ chức, cá nhân khác có liên quan đến hoạt động giao dịch hàng hóa phái sinh.</w:t>
            </w:r>
          </w:p>
        </w:tc>
      </w:tr>
      <w:tr w:rsidR="00E57709" w:rsidRPr="00D15F0D" w14:paraId="458B2AF3" w14:textId="77777777" w:rsidTr="00C45A23">
        <w:tc>
          <w:tcPr>
            <w:tcW w:w="3260" w:type="dxa"/>
            <w:vMerge/>
            <w:vAlign w:val="center"/>
          </w:tcPr>
          <w:p w14:paraId="4A487447" w14:textId="1286C727" w:rsidR="00E57709" w:rsidRPr="00D15F0D" w:rsidRDefault="00E57709" w:rsidP="00677635">
            <w:pPr>
              <w:spacing w:before="120" w:after="120"/>
              <w:jc w:val="center"/>
              <w:rPr>
                <w:rFonts w:ascii="Times New Roman" w:hAnsi="Times New Roman" w:cs="Times New Roman"/>
                <w:b/>
                <w:bCs/>
                <w:sz w:val="28"/>
                <w:szCs w:val="28"/>
              </w:rPr>
            </w:pPr>
          </w:p>
        </w:tc>
        <w:tc>
          <w:tcPr>
            <w:tcW w:w="4253" w:type="dxa"/>
          </w:tcPr>
          <w:p w14:paraId="58A1AF6B" w14:textId="6B7F73E5" w:rsidR="00E57709" w:rsidRPr="00D15F0D" w:rsidRDefault="00E57709" w:rsidP="00B85D56">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phạm hóa nhóm khái niệm liên quan đến hoạt động giao dịch hàng hóa phái sinh</w:t>
            </w:r>
          </w:p>
        </w:tc>
        <w:tc>
          <w:tcPr>
            <w:tcW w:w="6095" w:type="dxa"/>
          </w:tcPr>
          <w:p w14:paraId="5A1D718D" w14:textId="0EAAEC0F" w:rsidR="00E57709" w:rsidRPr="00D15F0D" w:rsidRDefault="00E57709" w:rsidP="00F218B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phạm hóa các khái niệm liên quan đến giao dịch hàng hóa phái sinh, dự kiến tập trung quy phạm hóa các khái niệm như: Hợp đồng hàng hóa phái sinh (futures, options, swaps…); Sở giao dịch hàng hóa phái sinh</w:t>
            </w:r>
            <w:r w:rsidR="006620CA" w:rsidRPr="00D15F0D">
              <w:rPr>
                <w:rFonts w:ascii="Times New Roman" w:hAnsi="Times New Roman" w:cs="Times New Roman"/>
                <w:sz w:val="28"/>
                <w:szCs w:val="28"/>
              </w:rPr>
              <w:t>, Sàn giao dịch hàng hóa phái sinh chuyên biệt</w:t>
            </w:r>
            <w:r w:rsidRPr="00D15F0D">
              <w:rPr>
                <w:rFonts w:ascii="Times New Roman" w:hAnsi="Times New Roman" w:cs="Times New Roman"/>
                <w:sz w:val="28"/>
                <w:szCs w:val="28"/>
              </w:rPr>
              <w:t xml:space="preserve">; Thành viên giao dịch, thành viên bù trừ, nhà đầu tư; Ký quỹ, quỹ bù trừ, thanh toán bù trừ; vị thế mở, giới hạn vị thế,… đảm bảo phù hợp với thông lệ quốc </w:t>
            </w:r>
            <w:r w:rsidRPr="00D15F0D">
              <w:rPr>
                <w:rFonts w:ascii="Times New Roman" w:hAnsi="Times New Roman" w:cs="Times New Roman"/>
                <w:sz w:val="28"/>
                <w:szCs w:val="28"/>
              </w:rPr>
              <w:lastRenderedPageBreak/>
              <w:t>tế (ví dụ: quy định của IOSCO, CFTC Mỹ, ESMA châu Âu).</w:t>
            </w:r>
          </w:p>
          <w:p w14:paraId="4DD37DBA" w14:textId="07B9F3EB" w:rsidR="00E57709" w:rsidRPr="00D15F0D" w:rsidRDefault="00E57709" w:rsidP="00F218B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Có thể giao Chính phủ quy định bổ sung, cập nhật khái niệm mới theo sự phát triển thị trường.</w:t>
            </w:r>
          </w:p>
        </w:tc>
      </w:tr>
      <w:tr w:rsidR="00E57709" w:rsidRPr="00D15F0D" w14:paraId="2F038DA3" w14:textId="77777777" w:rsidTr="00C45A23">
        <w:tc>
          <w:tcPr>
            <w:tcW w:w="3260" w:type="dxa"/>
            <w:vMerge/>
            <w:vAlign w:val="center"/>
          </w:tcPr>
          <w:p w14:paraId="06FB9914" w14:textId="1F8CE4C8" w:rsidR="00E57709" w:rsidRPr="00D15F0D" w:rsidRDefault="00E57709" w:rsidP="00677635">
            <w:pPr>
              <w:spacing w:before="120" w:after="120"/>
              <w:jc w:val="center"/>
              <w:rPr>
                <w:rFonts w:ascii="Times New Roman" w:hAnsi="Times New Roman" w:cs="Times New Roman"/>
                <w:b/>
                <w:bCs/>
                <w:sz w:val="28"/>
                <w:szCs w:val="28"/>
              </w:rPr>
            </w:pPr>
          </w:p>
        </w:tc>
        <w:tc>
          <w:tcPr>
            <w:tcW w:w="4253" w:type="dxa"/>
          </w:tcPr>
          <w:p w14:paraId="7D2C3DD9" w14:textId="3DBD55F4" w:rsidR="00E57709" w:rsidRPr="00D15F0D" w:rsidRDefault="00E57709" w:rsidP="00B85D56">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nguyên tắc pháp lý điều chỉnh hoạt động giao dịch hàng hóa phái sinh</w:t>
            </w:r>
          </w:p>
        </w:tc>
        <w:tc>
          <w:tcPr>
            <w:tcW w:w="6095" w:type="dxa"/>
          </w:tcPr>
          <w:p w14:paraId="332FEB5A" w14:textId="77777777" w:rsidR="00E57709" w:rsidRPr="00D15F0D" w:rsidRDefault="00E57709" w:rsidP="00B85D56">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Luật sẽ quy định khung các nguyên tắc cơ bản điều chỉnh hoạt động giao dịch hàng hóa phái sinh, bảo đảm tính trung thực, công khai, minh bạch, công bằng, cạnh tranh lành mạnh; an toàn tài chính và quản trị rủi ro; tách bạch tài sản của khách hàng với tài sản của thành viên; bảo vệ quyền và lợi ích hợp pháp của nhà đầu tư.</w:t>
            </w:r>
          </w:p>
          <w:p w14:paraId="254DA6C5" w14:textId="5064B9EB" w:rsidR="00E57709" w:rsidRPr="00D15F0D" w:rsidRDefault="00E57709" w:rsidP="00B85D56">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Các nguyên tắc này được quy định mang tính định hướng trong Luật, còn chi tiết về cơ chế quản lý rủi ro, phương thức tách bạch tài sản và các biện pháp bảo vệ nhà đầu tư sẽ giao Chính phủ và các Bộ, ngành liên quan quy định cụ thể bằng văn bản dưới luật để bảo đảm tính linh hoạt, phù hợp với diễn biến của thị trường và thông lệ quốc tế.</w:t>
            </w:r>
          </w:p>
        </w:tc>
      </w:tr>
      <w:tr w:rsidR="00E57709" w:rsidRPr="00D15F0D" w14:paraId="23B50427" w14:textId="77777777" w:rsidTr="00C45A23">
        <w:tc>
          <w:tcPr>
            <w:tcW w:w="3260" w:type="dxa"/>
            <w:vMerge/>
            <w:vAlign w:val="center"/>
          </w:tcPr>
          <w:p w14:paraId="365D774A" w14:textId="742421E4" w:rsidR="00E57709" w:rsidRPr="00D15F0D" w:rsidRDefault="00E57709" w:rsidP="00677635">
            <w:pPr>
              <w:spacing w:before="120" w:after="120"/>
              <w:jc w:val="center"/>
              <w:rPr>
                <w:rFonts w:ascii="Times New Roman" w:hAnsi="Times New Roman" w:cs="Times New Roman"/>
                <w:b/>
                <w:bCs/>
                <w:sz w:val="28"/>
                <w:szCs w:val="28"/>
              </w:rPr>
            </w:pPr>
          </w:p>
        </w:tc>
        <w:tc>
          <w:tcPr>
            <w:tcW w:w="4253" w:type="dxa"/>
          </w:tcPr>
          <w:p w14:paraId="3AB619E4" w14:textId="40DB050B" w:rsidR="00E57709" w:rsidRPr="00D15F0D" w:rsidRDefault="00E57709" w:rsidP="00B85D56">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xml:space="preserve">Quy định về định hướng chính sách phát triển thị trường hàng hóa phái sinh </w:t>
            </w:r>
          </w:p>
        </w:tc>
        <w:tc>
          <w:tcPr>
            <w:tcW w:w="6095" w:type="dxa"/>
          </w:tcPr>
          <w:p w14:paraId="26DB3716" w14:textId="77777777" w:rsidR="00E57709" w:rsidRPr="00D15F0D" w:rsidRDefault="00E57709" w:rsidP="00B85D56">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xml:space="preserve">Xác định các định hướng lớn của Nhà nước trong việc phát triển thị trường hàng hóa phái sinh theo nguyên tắc an toàn, bền vững và hội nhập quốc tế. Các định hướng này tập trung vào việc khuyến khích, tạo điều kiện cho các tổ chức trong nước và nước ngoài tham gia thị trường; ưu tiên đầu tư, phát triển hạ tầng công nghệ, hệ thống thanh toán bù trừ hiện đại; đồng thời hỗ trợ đào tạo nguồn nhân lực, nâng </w:t>
            </w:r>
            <w:r w:rsidRPr="00D15F0D">
              <w:rPr>
                <w:rFonts w:ascii="Times New Roman" w:hAnsi="Times New Roman" w:cs="Times New Roman"/>
                <w:sz w:val="28"/>
                <w:szCs w:val="28"/>
              </w:rPr>
              <w:lastRenderedPageBreak/>
              <w:t>cao nhận thức xã hội và phát triển sản phẩm phái sinh gắn với nhu cầu quản trị rủi ro của doanh nghiệp.</w:t>
            </w:r>
          </w:p>
          <w:p w14:paraId="770C08A8" w14:textId="421B2806" w:rsidR="00E57709" w:rsidRPr="00D15F0D" w:rsidRDefault="00E57709" w:rsidP="00B85D56">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Các chính sách cụ thể về cơ chế ưu đãi, hỗ trợ về thuế, công nghệ và đào tạo nhân lực sẽ giao Chính phủ quy định chi tiết bằng Nghị định để bảo đảm tính linh hoạt và phù hợp với yêu cầu thực tiễn.</w:t>
            </w:r>
          </w:p>
        </w:tc>
      </w:tr>
      <w:tr w:rsidR="00E57709" w:rsidRPr="00D15F0D" w14:paraId="5D81471E" w14:textId="77777777" w:rsidTr="00C45A23">
        <w:tc>
          <w:tcPr>
            <w:tcW w:w="3260" w:type="dxa"/>
            <w:vMerge/>
            <w:vAlign w:val="center"/>
          </w:tcPr>
          <w:p w14:paraId="1101FF5B" w14:textId="603354BE" w:rsidR="00E57709" w:rsidRPr="00D15F0D" w:rsidRDefault="00E57709" w:rsidP="00677635">
            <w:pPr>
              <w:spacing w:before="120" w:after="120"/>
              <w:jc w:val="center"/>
              <w:rPr>
                <w:rFonts w:ascii="Times New Roman" w:hAnsi="Times New Roman" w:cs="Times New Roman"/>
                <w:b/>
                <w:bCs/>
                <w:sz w:val="28"/>
                <w:szCs w:val="28"/>
              </w:rPr>
            </w:pPr>
          </w:p>
        </w:tc>
        <w:tc>
          <w:tcPr>
            <w:tcW w:w="4253" w:type="dxa"/>
          </w:tcPr>
          <w:p w14:paraId="14AE0826" w14:textId="18F58F64" w:rsidR="00E57709" w:rsidRPr="00D15F0D" w:rsidRDefault="00E57709" w:rsidP="00B85D56">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các hành vi bị nghiêm cấm trong hoạt động giao dịch hàng hóa phái sinh</w:t>
            </w:r>
          </w:p>
        </w:tc>
        <w:tc>
          <w:tcPr>
            <w:tcW w:w="6095" w:type="dxa"/>
          </w:tcPr>
          <w:p w14:paraId="644E26E8" w14:textId="67F8B661" w:rsidR="00E57709" w:rsidRPr="00D15F0D" w:rsidRDefault="00E57709" w:rsidP="00B85D56">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Quy định khung các hành vi bị nghiêm cấm trong hoạt động giao dịch hàng hóa phái sinh, bao gồm các hành vi thao túng thị trường, giao dịch nội gián, cung cấp thông tin sai lệch, giả mạo hồ sơ, lạm dụng tín nhiệm, chiếm dụng tài sản của khách hàng, giao dịch vượt giới hạn hoặc vi phạm quy định về ký quỹ, bù trừ. Quy định này nhằm bảo đảm sự đồng bộ với các hành vi bị cấm trong Luật Chứng khoán, Luật Cạnh tranh và Luật Phòng, chống rửa tiền.</w:t>
            </w:r>
          </w:p>
          <w:p w14:paraId="737B5538" w14:textId="29D04415" w:rsidR="00E57709" w:rsidRPr="00D15F0D" w:rsidRDefault="00E57709" w:rsidP="00B85D56">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Giao Chính phủ quy định chi tiết tại Nghị định về dấu hiệu nhận diện hành vi vi phạm, hình thức và mức xử phạt, cũng như biện pháp khắc phục hậu quả, bảo đảm tính khả thi, minh bạch và phù hợp với thực tiễn thị trường.</w:t>
            </w:r>
          </w:p>
        </w:tc>
      </w:tr>
      <w:tr w:rsidR="00F94464" w:rsidRPr="00D15F0D" w14:paraId="6560F310" w14:textId="77777777" w:rsidTr="00C45A23">
        <w:tc>
          <w:tcPr>
            <w:tcW w:w="3260" w:type="dxa"/>
            <w:vMerge w:val="restart"/>
            <w:vAlign w:val="center"/>
          </w:tcPr>
          <w:p w14:paraId="6A0BA89A" w14:textId="77777777" w:rsidR="00F94464" w:rsidRPr="00D15F0D" w:rsidRDefault="00F94464" w:rsidP="00F94464">
            <w:pPr>
              <w:spacing w:before="120" w:after="120"/>
              <w:jc w:val="center"/>
              <w:rPr>
                <w:rFonts w:ascii="Times New Roman" w:hAnsi="Times New Roman" w:cs="Times New Roman"/>
                <w:b/>
                <w:bCs/>
                <w:sz w:val="28"/>
                <w:szCs w:val="28"/>
              </w:rPr>
            </w:pPr>
            <w:r w:rsidRPr="00D15F0D">
              <w:rPr>
                <w:rFonts w:ascii="Times New Roman" w:hAnsi="Times New Roman" w:cs="Times New Roman"/>
                <w:b/>
                <w:bCs/>
                <w:sz w:val="28"/>
                <w:szCs w:val="28"/>
              </w:rPr>
              <w:t>Chính sách 2:</w:t>
            </w:r>
          </w:p>
          <w:p w14:paraId="5C5016FA" w14:textId="77777777" w:rsidR="00F94464" w:rsidRPr="0009318E" w:rsidRDefault="00F94464" w:rsidP="00F94464">
            <w:pPr>
              <w:pStyle w:val="NormalWeb"/>
              <w:tabs>
                <w:tab w:val="left" w:pos="993"/>
              </w:tabs>
              <w:spacing w:before="120" w:beforeAutospacing="0" w:after="0" w:afterAutospacing="0" w:line="264" w:lineRule="auto"/>
              <w:jc w:val="center"/>
              <w:rPr>
                <w:b/>
                <w:bCs/>
                <w:sz w:val="28"/>
                <w:szCs w:val="28"/>
              </w:rPr>
            </w:pPr>
            <w:r w:rsidRPr="0009318E">
              <w:rPr>
                <w:b/>
                <w:bCs/>
                <w:sz w:val="28"/>
                <w:szCs w:val="28"/>
              </w:rPr>
              <w:t>Tổ chức hạ tầng thị trường và mô hình vận hành</w:t>
            </w:r>
          </w:p>
          <w:p w14:paraId="71AFB40A" w14:textId="77777777" w:rsidR="00F94464" w:rsidRPr="00D15F0D" w:rsidRDefault="00F94464" w:rsidP="00F94464">
            <w:pPr>
              <w:spacing w:before="120" w:after="120"/>
              <w:jc w:val="center"/>
              <w:rPr>
                <w:rFonts w:ascii="Times New Roman" w:hAnsi="Times New Roman" w:cs="Times New Roman"/>
                <w:b/>
                <w:bCs/>
                <w:sz w:val="28"/>
                <w:szCs w:val="28"/>
              </w:rPr>
            </w:pPr>
          </w:p>
        </w:tc>
        <w:tc>
          <w:tcPr>
            <w:tcW w:w="4253" w:type="dxa"/>
          </w:tcPr>
          <w:p w14:paraId="7C9AE87A" w14:textId="43D6F111" w:rsidR="00F94464" w:rsidRPr="00B77E79" w:rsidRDefault="00F94464" w:rsidP="00F94464">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lastRenderedPageBreak/>
              <w:t xml:space="preserve">Quy phạm hóa điều kiện thành lập của Sở giao dịch hàng hóa phái sinh </w:t>
            </w:r>
          </w:p>
        </w:tc>
        <w:tc>
          <w:tcPr>
            <w:tcW w:w="6095" w:type="dxa"/>
          </w:tcPr>
          <w:p w14:paraId="27EAFE68" w14:textId="77777777" w:rsidR="00F94464" w:rsidRPr="00D15F0D" w:rsidRDefault="00F94464" w:rsidP="00F94464">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điều kiện thành lập Sở giao dịch hàng hóa phái sinh, bao gồm yêu cầu về vốn điều lệ tối thiểu, cơ cấu sở hữu, hệ thống giao dịch, an toàn công nghệ thông tin và cơ chế kiểm soát nội bộ nhằm bảo đảm tính minh bạch, an toàn trong hoạt động giao dịch hàng hóa phái sinh.</w:t>
            </w:r>
          </w:p>
          <w:p w14:paraId="5DD59278" w14:textId="7D2E9E77" w:rsidR="00F94464" w:rsidRPr="00030351" w:rsidRDefault="00F94464" w:rsidP="00F94464">
            <w:pPr>
              <w:pStyle w:val="NormalWeb"/>
              <w:tabs>
                <w:tab w:val="left" w:pos="993"/>
              </w:tabs>
              <w:spacing w:before="120" w:beforeAutospacing="0" w:after="0" w:afterAutospacing="0" w:line="264" w:lineRule="auto"/>
              <w:jc w:val="both"/>
              <w:rPr>
                <w:sz w:val="28"/>
                <w:szCs w:val="28"/>
                <w:lang w:val="vi-VN"/>
              </w:rPr>
            </w:pPr>
            <w:r w:rsidRPr="00D15F0D">
              <w:rPr>
                <w:sz w:val="28"/>
                <w:szCs w:val="28"/>
              </w:rPr>
              <w:lastRenderedPageBreak/>
              <w:t>Giao Chính phủ quy định chi tiết về tiêu chuẩn hạ tầng kỹ thuật, yêu cầu về an toàn thông tin, kiểm soát nội bộ cũng như cơ chế cấp và thu hồi giấy phép hoạt động.</w:t>
            </w:r>
          </w:p>
        </w:tc>
      </w:tr>
      <w:tr w:rsidR="00F94464" w:rsidRPr="00D15F0D" w14:paraId="6060BC5D" w14:textId="77777777" w:rsidTr="00C45A23">
        <w:tc>
          <w:tcPr>
            <w:tcW w:w="3260" w:type="dxa"/>
            <w:vMerge/>
            <w:vAlign w:val="center"/>
          </w:tcPr>
          <w:p w14:paraId="344CCBFF" w14:textId="77777777" w:rsidR="00F94464" w:rsidRPr="00D15F0D" w:rsidRDefault="00F94464" w:rsidP="00F94464">
            <w:pPr>
              <w:spacing w:before="120" w:after="120"/>
              <w:jc w:val="center"/>
              <w:rPr>
                <w:rFonts w:ascii="Times New Roman" w:hAnsi="Times New Roman" w:cs="Times New Roman"/>
                <w:b/>
                <w:bCs/>
                <w:sz w:val="28"/>
                <w:szCs w:val="28"/>
              </w:rPr>
            </w:pPr>
          </w:p>
        </w:tc>
        <w:tc>
          <w:tcPr>
            <w:tcW w:w="4253" w:type="dxa"/>
          </w:tcPr>
          <w:p w14:paraId="013ACC42" w14:textId="48932159" w:rsidR="00F94464" w:rsidRPr="00B77E79" w:rsidRDefault="00F94464" w:rsidP="00F94464">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khung về tổ chức, bộ máy quản trị, điều hành của Sở giao dịch hàng hóa</w:t>
            </w:r>
          </w:p>
        </w:tc>
        <w:tc>
          <w:tcPr>
            <w:tcW w:w="6095" w:type="dxa"/>
          </w:tcPr>
          <w:p w14:paraId="4F732F91" w14:textId="77777777" w:rsidR="00F94464" w:rsidRPr="00D15F0D" w:rsidRDefault="00F94464" w:rsidP="00F94464">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Quy định khung về cơ cấu tổ chức quản trị, điều hành của Sở giao dịch hàng hóa phái sinh, bao gồm Hội đồng quản trị, Ban điều hành, Ban kiểm toán nội bộ và Ủy ban rủi ro; đồng thời đặt ra yêu cầu về tiêu chuẩn năng lực, đạo đức và tính độc lập đối với người quản lý chủ chốt.</w:t>
            </w:r>
          </w:p>
          <w:p w14:paraId="47BAB28E" w14:textId="10F4BE85" w:rsidR="00F94464" w:rsidRPr="00030351" w:rsidRDefault="00F94464" w:rsidP="00F94464">
            <w:pPr>
              <w:pStyle w:val="NormalWeb"/>
              <w:tabs>
                <w:tab w:val="left" w:pos="993"/>
              </w:tabs>
              <w:spacing w:before="120" w:beforeAutospacing="0" w:after="0" w:afterAutospacing="0" w:line="264" w:lineRule="auto"/>
              <w:jc w:val="both"/>
              <w:rPr>
                <w:sz w:val="28"/>
                <w:szCs w:val="28"/>
                <w:lang w:val="vi-VN"/>
              </w:rPr>
            </w:pPr>
            <w:r w:rsidRPr="00D15F0D">
              <w:rPr>
                <w:sz w:val="28"/>
                <w:szCs w:val="28"/>
              </w:rPr>
              <w:t>- Giao Chính phủ quy định chi tiết tiêu chí, quy trình bổ nhiệm, miễn nhiệm và trách nhiệm của các chức danh quản lý để bảo đảm hoạt động hiệu quả, minh bạch và an toàn hệ thống.</w:t>
            </w:r>
          </w:p>
        </w:tc>
      </w:tr>
      <w:tr w:rsidR="00F94464" w:rsidRPr="00D15F0D" w14:paraId="762A5027" w14:textId="77777777" w:rsidTr="00C45A23">
        <w:tc>
          <w:tcPr>
            <w:tcW w:w="3260" w:type="dxa"/>
            <w:vMerge/>
            <w:vAlign w:val="center"/>
          </w:tcPr>
          <w:p w14:paraId="5AC0829C" w14:textId="77777777" w:rsidR="00F94464" w:rsidRPr="00D15F0D" w:rsidRDefault="00F94464" w:rsidP="00F94464">
            <w:pPr>
              <w:spacing w:before="120" w:after="120"/>
              <w:jc w:val="center"/>
              <w:rPr>
                <w:rFonts w:ascii="Times New Roman" w:hAnsi="Times New Roman" w:cs="Times New Roman"/>
                <w:b/>
                <w:bCs/>
                <w:sz w:val="28"/>
                <w:szCs w:val="28"/>
              </w:rPr>
            </w:pPr>
          </w:p>
        </w:tc>
        <w:tc>
          <w:tcPr>
            <w:tcW w:w="4253" w:type="dxa"/>
          </w:tcPr>
          <w:p w14:paraId="265F7D21" w14:textId="7AB3FB0A" w:rsidR="00F94464" w:rsidRPr="00D15F0D" w:rsidRDefault="00F94464" w:rsidP="00F94464">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xml:space="preserve">Quy phạm hóa về quyền và </w:t>
            </w:r>
            <w:r>
              <w:rPr>
                <w:rFonts w:ascii="Times New Roman" w:hAnsi="Times New Roman" w:cs="Times New Roman"/>
                <w:sz w:val="28"/>
                <w:szCs w:val="28"/>
              </w:rPr>
              <w:t>trách nhiệm</w:t>
            </w:r>
            <w:r w:rsidRPr="00D15F0D">
              <w:rPr>
                <w:rFonts w:ascii="Times New Roman" w:hAnsi="Times New Roman" w:cs="Times New Roman"/>
                <w:sz w:val="28"/>
                <w:szCs w:val="28"/>
              </w:rPr>
              <w:t xml:space="preserve"> của Sở giao dịch hàng hóa phái sinh</w:t>
            </w:r>
          </w:p>
        </w:tc>
        <w:tc>
          <w:tcPr>
            <w:tcW w:w="6095" w:type="dxa"/>
          </w:tcPr>
          <w:p w14:paraId="10ED5075" w14:textId="77777777" w:rsidR="00F94464" w:rsidRPr="00D15F0D" w:rsidRDefault="00F94464" w:rsidP="00F94464">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Quy định quyền và nghĩa vụ cơ bản của Sở giao dịch hàng hóa phái sinh, trong đó nhấn mạnh quyền tổ chức và vận hành thị trường, ban hành Quy chế giao dịch trong khuôn khổ pháp luật. Đồng thời, Sở có trách nhiệm công bố thông tin minh bạch, thực hiện chế độ báo cáo định kỳ và đột xuất, giám sát hoạt động của thành viên, lưu trữ đầy đủ và an toàn dữ liệu giao dịch, xử lý kịp thời xung đột lợi ích và bảo đảm an toàn, ổn định hệ thống công nghệ thông tin.</w:t>
            </w:r>
          </w:p>
          <w:p w14:paraId="38502864" w14:textId="7B3459FD" w:rsidR="00F94464" w:rsidRPr="00D15F0D" w:rsidRDefault="00F94464" w:rsidP="00F94464">
            <w:pPr>
              <w:pStyle w:val="NormalWeb"/>
              <w:tabs>
                <w:tab w:val="left" w:pos="993"/>
              </w:tabs>
              <w:spacing w:before="120" w:beforeAutospacing="0" w:after="0" w:afterAutospacing="0" w:line="264" w:lineRule="auto"/>
              <w:jc w:val="both"/>
              <w:rPr>
                <w:sz w:val="28"/>
                <w:szCs w:val="28"/>
              </w:rPr>
            </w:pPr>
            <w:r w:rsidRPr="00D15F0D">
              <w:rPr>
                <w:sz w:val="28"/>
                <w:szCs w:val="28"/>
              </w:rPr>
              <w:lastRenderedPageBreak/>
              <w:t>- Chính phủ quy định chi tiết về chế độ báo cáo, công bố thông tin, cơ chế giám sát và trách nhiệm xử lý vi phạm để bảo đảm việc thực thi đồng bộ và hiệu quả.</w:t>
            </w:r>
          </w:p>
        </w:tc>
      </w:tr>
      <w:tr w:rsidR="00F94464" w:rsidRPr="00D15F0D" w14:paraId="32C46336" w14:textId="77777777" w:rsidTr="00C45A23">
        <w:tc>
          <w:tcPr>
            <w:tcW w:w="3260" w:type="dxa"/>
            <w:vAlign w:val="center"/>
          </w:tcPr>
          <w:p w14:paraId="22261465" w14:textId="77777777" w:rsidR="00F94464" w:rsidRPr="00D15F0D" w:rsidRDefault="00F94464" w:rsidP="00F94464">
            <w:pPr>
              <w:spacing w:before="120" w:after="120"/>
              <w:jc w:val="center"/>
              <w:rPr>
                <w:rFonts w:ascii="Times New Roman" w:hAnsi="Times New Roman" w:cs="Times New Roman"/>
                <w:b/>
                <w:bCs/>
                <w:sz w:val="28"/>
                <w:szCs w:val="28"/>
              </w:rPr>
            </w:pPr>
          </w:p>
        </w:tc>
        <w:tc>
          <w:tcPr>
            <w:tcW w:w="4253" w:type="dxa"/>
          </w:tcPr>
          <w:p w14:paraId="29E92DA6" w14:textId="0D153FE2" w:rsidR="00F94464" w:rsidRPr="00D15F0D" w:rsidRDefault="00F94464" w:rsidP="00F94464">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xml:space="preserve">Quy phạm hóa về điều lệ hoạt động, quy định về việc tạm ngừng, giải thể và chấm dứt hoạt động </w:t>
            </w:r>
            <w:r>
              <w:rPr>
                <w:rFonts w:ascii="Times New Roman" w:hAnsi="Times New Roman" w:cs="Times New Roman"/>
                <w:sz w:val="28"/>
                <w:szCs w:val="28"/>
              </w:rPr>
              <w:t>Sở giao dịch hàng hóa phái sinh</w:t>
            </w:r>
          </w:p>
        </w:tc>
        <w:tc>
          <w:tcPr>
            <w:tcW w:w="6095" w:type="dxa"/>
          </w:tcPr>
          <w:p w14:paraId="7D46B2E1" w14:textId="4C16D8D1" w:rsidR="00F94464" w:rsidRPr="00D15F0D" w:rsidRDefault="00F94464" w:rsidP="00F94464">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xml:space="preserve">- Sở giao dịch hàng hóa phái sinh phải xây dựng và thực hiện điều lệ hoạt động, các quy chế giao dịch theo khung pháp luật, bảo đảm tính công khai, minh bạch và trách nhiệm giải trình; đồng thời thực hiện nghĩa vụ công bố thông tin định kỳ, bất thường để nhà đầu tư và cơ quan quản lý tiếp cận kịp thời. Trường hợp tạm ngừng, giải thể hoặc chấm dứt hoạt động, </w:t>
            </w:r>
            <w:r>
              <w:rPr>
                <w:rFonts w:ascii="Times New Roman" w:hAnsi="Times New Roman" w:cs="Times New Roman"/>
                <w:sz w:val="28"/>
                <w:szCs w:val="28"/>
              </w:rPr>
              <w:t>Sở giao dịch hàng hóa phái sinh</w:t>
            </w:r>
            <w:r w:rsidRPr="00D15F0D">
              <w:rPr>
                <w:rFonts w:ascii="Times New Roman" w:hAnsi="Times New Roman" w:cs="Times New Roman"/>
                <w:sz w:val="28"/>
                <w:szCs w:val="28"/>
              </w:rPr>
              <w:t xml:space="preserve"> </w:t>
            </w:r>
            <w:r w:rsidRPr="00D15F0D">
              <w:rPr>
                <w:rFonts w:ascii="Times New Roman" w:hAnsi="Times New Roman" w:cs="Times New Roman"/>
                <w:sz w:val="28"/>
                <w:szCs w:val="28"/>
              </w:rPr>
              <w:t>phải bảo đảm nguyên tắc thanh toán dứt điểm, chuyển giao dữ liệu và bảo vệ quyền lợi hợp pháp của nhà đầu tư, thành viên thị trường và các bên liên quan.</w:t>
            </w:r>
          </w:p>
          <w:p w14:paraId="1C494E89" w14:textId="4BE868E9" w:rsidR="00F94464" w:rsidRPr="00D15F0D" w:rsidRDefault="00F94464" w:rsidP="00F94464">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xml:space="preserve">- Quy định về việc ban hành điều lệ hoạt động, công bố thông tin và các trường hợp tạm ngừng, giải thể, chấm dứt hoạt động của </w:t>
            </w:r>
            <w:r>
              <w:rPr>
                <w:rFonts w:ascii="Times New Roman" w:hAnsi="Times New Roman" w:cs="Times New Roman"/>
                <w:sz w:val="28"/>
                <w:szCs w:val="28"/>
              </w:rPr>
              <w:t>Sở giao dịch hàng hóa phái sinh</w:t>
            </w:r>
            <w:r w:rsidRPr="00D15F0D">
              <w:rPr>
                <w:rFonts w:ascii="Times New Roman" w:hAnsi="Times New Roman" w:cs="Times New Roman"/>
                <w:sz w:val="28"/>
                <w:szCs w:val="28"/>
              </w:rPr>
              <w:t>.</w:t>
            </w:r>
          </w:p>
          <w:p w14:paraId="718913AA" w14:textId="4356ADB8" w:rsidR="00F94464" w:rsidRPr="00D15F0D" w:rsidRDefault="00F94464" w:rsidP="00F94464">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Chính phủ quy định chi tiết nội dung, hình thức, thời hạn công bố thông tin, đồng thời quy định quy trình, thẩm quyền và biện pháp xử lý nhằm bảo đảm an toàn hệ thống và quyền lợi hợp pháp của các bên tham gia.</w:t>
            </w:r>
          </w:p>
        </w:tc>
      </w:tr>
      <w:tr w:rsidR="00F94464" w:rsidRPr="00D15F0D" w14:paraId="562839F2" w14:textId="77777777" w:rsidTr="00C45A23">
        <w:tc>
          <w:tcPr>
            <w:tcW w:w="3260" w:type="dxa"/>
            <w:vAlign w:val="center"/>
          </w:tcPr>
          <w:p w14:paraId="5C7AD93F" w14:textId="77777777" w:rsidR="00F94464" w:rsidRPr="00D15F0D" w:rsidRDefault="00F94464" w:rsidP="00B77E79">
            <w:pPr>
              <w:spacing w:before="120" w:after="120"/>
              <w:jc w:val="center"/>
              <w:rPr>
                <w:rFonts w:ascii="Times New Roman" w:hAnsi="Times New Roman" w:cs="Times New Roman"/>
                <w:b/>
                <w:bCs/>
                <w:sz w:val="28"/>
                <w:szCs w:val="28"/>
              </w:rPr>
            </w:pPr>
          </w:p>
        </w:tc>
        <w:tc>
          <w:tcPr>
            <w:tcW w:w="4253" w:type="dxa"/>
          </w:tcPr>
          <w:p w14:paraId="6FED2112" w14:textId="40CE388F" w:rsidR="00F94464" w:rsidRPr="00D15F0D" w:rsidRDefault="00FF094A" w:rsidP="00B77E79">
            <w:pPr>
              <w:spacing w:before="120" w:after="120"/>
              <w:jc w:val="both"/>
              <w:rPr>
                <w:rFonts w:ascii="Times New Roman" w:hAnsi="Times New Roman" w:cs="Times New Roman"/>
                <w:sz w:val="28"/>
                <w:szCs w:val="28"/>
              </w:rPr>
            </w:pPr>
            <w:r w:rsidRPr="00FF094A">
              <w:rPr>
                <w:rFonts w:ascii="Times New Roman" w:hAnsi="Times New Roman" w:cs="Times New Roman"/>
                <w:sz w:val="28"/>
                <w:szCs w:val="28"/>
              </w:rPr>
              <w:t xml:space="preserve">Thiết lập Trung tâm thanh toán bù trừ trong giao dịch hàng hóa phái sinh với vai trò là đối tác trung tâm </w:t>
            </w:r>
            <w:r w:rsidRPr="00FF094A">
              <w:rPr>
                <w:rFonts w:ascii="Times New Roman" w:hAnsi="Times New Roman" w:cs="Times New Roman"/>
                <w:sz w:val="28"/>
                <w:szCs w:val="28"/>
              </w:rPr>
              <w:lastRenderedPageBreak/>
              <w:t>(Central Counterparty – CCP) nhằm quản lý, kiểm soát rủi ro thanh toán và rủi ro đối tác, bảo đảm an toàn, minh bạch và ổn định cho thị trường giao dịch hàng hóa phái sinh.</w:t>
            </w:r>
          </w:p>
        </w:tc>
        <w:tc>
          <w:tcPr>
            <w:tcW w:w="6095" w:type="dxa"/>
          </w:tcPr>
          <w:p w14:paraId="722B7EC0" w14:textId="3CA047B1" w:rsidR="00FF094A" w:rsidRPr="00FF094A" w:rsidRDefault="00FF094A" w:rsidP="00FF094A">
            <w:pPr>
              <w:spacing w:before="120"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F094A">
              <w:rPr>
                <w:rFonts w:ascii="Times New Roman" w:hAnsi="Times New Roman" w:cs="Times New Roman"/>
                <w:sz w:val="28"/>
                <w:szCs w:val="28"/>
              </w:rPr>
              <w:t>Hình thành thiết chế trung tâm thực hiện bù trừ, thanh toán, quản lý ký quỹ và hỗ trợ giao nhận trong giao dịch hàng hóa phái sinh</w:t>
            </w:r>
            <w:r>
              <w:rPr>
                <w:rFonts w:ascii="Times New Roman" w:hAnsi="Times New Roman" w:cs="Times New Roman"/>
                <w:sz w:val="28"/>
                <w:szCs w:val="28"/>
              </w:rPr>
              <w:t>;</w:t>
            </w:r>
          </w:p>
          <w:p w14:paraId="6E8E63F9" w14:textId="491846D4" w:rsidR="00FF094A" w:rsidRPr="00FF094A" w:rsidRDefault="00FF094A" w:rsidP="00FF094A">
            <w:pPr>
              <w:spacing w:before="120"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F094A">
              <w:rPr>
                <w:rFonts w:ascii="Times New Roman" w:hAnsi="Times New Roman" w:cs="Times New Roman"/>
                <w:sz w:val="28"/>
                <w:szCs w:val="28"/>
              </w:rPr>
              <w:t>Bảo đảm tách bạch chức năng giữa tổ chức giao dịch và tổ chức thanh toán bù trừ, phù hợp thông lệ quốc tế;</w:t>
            </w:r>
          </w:p>
          <w:p w14:paraId="3A44BD5A" w14:textId="4A0A1D11" w:rsidR="00FF094A" w:rsidRPr="00FF094A" w:rsidRDefault="00FF094A" w:rsidP="00FF094A">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Pr="00FF094A">
              <w:rPr>
                <w:rFonts w:ascii="Times New Roman" w:hAnsi="Times New Roman" w:cs="Times New Roman"/>
                <w:sz w:val="28"/>
                <w:szCs w:val="28"/>
              </w:rPr>
              <w:t>Thiết lập cơ chế quản trị rủi ro hệ thống, hạn chế lan truyền rủi ro và bảo vệ quyền, lợi ích hợp pháp của các chủ thể tham gia thị trường;</w:t>
            </w:r>
          </w:p>
          <w:p w14:paraId="771AB1E9" w14:textId="76AA2C89" w:rsidR="00F94464" w:rsidRPr="00D15F0D" w:rsidRDefault="00FF094A" w:rsidP="00FF094A">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 </w:t>
            </w:r>
            <w:r w:rsidRPr="00FF094A">
              <w:rPr>
                <w:rFonts w:ascii="Times New Roman" w:hAnsi="Times New Roman" w:cs="Times New Roman"/>
                <w:sz w:val="28"/>
                <w:szCs w:val="28"/>
              </w:rPr>
              <w:t>Tạo nền tảng pháp lý cho việc liên thông thị trường và hội nhập quốc tế trong lĩnh vực giao dịch hàng hóa phái sinh.</w:t>
            </w:r>
          </w:p>
        </w:tc>
      </w:tr>
      <w:tr w:rsidR="00B77E79" w:rsidRPr="00D15F0D" w14:paraId="4C3A7034" w14:textId="77777777" w:rsidTr="00C45A23">
        <w:tc>
          <w:tcPr>
            <w:tcW w:w="3260" w:type="dxa"/>
            <w:vMerge w:val="restart"/>
            <w:vAlign w:val="center"/>
          </w:tcPr>
          <w:p w14:paraId="3D400166" w14:textId="356EE886" w:rsidR="00B77E79" w:rsidRDefault="00B77E79" w:rsidP="00B77E79">
            <w:pPr>
              <w:spacing w:before="120" w:after="120"/>
              <w:jc w:val="center"/>
              <w:rPr>
                <w:rFonts w:ascii="Times New Roman" w:hAnsi="Times New Roman" w:cs="Times New Roman"/>
                <w:b/>
                <w:bCs/>
                <w:sz w:val="28"/>
                <w:szCs w:val="28"/>
              </w:rPr>
            </w:pPr>
            <w:r w:rsidRPr="00D15F0D">
              <w:rPr>
                <w:rFonts w:ascii="Times New Roman" w:hAnsi="Times New Roman" w:cs="Times New Roman"/>
                <w:b/>
                <w:bCs/>
                <w:sz w:val="28"/>
                <w:szCs w:val="28"/>
              </w:rPr>
              <w:t xml:space="preserve">Chính sách </w:t>
            </w:r>
            <w:r>
              <w:rPr>
                <w:rFonts w:ascii="Times New Roman" w:hAnsi="Times New Roman" w:cs="Times New Roman"/>
                <w:b/>
                <w:bCs/>
                <w:sz w:val="28"/>
                <w:szCs w:val="28"/>
              </w:rPr>
              <w:t>3</w:t>
            </w:r>
            <w:r w:rsidRPr="00D15F0D">
              <w:rPr>
                <w:rFonts w:ascii="Times New Roman" w:hAnsi="Times New Roman" w:cs="Times New Roman"/>
                <w:b/>
                <w:bCs/>
                <w:sz w:val="28"/>
                <w:szCs w:val="28"/>
              </w:rPr>
              <w:t>:</w:t>
            </w:r>
          </w:p>
          <w:p w14:paraId="7E4B0A30" w14:textId="77777777" w:rsidR="00B77E79" w:rsidRPr="0009318E" w:rsidRDefault="00B77E79" w:rsidP="00B77E79">
            <w:pPr>
              <w:pStyle w:val="NormalWeb"/>
              <w:tabs>
                <w:tab w:val="left" w:pos="993"/>
              </w:tabs>
              <w:spacing w:before="120" w:beforeAutospacing="0" w:after="0" w:afterAutospacing="0" w:line="264" w:lineRule="auto"/>
              <w:jc w:val="center"/>
              <w:rPr>
                <w:b/>
                <w:bCs/>
                <w:sz w:val="28"/>
                <w:szCs w:val="28"/>
              </w:rPr>
            </w:pPr>
            <w:r w:rsidRPr="0009318E">
              <w:rPr>
                <w:b/>
                <w:bCs/>
                <w:sz w:val="28"/>
                <w:szCs w:val="28"/>
              </w:rPr>
              <w:t>Phát triển sản phẩm, giao dịch và chuẩn hóa quy tắc thị trường</w:t>
            </w:r>
          </w:p>
          <w:p w14:paraId="11081645" w14:textId="77777777" w:rsidR="00B77E79" w:rsidRPr="00D15F0D" w:rsidRDefault="00B77E79" w:rsidP="00B77E79">
            <w:pPr>
              <w:spacing w:before="120" w:after="120"/>
              <w:jc w:val="center"/>
              <w:rPr>
                <w:rFonts w:ascii="Times New Roman" w:hAnsi="Times New Roman" w:cs="Times New Roman"/>
                <w:b/>
                <w:bCs/>
                <w:sz w:val="28"/>
                <w:szCs w:val="28"/>
              </w:rPr>
            </w:pPr>
          </w:p>
          <w:p w14:paraId="49E39EC8" w14:textId="77777777" w:rsidR="00B77E79" w:rsidRPr="00D15F0D" w:rsidRDefault="00B77E79" w:rsidP="00B77E79">
            <w:pPr>
              <w:spacing w:before="120" w:after="120"/>
              <w:jc w:val="center"/>
              <w:rPr>
                <w:rFonts w:ascii="Times New Roman" w:hAnsi="Times New Roman" w:cs="Times New Roman"/>
                <w:b/>
                <w:bCs/>
                <w:sz w:val="28"/>
                <w:szCs w:val="28"/>
              </w:rPr>
            </w:pPr>
          </w:p>
        </w:tc>
        <w:tc>
          <w:tcPr>
            <w:tcW w:w="4253" w:type="dxa"/>
          </w:tcPr>
          <w:p w14:paraId="3C4F4469" w14:textId="57B192AA" w:rsidR="00B77E79" w:rsidRPr="00B77E79"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về danh mục tài sản cơ sở và loại hình hợp đồng phái sinh trong giao dịch hàng hóa</w:t>
            </w:r>
          </w:p>
        </w:tc>
        <w:tc>
          <w:tcPr>
            <w:tcW w:w="6095" w:type="dxa"/>
          </w:tcPr>
          <w:p w14:paraId="09020EFC" w14:textId="77777777"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Quy định về việc xác định danh mục hàng hóa được phép làm tài sản cơ sở và các loại hợp đồng phái sinh được phép giao dịch. Trên cơ sở đó, danh mục hàng hóa cơ sở sẽ được thiết kế theo khung, bảo đảm lựa chọn những hàng hóa phổ biến, có tính thanh khoản, là những hàng hóa xuất nhập khẩu chủ lực, giá cả được công bố minh bạch, đồng thời loại trừ các mặt hàng nhạy cảm có thể ảnh hưởng đến an ninh, chính trị, xã hội.</w:t>
            </w:r>
          </w:p>
          <w:p w14:paraId="48003D3F" w14:textId="2F057CB1" w:rsidR="00B77E79" w:rsidRPr="00030351" w:rsidRDefault="00B77E79" w:rsidP="00B77E79">
            <w:pPr>
              <w:pStyle w:val="NormalWeb"/>
              <w:tabs>
                <w:tab w:val="left" w:pos="993"/>
              </w:tabs>
              <w:spacing w:before="120" w:beforeAutospacing="0" w:after="0" w:afterAutospacing="0" w:line="264" w:lineRule="auto"/>
              <w:ind w:firstLine="720"/>
              <w:jc w:val="both"/>
              <w:rPr>
                <w:sz w:val="28"/>
                <w:szCs w:val="28"/>
                <w:lang w:val="vi-VN"/>
              </w:rPr>
            </w:pPr>
            <w:r w:rsidRPr="00D15F0D">
              <w:rPr>
                <w:sz w:val="28"/>
                <w:szCs w:val="28"/>
              </w:rPr>
              <w:t>- Đối với các loại hợp đồng phái sinh, ngoài việc quy định nguyên tắc trong luật về những loại hợp đồng được phép như hợp đồng tương lai, hợp đồng kỳ hạn chuẩn hóa, quyền chọn, hoán đổi, Chính phủ quy định cụ thể về nội dung, cấu trúc, phương thức giao dịch và điều kiện triển khai, đồng thời khuyến khích đa dạng hóa sản phẩm theo nhu cầu thị trường và thông lệ quốc tế.</w:t>
            </w:r>
          </w:p>
        </w:tc>
      </w:tr>
      <w:tr w:rsidR="00B77E79" w:rsidRPr="00D15F0D" w14:paraId="2FBED54E" w14:textId="77777777" w:rsidTr="00C45A23">
        <w:tc>
          <w:tcPr>
            <w:tcW w:w="3260" w:type="dxa"/>
            <w:vMerge/>
            <w:vAlign w:val="center"/>
          </w:tcPr>
          <w:p w14:paraId="36E32D96" w14:textId="77777777" w:rsidR="00B77E79" w:rsidRPr="00D15F0D" w:rsidRDefault="00B77E79" w:rsidP="00B77E79">
            <w:pPr>
              <w:spacing w:before="120" w:after="120"/>
              <w:jc w:val="center"/>
              <w:rPr>
                <w:rFonts w:ascii="Times New Roman" w:hAnsi="Times New Roman" w:cs="Times New Roman"/>
                <w:b/>
                <w:bCs/>
                <w:sz w:val="28"/>
                <w:szCs w:val="28"/>
              </w:rPr>
            </w:pPr>
          </w:p>
        </w:tc>
        <w:tc>
          <w:tcPr>
            <w:tcW w:w="4253" w:type="dxa"/>
          </w:tcPr>
          <w:p w14:paraId="4458B307" w14:textId="51C1A8BB" w:rsidR="00B77E79" w:rsidRPr="00B77E79"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về niêm yết, hủy niêm yết hợp đồng phái sinh</w:t>
            </w:r>
          </w:p>
        </w:tc>
        <w:tc>
          <w:tcPr>
            <w:tcW w:w="6095" w:type="dxa"/>
          </w:tcPr>
          <w:p w14:paraId="0D7300CD" w14:textId="77777777"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Quy định điều kiện cơ bản để hợp đồng phái sinh được niêm yết, hủy niêm yết, trong đó nêu rõ trách nhiệm của Sở giao dịch về lập hồ sơ, công bố thông tin và bảo đảm quyền lợi nhà đầu tư.</w:t>
            </w:r>
          </w:p>
          <w:p w14:paraId="19D8DDBA" w14:textId="0FF27D69" w:rsidR="00B77E79" w:rsidRPr="00030351" w:rsidRDefault="00B77E79" w:rsidP="00B77E79">
            <w:pPr>
              <w:pStyle w:val="NormalWeb"/>
              <w:tabs>
                <w:tab w:val="left" w:pos="993"/>
              </w:tabs>
              <w:spacing w:before="120" w:beforeAutospacing="0" w:after="0" w:afterAutospacing="0" w:line="264" w:lineRule="auto"/>
              <w:ind w:firstLine="720"/>
              <w:jc w:val="both"/>
              <w:rPr>
                <w:sz w:val="28"/>
                <w:szCs w:val="28"/>
                <w:lang w:val="vi-VN"/>
              </w:rPr>
            </w:pPr>
            <w:r w:rsidRPr="00D15F0D">
              <w:rPr>
                <w:sz w:val="28"/>
                <w:szCs w:val="28"/>
              </w:rPr>
              <w:t>- Giao Chính phủ quy định chi tiết tiêu chí về tài sản cơ sở, thanh khoản, phương pháp định giá, quy trình chấp thuận sản phẩm, điều kiện và thủ tục hủy niêm yết (bao gồm cơ chế xử lý vị thế đang mở), cũng như thời hạn và phương thức công bố thông tin, nhằm bảo đảm tính minh bạch, an toàn hệ thống và quyền lợi hợp pháp của các bên tham gia.</w:t>
            </w:r>
          </w:p>
        </w:tc>
      </w:tr>
      <w:tr w:rsidR="00B77E79" w:rsidRPr="00D15F0D" w14:paraId="380B2BAE" w14:textId="77777777" w:rsidTr="00C45A23">
        <w:tc>
          <w:tcPr>
            <w:tcW w:w="3260" w:type="dxa"/>
            <w:vMerge/>
            <w:vAlign w:val="center"/>
          </w:tcPr>
          <w:p w14:paraId="1781E5E6" w14:textId="77777777" w:rsidR="00B77E79" w:rsidRPr="00D15F0D" w:rsidRDefault="00B77E79" w:rsidP="00B77E79">
            <w:pPr>
              <w:spacing w:before="120" w:after="120"/>
              <w:jc w:val="center"/>
              <w:rPr>
                <w:rFonts w:ascii="Times New Roman" w:hAnsi="Times New Roman" w:cs="Times New Roman"/>
                <w:b/>
                <w:bCs/>
                <w:sz w:val="28"/>
                <w:szCs w:val="28"/>
              </w:rPr>
            </w:pPr>
          </w:p>
        </w:tc>
        <w:tc>
          <w:tcPr>
            <w:tcW w:w="4253" w:type="dxa"/>
          </w:tcPr>
          <w:p w14:paraId="6D5D5908" w14:textId="73D839AE" w:rsidR="00B77E79" w:rsidRPr="00B77E79"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về quy tắc giao dịch, khớp lệnh, giới hạn vị thế, cơ chế bình ổn thị trường</w:t>
            </w:r>
          </w:p>
        </w:tc>
        <w:tc>
          <w:tcPr>
            <w:tcW w:w="6095" w:type="dxa"/>
          </w:tcPr>
          <w:p w14:paraId="4929C4D1" w14:textId="77777777"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xml:space="preserve"> - Quy định khung về nguyên tắc giao dịch, cơ chế khớp lệnh và giới hạn vị thế nhằm bảo đảm tính công khai, minh bạch và an toàn của thị trường: cơ chế khớp lệnh, loại lệnh, thời gian giao dịch, giới hạn vị thế, cơ chế bình ổn, đo lường thanh khoản…</w:t>
            </w:r>
          </w:p>
          <w:p w14:paraId="312D75C1" w14:textId="62706276" w:rsidR="00B77E79" w:rsidRPr="00030351" w:rsidRDefault="00B77E79" w:rsidP="00B77E79">
            <w:pPr>
              <w:pStyle w:val="NormalWeb"/>
              <w:tabs>
                <w:tab w:val="left" w:pos="993"/>
              </w:tabs>
              <w:spacing w:before="120" w:beforeAutospacing="0" w:after="0" w:afterAutospacing="0" w:line="264" w:lineRule="auto"/>
              <w:ind w:firstLine="720"/>
              <w:jc w:val="both"/>
              <w:rPr>
                <w:sz w:val="28"/>
                <w:szCs w:val="28"/>
                <w:lang w:val="vi-VN"/>
              </w:rPr>
            </w:pPr>
            <w:r w:rsidRPr="00D15F0D">
              <w:rPr>
                <w:sz w:val="28"/>
                <w:szCs w:val="28"/>
              </w:rPr>
              <w:t>- Giao Chính phủ hoặc Bộ/ngành liên quan quy định chi tiết các thông số kỹ thuật, mẫu thông tin bắt buộc phải công bố, cơ chế xác lập và điều chỉnh giới hạn vị thế; đồng thời thiết lập ngưỡng cảnh báo, cơ chế ngừng giao dịch khẩn cấp và các biện pháp bình ổn thị trường trong trường hợp phát sinh biến động bất thường.</w:t>
            </w:r>
          </w:p>
        </w:tc>
      </w:tr>
      <w:tr w:rsidR="00B77E79" w:rsidRPr="00D15F0D" w14:paraId="6D62B4AA" w14:textId="77777777" w:rsidTr="006702D1">
        <w:trPr>
          <w:trHeight w:val="4169"/>
        </w:trPr>
        <w:tc>
          <w:tcPr>
            <w:tcW w:w="3260" w:type="dxa"/>
            <w:vMerge/>
            <w:vAlign w:val="center"/>
          </w:tcPr>
          <w:p w14:paraId="6D5AD4F2" w14:textId="77777777" w:rsidR="00B77E79" w:rsidRPr="00D15F0D" w:rsidRDefault="00B77E79" w:rsidP="00B77E79">
            <w:pPr>
              <w:spacing w:before="120" w:after="120"/>
              <w:jc w:val="center"/>
              <w:rPr>
                <w:rFonts w:ascii="Times New Roman" w:hAnsi="Times New Roman" w:cs="Times New Roman"/>
                <w:b/>
                <w:bCs/>
                <w:sz w:val="28"/>
                <w:szCs w:val="28"/>
              </w:rPr>
            </w:pPr>
          </w:p>
        </w:tc>
        <w:tc>
          <w:tcPr>
            <w:tcW w:w="4253" w:type="dxa"/>
          </w:tcPr>
          <w:p w14:paraId="50A83B87" w14:textId="0C7E2F39" w:rsidR="00B77E79" w:rsidRPr="00B77E79"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về cơ chế phòng ngừa rủi ro, bảo vệ nhà đầu tư và bảo đảm an toàn hệ thống</w:t>
            </w:r>
          </w:p>
        </w:tc>
        <w:tc>
          <w:tcPr>
            <w:tcW w:w="6095" w:type="dxa"/>
          </w:tcPr>
          <w:p w14:paraId="5FE655D4" w14:textId="77777777" w:rsidR="00B77E79"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Quy định nguyên tắc về quản trị rủi ro, bảo đảm an toàn hệ thống và bảo vệ quyền, lợi ích hợp pháp của nhà đầu tư</w:t>
            </w:r>
            <w:r>
              <w:rPr>
                <w:rFonts w:ascii="Times New Roman" w:hAnsi="Times New Roman" w:cs="Times New Roman"/>
                <w:sz w:val="28"/>
                <w:szCs w:val="28"/>
              </w:rPr>
              <w:t>.</w:t>
            </w:r>
          </w:p>
          <w:p w14:paraId="61008E5F" w14:textId="227781BB" w:rsidR="00B77E79" w:rsidRPr="00030351" w:rsidRDefault="00B77E79" w:rsidP="00585897">
            <w:pPr>
              <w:pStyle w:val="NormalWeb"/>
              <w:tabs>
                <w:tab w:val="left" w:pos="993"/>
              </w:tabs>
              <w:spacing w:before="120" w:beforeAutospacing="0" w:after="0" w:afterAutospacing="0" w:line="264" w:lineRule="auto"/>
              <w:jc w:val="both"/>
              <w:rPr>
                <w:sz w:val="28"/>
                <w:szCs w:val="28"/>
                <w:lang w:val="vi-VN"/>
              </w:rPr>
            </w:pPr>
            <w:r w:rsidRPr="00D15F0D">
              <w:rPr>
                <w:sz w:val="28"/>
                <w:szCs w:val="28"/>
              </w:rPr>
              <w:t>- Giao Chính phủ quy định chi tiết cơ chế ký quỹ, hệ số an toàn và giới hạn rủi ro; thiết lập quy định về quỹ bảo đảm và cơ chế bù trừ; yêu cầu tách bạch tài sản của khách hàng với tài sản của thành viên; đồng thời quy định quy trình xử lý trường hợp mất khả năng thanh toán, biện pháp giải quyết tranh chấp, xử lý vi phạm và các cơ chế bảo vệ nhà đầu tư.</w:t>
            </w:r>
          </w:p>
        </w:tc>
      </w:tr>
      <w:tr w:rsidR="00585897" w:rsidRPr="00D15F0D" w14:paraId="2F10D2B2" w14:textId="77777777" w:rsidTr="00585897">
        <w:trPr>
          <w:trHeight w:val="692"/>
        </w:trPr>
        <w:tc>
          <w:tcPr>
            <w:tcW w:w="3260" w:type="dxa"/>
            <w:vAlign w:val="center"/>
          </w:tcPr>
          <w:p w14:paraId="626B245F" w14:textId="37AE906D" w:rsidR="00585897" w:rsidRDefault="00585897" w:rsidP="00585897">
            <w:pPr>
              <w:spacing w:before="120" w:after="120"/>
              <w:jc w:val="center"/>
              <w:rPr>
                <w:rFonts w:ascii="Times New Roman" w:hAnsi="Times New Roman" w:cs="Times New Roman"/>
                <w:b/>
                <w:bCs/>
                <w:sz w:val="28"/>
                <w:szCs w:val="28"/>
              </w:rPr>
            </w:pPr>
            <w:r w:rsidRPr="00D15F0D">
              <w:rPr>
                <w:rFonts w:ascii="Times New Roman" w:hAnsi="Times New Roman" w:cs="Times New Roman"/>
                <w:b/>
                <w:bCs/>
                <w:sz w:val="28"/>
                <w:szCs w:val="28"/>
              </w:rPr>
              <w:t xml:space="preserve">Chính sách </w:t>
            </w:r>
            <w:r>
              <w:rPr>
                <w:rFonts w:ascii="Times New Roman" w:hAnsi="Times New Roman" w:cs="Times New Roman"/>
                <w:b/>
                <w:bCs/>
                <w:sz w:val="28"/>
                <w:szCs w:val="28"/>
              </w:rPr>
              <w:t>4</w:t>
            </w:r>
            <w:r w:rsidRPr="00D15F0D">
              <w:rPr>
                <w:rFonts w:ascii="Times New Roman" w:hAnsi="Times New Roman" w:cs="Times New Roman"/>
                <w:b/>
                <w:bCs/>
                <w:sz w:val="28"/>
                <w:szCs w:val="28"/>
              </w:rPr>
              <w:t>:</w:t>
            </w:r>
          </w:p>
          <w:p w14:paraId="1D66D038" w14:textId="77777777" w:rsidR="00585897" w:rsidRPr="00B13F8A" w:rsidRDefault="00585897" w:rsidP="00585897">
            <w:pPr>
              <w:pStyle w:val="NormalWeb"/>
              <w:tabs>
                <w:tab w:val="left" w:pos="993"/>
              </w:tabs>
              <w:spacing w:before="120" w:beforeAutospacing="0" w:after="0" w:afterAutospacing="0" w:line="264" w:lineRule="auto"/>
              <w:jc w:val="center"/>
              <w:rPr>
                <w:b/>
                <w:bCs/>
                <w:sz w:val="28"/>
                <w:szCs w:val="28"/>
              </w:rPr>
            </w:pPr>
            <w:r w:rsidRPr="00B13F8A">
              <w:rPr>
                <w:b/>
                <w:bCs/>
                <w:sz w:val="28"/>
                <w:szCs w:val="28"/>
              </w:rPr>
              <w:t>Quản lý rủi ro hệ thống, giám sát thị trường và bảo vệ nhà đầu tư</w:t>
            </w:r>
          </w:p>
          <w:p w14:paraId="387FE451" w14:textId="77777777" w:rsidR="00585897" w:rsidRDefault="00585897" w:rsidP="00585897">
            <w:pPr>
              <w:spacing w:before="120" w:after="120"/>
              <w:jc w:val="center"/>
              <w:rPr>
                <w:rFonts w:ascii="Times New Roman" w:hAnsi="Times New Roman" w:cs="Times New Roman"/>
                <w:b/>
                <w:bCs/>
                <w:sz w:val="28"/>
                <w:szCs w:val="28"/>
              </w:rPr>
            </w:pPr>
          </w:p>
          <w:p w14:paraId="435EC5DA" w14:textId="77777777" w:rsidR="00585897" w:rsidRPr="00D15F0D" w:rsidRDefault="00585897" w:rsidP="00B77E79">
            <w:pPr>
              <w:spacing w:before="120" w:after="120"/>
              <w:jc w:val="center"/>
              <w:rPr>
                <w:rFonts w:ascii="Times New Roman" w:hAnsi="Times New Roman" w:cs="Times New Roman"/>
                <w:b/>
                <w:bCs/>
                <w:sz w:val="28"/>
                <w:szCs w:val="28"/>
              </w:rPr>
            </w:pPr>
          </w:p>
        </w:tc>
        <w:tc>
          <w:tcPr>
            <w:tcW w:w="4253" w:type="dxa"/>
          </w:tcPr>
          <w:p w14:paraId="25D91E6E" w14:textId="3DA41900" w:rsidR="00585897" w:rsidRPr="00727617" w:rsidRDefault="00727617" w:rsidP="00727617">
            <w:pPr>
              <w:pStyle w:val="NormalWeb"/>
              <w:tabs>
                <w:tab w:val="left" w:pos="993"/>
              </w:tabs>
              <w:spacing w:before="120" w:beforeAutospacing="0" w:after="0" w:afterAutospacing="0" w:line="264" w:lineRule="auto"/>
              <w:jc w:val="both"/>
              <w:rPr>
                <w:sz w:val="28"/>
                <w:szCs w:val="28"/>
              </w:rPr>
            </w:pPr>
            <w:r w:rsidRPr="0009318E">
              <w:rPr>
                <w:sz w:val="28"/>
                <w:szCs w:val="28"/>
              </w:rPr>
              <w:t>Thiết lập khung quản lý rủi ro hệ thống và cơ chế giám sát thị trường theo hướng chủ động, có cảnh báo sớm; quản lý rủi ro thanh toán và rủi ro đối tác; quy định phân loại nhà đầu tư, cơ chế bảo vệ nhà đầu tư thông qua tách biệt tài sản, điều kiện cấp chứng chỉ hành nghề và chuẩn mực đạo đức nghề nghiệp, nhằm khắc phục tình trạng quản lý rủi ro còn mang tính bị động, hậu kiểm, thiếu cơ chế bảo vệ nhà đầu tư và hệ thống giám sát thị trường hiện đại.</w:t>
            </w:r>
          </w:p>
        </w:tc>
        <w:tc>
          <w:tcPr>
            <w:tcW w:w="6095" w:type="dxa"/>
          </w:tcPr>
          <w:p w14:paraId="5E31B2D6" w14:textId="77777777" w:rsidR="00727617" w:rsidRPr="00585897" w:rsidRDefault="00727617" w:rsidP="00727617">
            <w:pPr>
              <w:spacing w:before="120" w:after="120"/>
              <w:jc w:val="both"/>
              <w:rPr>
                <w:rFonts w:ascii="Times New Roman" w:hAnsi="Times New Roman" w:cs="Times New Roman"/>
                <w:sz w:val="28"/>
                <w:szCs w:val="28"/>
                <w:lang w:val="vi-VN"/>
              </w:rPr>
            </w:pPr>
            <w:r w:rsidRPr="00585897">
              <w:rPr>
                <w:rFonts w:ascii="Times New Roman" w:hAnsi="Times New Roman" w:cs="Times New Roman"/>
                <w:sz w:val="28"/>
                <w:szCs w:val="28"/>
                <w:lang w:val="vi-VN"/>
              </w:rPr>
              <w:t>Nhóm chính sách này tập trung xây dựng khuôn khổ pháp lý toàn diện nhằm bảo đảm thị trường giao dịch hàng hóa phái sinh vận hành an toàn, minh bạch và hiệu quả, bao gồm các nội dung trọng tâm:</w:t>
            </w:r>
          </w:p>
          <w:p w14:paraId="33A6A1CC" w14:textId="77777777" w:rsidR="00727617" w:rsidRPr="00585897" w:rsidRDefault="00727617" w:rsidP="00727617">
            <w:pPr>
              <w:spacing w:before="120" w:after="1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585897">
              <w:rPr>
                <w:rFonts w:ascii="Times New Roman" w:hAnsi="Times New Roman" w:cs="Times New Roman"/>
                <w:sz w:val="28"/>
                <w:szCs w:val="28"/>
                <w:lang w:val="vi-VN"/>
              </w:rPr>
              <w:t>Phân loại rõ ràng các chủ thể tham gia thị trường, gồm: thành viên kinh doanh, thành viên môi giới, thành viên thanh toán bù trừ và thành viên đặc biệt; đồng thời phân loại nhà đầu tư thành nhà đầu tư chuyên nghiệp, không chuyên nghiệp, nhà đầu tư trong nước và nước ngoài để áp dụng cơ chế quản lý phù hợp;</w:t>
            </w:r>
          </w:p>
          <w:p w14:paraId="1A99D1B9" w14:textId="77777777" w:rsidR="00727617" w:rsidRPr="00585897" w:rsidRDefault="00727617" w:rsidP="00727617">
            <w:pPr>
              <w:spacing w:before="120" w:after="1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585897">
              <w:rPr>
                <w:rFonts w:ascii="Times New Roman" w:hAnsi="Times New Roman" w:cs="Times New Roman"/>
                <w:sz w:val="28"/>
                <w:szCs w:val="28"/>
                <w:lang w:val="vi-VN"/>
              </w:rPr>
              <w:t xml:space="preserve">Thiết lập cơ chế bảo vệ nhà đầu tư thông qua nghĩa vụ công bố rủi ro, tách biệt tài sản khách hàng với tài </w:t>
            </w:r>
            <w:r w:rsidRPr="00585897">
              <w:rPr>
                <w:rFonts w:ascii="Times New Roman" w:hAnsi="Times New Roman" w:cs="Times New Roman"/>
                <w:sz w:val="28"/>
                <w:szCs w:val="28"/>
                <w:lang w:val="vi-VN"/>
              </w:rPr>
              <w:lastRenderedPageBreak/>
              <w:t>sản của thành viên thị trường, quy định tiêu chuẩn hành nghề và trách nhiệm của các tổ chức trung gian;</w:t>
            </w:r>
          </w:p>
          <w:p w14:paraId="1A0F6C0B" w14:textId="77777777" w:rsidR="00727617" w:rsidRPr="00585897" w:rsidRDefault="00727617" w:rsidP="00727617">
            <w:pPr>
              <w:spacing w:before="120" w:after="1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585897">
              <w:rPr>
                <w:rFonts w:ascii="Times New Roman" w:hAnsi="Times New Roman" w:cs="Times New Roman"/>
                <w:sz w:val="28"/>
                <w:szCs w:val="28"/>
                <w:lang w:val="vi-VN"/>
              </w:rPr>
              <w:t>Quy định chế độ công bố thông tin minh bạch và chế độ báo cáo định kỳ, đột xuất, đặc biệt là báo cáo vị thế lớn nhằm phục vụ công tác giám sát và cảnh báo sớm rủi ro hệ thống;</w:t>
            </w:r>
          </w:p>
          <w:p w14:paraId="5CB0A08F" w14:textId="77777777" w:rsidR="00727617" w:rsidRPr="00585897" w:rsidRDefault="00727617" w:rsidP="00727617">
            <w:pPr>
              <w:spacing w:before="120" w:after="1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585897">
              <w:rPr>
                <w:rFonts w:ascii="Times New Roman" w:hAnsi="Times New Roman" w:cs="Times New Roman"/>
                <w:sz w:val="28"/>
                <w:szCs w:val="28"/>
                <w:lang w:val="vi-VN"/>
              </w:rPr>
              <w:t>Xây dựng cơ chế phòng ngừa rủi ro thị trường, chế tài xử lý vi phạm nghiêm minh đối với các hành vi thao túng, gian lận;</w:t>
            </w:r>
          </w:p>
          <w:p w14:paraId="7F0C817C" w14:textId="77777777" w:rsidR="00727617" w:rsidRPr="00585897" w:rsidRDefault="00727617" w:rsidP="00727617">
            <w:pPr>
              <w:spacing w:before="120" w:after="1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585897">
              <w:rPr>
                <w:rFonts w:ascii="Times New Roman" w:hAnsi="Times New Roman" w:cs="Times New Roman"/>
                <w:sz w:val="28"/>
                <w:szCs w:val="28"/>
                <w:lang w:val="vi-VN"/>
              </w:rPr>
              <w:t>Thiết lập cơ chế bảo vệ nhà đầu tư và giải quyết tranh chấp đa tầng theo hướng nhanh chóng, hiệu quả và phù hợp thông lệ quốc tế.</w:t>
            </w:r>
          </w:p>
          <w:p w14:paraId="15711A76" w14:textId="1DD075B3" w:rsidR="00585897" w:rsidRPr="00D15F0D" w:rsidRDefault="00727617" w:rsidP="00727617">
            <w:pPr>
              <w:pStyle w:val="NormalWeb"/>
              <w:tabs>
                <w:tab w:val="left" w:pos="993"/>
              </w:tabs>
              <w:spacing w:before="120" w:beforeAutospacing="0" w:after="0" w:afterAutospacing="0" w:line="264" w:lineRule="auto"/>
              <w:jc w:val="both"/>
              <w:rPr>
                <w:sz w:val="28"/>
                <w:szCs w:val="28"/>
              </w:rPr>
            </w:pPr>
            <w:r w:rsidRPr="00585897">
              <w:rPr>
                <w:sz w:val="28"/>
                <w:szCs w:val="28"/>
                <w:lang w:val="vi-VN"/>
              </w:rPr>
              <w:t>Mục tiêu của chính sách là tạo lập một hệ thống giám sát thị trường hiện đại, giảm thiểu rủi ro hệ thống, nâng cao tính minh bạch, bảo vệ hiệu quả quyền và lợi ích hợp pháp của nhà đầu tư, qua đó thúc đẩy thị trường giao dịch hàng hóa phái sinh phát triển ổn định và bền vững.</w:t>
            </w:r>
          </w:p>
        </w:tc>
      </w:tr>
      <w:tr w:rsidR="00B77E79" w:rsidRPr="00D15F0D" w14:paraId="6DBC9240" w14:textId="77777777" w:rsidTr="00C45A23">
        <w:tc>
          <w:tcPr>
            <w:tcW w:w="3260" w:type="dxa"/>
            <w:vMerge w:val="restart"/>
            <w:vAlign w:val="center"/>
          </w:tcPr>
          <w:p w14:paraId="0A525CCD" w14:textId="4DD0E787" w:rsidR="00B77E79" w:rsidRPr="00D15F0D" w:rsidRDefault="00B77E79" w:rsidP="00B77E79">
            <w:pPr>
              <w:spacing w:before="120" w:after="120"/>
              <w:jc w:val="center"/>
              <w:rPr>
                <w:rFonts w:ascii="Times New Roman" w:hAnsi="Times New Roman" w:cs="Times New Roman"/>
                <w:b/>
                <w:bCs/>
                <w:sz w:val="28"/>
                <w:szCs w:val="28"/>
              </w:rPr>
            </w:pPr>
            <w:r w:rsidRPr="00D15F0D">
              <w:rPr>
                <w:rFonts w:ascii="Times New Roman" w:hAnsi="Times New Roman" w:cs="Times New Roman"/>
                <w:b/>
                <w:bCs/>
                <w:sz w:val="28"/>
                <w:szCs w:val="28"/>
              </w:rPr>
              <w:t xml:space="preserve">Chính sách </w:t>
            </w:r>
            <w:r w:rsidR="00585897">
              <w:rPr>
                <w:rFonts w:ascii="Times New Roman" w:hAnsi="Times New Roman" w:cs="Times New Roman"/>
                <w:b/>
                <w:bCs/>
                <w:sz w:val="28"/>
                <w:szCs w:val="28"/>
              </w:rPr>
              <w:t>5</w:t>
            </w:r>
            <w:r w:rsidRPr="00D15F0D">
              <w:rPr>
                <w:rFonts w:ascii="Times New Roman" w:hAnsi="Times New Roman" w:cs="Times New Roman"/>
                <w:b/>
                <w:bCs/>
                <w:sz w:val="28"/>
                <w:szCs w:val="28"/>
              </w:rPr>
              <w:t>:</w:t>
            </w:r>
          </w:p>
          <w:p w14:paraId="655DD9C6" w14:textId="77777777" w:rsidR="00585897" w:rsidRPr="00B13F8A" w:rsidRDefault="00585897" w:rsidP="00585897">
            <w:pPr>
              <w:pStyle w:val="NormalWeb"/>
              <w:tabs>
                <w:tab w:val="left" w:pos="993"/>
              </w:tabs>
              <w:spacing w:before="120" w:beforeAutospacing="0" w:after="0" w:afterAutospacing="0" w:line="264" w:lineRule="auto"/>
              <w:jc w:val="both"/>
              <w:rPr>
                <w:b/>
                <w:bCs/>
                <w:sz w:val="28"/>
                <w:szCs w:val="28"/>
              </w:rPr>
            </w:pPr>
            <w:r w:rsidRPr="00B13F8A">
              <w:rPr>
                <w:b/>
                <w:bCs/>
                <w:sz w:val="28"/>
                <w:szCs w:val="28"/>
              </w:rPr>
              <w:t>Mô hình quản lý nhà nước và cơ chế tự quản thị trường:</w:t>
            </w:r>
          </w:p>
          <w:p w14:paraId="2402EBA0" w14:textId="0C81A9DA" w:rsidR="00B77E79" w:rsidRPr="00D15F0D" w:rsidRDefault="00B77E79" w:rsidP="00B77E79">
            <w:pPr>
              <w:spacing w:before="120" w:after="120"/>
              <w:jc w:val="center"/>
              <w:rPr>
                <w:rFonts w:ascii="Times New Roman" w:hAnsi="Times New Roman" w:cs="Times New Roman"/>
                <w:b/>
                <w:bCs/>
                <w:sz w:val="28"/>
                <w:szCs w:val="28"/>
              </w:rPr>
            </w:pPr>
          </w:p>
        </w:tc>
        <w:tc>
          <w:tcPr>
            <w:tcW w:w="4253" w:type="dxa"/>
          </w:tcPr>
          <w:p w14:paraId="1F1624F4" w14:textId="7A7D5F48"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Xác định cơ quan chủ trì quản lý hoạt động giao dịch hàng hóa phái sinh</w:t>
            </w:r>
          </w:p>
        </w:tc>
        <w:tc>
          <w:tcPr>
            <w:tcW w:w="6095" w:type="dxa"/>
          </w:tcPr>
          <w:p w14:paraId="2F947796" w14:textId="016B1E8F"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Dự thảo quy định về việc thành lập Ủy ban giao dịch hàng hóa phái sinh, một cơ quan chuyên trách tương đối độc lập trực thuộc Chính phủ/hoặc Bộ Công Thương, thực hiện chức năng giám sát, quản lý vận hành thị trường, bảo đảm tính khách quan, minh bạch và hạn chế xung đột lợi ích. Quy định này vừa phân định rõ thẩm quyền, vừa tạo cơ chế quản lý chuyên sâu, nâng cao hiệu quả giám sát thị trường.</w:t>
            </w:r>
          </w:p>
        </w:tc>
      </w:tr>
      <w:tr w:rsidR="00B77E79" w:rsidRPr="00D15F0D" w14:paraId="12DA9F3F" w14:textId="77777777" w:rsidTr="00C45A23">
        <w:tc>
          <w:tcPr>
            <w:tcW w:w="3260" w:type="dxa"/>
            <w:vMerge/>
            <w:vAlign w:val="center"/>
          </w:tcPr>
          <w:p w14:paraId="76439C81" w14:textId="77777777" w:rsidR="00B77E79" w:rsidRPr="00D15F0D" w:rsidRDefault="00B77E79" w:rsidP="00B77E79">
            <w:pPr>
              <w:spacing w:before="120" w:after="120"/>
              <w:jc w:val="center"/>
              <w:rPr>
                <w:rFonts w:ascii="Times New Roman" w:hAnsi="Times New Roman" w:cs="Times New Roman"/>
                <w:b/>
                <w:bCs/>
                <w:sz w:val="28"/>
                <w:szCs w:val="28"/>
              </w:rPr>
            </w:pPr>
          </w:p>
        </w:tc>
        <w:tc>
          <w:tcPr>
            <w:tcW w:w="4253" w:type="dxa"/>
          </w:tcPr>
          <w:p w14:paraId="1373A075" w14:textId="4B1B18D6"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về tổ chức xã hội - nghề nghiệp (hiệp hội, hội môi giới) trong xây dựng chuẩn nghề, đào tạo, tự quản và phối hợp giám sát.</w:t>
            </w:r>
          </w:p>
          <w:p w14:paraId="1AD7F96D" w14:textId="77777777" w:rsidR="00B77E79" w:rsidRPr="00D15F0D" w:rsidRDefault="00B77E79" w:rsidP="00B77E79">
            <w:pPr>
              <w:spacing w:before="120" w:after="120"/>
              <w:jc w:val="both"/>
              <w:rPr>
                <w:rFonts w:ascii="Times New Roman" w:hAnsi="Times New Roman" w:cs="Times New Roman"/>
                <w:sz w:val="28"/>
                <w:szCs w:val="28"/>
              </w:rPr>
            </w:pPr>
          </w:p>
        </w:tc>
        <w:tc>
          <w:tcPr>
            <w:tcW w:w="6095" w:type="dxa"/>
          </w:tcPr>
          <w:p w14:paraId="6A88881D" w14:textId="55DF559C"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Để phát triển thị trường hàng hóa phái sinh bền vững, minh bạch và chuyên nghiệp, cần công nhận và tạo hành lang pháp lý cho các tổ chức xã hội – nghề nghiệp (hiệp hội, hội môi giới, hội tư vấn...) hoạt động trong lĩnh vực này. Các tổ chức được thành lập theo quy định của pháp luật, hoạt động dưới sự giám sát của Bộ Công Thương, có vai trò hỗ trợ Nhà nước và thị trường trong các khâu: đào tạo, bồi dưỡng và cấp chứng chỉ hành nghề cho môi giới, tư vấn; xây dựng, ban hành và giám sát việc thực hiện bộ chuẩn mực đạo đức nghề nghiệp; tham gia ý kiến đối với dự thảo chính sách; phối hợp tuyên truyền, nâng cao nhận thức cho doanh nghiệp và nhà đầu tư; đồng thời thực hiện trách nhiệm báo cáo định kỳ cho cơ quan quản lý nhà nước. Quy định này vừa góp phần nâng cao tính tự quản, chuyên môn hóa trong cộng đồng nghề nghiệp, vừa tăng cường hiệu quả giám sát và bảo vệ quyền lợi chính đáng của các bên tham gia thị trường.</w:t>
            </w:r>
          </w:p>
        </w:tc>
      </w:tr>
      <w:tr w:rsidR="00B77E79" w:rsidRPr="00D15F0D" w14:paraId="16985670" w14:textId="77777777" w:rsidTr="00C45A23">
        <w:tc>
          <w:tcPr>
            <w:tcW w:w="3260" w:type="dxa"/>
            <w:vMerge w:val="restart"/>
            <w:vAlign w:val="center"/>
          </w:tcPr>
          <w:p w14:paraId="271A614A" w14:textId="6AA8A6A1" w:rsidR="00B77E79" w:rsidRPr="00D15F0D" w:rsidRDefault="00B77E79" w:rsidP="00B77E79">
            <w:pPr>
              <w:spacing w:before="120" w:after="120"/>
              <w:jc w:val="center"/>
              <w:rPr>
                <w:rFonts w:ascii="Times New Roman" w:hAnsi="Times New Roman" w:cs="Times New Roman"/>
                <w:b/>
                <w:bCs/>
                <w:sz w:val="28"/>
                <w:szCs w:val="28"/>
              </w:rPr>
            </w:pPr>
            <w:r w:rsidRPr="00D15F0D">
              <w:rPr>
                <w:rFonts w:ascii="Times New Roman" w:hAnsi="Times New Roman" w:cs="Times New Roman"/>
                <w:b/>
                <w:bCs/>
                <w:sz w:val="28"/>
                <w:szCs w:val="28"/>
              </w:rPr>
              <w:t xml:space="preserve">Chính sách </w:t>
            </w:r>
            <w:r w:rsidR="00585897">
              <w:rPr>
                <w:rFonts w:ascii="Times New Roman" w:hAnsi="Times New Roman" w:cs="Times New Roman"/>
                <w:b/>
                <w:bCs/>
                <w:sz w:val="28"/>
                <w:szCs w:val="28"/>
              </w:rPr>
              <w:t>6</w:t>
            </w:r>
            <w:r w:rsidRPr="00D15F0D">
              <w:rPr>
                <w:rFonts w:ascii="Times New Roman" w:hAnsi="Times New Roman" w:cs="Times New Roman"/>
                <w:b/>
                <w:bCs/>
                <w:sz w:val="28"/>
                <w:szCs w:val="28"/>
              </w:rPr>
              <w:t>:</w:t>
            </w:r>
          </w:p>
          <w:p w14:paraId="616C2B62" w14:textId="77777777" w:rsidR="00585897" w:rsidRPr="00B13F8A" w:rsidRDefault="00585897" w:rsidP="00585897">
            <w:pPr>
              <w:pStyle w:val="NormalWeb"/>
              <w:tabs>
                <w:tab w:val="left" w:pos="993"/>
              </w:tabs>
              <w:spacing w:before="120" w:beforeAutospacing="0" w:after="0" w:afterAutospacing="0" w:line="264" w:lineRule="auto"/>
              <w:jc w:val="center"/>
              <w:rPr>
                <w:b/>
                <w:bCs/>
                <w:sz w:val="28"/>
                <w:szCs w:val="28"/>
              </w:rPr>
            </w:pPr>
            <w:r w:rsidRPr="00B13F8A">
              <w:rPr>
                <w:b/>
                <w:bCs/>
                <w:sz w:val="28"/>
                <w:szCs w:val="28"/>
              </w:rPr>
              <w:t>Hội nhập quốc tế và quản lý giao dịch xuyên biên giới:</w:t>
            </w:r>
          </w:p>
          <w:p w14:paraId="0EB6B1DA" w14:textId="47BAB986" w:rsidR="00B77E79" w:rsidRPr="00D15F0D" w:rsidRDefault="00B77E79" w:rsidP="00B77E79">
            <w:pPr>
              <w:spacing w:before="120" w:after="120"/>
              <w:jc w:val="center"/>
              <w:rPr>
                <w:rFonts w:ascii="Times New Roman" w:hAnsi="Times New Roman" w:cs="Times New Roman"/>
                <w:b/>
                <w:bCs/>
                <w:sz w:val="28"/>
                <w:szCs w:val="28"/>
                <w:u w:val="single"/>
              </w:rPr>
            </w:pPr>
          </w:p>
        </w:tc>
        <w:tc>
          <w:tcPr>
            <w:tcW w:w="4253" w:type="dxa"/>
          </w:tcPr>
          <w:p w14:paraId="11D1A528" w14:textId="515CDA2C"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về liên thông với Sở giao dịch hàng hóa quốc tế</w:t>
            </w:r>
          </w:p>
        </w:tc>
        <w:tc>
          <w:tcPr>
            <w:tcW w:w="6095" w:type="dxa"/>
          </w:tcPr>
          <w:p w14:paraId="29F64D34" w14:textId="1299FE7B"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Quy định nguyên tắc và điều kiện liên thông với Sở giao dịch hàng hóa quốc tế, bao gồm tiêu chí lựa chọn đối tác, yêu cầu về chuẩn công nghệ, an toàn hệ thống và minh bạch thông tin.</w:t>
            </w:r>
          </w:p>
          <w:p w14:paraId="32B9A269" w14:textId="55A176BD"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xml:space="preserve">- Chính phủ được quy định chi tiết thủ tục đàm phán, ký kết thỏa thuận liên thông, cơ chế vận hành kỹ thuật cũng như phương thức phối hợp giám sát nhằm </w:t>
            </w:r>
            <w:r w:rsidRPr="00D15F0D">
              <w:rPr>
                <w:rFonts w:ascii="Times New Roman" w:hAnsi="Times New Roman" w:cs="Times New Roman"/>
                <w:sz w:val="28"/>
                <w:szCs w:val="28"/>
              </w:rPr>
              <w:lastRenderedPageBreak/>
              <w:t>bảo đảm hoạt động liên thông diễn ra an toàn, hiệu quả và phù hợp với thông lệ quốc tế.</w:t>
            </w:r>
          </w:p>
        </w:tc>
      </w:tr>
      <w:tr w:rsidR="00B77E79" w:rsidRPr="00D15F0D" w14:paraId="31173E9B" w14:textId="77777777" w:rsidTr="00C45A23">
        <w:tc>
          <w:tcPr>
            <w:tcW w:w="3260" w:type="dxa"/>
            <w:vMerge/>
            <w:vAlign w:val="center"/>
          </w:tcPr>
          <w:p w14:paraId="6D38B451" w14:textId="77777777" w:rsidR="00B77E79" w:rsidRPr="00D15F0D" w:rsidRDefault="00B77E79" w:rsidP="00B77E79">
            <w:pPr>
              <w:spacing w:before="120" w:after="120"/>
              <w:jc w:val="center"/>
              <w:rPr>
                <w:rFonts w:ascii="Times New Roman" w:hAnsi="Times New Roman" w:cs="Times New Roman"/>
                <w:b/>
                <w:bCs/>
                <w:sz w:val="28"/>
                <w:szCs w:val="28"/>
                <w:u w:val="single"/>
              </w:rPr>
            </w:pPr>
          </w:p>
        </w:tc>
        <w:tc>
          <w:tcPr>
            <w:tcW w:w="4253" w:type="dxa"/>
          </w:tcPr>
          <w:p w14:paraId="336A7905" w14:textId="28F69445"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về phát triển hợp đồng hàng hóa nội địa ra quốc tế</w:t>
            </w:r>
          </w:p>
        </w:tc>
        <w:tc>
          <w:tcPr>
            <w:tcW w:w="6095" w:type="dxa"/>
          </w:tcPr>
          <w:p w14:paraId="62B7E72A" w14:textId="77777777"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nguyên tắc về trách nhiệm của Sở giao dịch hàng hóa phái sinh Việt Nam trong việc chuẩn hóa hợp đồng, bảo đảm minh bạch, tuân thủ chuẩn mực quốc tế và đáp ứng yêu cầu của thị trường toàn cầu.</w:t>
            </w:r>
          </w:p>
          <w:p w14:paraId="16B17662" w14:textId="6E9F8522"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Chính phủ hướng dẫn chi tiết quy trình thẩm định và phê duyệt sản phẩm trước khi niêm yết quốc tế, cơ chế quản lý và kiểm soát rủi ro phát sinh, cùng với nghĩa vụ báo cáo và chia sẻ thông tin nhằm bảo đảm việc niêm yết hợp đồng hàng hóa nội địa ra quốc tế diễn ra an toàn, hiệu quả và nâng cao uy tín của thị trường Việt Nam.</w:t>
            </w:r>
          </w:p>
        </w:tc>
      </w:tr>
      <w:tr w:rsidR="00B77E79" w:rsidRPr="00D15F0D" w14:paraId="4143B8D9" w14:textId="77777777" w:rsidTr="00C45A23">
        <w:tc>
          <w:tcPr>
            <w:tcW w:w="3260" w:type="dxa"/>
            <w:vMerge/>
            <w:vAlign w:val="center"/>
          </w:tcPr>
          <w:p w14:paraId="63C99234" w14:textId="77777777" w:rsidR="00B77E79" w:rsidRPr="00D15F0D" w:rsidRDefault="00B77E79" w:rsidP="00B77E79">
            <w:pPr>
              <w:spacing w:before="120" w:after="120"/>
              <w:jc w:val="center"/>
              <w:rPr>
                <w:rFonts w:ascii="Times New Roman" w:hAnsi="Times New Roman" w:cs="Times New Roman"/>
                <w:b/>
                <w:bCs/>
                <w:sz w:val="28"/>
                <w:szCs w:val="28"/>
                <w:u w:val="single"/>
              </w:rPr>
            </w:pPr>
          </w:p>
        </w:tc>
        <w:tc>
          <w:tcPr>
            <w:tcW w:w="4253" w:type="dxa"/>
          </w:tcPr>
          <w:p w14:paraId="46FAC32F" w14:textId="35014BE0"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Quy định về quản lý rủi ro trong hoạt động liên thông</w:t>
            </w:r>
          </w:p>
        </w:tc>
        <w:tc>
          <w:tcPr>
            <w:tcW w:w="6095" w:type="dxa"/>
          </w:tcPr>
          <w:p w14:paraId="1D1ECA4D" w14:textId="5E64603B" w:rsidR="00B77E79" w:rsidRPr="00D15F0D" w:rsidRDefault="00B77E79" w:rsidP="00B77E79">
            <w:pPr>
              <w:spacing w:before="120" w:after="120"/>
              <w:jc w:val="both"/>
              <w:rPr>
                <w:rFonts w:ascii="Times New Roman" w:hAnsi="Times New Roman" w:cs="Times New Roman"/>
                <w:sz w:val="28"/>
                <w:szCs w:val="28"/>
              </w:rPr>
            </w:pPr>
            <w:r w:rsidRPr="00D15F0D">
              <w:rPr>
                <w:rFonts w:ascii="Times New Roman" w:hAnsi="Times New Roman" w:cs="Times New Roman"/>
                <w:sz w:val="28"/>
                <w:szCs w:val="28"/>
              </w:rPr>
              <w:t>- Quy định về nguyên tắc quản lý rủi ro xuyên biên giới, trong đó phân định rõ trách nhiệm giữa Sở giao dịch hàng hóa phái sinh Việt Nam và đối tác quốc tế trong các trường hợp xảy ra sự cố kỹ thuật, vỡ nợ thanh toán hoặc tranh chấp giao nhận có yếu tố nước ngoài. - Chính phủ quy định về bảo vệ quyền lợi hợp pháp của nhà đầu tư, nhằm bảo đảm hoạt động liên thông diễn ra an toàn và bền vững.</w:t>
            </w:r>
          </w:p>
        </w:tc>
      </w:tr>
    </w:tbl>
    <w:p w14:paraId="65C09450" w14:textId="2747C407" w:rsidR="00E00E92" w:rsidRDefault="00BC6FA2" w:rsidP="00E00E92">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7380A20" w14:textId="0BE92F57" w:rsidR="006B7861" w:rsidRDefault="006B7861" w:rsidP="00E00E92">
      <w:pPr>
        <w:spacing w:before="120" w:after="120" w:line="240" w:lineRule="auto"/>
        <w:jc w:val="both"/>
        <w:rPr>
          <w:rFonts w:ascii="Times New Roman" w:hAnsi="Times New Roman" w:cs="Times New Roman"/>
          <w:sz w:val="28"/>
          <w:szCs w:val="28"/>
        </w:rPr>
      </w:pPr>
    </w:p>
    <w:p w14:paraId="0BC9DB8C" w14:textId="59F85383" w:rsidR="006B7861" w:rsidRDefault="006B7861" w:rsidP="00E00E92">
      <w:pPr>
        <w:spacing w:before="120" w:after="120" w:line="240" w:lineRule="auto"/>
        <w:jc w:val="both"/>
        <w:rPr>
          <w:rFonts w:ascii="Times New Roman" w:hAnsi="Times New Roman" w:cs="Times New Roman"/>
          <w:sz w:val="28"/>
          <w:szCs w:val="28"/>
        </w:rPr>
      </w:pPr>
    </w:p>
    <w:p w14:paraId="26A8B7A3" w14:textId="3199A309" w:rsidR="006B7861" w:rsidRDefault="006B7861" w:rsidP="00E00E92">
      <w:pPr>
        <w:spacing w:before="120" w:after="120" w:line="240" w:lineRule="auto"/>
        <w:jc w:val="both"/>
        <w:rPr>
          <w:rFonts w:ascii="Times New Roman" w:hAnsi="Times New Roman" w:cs="Times New Roman"/>
          <w:sz w:val="28"/>
          <w:szCs w:val="28"/>
        </w:rPr>
      </w:pPr>
    </w:p>
    <w:p w14:paraId="6E105A4C" w14:textId="04650123" w:rsidR="006B7861" w:rsidRDefault="006B7861" w:rsidP="00E00E92">
      <w:pPr>
        <w:spacing w:before="120" w:after="120" w:line="240" w:lineRule="auto"/>
        <w:jc w:val="both"/>
        <w:rPr>
          <w:rFonts w:ascii="Times New Roman" w:hAnsi="Times New Roman" w:cs="Times New Roman"/>
          <w:sz w:val="28"/>
          <w:szCs w:val="28"/>
        </w:rPr>
      </w:pPr>
    </w:p>
    <w:p w14:paraId="31E94201" w14:textId="5C95F33C" w:rsidR="006B7861" w:rsidRDefault="006B7861" w:rsidP="00E00E92">
      <w:pPr>
        <w:spacing w:before="120" w:after="120" w:line="240" w:lineRule="auto"/>
        <w:jc w:val="both"/>
        <w:rPr>
          <w:rFonts w:ascii="Times New Roman" w:hAnsi="Times New Roman" w:cs="Times New Roman"/>
          <w:sz w:val="28"/>
          <w:szCs w:val="28"/>
        </w:rPr>
      </w:pPr>
    </w:p>
    <w:p w14:paraId="7FA11A96" w14:textId="6285EBDE" w:rsidR="006B7861" w:rsidRDefault="006B7861" w:rsidP="00E00E92">
      <w:pPr>
        <w:spacing w:before="120" w:after="120" w:line="240" w:lineRule="auto"/>
        <w:jc w:val="both"/>
        <w:rPr>
          <w:rFonts w:ascii="Times New Roman" w:hAnsi="Times New Roman" w:cs="Times New Roman"/>
          <w:sz w:val="28"/>
          <w:szCs w:val="28"/>
        </w:rPr>
      </w:pPr>
    </w:p>
    <w:p w14:paraId="46B69BC2" w14:textId="668241D5" w:rsidR="006B7861" w:rsidRDefault="006B7861" w:rsidP="00E00E92">
      <w:pPr>
        <w:spacing w:before="120" w:after="120" w:line="240" w:lineRule="auto"/>
        <w:jc w:val="both"/>
        <w:rPr>
          <w:rFonts w:ascii="Times New Roman" w:hAnsi="Times New Roman" w:cs="Times New Roman"/>
          <w:sz w:val="28"/>
          <w:szCs w:val="28"/>
        </w:rPr>
      </w:pPr>
    </w:p>
    <w:p w14:paraId="2E2478D9" w14:textId="483CE8F6" w:rsidR="006B7861" w:rsidRDefault="006B7861" w:rsidP="00E00E92">
      <w:pPr>
        <w:spacing w:before="120" w:after="120" w:line="240" w:lineRule="auto"/>
        <w:jc w:val="both"/>
        <w:rPr>
          <w:rFonts w:ascii="Times New Roman" w:hAnsi="Times New Roman" w:cs="Times New Roman"/>
          <w:sz w:val="28"/>
          <w:szCs w:val="28"/>
        </w:rPr>
      </w:pPr>
    </w:p>
    <w:p w14:paraId="63C1EDD2" w14:textId="21CD83EE" w:rsidR="006B7861" w:rsidRDefault="006B7861" w:rsidP="00E00E92">
      <w:pPr>
        <w:spacing w:before="120" w:after="120" w:line="240" w:lineRule="auto"/>
        <w:jc w:val="both"/>
        <w:rPr>
          <w:rFonts w:ascii="Times New Roman" w:hAnsi="Times New Roman" w:cs="Times New Roman"/>
          <w:sz w:val="28"/>
          <w:szCs w:val="28"/>
        </w:rPr>
      </w:pPr>
    </w:p>
    <w:p w14:paraId="644B17DA" w14:textId="2FDEF098" w:rsidR="006B7861" w:rsidRDefault="006B7861" w:rsidP="00E00E92">
      <w:pPr>
        <w:spacing w:before="120" w:after="120" w:line="240" w:lineRule="auto"/>
        <w:jc w:val="both"/>
        <w:rPr>
          <w:rFonts w:ascii="Times New Roman" w:hAnsi="Times New Roman" w:cs="Times New Roman"/>
          <w:sz w:val="28"/>
          <w:szCs w:val="28"/>
        </w:rPr>
      </w:pPr>
    </w:p>
    <w:p w14:paraId="16C0CE5D" w14:textId="7DB982C6" w:rsidR="006B7861" w:rsidRDefault="006B7861" w:rsidP="00E00E92">
      <w:pPr>
        <w:spacing w:before="120" w:after="120" w:line="240" w:lineRule="auto"/>
        <w:jc w:val="both"/>
        <w:rPr>
          <w:rFonts w:ascii="Times New Roman" w:hAnsi="Times New Roman" w:cs="Times New Roman"/>
          <w:sz w:val="28"/>
          <w:szCs w:val="28"/>
        </w:rPr>
      </w:pPr>
    </w:p>
    <w:p w14:paraId="50DAE096" w14:textId="77E6C1AA" w:rsidR="006B7861" w:rsidRDefault="006B7861" w:rsidP="00E00E92">
      <w:pPr>
        <w:spacing w:before="120" w:after="120" w:line="240" w:lineRule="auto"/>
        <w:jc w:val="both"/>
        <w:rPr>
          <w:rFonts w:ascii="Times New Roman" w:hAnsi="Times New Roman" w:cs="Times New Roman"/>
          <w:sz w:val="28"/>
          <w:szCs w:val="28"/>
        </w:rPr>
      </w:pPr>
    </w:p>
    <w:p w14:paraId="6AA09B87" w14:textId="2E7B8527" w:rsidR="006B7861" w:rsidRDefault="006B7861" w:rsidP="00E00E92">
      <w:pPr>
        <w:spacing w:before="120" w:after="120" w:line="240" w:lineRule="auto"/>
        <w:jc w:val="both"/>
        <w:rPr>
          <w:rFonts w:ascii="Times New Roman" w:hAnsi="Times New Roman" w:cs="Times New Roman"/>
          <w:sz w:val="28"/>
          <w:szCs w:val="28"/>
        </w:rPr>
      </w:pPr>
    </w:p>
    <w:p w14:paraId="53AFED5A" w14:textId="1F317AC7" w:rsidR="006B7861" w:rsidRDefault="006B7861" w:rsidP="00E00E92">
      <w:pPr>
        <w:spacing w:before="120" w:after="120" w:line="240" w:lineRule="auto"/>
        <w:jc w:val="both"/>
        <w:rPr>
          <w:rFonts w:ascii="Times New Roman" w:hAnsi="Times New Roman" w:cs="Times New Roman"/>
          <w:sz w:val="28"/>
          <w:szCs w:val="28"/>
        </w:rPr>
      </w:pPr>
    </w:p>
    <w:p w14:paraId="483FD90B" w14:textId="5476500A" w:rsidR="006B7861" w:rsidRDefault="006B7861" w:rsidP="00E00E92">
      <w:pPr>
        <w:spacing w:before="120" w:after="120" w:line="240" w:lineRule="auto"/>
        <w:jc w:val="both"/>
        <w:rPr>
          <w:rFonts w:ascii="Times New Roman" w:hAnsi="Times New Roman" w:cs="Times New Roman"/>
          <w:sz w:val="28"/>
          <w:szCs w:val="28"/>
        </w:rPr>
      </w:pPr>
    </w:p>
    <w:p w14:paraId="59E96FB1" w14:textId="6B6EADE4" w:rsidR="006B7861" w:rsidRDefault="006B7861" w:rsidP="00E00E92">
      <w:pPr>
        <w:spacing w:before="120" w:after="120" w:line="240" w:lineRule="auto"/>
        <w:jc w:val="both"/>
        <w:rPr>
          <w:rFonts w:ascii="Times New Roman" w:hAnsi="Times New Roman" w:cs="Times New Roman"/>
          <w:sz w:val="28"/>
          <w:szCs w:val="28"/>
        </w:rPr>
      </w:pPr>
    </w:p>
    <w:p w14:paraId="5B18ED1C" w14:textId="77777777" w:rsidR="006B7861" w:rsidRDefault="006B7861" w:rsidP="00E00E92">
      <w:pPr>
        <w:spacing w:before="120" w:after="120" w:line="240" w:lineRule="auto"/>
        <w:jc w:val="both"/>
        <w:rPr>
          <w:rFonts w:ascii="Times New Roman" w:hAnsi="Times New Roman" w:cs="Times New Roman"/>
          <w:sz w:val="28"/>
          <w:szCs w:val="28"/>
        </w:rPr>
        <w:sectPr w:rsidR="006B7861" w:rsidSect="009071B4">
          <w:headerReference w:type="default" r:id="rId7"/>
          <w:headerReference w:type="first" r:id="rId8"/>
          <w:pgSz w:w="16840" w:h="11907" w:orient="landscape" w:code="9"/>
          <w:pgMar w:top="1134" w:right="1134" w:bottom="851" w:left="1701" w:header="340" w:footer="0" w:gutter="0"/>
          <w:paperSrc w:first="7" w:other="7"/>
          <w:cols w:space="720"/>
          <w:docGrid w:linePitch="360"/>
        </w:sectPr>
      </w:pPr>
    </w:p>
    <w:p w14:paraId="101206CE" w14:textId="48A5487C" w:rsidR="006B7861" w:rsidRPr="006B7861" w:rsidRDefault="006B7861" w:rsidP="006B7861">
      <w:pPr>
        <w:spacing w:before="120" w:after="120" w:line="240" w:lineRule="auto"/>
        <w:jc w:val="center"/>
        <w:rPr>
          <w:rFonts w:ascii="Times New Roman" w:hAnsi="Times New Roman" w:cs="Times New Roman"/>
          <w:b/>
          <w:bCs/>
          <w:sz w:val="28"/>
          <w:szCs w:val="28"/>
        </w:rPr>
      </w:pPr>
      <w:r w:rsidRPr="006B7861">
        <w:rPr>
          <w:rFonts w:ascii="Times New Roman" w:hAnsi="Times New Roman" w:cs="Times New Roman"/>
          <w:b/>
          <w:bCs/>
          <w:sz w:val="28"/>
          <w:szCs w:val="28"/>
        </w:rPr>
        <w:lastRenderedPageBreak/>
        <w:t>PHỤ LỤC:</w:t>
      </w:r>
    </w:p>
    <w:p w14:paraId="22CF5F84" w14:textId="77777777" w:rsidR="001945E4" w:rsidRDefault="006B7861" w:rsidP="006B7861">
      <w:pPr>
        <w:spacing w:before="120" w:after="120" w:line="240" w:lineRule="auto"/>
        <w:jc w:val="center"/>
        <w:rPr>
          <w:rFonts w:ascii="Times New Roman" w:hAnsi="Times New Roman" w:cs="Times New Roman"/>
          <w:b/>
          <w:bCs/>
          <w:sz w:val="28"/>
          <w:szCs w:val="28"/>
        </w:rPr>
      </w:pPr>
      <w:r w:rsidRPr="006B7861">
        <w:rPr>
          <w:rFonts w:ascii="Times New Roman" w:hAnsi="Times New Roman" w:cs="Times New Roman"/>
          <w:b/>
          <w:bCs/>
          <w:sz w:val="28"/>
          <w:szCs w:val="28"/>
        </w:rPr>
        <w:t xml:space="preserve">THUYẾT MINH QUY PHẠM HÓA CHÍNH SÁCH CỦA </w:t>
      </w:r>
    </w:p>
    <w:p w14:paraId="07DAABCB" w14:textId="2AF5CE95" w:rsidR="006B7861" w:rsidRDefault="006B7861" w:rsidP="006B7861">
      <w:pPr>
        <w:spacing w:before="120" w:after="120" w:line="240" w:lineRule="auto"/>
        <w:jc w:val="center"/>
        <w:rPr>
          <w:rFonts w:ascii="Times New Roman" w:hAnsi="Times New Roman" w:cs="Times New Roman"/>
          <w:b/>
          <w:bCs/>
          <w:sz w:val="28"/>
          <w:szCs w:val="28"/>
        </w:rPr>
      </w:pPr>
      <w:r w:rsidRPr="006B7861">
        <w:rPr>
          <w:rFonts w:ascii="Times New Roman" w:hAnsi="Times New Roman" w:cs="Times New Roman"/>
          <w:b/>
          <w:bCs/>
          <w:sz w:val="28"/>
          <w:szCs w:val="28"/>
        </w:rPr>
        <w:t>LUẬT GIAO DỊCH HÀNG HÓA PHÁI SINH</w:t>
      </w:r>
    </w:p>
    <w:p w14:paraId="3302EE9D" w14:textId="77777777" w:rsidR="00251D93" w:rsidRDefault="00251D93" w:rsidP="006B7861">
      <w:pPr>
        <w:spacing w:before="120" w:after="120" w:line="240" w:lineRule="auto"/>
        <w:jc w:val="center"/>
        <w:rPr>
          <w:rFonts w:ascii="Times New Roman" w:hAnsi="Times New Roman" w:cs="Times New Roman"/>
          <w:b/>
          <w:bCs/>
          <w:sz w:val="28"/>
          <w:szCs w:val="28"/>
        </w:rPr>
      </w:pPr>
    </w:p>
    <w:p w14:paraId="3A3519C1" w14:textId="12CA3FD3" w:rsidR="006630E3" w:rsidRPr="0009318E" w:rsidRDefault="00251D93" w:rsidP="006630E3">
      <w:pPr>
        <w:pStyle w:val="NormalWeb"/>
        <w:tabs>
          <w:tab w:val="left" w:pos="993"/>
        </w:tabs>
        <w:spacing w:before="120" w:beforeAutospacing="0" w:after="0" w:afterAutospacing="0" w:line="264" w:lineRule="auto"/>
        <w:ind w:firstLine="720"/>
        <w:jc w:val="both"/>
        <w:rPr>
          <w:b/>
          <w:bCs/>
          <w:sz w:val="28"/>
          <w:szCs w:val="28"/>
        </w:rPr>
      </w:pPr>
      <w:r>
        <w:rPr>
          <w:b/>
          <w:bCs/>
          <w:sz w:val="28"/>
          <w:szCs w:val="28"/>
        </w:rPr>
        <w:t xml:space="preserve">1. </w:t>
      </w:r>
      <w:r w:rsidRPr="00251D93">
        <w:rPr>
          <w:b/>
          <w:bCs/>
          <w:sz w:val="28"/>
          <w:szCs w:val="28"/>
        </w:rPr>
        <w:t xml:space="preserve">Chính sách 1: </w:t>
      </w:r>
      <w:r w:rsidR="006630E3" w:rsidRPr="0009318E">
        <w:rPr>
          <w:b/>
          <w:bCs/>
          <w:sz w:val="28"/>
          <w:szCs w:val="28"/>
        </w:rPr>
        <w:t>Hoàn thiện nền tảng pháp lý và</w:t>
      </w:r>
      <w:r w:rsidR="006630E3">
        <w:rPr>
          <w:b/>
          <w:bCs/>
          <w:sz w:val="28"/>
          <w:szCs w:val="28"/>
        </w:rPr>
        <w:t xml:space="preserve"> quy định về</w:t>
      </w:r>
      <w:r w:rsidR="006630E3" w:rsidRPr="0009318E">
        <w:rPr>
          <w:b/>
          <w:bCs/>
          <w:sz w:val="28"/>
          <w:szCs w:val="28"/>
        </w:rPr>
        <w:t xml:space="preserve"> phạm vi điều chỉnh chuyên biệt</w:t>
      </w:r>
    </w:p>
    <w:p w14:paraId="65752475" w14:textId="77777777" w:rsidR="006630E3" w:rsidRPr="006630E3" w:rsidRDefault="006630E3" w:rsidP="006630E3">
      <w:pPr>
        <w:spacing w:before="120" w:after="120" w:line="240" w:lineRule="auto"/>
        <w:ind w:firstLine="720"/>
        <w:jc w:val="both"/>
        <w:rPr>
          <w:rFonts w:ascii="Times New Roman" w:hAnsi="Times New Roman" w:cs="Times New Roman"/>
          <w:b/>
          <w:bCs/>
          <w:i/>
          <w:iCs/>
          <w:sz w:val="28"/>
          <w:szCs w:val="28"/>
          <w:lang w:val="vi-VN"/>
        </w:rPr>
      </w:pPr>
      <w:r w:rsidRPr="006630E3">
        <w:rPr>
          <w:rFonts w:ascii="Times New Roman" w:hAnsi="Times New Roman" w:cs="Times New Roman"/>
          <w:b/>
          <w:bCs/>
          <w:i/>
          <w:iCs/>
          <w:sz w:val="28"/>
          <w:szCs w:val="28"/>
          <w:lang w:val="vi-VN"/>
        </w:rPr>
        <w:t>1.1. Quy định phạm vi điều chỉnh và đối tượng áp dụng</w:t>
      </w:r>
    </w:p>
    <w:p w14:paraId="5A048BB2"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Dự thảo Luật được xây dựng theo hướng thiết lập một khuôn khổ pháp lý chuyên biệt, thống nhất để điều chỉnh toàn bộ hoạt động giao dịch hàng hóa phái sinh tại Việt Nam. Phạm vi điều chỉnh của Luật bao quát toàn bộ các khâu của thị trường, bao gồm: tổ chức và vận hành thị trường; hoạt động giao dịch, thanh toán bù trừ, lưu ký và giao nhận; quản lý, giám sát; quyền và nghĩa vụ của các chủ thể tham gia.</w:t>
      </w:r>
    </w:p>
    <w:p w14:paraId="7B701AC8"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Đối tượng áp dụng của Luật gồm: Sở giao dịch hàng hóa phái sinh, các thành viên giao dịch và thành viên bù trừ, nhà đầu tư trong và ngoài nước, các tổ chức cung cấp dịch vụ liên quan (thanh toán, lưu ký, giám sát, công nghệ), cơ quan quản lý nhà nước và các tổ chức, cá nhân khác có liên quan.</w:t>
      </w:r>
    </w:p>
    <w:p w14:paraId="16C052CF"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Việc quy định rõ phạm vi điều chỉnh và đối tượng áp dụng nhằm bảo đảm tính minh bạch, đầy đủ và toàn diện của khuôn khổ pháp lý; đồng thời tránh sự chồng chéo, xung đột với các luật khác như Luật Chứng khoán, Luật Thương mại, pháp luật về ngân hàng và các văn bản pháp luật có liên quan.</w:t>
      </w:r>
    </w:p>
    <w:p w14:paraId="01ABD873" w14:textId="77777777" w:rsidR="006630E3" w:rsidRPr="006630E3" w:rsidRDefault="006630E3" w:rsidP="006630E3">
      <w:pPr>
        <w:spacing w:before="120" w:after="120" w:line="240" w:lineRule="auto"/>
        <w:ind w:firstLine="720"/>
        <w:jc w:val="both"/>
        <w:rPr>
          <w:rFonts w:ascii="Times New Roman" w:hAnsi="Times New Roman" w:cs="Times New Roman"/>
          <w:b/>
          <w:bCs/>
          <w:i/>
          <w:iCs/>
          <w:sz w:val="28"/>
          <w:szCs w:val="28"/>
          <w:lang w:val="vi-VN"/>
        </w:rPr>
      </w:pPr>
      <w:r w:rsidRPr="006630E3">
        <w:rPr>
          <w:rFonts w:ascii="Times New Roman" w:hAnsi="Times New Roman" w:cs="Times New Roman"/>
          <w:b/>
          <w:bCs/>
          <w:i/>
          <w:iCs/>
          <w:sz w:val="28"/>
          <w:szCs w:val="28"/>
          <w:lang w:val="vi-VN"/>
        </w:rPr>
        <w:t>1.2. Quy phạm hóa các khái niệm pháp lý cơ bản</w:t>
      </w:r>
    </w:p>
    <w:p w14:paraId="389B74BE"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Thị trường giao dịch hàng hóa phái sinh có đặc thù phức tạp, liên quan đến nhiều loại sản phẩm, phương thức giao dịch và cơ chế quản lý rủi ro. Do đó, việc quy phạm hóa các khái niệm cơ bản trong Luật là yêu cầu có tính nền tảng nhằm tạo sự thống nhất trong áp dụng pháp luật.</w:t>
      </w:r>
    </w:p>
    <w:p w14:paraId="3EDA6302"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Mục tiêu của việc quy định các khái niệm cơ bản là:</w:t>
      </w:r>
    </w:p>
    <w:p w14:paraId="5B15273B" w14:textId="720BFCB3"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Bảo đảm sự thống nhất trong nhận thức và áp dụng pháp luật giữa các chủ thể tham gia thị trường, cơ quan quản lý và các cơ quan giải quyết tranh chấp;</w:t>
      </w:r>
    </w:p>
    <w:p w14:paraId="558EE4AA" w14:textId="33590E82"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Tạo sự tương thích với thông lệ và chuẩn mực quốc tế (IOSCO, CFTC của Hoa Kỳ, ESMA của Liên minh châu Âu), hỗ trợ quá trình hội nhập thị trường toàn cầu;</w:t>
      </w:r>
    </w:p>
    <w:p w14:paraId="65E72C9D" w14:textId="41AEBF61"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Đặt nền tảng pháp lý ổn định cho việc xây dựng các quy định chi tiết ở cấp nghị định, thông tư mà không làm thay đổi bản chất pháp lý của các quan hệ giao dịch.</w:t>
      </w:r>
    </w:p>
    <w:p w14:paraId="70A78196"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Dự thảo Luật dự kiến quy định các khái niệm cơ bản, bao gồm:</w:t>
      </w:r>
    </w:p>
    <w:p w14:paraId="65234FAD" w14:textId="1908D4AB"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Hợp đồng phái sinh hàng hóa và các loại hình sản phẩm chủ yếu như hợp đồng tương lai, hợp đồng quyền chọn, hợp đồng hoán đổi và các sản phẩm chuẩn hóa khác;</w:t>
      </w:r>
    </w:p>
    <w:p w14:paraId="16B4872D" w14:textId="6C3F3D68"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r w:rsidRPr="006630E3">
        <w:rPr>
          <w:rFonts w:ascii="Times New Roman" w:hAnsi="Times New Roman" w:cs="Times New Roman"/>
          <w:sz w:val="28"/>
          <w:szCs w:val="28"/>
          <w:lang w:val="vi-VN"/>
        </w:rPr>
        <w:t>Sở giao dịch hàng hóa phái sinh, sàn giao dịch chuyên biệt, phạm vi hoạt động và trách nhiệm pháp lý của các tổ chức này;</w:t>
      </w:r>
    </w:p>
    <w:p w14:paraId="26B28F55" w14:textId="61FB4B88"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Thành viên giao dịch, thành viên bù trừ, quyền và nghĩa vụ của các chủ thể trung gian;</w:t>
      </w:r>
    </w:p>
    <w:p w14:paraId="2B317C62" w14:textId="531280F5"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Nhà đầu tư và việc phân loại nhà đầu tư (chuyên nghiệp, không chuyên nghiệp; trong nước, nước ngoài);</w:t>
      </w:r>
    </w:p>
    <w:p w14:paraId="247D808A" w14:textId="3A4FE333"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Các khái niệm nền tảng về ký quỹ, quỹ bù trừ, thanh toán bù trừ, vị thế mở, giới hạn vị thế – làm cơ sở cho cơ chế quản lý rủi ro và phòng chống thao túng thị trường.</w:t>
      </w:r>
    </w:p>
    <w:p w14:paraId="7DB8E5CD"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Các khái niệm được thiết kế theo hướng mô tả bản chất pháp lý và chức năng cơ bản, tránh đi sâu vào các yếu tố kỹ thuật, nhằm bảo đảm tính ổn định và khả năng thích ứng lâu dài của Luật. Chính phủ và cơ quan quản lý chuyên ngành được giao thẩm quyền hướng dẫn chi tiết và cập nhật khi xuất hiện các sản phẩm, mô hình giao dịch mới trong thực tiễn.</w:t>
      </w:r>
    </w:p>
    <w:p w14:paraId="09590664" w14:textId="77777777" w:rsidR="006630E3" w:rsidRPr="006630E3" w:rsidRDefault="006630E3" w:rsidP="006630E3">
      <w:pPr>
        <w:spacing w:before="120" w:after="120" w:line="240" w:lineRule="auto"/>
        <w:ind w:firstLine="720"/>
        <w:jc w:val="both"/>
        <w:rPr>
          <w:rFonts w:ascii="Times New Roman" w:hAnsi="Times New Roman" w:cs="Times New Roman"/>
          <w:b/>
          <w:bCs/>
          <w:i/>
          <w:iCs/>
          <w:sz w:val="28"/>
          <w:szCs w:val="28"/>
          <w:lang w:val="vi-VN"/>
        </w:rPr>
      </w:pPr>
      <w:r w:rsidRPr="006630E3">
        <w:rPr>
          <w:rFonts w:ascii="Times New Roman" w:hAnsi="Times New Roman" w:cs="Times New Roman"/>
          <w:b/>
          <w:bCs/>
          <w:i/>
          <w:iCs/>
          <w:sz w:val="28"/>
          <w:szCs w:val="28"/>
          <w:lang w:val="vi-VN"/>
        </w:rPr>
        <w:t>1.3. Quy định các nguyên tắc pháp lý điều chỉnh thị trường</w:t>
      </w:r>
    </w:p>
    <w:p w14:paraId="3756CEBE"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Luật thiết lập hệ thống các nguyên tắc pháp lý làm nền tảng cho hoạt động giao dịch hàng hóa phái sinh, bao gồm:</w:t>
      </w:r>
    </w:p>
    <w:p w14:paraId="18463381" w14:textId="1B65F646"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Nguyên tắc công khai, minh bạch, trung thực và công bằng trong giao dịch;</w:t>
      </w:r>
    </w:p>
    <w:p w14:paraId="5832A597" w14:textId="468CF7D9" w:rsidR="006630E3" w:rsidRPr="006630E3" w:rsidRDefault="006630E3" w:rsidP="006630E3">
      <w:pPr>
        <w:spacing w:before="120" w:after="120" w:line="240" w:lineRule="auto"/>
        <w:ind w:left="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Nguyên tắc cạnh tranh lành mạnh và bình đẳng giữa các chủ thể;</w:t>
      </w:r>
    </w:p>
    <w:p w14:paraId="2A0787DF" w14:textId="792B2FCC" w:rsidR="006630E3" w:rsidRPr="006630E3" w:rsidRDefault="006630E3" w:rsidP="006630E3">
      <w:pPr>
        <w:spacing w:before="120" w:after="120" w:line="240" w:lineRule="auto"/>
        <w:ind w:left="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Nguyên tắc bảo đảm an toàn tài chính và quản trị rủi ro hệ thống;</w:t>
      </w:r>
    </w:p>
    <w:p w14:paraId="7DF42CB5" w14:textId="04EC39FE"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Nguyên tắc tách biệt tài sản của khách hàng với tài sản của thành viên thị trường;</w:t>
      </w:r>
    </w:p>
    <w:p w14:paraId="1B640C86" w14:textId="4EEC5D00" w:rsidR="006630E3" w:rsidRPr="006630E3" w:rsidRDefault="006630E3" w:rsidP="006630E3">
      <w:pPr>
        <w:spacing w:before="120" w:after="120" w:line="240" w:lineRule="auto"/>
        <w:ind w:left="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Nguyên tắc bảo vệ quyền và lợi ích hợp pháp của nhà đầu tư.</w:t>
      </w:r>
    </w:p>
    <w:p w14:paraId="68413264"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Các nguyên tắc này mang tính định hướng, phản ánh chính sách quản lý thị trường theo hướng an toàn, bền vững và hội nhập. Những cơ chế kỹ thuật cụ thể để triển khai các nguyên tắc (như quản lý rủi ro, tách bạch tài sản, bảo vệ nhà đầu tư) sẽ được Chính phủ và cơ quan quản lý chuyên ngành quy định chi tiết trong các văn bản dưới luật nhằm bảo đảm tính linh hoạt và phù hợp thực tiễn.</w:t>
      </w:r>
    </w:p>
    <w:p w14:paraId="62C60F81" w14:textId="77777777" w:rsidR="006630E3" w:rsidRPr="006630E3" w:rsidRDefault="006630E3" w:rsidP="006630E3">
      <w:pPr>
        <w:spacing w:before="120" w:after="120" w:line="240" w:lineRule="auto"/>
        <w:ind w:firstLine="720"/>
        <w:jc w:val="both"/>
        <w:rPr>
          <w:rFonts w:ascii="Times New Roman" w:hAnsi="Times New Roman" w:cs="Times New Roman"/>
          <w:b/>
          <w:bCs/>
          <w:i/>
          <w:iCs/>
          <w:sz w:val="28"/>
          <w:szCs w:val="28"/>
          <w:lang w:val="vi-VN"/>
        </w:rPr>
      </w:pPr>
      <w:r w:rsidRPr="006630E3">
        <w:rPr>
          <w:rFonts w:ascii="Times New Roman" w:hAnsi="Times New Roman" w:cs="Times New Roman"/>
          <w:b/>
          <w:bCs/>
          <w:i/>
          <w:iCs/>
          <w:sz w:val="28"/>
          <w:szCs w:val="28"/>
          <w:lang w:val="vi-VN"/>
        </w:rPr>
        <w:t>1.4. Quy định định hướng phát triển thị trường</w:t>
      </w:r>
    </w:p>
    <w:p w14:paraId="634DB6E8"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Luật xác định rõ định hướng phát triển thị trường giao dịch hàng hóa phái sinh của Nhà nước theo các mục tiêu chủ yếu:</w:t>
      </w:r>
    </w:p>
    <w:p w14:paraId="376EC377" w14:textId="33D891EE"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Phát triển thị trường an toàn, minh bạch, bền vững và gắn với nhu cầu phòng ngừa rủi ro của nền kinh tế;</w:t>
      </w:r>
    </w:p>
    <w:p w14:paraId="2F4D7643" w14:textId="12E2F4E0"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Khuyến khích sự tham gia của các tổ chức, nhà đầu tư trong và ngoài nước;</w:t>
      </w:r>
    </w:p>
    <w:p w14:paraId="49BEAD80" w14:textId="469ACE2E"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Ưu tiên đầu tư phát triển hạ tầng công nghệ, hệ thống thanh toán bù trừ hiện đại;</w:t>
      </w:r>
    </w:p>
    <w:p w14:paraId="3312D414" w14:textId="498B8942"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r w:rsidRPr="006630E3">
        <w:rPr>
          <w:rFonts w:ascii="Times New Roman" w:hAnsi="Times New Roman" w:cs="Times New Roman"/>
          <w:sz w:val="28"/>
          <w:szCs w:val="28"/>
          <w:lang w:val="vi-VN"/>
        </w:rPr>
        <w:t>Thúc đẩy đào tạo nguồn nhân lực chuyên môn cao và nâng cao nhận thức cộng đồng;</w:t>
      </w:r>
    </w:p>
    <w:p w14:paraId="745ECF2A" w14:textId="4D94CD90"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Đa dạng hóa sản phẩm phái sinh phù hợp với lợi thế hàng hóa của Việt Nam và nhu cầu hội nhập quốc tế.</w:t>
      </w:r>
    </w:p>
    <w:p w14:paraId="743E7E88"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Các chính sách khuyến khích về thuế, công nghệ, đào tạo và hỗ trợ phát triển thị trường được giao Chính phủ quy định chi tiết để bảo đảm tính linh hoạt trong điều hành và phù hợp với từng giai đoạn phát triển.</w:t>
      </w:r>
    </w:p>
    <w:p w14:paraId="54935F7D" w14:textId="77777777" w:rsidR="006630E3" w:rsidRPr="006630E3" w:rsidRDefault="006630E3" w:rsidP="006630E3">
      <w:pPr>
        <w:spacing w:before="120" w:after="120" w:line="240" w:lineRule="auto"/>
        <w:ind w:firstLine="720"/>
        <w:jc w:val="both"/>
        <w:rPr>
          <w:rFonts w:ascii="Times New Roman" w:hAnsi="Times New Roman" w:cs="Times New Roman"/>
          <w:b/>
          <w:bCs/>
          <w:i/>
          <w:iCs/>
          <w:sz w:val="28"/>
          <w:szCs w:val="28"/>
          <w:lang w:val="vi-VN"/>
        </w:rPr>
      </w:pPr>
      <w:r w:rsidRPr="006630E3">
        <w:rPr>
          <w:rFonts w:ascii="Times New Roman" w:hAnsi="Times New Roman" w:cs="Times New Roman"/>
          <w:b/>
          <w:bCs/>
          <w:i/>
          <w:iCs/>
          <w:sz w:val="28"/>
          <w:szCs w:val="28"/>
          <w:lang w:val="vi-VN"/>
        </w:rPr>
        <w:t>1.5. Quy định khung về các hành vi bị nghiêm cấm</w:t>
      </w:r>
    </w:p>
    <w:p w14:paraId="34C313FB"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Hoạt động giao dịch hàng hóa phái sinh sử dụng cơ chế đòn bẩy tài chính và ký quỹ, do đó tiềm ẩn nhiều rủi ro gian lận, thao túng và lạm dụng. Việc quy định khung về các hành vi bị nghiêm cấm trong Luật là cần thiết nhằm thiết lập chuẩn mực pháp lý nền tảng, bảo vệ nhà đầu tư và bảo đảm ổn định thị trường.</w:t>
      </w:r>
    </w:p>
    <w:p w14:paraId="3AE2484B"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Dự thảo Luật quy định các nhóm hành vi bị nghiêm cấm chủ yếu, bao gồm:</w:t>
      </w:r>
    </w:p>
    <w:p w14:paraId="15FC435C" w14:textId="492DEAD3"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Thao túng thị trường thông qua tạo cung cầu giả tạo, giao dịch khống hoặc các thủ đoạn làm sai lệch giá;</w:t>
      </w:r>
    </w:p>
    <w:p w14:paraId="09B0D94C" w14:textId="60719829" w:rsidR="006630E3" w:rsidRPr="006630E3" w:rsidRDefault="006630E3" w:rsidP="006630E3">
      <w:pPr>
        <w:spacing w:before="120" w:after="120" w:line="240" w:lineRule="auto"/>
        <w:ind w:left="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Giao dịch nội gián, sử dụng thông tin chưa công khai để trục lợi;</w:t>
      </w:r>
    </w:p>
    <w:p w14:paraId="608CE6EA" w14:textId="40E69F13"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Cung cấp thông tin sai lệch, giả mạo hồ sơ trong hoạt động đăng ký, cấp phép và công bố thông tin;</w:t>
      </w:r>
    </w:p>
    <w:p w14:paraId="18838297" w14:textId="1B40B3DF"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Lạm dụng tín nhiệm, chiếm dụng hoặc sử dụng trái phép tài sản của khách hàng;</w:t>
      </w:r>
    </w:p>
    <w:p w14:paraId="08359DB2" w14:textId="0DE2B492"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Giao dịch vượt giới hạn vị thế, vi phạm nghĩa vụ ký quỹ, bù trừ và thanh toán;</w:t>
      </w:r>
    </w:p>
    <w:p w14:paraId="0BEF6A0B" w14:textId="1C6FEEC2"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630E3">
        <w:rPr>
          <w:rFonts w:ascii="Times New Roman" w:hAnsi="Times New Roman" w:cs="Times New Roman"/>
          <w:sz w:val="28"/>
          <w:szCs w:val="28"/>
          <w:lang w:val="vi-VN"/>
        </w:rPr>
        <w:t>Các hành vi gian lận khác, bao gồm lợi dụng giao dịch phái sinh để rửa tiền, tài trợ khủng bố hoặc các mục đích bất hợp pháp.</w:t>
      </w:r>
    </w:p>
    <w:p w14:paraId="7AC3DA32" w14:textId="77777777" w:rsidR="006630E3" w:rsidRPr="006630E3" w:rsidRDefault="006630E3" w:rsidP="006630E3">
      <w:pPr>
        <w:spacing w:before="120" w:after="120" w:line="240" w:lineRule="auto"/>
        <w:ind w:firstLine="720"/>
        <w:jc w:val="both"/>
        <w:rPr>
          <w:rFonts w:ascii="Times New Roman" w:hAnsi="Times New Roman" w:cs="Times New Roman"/>
          <w:sz w:val="28"/>
          <w:szCs w:val="28"/>
          <w:lang w:val="vi-VN"/>
        </w:rPr>
      </w:pPr>
      <w:r w:rsidRPr="006630E3">
        <w:rPr>
          <w:rFonts w:ascii="Times New Roman" w:hAnsi="Times New Roman" w:cs="Times New Roman"/>
          <w:sz w:val="28"/>
          <w:szCs w:val="28"/>
          <w:lang w:val="vi-VN"/>
        </w:rPr>
        <w:t>Luật quy định các hành vi bị cấm ở mức khái quát, mang tính định hướng. Chính phủ được giao thẩm quyền quy định chi tiết về dấu hiệu nhận diện hành vi vi phạm, chế tài xử phạt và biện pháp khắc phục nhằm bảo đảm tính khả thi, minh bạch và phù hợp với thực tiễn quản lý.</w:t>
      </w:r>
    </w:p>
    <w:p w14:paraId="7E564D14" w14:textId="705C0926" w:rsidR="006630E3" w:rsidRPr="0009318E" w:rsidRDefault="006630E3" w:rsidP="006630E3">
      <w:pPr>
        <w:pStyle w:val="NormalWeb"/>
        <w:tabs>
          <w:tab w:val="left" w:pos="993"/>
        </w:tabs>
        <w:spacing w:before="120" w:beforeAutospacing="0" w:after="0" w:afterAutospacing="0" w:line="264" w:lineRule="auto"/>
        <w:ind w:firstLine="720"/>
        <w:jc w:val="both"/>
        <w:rPr>
          <w:b/>
          <w:bCs/>
          <w:sz w:val="28"/>
          <w:szCs w:val="28"/>
        </w:rPr>
      </w:pPr>
      <w:r>
        <w:rPr>
          <w:b/>
          <w:bCs/>
          <w:sz w:val="28"/>
          <w:szCs w:val="28"/>
        </w:rPr>
        <w:t>2. Chính sách 2: Quy định về t</w:t>
      </w:r>
      <w:r w:rsidRPr="0009318E">
        <w:rPr>
          <w:b/>
          <w:bCs/>
          <w:sz w:val="28"/>
          <w:szCs w:val="28"/>
        </w:rPr>
        <w:t>ổ chức hạ tầng thị trường và mô hình vận hành</w:t>
      </w:r>
    </w:p>
    <w:p w14:paraId="115E18FB"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b/>
          <w:bCs/>
          <w:i/>
          <w:iCs/>
          <w:kern w:val="0"/>
          <w:sz w:val="28"/>
          <w:szCs w:val="28"/>
          <w:lang w:val="vi-VN" w:eastAsia="en-GB"/>
          <w14:ligatures w14:val="none"/>
        </w:rPr>
      </w:pPr>
      <w:r w:rsidRPr="006630E3">
        <w:rPr>
          <w:rFonts w:ascii="Times New Roman" w:eastAsia="Times New Roman" w:hAnsi="Times New Roman" w:cs="Times New Roman"/>
          <w:b/>
          <w:bCs/>
          <w:i/>
          <w:iCs/>
          <w:kern w:val="0"/>
          <w:sz w:val="28"/>
          <w:szCs w:val="28"/>
          <w:lang w:val="vi-VN" w:eastAsia="en-GB"/>
          <w14:ligatures w14:val="none"/>
        </w:rPr>
        <w:t>2.1. Quy định về điều kiện thành lập Sở giao dịch hàng hóa phái sinh</w:t>
      </w:r>
    </w:p>
    <w:p w14:paraId="61F1024B"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Luật thiết lập các điều kiện chặt chẽ đối với việc thành lập SGDHHPS nhằm bảo đảm năng lực tài chính, công nghệ và quản trị cần thiết để vận hành thị trường một cách an toàn và hiệu quả. Các điều kiện chủ yếu bao gồm:</w:t>
      </w:r>
    </w:p>
    <w:p w14:paraId="75F1CF0F" w14:textId="6ED39484"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Yêu cầu về vốn pháp định ở mức đủ lớn để bảo đảm khả năng chịu đựng rủi ro và duy trì hoạt động ổn định;</w:t>
      </w:r>
    </w:p>
    <w:p w14:paraId="58A16E28" w14:textId="087A376F"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Hạ tầng công nghệ thông tin hiện đại, có khả năng xử lý khối lượng giao dịch lớn, bảo đảm tính liên tục, an toàn thông tin và an ninh mạng;</w:t>
      </w:r>
    </w:p>
    <w:p w14:paraId="440BCA2D" w14:textId="3B99F34A"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lastRenderedPageBreak/>
        <w:t xml:space="preserve">- </w:t>
      </w:r>
      <w:r w:rsidRPr="006630E3">
        <w:rPr>
          <w:rFonts w:ascii="Times New Roman" w:eastAsia="Times New Roman" w:hAnsi="Times New Roman" w:cs="Times New Roman"/>
          <w:kern w:val="0"/>
          <w:sz w:val="28"/>
          <w:szCs w:val="28"/>
          <w:lang w:val="vi-VN" w:eastAsia="en-GB"/>
          <w14:ligatures w14:val="none"/>
        </w:rPr>
        <w:t>Cơ cấu sở hữu minh bạch, hạn chế xung đột lợi ích, khuyến khích sự tham gia của các tổ chức tài chính – thương mại có uy tín;</w:t>
      </w:r>
    </w:p>
    <w:p w14:paraId="1357EB6E" w14:textId="4373925A"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Hệ thống quản trị rủi ro, kiểm soát nội bộ và tuân thủ pháp luật hiệu quả.</w:t>
      </w:r>
    </w:p>
    <w:p w14:paraId="2EEF8E97"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Các tiêu chí này được xây dựng theo hướng tương thích với thông lệ quốc tế, đồng thời phù hợp với điều kiện phát triển thực tế của thị trường Việt Nam, nhằm bảo đảm SGDHHPS thực sự trở thành trung tâm hạ tầng giao dịch chuyên nghiệp và tin cậy.</w:t>
      </w:r>
    </w:p>
    <w:p w14:paraId="5E30E697"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b/>
          <w:bCs/>
          <w:i/>
          <w:iCs/>
          <w:kern w:val="0"/>
          <w:sz w:val="28"/>
          <w:szCs w:val="28"/>
          <w:lang w:val="vi-VN" w:eastAsia="en-GB"/>
          <w14:ligatures w14:val="none"/>
        </w:rPr>
      </w:pPr>
      <w:r w:rsidRPr="006630E3">
        <w:rPr>
          <w:rFonts w:ascii="Times New Roman" w:eastAsia="Times New Roman" w:hAnsi="Times New Roman" w:cs="Times New Roman"/>
          <w:b/>
          <w:bCs/>
          <w:i/>
          <w:iCs/>
          <w:kern w:val="0"/>
          <w:sz w:val="28"/>
          <w:szCs w:val="28"/>
          <w:lang w:val="vi-VN" w:eastAsia="en-GB"/>
          <w14:ligatures w14:val="none"/>
        </w:rPr>
        <w:t>2.2. Quy định về cơ cấu tổ chức quản trị và tiêu chuẩn nhân sự</w:t>
      </w:r>
    </w:p>
    <w:p w14:paraId="150B2432"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Luật quy định khung pháp lý về mô hình quản trị của SGDHHPS theo hướng chuyên nghiệp, minh bạch và có kiểm soát. Cơ cấu tổ chức quản trị phải bảo đảm tách bạch giữa chức năng quản lý và điều hành, bao gồm các thiết chế cơ bản như:</w:t>
      </w:r>
    </w:p>
    <w:p w14:paraId="677856DF" w14:textId="11A828D6"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Hội đồng quản trị với vai trò hoạch định chiến lược và giám sát chung;</w:t>
      </w:r>
    </w:p>
    <w:p w14:paraId="0EA99882" w14:textId="461F83A6"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Ban điều hành chịu trách nhiệm tổ chức vận hành thị trường;</w:t>
      </w:r>
    </w:p>
    <w:p w14:paraId="1B4C717F" w14:textId="1EB5A2B0"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Ban kiểm soát/kiểm toán nội bộ thực hiện chức năng giám sát độc lập.</w:t>
      </w:r>
    </w:p>
    <w:p w14:paraId="5EAAC670"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Đối với nhân sự quản lý chủ chốt (Chủ tịch Hội đồng quản trị, Tổng giám đốc, Giám đốc quản trị rủi ro…), Luật đặt ra các tiêu chuẩn cao về trình độ chuyên môn, kinh nghiệm, đạo đức nghề nghiệp và tính độc lập. Quy định này nhằm nâng cao chất lượng quản trị, hạn chế rủi ro vận hành, đồng thời củng cố niềm tin của nhà đầu tư và các chủ thể tham gia thị trường.</w:t>
      </w:r>
    </w:p>
    <w:p w14:paraId="0030FA51"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b/>
          <w:bCs/>
          <w:i/>
          <w:iCs/>
          <w:kern w:val="0"/>
          <w:sz w:val="28"/>
          <w:szCs w:val="28"/>
          <w:lang w:val="vi-VN" w:eastAsia="en-GB"/>
          <w14:ligatures w14:val="none"/>
        </w:rPr>
      </w:pPr>
      <w:r w:rsidRPr="006630E3">
        <w:rPr>
          <w:rFonts w:ascii="Times New Roman" w:eastAsia="Times New Roman" w:hAnsi="Times New Roman" w:cs="Times New Roman"/>
          <w:b/>
          <w:bCs/>
          <w:i/>
          <w:iCs/>
          <w:kern w:val="0"/>
          <w:sz w:val="28"/>
          <w:szCs w:val="28"/>
          <w:lang w:val="vi-VN" w:eastAsia="en-GB"/>
          <w14:ligatures w14:val="none"/>
        </w:rPr>
        <w:t>2.3. Quy định quyền, nghĩa vụ và chế độ báo cáo của SGDHHPS</w:t>
      </w:r>
    </w:p>
    <w:p w14:paraId="71FFB8C9"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Luật xác định rõ quyền và nghĩa vụ của SGDHHPS trong tổ chức và vận hành thị trường, bao gồm:</w:t>
      </w:r>
    </w:p>
    <w:p w14:paraId="7A60DC2C" w14:textId="752698CB"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Quyền xây dựng và ban hành quy chế giao dịch, niêm yết hợp đồng, quy định về ký quỹ, thanh toán bù trừ trong khuôn khổ pháp luật;</w:t>
      </w:r>
    </w:p>
    <w:p w14:paraId="70EB7473" w14:textId="0264FC38"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Nghĩa vụ bảo đảm hoạt động giao dịch diễn ra công khai, minh bạch, công bằng;</w:t>
      </w:r>
    </w:p>
    <w:p w14:paraId="13DF5259" w14:textId="0384C446"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Nghĩa vụ công bố thông tin đầy đủ, kịp thời về giá, khối lượng giao dịch, vị thế mở, tình trạng ký quỹ và các sự kiện bất thường có thể ảnh hưởng đến thị trường;</w:t>
      </w:r>
    </w:p>
    <w:p w14:paraId="7966C977" w14:textId="672F6FA4"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Nghĩa vụ thực hiện chế độ báo cáo định kỳ, đột xuất cho cơ quan quản lý nhà nước.</w:t>
      </w:r>
    </w:p>
    <w:p w14:paraId="774BCFB7"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Các quy định này nhằm nâng cao tính minh bạch của thị trường, tạo cơ sở cho công tác giám sát hiệu quả và phòng ngừa rủi ro hệ thống.</w:t>
      </w:r>
    </w:p>
    <w:p w14:paraId="0B22DABD"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b/>
          <w:bCs/>
          <w:i/>
          <w:iCs/>
          <w:kern w:val="0"/>
          <w:sz w:val="28"/>
          <w:szCs w:val="28"/>
          <w:lang w:val="vi-VN" w:eastAsia="en-GB"/>
          <w14:ligatures w14:val="none"/>
        </w:rPr>
      </w:pPr>
      <w:r w:rsidRPr="006630E3">
        <w:rPr>
          <w:rFonts w:ascii="Times New Roman" w:eastAsia="Times New Roman" w:hAnsi="Times New Roman" w:cs="Times New Roman"/>
          <w:b/>
          <w:bCs/>
          <w:i/>
          <w:iCs/>
          <w:kern w:val="0"/>
          <w:sz w:val="28"/>
          <w:szCs w:val="28"/>
          <w:lang w:val="vi-VN" w:eastAsia="en-GB"/>
          <w14:ligatures w14:val="none"/>
        </w:rPr>
        <w:t>2.4. Quy định về điều lệ hoạt động và cơ chế tạm ngừng, giải thể</w:t>
      </w:r>
    </w:p>
    <w:p w14:paraId="532E4AA4"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Luật yêu cầu mỗi SGDHHPS phải xây dựng điều lệ hoạt động và các quy chế nội bộ quan trọng, được cơ quan quản lý nhà nước phê duyệt, bao gồm:</w:t>
      </w:r>
    </w:p>
    <w:p w14:paraId="31F26872" w14:textId="3A2503DE"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Nguyên tắc quản trị, quản lý rủi ro và xử lý sự cố;</w:t>
      </w:r>
    </w:p>
    <w:p w14:paraId="3B9DA259" w14:textId="0D81BF00"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lastRenderedPageBreak/>
        <w:t xml:space="preserve">- </w:t>
      </w:r>
      <w:r w:rsidRPr="006630E3">
        <w:rPr>
          <w:rFonts w:ascii="Times New Roman" w:eastAsia="Times New Roman" w:hAnsi="Times New Roman" w:cs="Times New Roman"/>
          <w:kern w:val="0"/>
          <w:sz w:val="28"/>
          <w:szCs w:val="28"/>
          <w:lang w:val="vi-VN" w:eastAsia="en-GB"/>
          <w14:ligatures w14:val="none"/>
        </w:rPr>
        <w:t>Quyền và nghĩa vụ của thành viên thị trường;</w:t>
      </w:r>
    </w:p>
    <w:p w14:paraId="296A0E5E" w14:textId="35A92995"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Pr="006630E3">
        <w:rPr>
          <w:rFonts w:ascii="Times New Roman" w:eastAsia="Times New Roman" w:hAnsi="Times New Roman" w:cs="Times New Roman"/>
          <w:kern w:val="0"/>
          <w:sz w:val="28"/>
          <w:szCs w:val="28"/>
          <w:lang w:val="vi-VN" w:eastAsia="en-GB"/>
          <w14:ligatures w14:val="none"/>
        </w:rPr>
        <w:t>Cơ chế giải quyết tranh chấp.</w:t>
      </w:r>
    </w:p>
    <w:p w14:paraId="64B60469"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Đồng thời, Luật quy định rõ các trường hợp SGDHHPS được tạm ngừng hoạt động để bảo đảm an toàn hệ thống; điều kiện giải thể hoặc chấm dứt hoạt động; trình tự xử lý tài sản, nghĩa vụ và các hợp đồng đang tồn tại. Những quy định này tạo hành lang pháp lý rõ ràng, hạn chế nguy cơ đổ vỡ lan truyền và bảo vệ quyền lợi hợp pháp của nhà đầu tư.</w:t>
      </w:r>
    </w:p>
    <w:p w14:paraId="282759D1"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b/>
          <w:bCs/>
          <w:i/>
          <w:iCs/>
          <w:kern w:val="0"/>
          <w:sz w:val="28"/>
          <w:szCs w:val="28"/>
          <w:lang w:val="vi-VN" w:eastAsia="en-GB"/>
          <w14:ligatures w14:val="none"/>
        </w:rPr>
      </w:pPr>
      <w:r w:rsidRPr="006630E3">
        <w:rPr>
          <w:rFonts w:ascii="Times New Roman" w:eastAsia="Times New Roman" w:hAnsi="Times New Roman" w:cs="Times New Roman"/>
          <w:b/>
          <w:bCs/>
          <w:i/>
          <w:iCs/>
          <w:kern w:val="0"/>
          <w:sz w:val="28"/>
          <w:szCs w:val="28"/>
          <w:lang w:val="vi-VN" w:eastAsia="en-GB"/>
          <w14:ligatures w14:val="none"/>
        </w:rPr>
        <w:t>2.5. Quy định về sàn giao dịch chuyên biệt</w:t>
      </w:r>
    </w:p>
    <w:p w14:paraId="08AD6D4A"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Bên cạnh SGDHHPS tổng hợp, Luật cho phép hình thành các sàn giao dịch chuyên biệt theo ngành hàng hoặc nhóm sản phẩm (như nông sản, năng lượng, kim loại…). Các sàn chuyên biệt có thể hoạt động độc lập hoặc liên thông với SGDHHPS trung tâm.</w:t>
      </w:r>
    </w:p>
    <w:p w14:paraId="00465281"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Cơ chế này nhằm:</w:t>
      </w:r>
    </w:p>
    <w:p w14:paraId="24D7CF32" w14:textId="6DD51463"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Đa dạng hóa sản phẩm giao dịch;</w:t>
      </w:r>
    </w:p>
    <w:p w14:paraId="06346AB7" w14:textId="680E434C"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Đáp ứng nhu cầu phòng ngừa rủi ro đặc thù của từng lĩnh vực;</w:t>
      </w:r>
    </w:p>
    <w:p w14:paraId="23EE9D2A" w14:textId="485DFB01"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Tăng tính cạnh tranh và phát triển thị trường theo chiều sâu.</w:t>
      </w:r>
    </w:p>
    <w:p w14:paraId="14100DF5"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Tuy nhiên, các sàn chuyên biệt phải tuân thủ đầy đủ tiêu chuẩn về vốn, công nghệ, quản trị và giám sát tương đương với SGDHHPS để bảo đảm an toàn chung cho thị trường.</w:t>
      </w:r>
    </w:p>
    <w:p w14:paraId="1E38C069"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b/>
          <w:bCs/>
          <w:i/>
          <w:iCs/>
          <w:kern w:val="0"/>
          <w:sz w:val="28"/>
          <w:szCs w:val="28"/>
          <w:lang w:val="vi-VN" w:eastAsia="en-GB"/>
          <w14:ligatures w14:val="none"/>
        </w:rPr>
      </w:pPr>
      <w:r w:rsidRPr="006630E3">
        <w:rPr>
          <w:rFonts w:ascii="Times New Roman" w:eastAsia="Times New Roman" w:hAnsi="Times New Roman" w:cs="Times New Roman"/>
          <w:b/>
          <w:bCs/>
          <w:i/>
          <w:iCs/>
          <w:kern w:val="0"/>
          <w:sz w:val="28"/>
          <w:szCs w:val="28"/>
          <w:lang w:val="vi-VN" w:eastAsia="en-GB"/>
          <w14:ligatures w14:val="none"/>
        </w:rPr>
        <w:t>2.6. Quy định về tổ chức thanh toán bù trừ trung tâm (CCP)</w:t>
      </w:r>
    </w:p>
    <w:p w14:paraId="023A431B" w14:textId="548ADF36"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 xml:space="preserve">Luật thiết lập khuôn khổ pháp lý cho việc thành lập và vận hành CCP </w:t>
      </w:r>
      <w:r w:rsidR="00655895">
        <w:rPr>
          <w:rFonts w:ascii="Times New Roman" w:eastAsia="Times New Roman" w:hAnsi="Times New Roman" w:cs="Times New Roman"/>
          <w:kern w:val="0"/>
          <w:sz w:val="28"/>
          <w:szCs w:val="28"/>
          <w:lang w:eastAsia="en-GB"/>
          <w14:ligatures w14:val="none"/>
        </w:rPr>
        <w:t>-</w:t>
      </w:r>
      <w:r w:rsidRPr="006630E3">
        <w:rPr>
          <w:rFonts w:ascii="Times New Roman" w:eastAsia="Times New Roman" w:hAnsi="Times New Roman" w:cs="Times New Roman"/>
          <w:kern w:val="0"/>
          <w:sz w:val="28"/>
          <w:szCs w:val="28"/>
          <w:lang w:val="vi-VN" w:eastAsia="en-GB"/>
          <w14:ligatures w14:val="none"/>
        </w:rPr>
        <w:t xml:space="preserve"> trụ cột quan trọng của hạ tầng thị trường. CCP đóng vai trò đối tác trung tâm cho mọi giao dịch, giúp:</w:t>
      </w:r>
    </w:p>
    <w:p w14:paraId="102D16D0" w14:textId="5617DF14"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Loại bỏ rủi ro đối tác giữa các bên tham gia;</w:t>
      </w:r>
    </w:p>
    <w:p w14:paraId="2CD0DF4A" w14:textId="49FC8BD0"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Giảm thiểu nguy cơ đổ vỡ dây chuyền;</w:t>
      </w:r>
    </w:p>
    <w:p w14:paraId="6412ED6D" w14:textId="44A013FC"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Bảo đảm thanh toán an toàn và thông suốt.</w:t>
      </w:r>
    </w:p>
    <w:p w14:paraId="452B5CBE"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Luật quy định cơ chế quản lý ký quỹ bắt buộc đối với mọi giao dịch, cơ chế điều chỉnh ký quỹ theo biến động thị trường và yêu cầu CCP duy trì quỹ dự phòng rủi ro để xử lý trường hợp thành viên mất khả năng thanh toán. Đây là nền tảng bảo đảm an toàn tài chính cho toàn hệ thống.</w:t>
      </w:r>
    </w:p>
    <w:p w14:paraId="1165352F"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b/>
          <w:bCs/>
          <w:i/>
          <w:iCs/>
          <w:kern w:val="0"/>
          <w:sz w:val="28"/>
          <w:szCs w:val="28"/>
          <w:lang w:val="vi-VN" w:eastAsia="en-GB"/>
          <w14:ligatures w14:val="none"/>
        </w:rPr>
      </w:pPr>
      <w:r w:rsidRPr="006630E3">
        <w:rPr>
          <w:rFonts w:ascii="Times New Roman" w:eastAsia="Times New Roman" w:hAnsi="Times New Roman" w:cs="Times New Roman"/>
          <w:b/>
          <w:bCs/>
          <w:i/>
          <w:iCs/>
          <w:kern w:val="0"/>
          <w:sz w:val="28"/>
          <w:szCs w:val="28"/>
          <w:lang w:val="vi-VN" w:eastAsia="en-GB"/>
          <w14:ligatures w14:val="none"/>
        </w:rPr>
        <w:t>2.7. Quy định về lưu ký và giao nhận hàng hóa cơ sở</w:t>
      </w:r>
    </w:p>
    <w:p w14:paraId="72B60CBC"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Đối với các hợp đồng phái sinh có khả năng giao nhận hàng hóa vật chất, Luật quy định cơ chế lưu ký và giao nhận chặt chẽ, bao gồm:</w:t>
      </w:r>
    </w:p>
    <w:p w14:paraId="4D137F22" w14:textId="39973D43"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Công nhận giá trị pháp lý của chứng từ lưu ký điện tử;</w:t>
      </w:r>
    </w:p>
    <w:p w14:paraId="0001187E" w14:textId="1E865381"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Quy định rõ quyền sở hữu hàng hóa trong thời gian lưu ký;</w:t>
      </w:r>
    </w:p>
    <w:p w14:paraId="451544C8" w14:textId="4B7C16CC"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Trách nhiệm của đơn vị lưu ký đối với chất lượng và số lượng hàng hóa;</w:t>
      </w:r>
    </w:p>
    <w:p w14:paraId="5BFC9089" w14:textId="35F78749"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Tiêu chuẩn về kho bãi, bảo quản, an toàn, kiểm định chất lượng.</w:t>
      </w:r>
    </w:p>
    <w:p w14:paraId="0341C458"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lastRenderedPageBreak/>
        <w:t>Các quy định này giúp bảo đảm tính tin cậy của hợp đồng phái sinh, đồng thời kết nối chặt chẽ thị trường phái sinh với thị trường hàng hóa vật chất.</w:t>
      </w:r>
    </w:p>
    <w:p w14:paraId="24B09507"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b/>
          <w:bCs/>
          <w:i/>
          <w:iCs/>
          <w:kern w:val="0"/>
          <w:sz w:val="28"/>
          <w:szCs w:val="28"/>
          <w:lang w:val="vi-VN" w:eastAsia="en-GB"/>
          <w14:ligatures w14:val="none"/>
        </w:rPr>
      </w:pPr>
      <w:r w:rsidRPr="006630E3">
        <w:rPr>
          <w:rFonts w:ascii="Times New Roman" w:eastAsia="Times New Roman" w:hAnsi="Times New Roman" w:cs="Times New Roman"/>
          <w:b/>
          <w:bCs/>
          <w:i/>
          <w:iCs/>
          <w:kern w:val="0"/>
          <w:sz w:val="28"/>
          <w:szCs w:val="28"/>
          <w:lang w:val="vi-VN" w:eastAsia="en-GB"/>
          <w14:ligatures w14:val="none"/>
        </w:rPr>
        <w:t>2.8. Quy định về quản lý và bảo mật dữ liệu giao dịch</w:t>
      </w:r>
    </w:p>
    <w:p w14:paraId="2551FD56"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Trong bối cảnh giao dịch điện tử là chủ đạo, Luật quy định trách nhiệm của SGDHHPS, CCP và các tổ chức liên quan trong việc:</w:t>
      </w:r>
    </w:p>
    <w:p w14:paraId="557081A1" w14:textId="269BC3E5"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Thu thập, lưu trữ và bảo mật dữ liệu giao dịch;</w:t>
      </w:r>
    </w:p>
    <w:p w14:paraId="5829D437" w14:textId="0D0332C4"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Bảo đảm dữ liệu được lưu trữ an toàn, chống truy cập trái phép;</w:t>
      </w:r>
    </w:p>
    <w:p w14:paraId="57BF3884" w14:textId="1AEF00B8"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Cung cấp kịp thời dữ liệu cho cơ quan quản lý phục vụ công tác giám sát và điều tra.</w:t>
      </w:r>
    </w:p>
    <w:p w14:paraId="5DE8076D"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Luật cũng khuyến khích ứng dụng các công nghệ hiện đại như trí tuệ nhân tạo, blockchain trong quản lý dữ liệu nhằm nâng cao tính minh bạch và hiệu quả giám sát.</w:t>
      </w:r>
    </w:p>
    <w:p w14:paraId="0FE6D45D"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b/>
          <w:bCs/>
          <w:i/>
          <w:iCs/>
          <w:kern w:val="0"/>
          <w:sz w:val="28"/>
          <w:szCs w:val="28"/>
          <w:lang w:val="vi-VN" w:eastAsia="en-GB"/>
          <w14:ligatures w14:val="none"/>
        </w:rPr>
      </w:pPr>
      <w:r w:rsidRPr="006630E3">
        <w:rPr>
          <w:rFonts w:ascii="Times New Roman" w:eastAsia="Times New Roman" w:hAnsi="Times New Roman" w:cs="Times New Roman"/>
          <w:b/>
          <w:bCs/>
          <w:i/>
          <w:iCs/>
          <w:kern w:val="0"/>
          <w:sz w:val="28"/>
          <w:szCs w:val="28"/>
          <w:lang w:val="vi-VN" w:eastAsia="en-GB"/>
          <w14:ligatures w14:val="none"/>
        </w:rPr>
        <w:t>2.9. Quy định về phát triển dịch vụ phụ trợ</w:t>
      </w:r>
    </w:p>
    <w:p w14:paraId="256DB978"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Để hoàn thiện hệ sinh thái thị trường, Luật quy định khuôn khổ pháp lý cho các dịch vụ phụ trợ, bao gồm:</w:t>
      </w:r>
    </w:p>
    <w:p w14:paraId="7D710795" w14:textId="0EFE8459"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Dịch vụ xếp hạng tín nhiệm thành viên thị trường;</w:t>
      </w:r>
    </w:p>
    <w:p w14:paraId="743CDAE8" w14:textId="761C08AB"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Cung cấp dữ liệu và phân tích thị trường;</w:t>
      </w:r>
    </w:p>
    <w:p w14:paraId="5DA6F92E" w14:textId="192D90F1"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Dịch vụ tư vấn pháp lý – tài chính;</w:t>
      </w:r>
    </w:p>
    <w:p w14:paraId="69B24023" w14:textId="3E9CFDFC" w:rsidR="006630E3" w:rsidRPr="006630E3" w:rsidRDefault="00655895" w:rsidP="00655895">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Pr>
          <w:rFonts w:ascii="Times New Roman" w:eastAsia="Times New Roman" w:hAnsi="Times New Roman" w:cs="Times New Roman"/>
          <w:kern w:val="0"/>
          <w:sz w:val="28"/>
          <w:szCs w:val="28"/>
          <w:lang w:eastAsia="en-GB"/>
          <w14:ligatures w14:val="none"/>
        </w:rPr>
        <w:t xml:space="preserve">- </w:t>
      </w:r>
      <w:r w:rsidR="006630E3" w:rsidRPr="006630E3">
        <w:rPr>
          <w:rFonts w:ascii="Times New Roman" w:eastAsia="Times New Roman" w:hAnsi="Times New Roman" w:cs="Times New Roman"/>
          <w:kern w:val="0"/>
          <w:sz w:val="28"/>
          <w:szCs w:val="28"/>
          <w:lang w:val="vi-VN" w:eastAsia="en-GB"/>
          <w14:ligatures w14:val="none"/>
        </w:rPr>
        <w:t>Đào tạo và phát triển nguồn nhân lực chuyên ngành.</w:t>
      </w:r>
    </w:p>
    <w:p w14:paraId="7653642A" w14:textId="77777777" w:rsidR="006630E3" w:rsidRPr="006630E3" w:rsidRDefault="006630E3" w:rsidP="006630E3">
      <w:pPr>
        <w:spacing w:before="120" w:after="120" w:line="240" w:lineRule="auto"/>
        <w:ind w:firstLine="720"/>
        <w:jc w:val="both"/>
        <w:rPr>
          <w:rFonts w:ascii="Times New Roman" w:eastAsia="Times New Roman" w:hAnsi="Times New Roman" w:cs="Times New Roman"/>
          <w:kern w:val="0"/>
          <w:sz w:val="28"/>
          <w:szCs w:val="28"/>
          <w:lang w:val="vi-VN" w:eastAsia="en-GB"/>
          <w14:ligatures w14:val="none"/>
        </w:rPr>
      </w:pPr>
      <w:r w:rsidRPr="006630E3">
        <w:rPr>
          <w:rFonts w:ascii="Times New Roman" w:eastAsia="Times New Roman" w:hAnsi="Times New Roman" w:cs="Times New Roman"/>
          <w:kern w:val="0"/>
          <w:sz w:val="28"/>
          <w:szCs w:val="28"/>
          <w:lang w:val="vi-VN" w:eastAsia="en-GB"/>
          <w14:ligatures w14:val="none"/>
        </w:rPr>
        <w:t>Việc phát triển các dịch vụ này góp phần nâng cao tính chuyên nghiệp, minh bạch của thị trường, hỗ trợ nhà đầu tư và doanh nghiệp tham gia thị trường hiệu quả hơn, từ đó thúc đẩy sự phát triển bền vững của thị trường giao dịch hàng hóa phái sinh.</w:t>
      </w:r>
    </w:p>
    <w:p w14:paraId="6C7634D6" w14:textId="7A079037" w:rsidR="00655895" w:rsidRPr="0009318E" w:rsidRDefault="00655895" w:rsidP="00655895">
      <w:pPr>
        <w:pStyle w:val="NormalWeb"/>
        <w:tabs>
          <w:tab w:val="left" w:pos="993"/>
        </w:tabs>
        <w:spacing w:before="120" w:beforeAutospacing="0" w:after="0" w:afterAutospacing="0" w:line="264" w:lineRule="auto"/>
        <w:ind w:firstLine="720"/>
        <w:jc w:val="both"/>
        <w:rPr>
          <w:b/>
          <w:bCs/>
          <w:sz w:val="28"/>
          <w:szCs w:val="28"/>
        </w:rPr>
      </w:pPr>
      <w:r>
        <w:rPr>
          <w:b/>
          <w:bCs/>
          <w:sz w:val="28"/>
          <w:szCs w:val="28"/>
        </w:rPr>
        <w:t xml:space="preserve">3. </w:t>
      </w:r>
      <w:r w:rsidRPr="004A574B">
        <w:rPr>
          <w:b/>
          <w:bCs/>
          <w:sz w:val="28"/>
          <w:szCs w:val="28"/>
        </w:rPr>
        <w:t xml:space="preserve">Chính sách </w:t>
      </w:r>
      <w:r>
        <w:rPr>
          <w:b/>
          <w:bCs/>
          <w:sz w:val="28"/>
          <w:szCs w:val="28"/>
        </w:rPr>
        <w:t>3</w:t>
      </w:r>
      <w:r w:rsidRPr="004A574B">
        <w:rPr>
          <w:b/>
          <w:bCs/>
          <w:sz w:val="28"/>
          <w:szCs w:val="28"/>
        </w:rPr>
        <w:t>: Quy định về</w:t>
      </w:r>
      <w:r>
        <w:rPr>
          <w:b/>
          <w:bCs/>
          <w:sz w:val="28"/>
          <w:szCs w:val="28"/>
        </w:rPr>
        <w:t xml:space="preserve"> p</w:t>
      </w:r>
      <w:r w:rsidRPr="0009318E">
        <w:rPr>
          <w:b/>
          <w:bCs/>
          <w:sz w:val="28"/>
          <w:szCs w:val="28"/>
        </w:rPr>
        <w:t>hát triển sản phẩm, giao dịch và chuẩn hóa quy tắc thị trường</w:t>
      </w:r>
    </w:p>
    <w:p w14:paraId="524A37D5" w14:textId="4EDD8836" w:rsidR="00655895" w:rsidRPr="001709B6" w:rsidRDefault="00655895" w:rsidP="00655895">
      <w:pPr>
        <w:spacing w:before="120" w:after="120" w:line="240" w:lineRule="auto"/>
        <w:ind w:firstLine="720"/>
        <w:jc w:val="both"/>
        <w:rPr>
          <w:rStyle w:val="Strong"/>
          <w:rFonts w:ascii="Times New Roman" w:eastAsiaTheme="majorEastAsia" w:hAnsi="Times New Roman" w:cs="Times New Roman"/>
          <w:i/>
          <w:iCs/>
          <w:sz w:val="28"/>
          <w:szCs w:val="28"/>
        </w:rPr>
      </w:pPr>
      <w:r>
        <w:rPr>
          <w:rStyle w:val="Strong"/>
          <w:rFonts w:ascii="Times New Roman" w:eastAsiaTheme="majorEastAsia" w:hAnsi="Times New Roman" w:cs="Times New Roman"/>
          <w:i/>
          <w:iCs/>
          <w:sz w:val="28"/>
          <w:szCs w:val="28"/>
        </w:rPr>
        <w:t>3.</w:t>
      </w:r>
      <w:r w:rsidRPr="001709B6">
        <w:rPr>
          <w:rStyle w:val="Strong"/>
          <w:rFonts w:ascii="Times New Roman" w:eastAsiaTheme="majorEastAsia" w:hAnsi="Times New Roman" w:cs="Times New Roman"/>
          <w:i/>
          <w:iCs/>
          <w:sz w:val="28"/>
          <w:szCs w:val="28"/>
        </w:rPr>
        <w:t>1. Quy định danh mục hàng hóa cơ sở và loại hợp đồng phái sinh</w:t>
      </w:r>
    </w:p>
    <w:p w14:paraId="044CC278" w14:textId="77777777" w:rsidR="00655895" w:rsidRDefault="00655895" w:rsidP="00655895">
      <w:pPr>
        <w:spacing w:before="120" w:after="120" w:line="240" w:lineRule="auto"/>
        <w:ind w:firstLine="720"/>
        <w:jc w:val="both"/>
        <w:rPr>
          <w:rStyle w:val="Strong"/>
          <w:rFonts w:ascii="Times New Roman" w:eastAsiaTheme="majorEastAsia" w:hAnsi="Times New Roman" w:cs="Times New Roman"/>
          <w:b w:val="0"/>
          <w:bCs w:val="0"/>
          <w:sz w:val="28"/>
          <w:szCs w:val="28"/>
        </w:rPr>
      </w:pPr>
      <w:r>
        <w:rPr>
          <w:rStyle w:val="Strong"/>
          <w:rFonts w:ascii="Times New Roman" w:eastAsiaTheme="majorEastAsia" w:hAnsi="Times New Roman" w:cs="Times New Roman"/>
          <w:b w:val="0"/>
          <w:bCs w:val="0"/>
          <w:sz w:val="28"/>
          <w:szCs w:val="28"/>
        </w:rPr>
        <w:t>Dự thảo Luật quy định</w:t>
      </w:r>
      <w:r w:rsidRPr="00044E8E">
        <w:rPr>
          <w:rStyle w:val="Strong"/>
          <w:rFonts w:ascii="Times New Roman" w:eastAsiaTheme="majorEastAsia" w:hAnsi="Times New Roman" w:cs="Times New Roman"/>
          <w:b w:val="0"/>
          <w:bCs w:val="0"/>
          <w:sz w:val="28"/>
          <w:szCs w:val="28"/>
        </w:rPr>
        <w:t xml:space="preserve"> danh mục hàng hóa cơ sở được phép sử dụng để hình thành hợp đồng phái sinh, tập trung vào những mặt hàng chủ lực, có thanh khoản cao và đóng vai trò quan trọng trong sản xuất, tiêu dùng, xuất nhập khẩu của Việt Nam, như nông sản, năng lượng, kim loại, nguyên liệu công nghiệp. </w:t>
      </w:r>
    </w:p>
    <w:p w14:paraId="0FCD3224" w14:textId="77777777" w:rsidR="00655895" w:rsidRPr="00044E8E" w:rsidRDefault="00655895" w:rsidP="00655895">
      <w:pPr>
        <w:spacing w:before="120" w:after="120" w:line="240" w:lineRule="auto"/>
        <w:ind w:firstLine="720"/>
        <w:jc w:val="both"/>
        <w:rPr>
          <w:rStyle w:val="Strong"/>
          <w:rFonts w:ascii="Times New Roman" w:eastAsiaTheme="majorEastAsia" w:hAnsi="Times New Roman" w:cs="Times New Roman"/>
          <w:b w:val="0"/>
          <w:bCs w:val="0"/>
          <w:sz w:val="28"/>
          <w:szCs w:val="28"/>
        </w:rPr>
      </w:pPr>
      <w:r w:rsidRPr="00044E8E">
        <w:rPr>
          <w:rStyle w:val="Strong"/>
          <w:rFonts w:ascii="Times New Roman" w:eastAsiaTheme="majorEastAsia" w:hAnsi="Times New Roman" w:cs="Times New Roman"/>
          <w:b w:val="0"/>
          <w:bCs w:val="0"/>
          <w:sz w:val="28"/>
          <w:szCs w:val="28"/>
        </w:rPr>
        <w:t xml:space="preserve">Về loại hợp đồng, </w:t>
      </w:r>
      <w:r>
        <w:rPr>
          <w:rStyle w:val="Strong"/>
          <w:rFonts w:ascii="Times New Roman" w:eastAsiaTheme="majorEastAsia" w:hAnsi="Times New Roman" w:cs="Times New Roman"/>
          <w:b w:val="0"/>
          <w:bCs w:val="0"/>
          <w:sz w:val="28"/>
          <w:szCs w:val="28"/>
        </w:rPr>
        <w:t>dự thảo Luật quy định</w:t>
      </w:r>
      <w:r w:rsidRPr="00044E8E">
        <w:rPr>
          <w:rStyle w:val="Strong"/>
          <w:rFonts w:ascii="Times New Roman" w:eastAsiaTheme="majorEastAsia" w:hAnsi="Times New Roman" w:cs="Times New Roman"/>
          <w:b w:val="0"/>
          <w:bCs w:val="0"/>
          <w:sz w:val="28"/>
          <w:szCs w:val="28"/>
        </w:rPr>
        <w:t xml:space="preserve"> các sản phẩm phái sinh cơ bản theo thông lệ quốc tế, bao gồm hợp đồng tương lai (futures), quyền chọn (options) và hoán đổi (swaps)</w:t>
      </w:r>
      <w:r>
        <w:rPr>
          <w:rStyle w:val="Strong"/>
          <w:rFonts w:ascii="Times New Roman" w:eastAsiaTheme="majorEastAsia" w:hAnsi="Times New Roman" w:cs="Times New Roman"/>
          <w:b w:val="0"/>
          <w:bCs w:val="0"/>
          <w:sz w:val="28"/>
          <w:szCs w:val="28"/>
        </w:rPr>
        <w:t xml:space="preserve">. </w:t>
      </w:r>
      <w:r w:rsidRPr="00044E8E">
        <w:rPr>
          <w:rStyle w:val="Strong"/>
          <w:rFonts w:ascii="Times New Roman" w:eastAsiaTheme="majorEastAsia" w:hAnsi="Times New Roman" w:cs="Times New Roman"/>
          <w:b w:val="0"/>
          <w:bCs w:val="0"/>
          <w:sz w:val="28"/>
          <w:szCs w:val="28"/>
        </w:rPr>
        <w:t>Chính phủ quy định bổ sung sản phẩm mới khi thị trường phát triển. Việc quy phạm hóa các loại hợp đồng sẽ giúp tạo nền tảng pháp lý đồng bộ, tăng tính hấp dẫn của thị trường và thu hút sự tham gia của cả nhà đầu tư trong nước lẫn quốc tế.</w:t>
      </w:r>
    </w:p>
    <w:p w14:paraId="4E093990" w14:textId="00F9D69C" w:rsidR="00655895" w:rsidRPr="001709B6" w:rsidRDefault="00655895" w:rsidP="00655895">
      <w:pPr>
        <w:spacing w:before="120" w:after="120" w:line="240" w:lineRule="auto"/>
        <w:ind w:firstLine="720"/>
        <w:jc w:val="both"/>
        <w:rPr>
          <w:rStyle w:val="Strong"/>
          <w:rFonts w:ascii="Times New Roman" w:eastAsiaTheme="majorEastAsia" w:hAnsi="Times New Roman" w:cs="Times New Roman"/>
          <w:i/>
          <w:iCs/>
          <w:sz w:val="28"/>
          <w:szCs w:val="28"/>
        </w:rPr>
      </w:pPr>
      <w:r>
        <w:rPr>
          <w:rStyle w:val="Strong"/>
          <w:rFonts w:ascii="Times New Roman" w:eastAsiaTheme="majorEastAsia" w:hAnsi="Times New Roman" w:cs="Times New Roman"/>
          <w:i/>
          <w:iCs/>
          <w:sz w:val="28"/>
          <w:szCs w:val="28"/>
        </w:rPr>
        <w:t>3</w:t>
      </w:r>
      <w:r w:rsidRPr="001709B6">
        <w:rPr>
          <w:rStyle w:val="Strong"/>
          <w:rFonts w:ascii="Times New Roman" w:eastAsiaTheme="majorEastAsia" w:hAnsi="Times New Roman" w:cs="Times New Roman"/>
          <w:i/>
          <w:iCs/>
          <w:sz w:val="28"/>
          <w:szCs w:val="28"/>
        </w:rPr>
        <w:t>.2. Quy định điều kiện niêm yết và hủy niêm yết hợp đồng phái sinh</w:t>
      </w:r>
    </w:p>
    <w:p w14:paraId="52F222C7" w14:textId="77777777" w:rsidR="00655895" w:rsidRDefault="00655895" w:rsidP="00655895">
      <w:pPr>
        <w:spacing w:before="120" w:after="120" w:line="240" w:lineRule="auto"/>
        <w:ind w:firstLine="720"/>
        <w:jc w:val="both"/>
        <w:rPr>
          <w:rStyle w:val="Strong"/>
          <w:rFonts w:ascii="Times New Roman" w:eastAsiaTheme="majorEastAsia" w:hAnsi="Times New Roman" w:cs="Times New Roman"/>
          <w:b w:val="0"/>
          <w:bCs w:val="0"/>
          <w:sz w:val="28"/>
          <w:szCs w:val="28"/>
        </w:rPr>
      </w:pPr>
      <w:r>
        <w:rPr>
          <w:rStyle w:val="Strong"/>
          <w:rFonts w:ascii="Times New Roman" w:eastAsiaTheme="majorEastAsia" w:hAnsi="Times New Roman" w:cs="Times New Roman"/>
          <w:b w:val="0"/>
          <w:bCs w:val="0"/>
          <w:sz w:val="28"/>
          <w:szCs w:val="28"/>
        </w:rPr>
        <w:lastRenderedPageBreak/>
        <w:t>Dự thảo Luật</w:t>
      </w:r>
      <w:r w:rsidRPr="00044E8E">
        <w:rPr>
          <w:rStyle w:val="Strong"/>
          <w:rFonts w:ascii="Times New Roman" w:eastAsiaTheme="majorEastAsia" w:hAnsi="Times New Roman" w:cs="Times New Roman"/>
          <w:b w:val="0"/>
          <w:bCs w:val="0"/>
          <w:sz w:val="28"/>
          <w:szCs w:val="28"/>
        </w:rPr>
        <w:t xml:space="preserve"> quy định rõ các điều kiện niêm yết hợp đồng phái sinh, bao gồm tính minh bạch về thông tin, tính chuẩn hóa của hợp đồng, tính thanh khoản và khả năng quản trị rủi ro. Hợp đồng chỉ được phép niêm yết trên S</w:t>
      </w:r>
      <w:r>
        <w:rPr>
          <w:rStyle w:val="Strong"/>
          <w:rFonts w:ascii="Times New Roman" w:eastAsiaTheme="majorEastAsia" w:hAnsi="Times New Roman" w:cs="Times New Roman"/>
          <w:b w:val="0"/>
          <w:bCs w:val="0"/>
          <w:sz w:val="28"/>
          <w:szCs w:val="28"/>
        </w:rPr>
        <w:t xml:space="preserve">ở </w:t>
      </w:r>
      <w:r w:rsidRPr="00044E8E">
        <w:rPr>
          <w:rStyle w:val="Strong"/>
          <w:rFonts w:ascii="Times New Roman" w:eastAsiaTheme="majorEastAsia" w:hAnsi="Times New Roman" w:cs="Times New Roman"/>
          <w:b w:val="0"/>
          <w:bCs w:val="0"/>
          <w:sz w:val="28"/>
          <w:szCs w:val="28"/>
        </w:rPr>
        <w:t>GDHHPS khi đáp ứng đầy đủ yêu cầu về tài sản cơ sở, cơ chế ký quỹ và thanh toán bù trừ.</w:t>
      </w:r>
    </w:p>
    <w:p w14:paraId="2E2D017D" w14:textId="77777777" w:rsidR="00655895" w:rsidRPr="008D583C" w:rsidRDefault="00655895" w:rsidP="00655895">
      <w:pPr>
        <w:spacing w:before="120" w:after="120" w:line="240" w:lineRule="auto"/>
        <w:ind w:firstLine="720"/>
        <w:jc w:val="both"/>
        <w:rPr>
          <w:rStyle w:val="Strong"/>
          <w:rFonts w:ascii="Times New Roman" w:eastAsiaTheme="majorEastAsia" w:hAnsi="Times New Roman" w:cs="Times New Roman"/>
          <w:b w:val="0"/>
          <w:bCs w:val="0"/>
          <w:sz w:val="28"/>
          <w:szCs w:val="28"/>
        </w:rPr>
      </w:pPr>
      <w:r w:rsidRPr="00044E8E">
        <w:rPr>
          <w:rStyle w:val="Strong"/>
          <w:rFonts w:ascii="Times New Roman" w:eastAsiaTheme="majorEastAsia" w:hAnsi="Times New Roman" w:cs="Times New Roman"/>
          <w:b w:val="0"/>
          <w:bCs w:val="0"/>
          <w:sz w:val="28"/>
          <w:szCs w:val="28"/>
        </w:rPr>
        <w:t xml:space="preserve">Bên cạnh đó, </w:t>
      </w:r>
      <w:r>
        <w:rPr>
          <w:rStyle w:val="Strong"/>
          <w:rFonts w:ascii="Times New Roman" w:eastAsiaTheme="majorEastAsia" w:hAnsi="Times New Roman" w:cs="Times New Roman"/>
          <w:b w:val="0"/>
          <w:bCs w:val="0"/>
          <w:sz w:val="28"/>
          <w:szCs w:val="28"/>
        </w:rPr>
        <w:t xml:space="preserve">dự thảo </w:t>
      </w:r>
      <w:r w:rsidRPr="00044E8E">
        <w:rPr>
          <w:rStyle w:val="Strong"/>
          <w:rFonts w:ascii="Times New Roman" w:eastAsiaTheme="majorEastAsia" w:hAnsi="Times New Roman" w:cs="Times New Roman"/>
          <w:b w:val="0"/>
          <w:bCs w:val="0"/>
          <w:sz w:val="28"/>
          <w:szCs w:val="28"/>
        </w:rPr>
        <w:t xml:space="preserve">Luật cũng </w:t>
      </w:r>
      <w:r>
        <w:rPr>
          <w:rStyle w:val="Strong"/>
          <w:rFonts w:ascii="Times New Roman" w:eastAsiaTheme="majorEastAsia" w:hAnsi="Times New Roman" w:cs="Times New Roman"/>
          <w:b w:val="0"/>
          <w:bCs w:val="0"/>
          <w:sz w:val="28"/>
          <w:szCs w:val="28"/>
        </w:rPr>
        <w:t>quy định về</w:t>
      </w:r>
      <w:r w:rsidRPr="00044E8E">
        <w:rPr>
          <w:rStyle w:val="Strong"/>
          <w:rFonts w:ascii="Times New Roman" w:eastAsiaTheme="majorEastAsia" w:hAnsi="Times New Roman" w:cs="Times New Roman"/>
          <w:b w:val="0"/>
          <w:bCs w:val="0"/>
          <w:sz w:val="28"/>
          <w:szCs w:val="28"/>
        </w:rPr>
        <w:t xml:space="preserve"> cơ chế hủy niêm yết trong trường hợp sản phẩm không còn đáp ứng yêu cầu về thanh khoản, phát sinh rủi ro bất thường hoặc vi phạm các chuẩn mực pháp lý. Việc quy định khung điều kiện niêm yết và hủy niêm yết tại Luật, còn chi tiết về tiêu chí kỹ thuật giao Chính phủ hoặc Ủy ban Giao dịch hàng hóa phái </w:t>
      </w:r>
      <w:r w:rsidRPr="008D583C">
        <w:rPr>
          <w:rStyle w:val="Strong"/>
          <w:rFonts w:ascii="Times New Roman" w:eastAsiaTheme="majorEastAsia" w:hAnsi="Times New Roman" w:cs="Times New Roman"/>
          <w:b w:val="0"/>
          <w:bCs w:val="0"/>
          <w:sz w:val="28"/>
          <w:szCs w:val="28"/>
        </w:rPr>
        <w:t>sinh hướng dẫn, sẽ bảo đảm sự minh bạch và linh hoạt trong quản lý</w:t>
      </w:r>
    </w:p>
    <w:p w14:paraId="0F9EE00B" w14:textId="30DFE96A" w:rsidR="00655895" w:rsidRPr="008D583C" w:rsidRDefault="00655895" w:rsidP="00655895">
      <w:pPr>
        <w:spacing w:before="120" w:after="120" w:line="240" w:lineRule="auto"/>
        <w:ind w:firstLine="720"/>
        <w:jc w:val="both"/>
        <w:rPr>
          <w:rStyle w:val="Strong"/>
          <w:rFonts w:ascii="Times New Roman" w:eastAsiaTheme="majorEastAsia" w:hAnsi="Times New Roman" w:cs="Times New Roman"/>
          <w:i/>
          <w:iCs/>
          <w:sz w:val="28"/>
          <w:szCs w:val="28"/>
        </w:rPr>
      </w:pPr>
      <w:r>
        <w:rPr>
          <w:rStyle w:val="Strong"/>
          <w:rFonts w:ascii="Times New Roman" w:eastAsiaTheme="majorEastAsia" w:hAnsi="Times New Roman" w:cs="Times New Roman"/>
          <w:i/>
          <w:iCs/>
          <w:sz w:val="28"/>
          <w:szCs w:val="28"/>
        </w:rPr>
        <w:t>3</w:t>
      </w:r>
      <w:r w:rsidRPr="008D583C">
        <w:rPr>
          <w:rStyle w:val="Strong"/>
          <w:rFonts w:ascii="Times New Roman" w:eastAsiaTheme="majorEastAsia" w:hAnsi="Times New Roman" w:cs="Times New Roman"/>
          <w:i/>
          <w:iCs/>
          <w:sz w:val="28"/>
          <w:szCs w:val="28"/>
        </w:rPr>
        <w:t>.3. Quy định nguyên tắc giao dịch, khớp lệnh, giới hạn vị thế và cơ chế bình ổn</w:t>
      </w:r>
    </w:p>
    <w:p w14:paraId="5D05D259" w14:textId="77777777" w:rsidR="00655895" w:rsidRDefault="00655895" w:rsidP="00655895">
      <w:pPr>
        <w:spacing w:before="120" w:after="120" w:line="240" w:lineRule="auto"/>
        <w:ind w:firstLine="720"/>
        <w:jc w:val="both"/>
        <w:rPr>
          <w:rStyle w:val="Strong"/>
          <w:rFonts w:ascii="Times New Roman" w:eastAsiaTheme="majorEastAsia" w:hAnsi="Times New Roman" w:cs="Times New Roman"/>
          <w:b w:val="0"/>
          <w:bCs w:val="0"/>
          <w:sz w:val="28"/>
          <w:szCs w:val="28"/>
        </w:rPr>
      </w:pPr>
      <w:r w:rsidRPr="008D583C">
        <w:rPr>
          <w:rStyle w:val="Strong"/>
          <w:rFonts w:ascii="Times New Roman" w:eastAsiaTheme="majorEastAsia" w:hAnsi="Times New Roman" w:cs="Times New Roman"/>
          <w:b w:val="0"/>
          <w:bCs w:val="0"/>
          <w:sz w:val="28"/>
          <w:szCs w:val="28"/>
        </w:rPr>
        <w:t xml:space="preserve">Để bảo đảm thị trường vận hành minh bạch và hạn chế rủi ro thao túng, </w:t>
      </w:r>
      <w:r>
        <w:rPr>
          <w:rStyle w:val="Strong"/>
          <w:rFonts w:ascii="Times New Roman" w:eastAsiaTheme="majorEastAsia" w:hAnsi="Times New Roman" w:cs="Times New Roman"/>
          <w:b w:val="0"/>
          <w:bCs w:val="0"/>
          <w:sz w:val="28"/>
          <w:szCs w:val="28"/>
        </w:rPr>
        <w:t>dự thảo Luật quy định các</w:t>
      </w:r>
      <w:r w:rsidRPr="008D583C">
        <w:rPr>
          <w:rStyle w:val="Strong"/>
          <w:rFonts w:ascii="Times New Roman" w:eastAsiaTheme="majorEastAsia" w:hAnsi="Times New Roman" w:cs="Times New Roman"/>
          <w:b w:val="0"/>
          <w:bCs w:val="0"/>
          <w:sz w:val="28"/>
          <w:szCs w:val="28"/>
        </w:rPr>
        <w:t xml:space="preserve"> nguyên tắc cơ bản về giao dịch và khớp lệnh, bảo đảm công bằng giữa các bên tham gia. Quy định về giới hạn vị thế sẽ được thiết lập để ngăn ngừa việc tập trung quyền kiểm soát quá mức vào một số nhà đầu tư hoặc tổ chức, hạn chế nguy cơ thao túng giá. Ngoài ra, cơ chế bình ổn thị trường, như biên độ dao động giá, ngưỡng ngắt mạch giao dịch (circuit breaker) hoặc tạm ngừng giao dịch trong tình huống biến động bất thường, cũng cần được quy định để bảo đảm an toàn hệ thống.</w:t>
      </w:r>
    </w:p>
    <w:p w14:paraId="43637DB1" w14:textId="77777777" w:rsidR="00655895" w:rsidRPr="008D583C" w:rsidRDefault="00655895" w:rsidP="00655895">
      <w:pPr>
        <w:spacing w:before="120" w:after="120" w:line="240" w:lineRule="auto"/>
        <w:ind w:firstLine="720"/>
        <w:jc w:val="both"/>
        <w:rPr>
          <w:rStyle w:val="Strong"/>
          <w:rFonts w:ascii="Times New Roman" w:eastAsiaTheme="majorEastAsia" w:hAnsi="Times New Roman" w:cs="Times New Roman"/>
          <w:b w:val="0"/>
          <w:bCs w:val="0"/>
          <w:sz w:val="28"/>
          <w:szCs w:val="28"/>
        </w:rPr>
      </w:pPr>
      <w:r w:rsidRPr="008D583C">
        <w:rPr>
          <w:rStyle w:val="Strong"/>
          <w:rFonts w:ascii="Times New Roman" w:eastAsiaTheme="majorEastAsia" w:hAnsi="Times New Roman" w:cs="Times New Roman"/>
          <w:b w:val="0"/>
          <w:bCs w:val="0"/>
          <w:sz w:val="28"/>
          <w:szCs w:val="28"/>
        </w:rPr>
        <w:t>Các nguyên tắc này sẽ được quy phạm hóa ở cấp Luật, còn phương thức kỹ thuật chi tiết do S</w:t>
      </w:r>
      <w:r>
        <w:rPr>
          <w:rStyle w:val="Strong"/>
          <w:rFonts w:ascii="Times New Roman" w:eastAsiaTheme="majorEastAsia" w:hAnsi="Times New Roman" w:cs="Times New Roman"/>
          <w:b w:val="0"/>
          <w:bCs w:val="0"/>
          <w:sz w:val="28"/>
          <w:szCs w:val="28"/>
        </w:rPr>
        <w:t xml:space="preserve">ở </w:t>
      </w:r>
      <w:r w:rsidRPr="008D583C">
        <w:rPr>
          <w:rStyle w:val="Strong"/>
          <w:rFonts w:ascii="Times New Roman" w:eastAsiaTheme="majorEastAsia" w:hAnsi="Times New Roman" w:cs="Times New Roman"/>
          <w:b w:val="0"/>
          <w:bCs w:val="0"/>
          <w:sz w:val="28"/>
          <w:szCs w:val="28"/>
        </w:rPr>
        <w:t>GDHHPS ban hành trong Quy chế giao dịch dưới sự giám sát của cơ quan quản lý chuyên ngành.</w:t>
      </w:r>
    </w:p>
    <w:p w14:paraId="5AD9D594" w14:textId="3B5896B2" w:rsidR="00655895" w:rsidRPr="008D583C" w:rsidRDefault="00655895" w:rsidP="00655895">
      <w:pPr>
        <w:spacing w:before="120" w:after="120" w:line="240" w:lineRule="auto"/>
        <w:ind w:firstLine="720"/>
        <w:jc w:val="both"/>
        <w:rPr>
          <w:rStyle w:val="Strong"/>
          <w:rFonts w:ascii="Times New Roman" w:eastAsiaTheme="majorEastAsia" w:hAnsi="Times New Roman" w:cs="Times New Roman"/>
          <w:i/>
          <w:iCs/>
          <w:sz w:val="28"/>
          <w:szCs w:val="28"/>
        </w:rPr>
      </w:pPr>
      <w:r>
        <w:rPr>
          <w:rStyle w:val="Strong"/>
          <w:rFonts w:ascii="Times New Roman" w:eastAsiaTheme="majorEastAsia" w:hAnsi="Times New Roman" w:cs="Times New Roman"/>
          <w:i/>
          <w:iCs/>
          <w:sz w:val="28"/>
          <w:szCs w:val="28"/>
        </w:rPr>
        <w:t>3</w:t>
      </w:r>
      <w:r w:rsidRPr="008D583C">
        <w:rPr>
          <w:rStyle w:val="Strong"/>
          <w:rFonts w:ascii="Times New Roman" w:eastAsiaTheme="majorEastAsia" w:hAnsi="Times New Roman" w:cs="Times New Roman"/>
          <w:i/>
          <w:iCs/>
          <w:sz w:val="28"/>
          <w:szCs w:val="28"/>
        </w:rPr>
        <w:t>.4. Quy định cơ chế phòng ngừa rủi ro, bảo vệ nhà đầu tư và bảo đảm an toàn hệ thống</w:t>
      </w:r>
    </w:p>
    <w:p w14:paraId="71E36647" w14:textId="77777777" w:rsidR="00655895" w:rsidRDefault="00655895" w:rsidP="00655895">
      <w:pPr>
        <w:spacing w:before="120" w:after="120" w:line="240" w:lineRule="auto"/>
        <w:ind w:firstLine="720"/>
        <w:jc w:val="both"/>
        <w:rPr>
          <w:rStyle w:val="Strong"/>
          <w:rFonts w:ascii="Times New Roman" w:eastAsiaTheme="majorEastAsia" w:hAnsi="Times New Roman" w:cs="Times New Roman"/>
          <w:b w:val="0"/>
          <w:bCs w:val="0"/>
          <w:sz w:val="28"/>
          <w:szCs w:val="28"/>
        </w:rPr>
      </w:pPr>
      <w:r w:rsidRPr="008D583C">
        <w:rPr>
          <w:rStyle w:val="Strong"/>
          <w:rFonts w:ascii="Times New Roman" w:eastAsiaTheme="majorEastAsia" w:hAnsi="Times New Roman" w:cs="Times New Roman"/>
          <w:b w:val="0"/>
          <w:bCs w:val="0"/>
          <w:sz w:val="28"/>
          <w:szCs w:val="28"/>
        </w:rPr>
        <w:t xml:space="preserve">Hoạt động giao dịch hàng hóa phái sinh tiềm ẩn rủi ro cao, do đó Luật cần thiết lập các cơ chế phòng ngừa và kiểm soát rủi ro để bảo đảm sự ổn định của hệ thống và quyền lợi của nhà đầu tư. Trước hết, cơ chế ký quỹ và thanh toán bù trừ </w:t>
      </w:r>
      <w:r>
        <w:rPr>
          <w:rStyle w:val="Strong"/>
          <w:rFonts w:ascii="Times New Roman" w:eastAsiaTheme="majorEastAsia" w:hAnsi="Times New Roman" w:cs="Times New Roman"/>
          <w:b w:val="0"/>
          <w:bCs w:val="0"/>
          <w:sz w:val="28"/>
          <w:szCs w:val="28"/>
        </w:rPr>
        <w:t xml:space="preserve">nhằm </w:t>
      </w:r>
      <w:r w:rsidRPr="008D583C">
        <w:rPr>
          <w:rStyle w:val="Strong"/>
          <w:rFonts w:ascii="Times New Roman" w:eastAsiaTheme="majorEastAsia" w:hAnsi="Times New Roman" w:cs="Times New Roman"/>
          <w:b w:val="0"/>
          <w:bCs w:val="0"/>
          <w:sz w:val="28"/>
          <w:szCs w:val="28"/>
        </w:rPr>
        <w:t xml:space="preserve">bảo đảm mọi giao dịch đều có tài sản đảm bảo và không gây rủi ro dây chuyền khi một bên mất khả năng thanh toán. Bên cạnh đó, </w:t>
      </w:r>
      <w:r>
        <w:rPr>
          <w:rStyle w:val="Strong"/>
          <w:rFonts w:ascii="Times New Roman" w:eastAsiaTheme="majorEastAsia" w:hAnsi="Times New Roman" w:cs="Times New Roman"/>
          <w:b w:val="0"/>
          <w:bCs w:val="0"/>
          <w:sz w:val="28"/>
          <w:szCs w:val="28"/>
        </w:rPr>
        <w:t>dự thảo Luật</w:t>
      </w:r>
      <w:r w:rsidRPr="008D583C">
        <w:rPr>
          <w:rStyle w:val="Strong"/>
          <w:rFonts w:ascii="Times New Roman" w:eastAsiaTheme="majorEastAsia" w:hAnsi="Times New Roman" w:cs="Times New Roman"/>
          <w:b w:val="0"/>
          <w:bCs w:val="0"/>
          <w:sz w:val="28"/>
          <w:szCs w:val="28"/>
        </w:rPr>
        <w:t xml:space="preserve"> quy định nghĩa vụ tách bạch tài sản của khách hàng và thành viên, cũng như cơ chế xử lý khi thành viên vi phạm, để bảo đảm an toàn cho tiền và tài sản ký quỹ. Nhà đầu tư, đặc biệt là nhà đầu tư không chuyên nghiệp, cần được bảo vệ thông qua các yêu cầu công bố thông tin đầy đủ, nghĩa vụ tư vấn rủi ro của môi giới, và cơ chế giải quyết tranh chấp minh bạch, nhanh chóng. Ngoài ra, để phòng ngừa rủi ro hệ thống, S</w:t>
      </w:r>
      <w:r>
        <w:rPr>
          <w:rStyle w:val="Strong"/>
          <w:rFonts w:ascii="Times New Roman" w:eastAsiaTheme="majorEastAsia" w:hAnsi="Times New Roman" w:cs="Times New Roman"/>
          <w:b w:val="0"/>
          <w:bCs w:val="0"/>
          <w:sz w:val="28"/>
          <w:szCs w:val="28"/>
        </w:rPr>
        <w:t xml:space="preserve">ở </w:t>
      </w:r>
      <w:r w:rsidRPr="008D583C">
        <w:rPr>
          <w:rStyle w:val="Strong"/>
          <w:rFonts w:ascii="Times New Roman" w:eastAsiaTheme="majorEastAsia" w:hAnsi="Times New Roman" w:cs="Times New Roman"/>
          <w:b w:val="0"/>
          <w:bCs w:val="0"/>
          <w:sz w:val="28"/>
          <w:szCs w:val="28"/>
        </w:rPr>
        <w:t>GDHHPS và CCP phải duy trì các quỹ dự phòng, hệ thống cảnh báo sớm và kịch bản ứng phó khẩn cấp. Quy định này vừa bảo đảm sự phát triển bền vững của thị trường, vừa củng cố niềm tin của nhà đầu tư và nâng cao uy tín của thị trường Việt Nam trong tiến trình hội nhập quốc tế.</w:t>
      </w:r>
    </w:p>
    <w:p w14:paraId="3AC1845E" w14:textId="011B38DD" w:rsidR="00655895" w:rsidRDefault="00655895" w:rsidP="00655895">
      <w:pPr>
        <w:pStyle w:val="NormalWeb"/>
        <w:tabs>
          <w:tab w:val="left" w:pos="993"/>
        </w:tabs>
        <w:spacing w:before="120" w:beforeAutospacing="0" w:after="0" w:afterAutospacing="0" w:line="264" w:lineRule="auto"/>
        <w:ind w:firstLine="720"/>
        <w:jc w:val="both"/>
        <w:rPr>
          <w:b/>
          <w:bCs/>
          <w:sz w:val="28"/>
          <w:szCs w:val="28"/>
        </w:rPr>
      </w:pPr>
      <w:r>
        <w:rPr>
          <w:b/>
          <w:bCs/>
          <w:sz w:val="28"/>
          <w:szCs w:val="28"/>
        </w:rPr>
        <w:t xml:space="preserve">4. </w:t>
      </w:r>
      <w:r w:rsidRPr="004A574B">
        <w:rPr>
          <w:b/>
          <w:bCs/>
          <w:sz w:val="28"/>
          <w:szCs w:val="28"/>
        </w:rPr>
        <w:t xml:space="preserve">Chính sách </w:t>
      </w:r>
      <w:r>
        <w:rPr>
          <w:b/>
          <w:bCs/>
          <w:sz w:val="28"/>
          <w:szCs w:val="28"/>
        </w:rPr>
        <w:t>4</w:t>
      </w:r>
      <w:r w:rsidRPr="004A574B">
        <w:rPr>
          <w:b/>
          <w:bCs/>
          <w:sz w:val="28"/>
          <w:szCs w:val="28"/>
        </w:rPr>
        <w:t>:</w:t>
      </w:r>
      <w:r>
        <w:rPr>
          <w:b/>
          <w:bCs/>
          <w:sz w:val="28"/>
          <w:szCs w:val="28"/>
        </w:rPr>
        <w:t xml:space="preserve"> Quy định về q</w:t>
      </w:r>
      <w:r w:rsidRPr="00B13F8A">
        <w:rPr>
          <w:b/>
          <w:bCs/>
          <w:sz w:val="28"/>
          <w:szCs w:val="28"/>
        </w:rPr>
        <w:t>uản lý rủi ro hệ thống, giám sát thị trường và bảo vệ nhà đầu tư</w:t>
      </w:r>
    </w:p>
    <w:p w14:paraId="75AF63A4" w14:textId="01080DC3" w:rsidR="00655895" w:rsidRPr="00655895" w:rsidRDefault="00655895" w:rsidP="00655895">
      <w:pPr>
        <w:pStyle w:val="NormalWeb"/>
        <w:tabs>
          <w:tab w:val="left" w:pos="993"/>
        </w:tabs>
        <w:spacing w:before="120" w:beforeAutospacing="0" w:after="0" w:afterAutospacing="0" w:line="264" w:lineRule="auto"/>
        <w:ind w:firstLine="720"/>
        <w:jc w:val="both"/>
        <w:rPr>
          <w:b/>
          <w:bCs/>
          <w:i/>
          <w:iCs/>
          <w:sz w:val="28"/>
          <w:szCs w:val="28"/>
          <w:lang w:val="vi-VN"/>
        </w:rPr>
      </w:pPr>
      <w:r>
        <w:rPr>
          <w:b/>
          <w:bCs/>
          <w:i/>
          <w:iCs/>
          <w:sz w:val="28"/>
          <w:szCs w:val="28"/>
          <w:lang w:val="en-US"/>
        </w:rPr>
        <w:t>4</w:t>
      </w:r>
      <w:r w:rsidRPr="00655895">
        <w:rPr>
          <w:b/>
          <w:bCs/>
          <w:i/>
          <w:iCs/>
          <w:sz w:val="28"/>
          <w:szCs w:val="28"/>
          <w:lang w:val="vi-VN"/>
        </w:rPr>
        <w:t>.1. Quy định về phân loại thành viên thị trường</w:t>
      </w:r>
    </w:p>
    <w:p w14:paraId="648E8B3A" w14:textId="77777777" w:rsidR="00655895" w:rsidRPr="00655895" w:rsidRDefault="00655895" w:rsidP="00655895">
      <w:pPr>
        <w:pStyle w:val="NormalWeb"/>
        <w:tabs>
          <w:tab w:val="left" w:pos="993"/>
        </w:tabs>
        <w:spacing w:before="120" w:beforeAutospacing="0" w:after="0" w:afterAutospacing="0" w:line="264" w:lineRule="auto"/>
        <w:ind w:firstLine="720"/>
        <w:jc w:val="both"/>
        <w:rPr>
          <w:sz w:val="28"/>
          <w:szCs w:val="28"/>
          <w:lang w:val="vi-VN"/>
        </w:rPr>
      </w:pPr>
      <w:r w:rsidRPr="00655895">
        <w:rPr>
          <w:sz w:val="28"/>
          <w:szCs w:val="28"/>
          <w:lang w:val="vi-VN"/>
        </w:rPr>
        <w:lastRenderedPageBreak/>
        <w:t>Luật quy định rõ việc phân loại các thành viên tham gia thị trường theo chức năng và mức độ rủi ro, bao gồm: thành viên kinh doanh, thành viên môi giới, thành viên thanh toán bù trừ và thành viên đặc biệt.</w:t>
      </w:r>
    </w:p>
    <w:p w14:paraId="4B802BA0" w14:textId="6D0AEF52"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Thành viên kinh doanh được phép trực tiếp thực hiện giao dịch phái sinh cho chính mình hoặc cho khách hàng;</w:t>
      </w:r>
    </w:p>
    <w:p w14:paraId="0F16871F" w14:textId="58CFF4F6"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Thành viên môi giới đóng vai trò trung gian, tư vấn và đại diện cho nhà đầu tư trong hoạt động giao dịch;</w:t>
      </w:r>
    </w:p>
    <w:p w14:paraId="6E4A7C9C" w14:textId="2C9907D7"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Thành viên bù trừ chịu trách nhiệm quản lý ký quỹ, bảo đảm thanh toán và xử lý rủi ro mất khả năng thanh toán;</w:t>
      </w:r>
    </w:p>
    <w:p w14:paraId="3A9B7065" w14:textId="6028DB73"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Thành viên đặc biệt là các tổ chức tài chính hoặc quỹ đầu tư lớn, được tham gia thị trường với cơ chế quản lý riêng nhằm hỗ trợ thanh khoản và ổn định thị trường.</w:t>
      </w:r>
    </w:p>
    <w:p w14:paraId="7833B91E"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Việc phân loại này giúp xác định rõ quyền, nghĩa vụ và trách nhiệm quản trị rủi ro của từng nhóm chủ thể; tạo sự chuyên môn hóa trong tổ chức thị trường; đồng thời phù hợp với thông lệ tổ chức thị trường phái sinh quốc tế.</w:t>
      </w:r>
    </w:p>
    <w:p w14:paraId="1C74E970" w14:textId="7808CCD7" w:rsidR="00655895" w:rsidRPr="00655895" w:rsidRDefault="00F32190" w:rsidP="00655895">
      <w:pPr>
        <w:pStyle w:val="NormalWeb"/>
        <w:tabs>
          <w:tab w:val="left" w:pos="709"/>
        </w:tabs>
        <w:spacing w:before="120" w:beforeAutospacing="0" w:after="0" w:afterAutospacing="0" w:line="264" w:lineRule="auto"/>
        <w:ind w:firstLine="720"/>
        <w:jc w:val="both"/>
        <w:rPr>
          <w:b/>
          <w:bCs/>
          <w:i/>
          <w:iCs/>
          <w:sz w:val="28"/>
          <w:szCs w:val="28"/>
          <w:lang w:val="vi-VN"/>
        </w:rPr>
      </w:pPr>
      <w:r>
        <w:rPr>
          <w:b/>
          <w:bCs/>
          <w:i/>
          <w:iCs/>
          <w:sz w:val="28"/>
          <w:szCs w:val="28"/>
          <w:lang w:val="en-US"/>
        </w:rPr>
        <w:t>4</w:t>
      </w:r>
      <w:r w:rsidR="00655895" w:rsidRPr="00655895">
        <w:rPr>
          <w:b/>
          <w:bCs/>
          <w:i/>
          <w:iCs/>
          <w:sz w:val="28"/>
          <w:szCs w:val="28"/>
          <w:lang w:val="vi-VN"/>
        </w:rPr>
        <w:t>.2. Quy định về phân loại nhà đầu tư</w:t>
      </w:r>
    </w:p>
    <w:p w14:paraId="4C2C3C23"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Luật quy định cơ chế phân loại nhà đầu tư thành:</w:t>
      </w:r>
    </w:p>
    <w:p w14:paraId="580BEB5F" w14:textId="7C1281B1"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Nhà đầu tư chuyên nghiệp và không chuyên nghiệp;</w:t>
      </w:r>
    </w:p>
    <w:p w14:paraId="5C51817D" w14:textId="145C097E"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Nhà đầu tư trong nước và nhà đầu tư nước ngoài.</w:t>
      </w:r>
    </w:p>
    <w:p w14:paraId="3DE17A6B"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Nhà đầu tư chuyên nghiệp (các tổ chức tài chính, quỹ đầu tư, doanh nghiệp lớn hoặc cá nhân có kinh nghiệm) được tham gia thị trường với phạm vi rộng hơn và cơ chế linh hoạt hơn. Ngược lại, nhà đầu tư không chuyên nghiệp được áp dụng cơ chế bảo vệ chặt chẽ hơn như yêu cầu ký quỹ cao hơn, hạn chế về giới hạn vị thế hoặc bắt buộc giao dịch thông qua môi giới được cấp phép.</w:t>
      </w:r>
    </w:p>
    <w:p w14:paraId="0E2224D4"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Đối với nhà đầu tư nước ngoài, Luật quy định các điều kiện tham gia, cơ chế quản lý ngoại hối và nghĩa vụ tuân thủ pháp luật Việt Nam, vừa khuyến khích hội nhập quốc tế vừa bảo đảm an toàn hệ thống tài chính quốc gia.</w:t>
      </w:r>
    </w:p>
    <w:p w14:paraId="3F149CF4" w14:textId="23516153" w:rsidR="00655895" w:rsidRPr="00655895" w:rsidRDefault="00F32190" w:rsidP="00655895">
      <w:pPr>
        <w:pStyle w:val="NormalWeb"/>
        <w:tabs>
          <w:tab w:val="left" w:pos="709"/>
        </w:tabs>
        <w:spacing w:before="120" w:beforeAutospacing="0" w:after="0" w:afterAutospacing="0" w:line="264" w:lineRule="auto"/>
        <w:ind w:firstLine="720"/>
        <w:jc w:val="both"/>
        <w:rPr>
          <w:b/>
          <w:bCs/>
          <w:i/>
          <w:iCs/>
          <w:sz w:val="28"/>
          <w:szCs w:val="28"/>
          <w:lang w:val="vi-VN"/>
        </w:rPr>
      </w:pPr>
      <w:r>
        <w:rPr>
          <w:b/>
          <w:bCs/>
          <w:i/>
          <w:iCs/>
          <w:sz w:val="28"/>
          <w:szCs w:val="28"/>
          <w:lang w:val="en-US"/>
        </w:rPr>
        <w:t>4</w:t>
      </w:r>
      <w:r w:rsidR="00655895" w:rsidRPr="00655895">
        <w:rPr>
          <w:b/>
          <w:bCs/>
          <w:i/>
          <w:iCs/>
          <w:sz w:val="28"/>
          <w:szCs w:val="28"/>
          <w:lang w:val="vi-VN"/>
        </w:rPr>
        <w:t>.3. Quy định về quyền, nghĩa vụ và cơ chế quản lý rủi ro cơ bản</w:t>
      </w:r>
    </w:p>
    <w:p w14:paraId="14D6082C"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Luật thiết lập khung pháp lý về quyền và nghĩa vụ của các chủ thể tham gia thị trường, bao gồm:</w:t>
      </w:r>
    </w:p>
    <w:p w14:paraId="7204370E" w14:textId="336D58CD"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Quyền được tiếp cận thông tin minh bạch, quyền giao dịch và quyền yêu cầu bảo vệ khi phát sinh tranh chấp;</w:t>
      </w:r>
    </w:p>
    <w:p w14:paraId="26C10155" w14:textId="557D412A"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Nghĩa vụ ký quỹ, tuân thủ giới hạn vị thế, tham gia cơ chế thanh toán bù trừ và cung cấp thông tin báo cáo.</w:t>
      </w:r>
    </w:p>
    <w:p w14:paraId="555CED6C"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lastRenderedPageBreak/>
        <w:t>Cơ chế ký quỹ và thanh toán bù trừ được xác định là công cụ trung tâm để quản lý rủi ro, bảo đảm mọi giao dịch đều có sự bảo đảm tài chính, hạn chế nguy cơ đổ vỡ dây chuyền. Chế độ báo cáo định kỳ của thành viên là cơ sở để cơ quan quản lý giám sát liên tục và phát hiện kịp thời các dấu hiệu rủi ro.</w:t>
      </w:r>
    </w:p>
    <w:p w14:paraId="3AEC0187" w14:textId="6255F478" w:rsidR="00655895" w:rsidRPr="00655895" w:rsidRDefault="00F32190" w:rsidP="00655895">
      <w:pPr>
        <w:pStyle w:val="NormalWeb"/>
        <w:tabs>
          <w:tab w:val="left" w:pos="709"/>
        </w:tabs>
        <w:spacing w:before="120" w:beforeAutospacing="0" w:after="0" w:afterAutospacing="0" w:line="264" w:lineRule="auto"/>
        <w:ind w:firstLine="720"/>
        <w:jc w:val="both"/>
        <w:rPr>
          <w:b/>
          <w:bCs/>
          <w:i/>
          <w:iCs/>
          <w:sz w:val="28"/>
          <w:szCs w:val="28"/>
          <w:lang w:val="vi-VN"/>
        </w:rPr>
      </w:pPr>
      <w:r>
        <w:rPr>
          <w:b/>
          <w:bCs/>
          <w:i/>
          <w:iCs/>
          <w:sz w:val="28"/>
          <w:szCs w:val="28"/>
          <w:lang w:val="en-US"/>
        </w:rPr>
        <w:t>4</w:t>
      </w:r>
      <w:r w:rsidR="00655895" w:rsidRPr="00655895">
        <w:rPr>
          <w:b/>
          <w:bCs/>
          <w:i/>
          <w:iCs/>
          <w:sz w:val="28"/>
          <w:szCs w:val="28"/>
          <w:lang w:val="vi-VN"/>
        </w:rPr>
        <w:t>.4. Quy định về quản lý chứng chỉ hành nghề và chuẩn mực nhân sự</w:t>
      </w:r>
    </w:p>
    <w:p w14:paraId="0B036D2A"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Để nâng cao tính chuyên nghiệp của thị trường, Luật quy định cơ chế cấp, quản lý và thu hồi chứng chỉ hành nghề đối với các vị trí như môi giới, tư vấn, quản lý rủi ro và nhân sự quản lý chủ chốt.</w:t>
      </w:r>
    </w:p>
    <w:p w14:paraId="1D7FA4EC"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Việc cấp chứng chỉ phải đáp ứng các tiêu chuẩn về trình độ chuyên môn, kinh nghiệm thực tiễn và đạo đức nghề nghiệp. Đồng thời, Luật quy định nghĩa vụ đào tạo, cập nhật kiến thức định kỳ nhằm bảo đảm đội ngũ nhân sự thích ứng với sự phát triển nhanh của thị trường. Cơ quan quản lý hoặc tổ chức xã hội – nghề nghiệp được ủy quyền sẽ thực hiện giám sát, xử lý vi phạm trong lĩnh vực này.</w:t>
      </w:r>
    </w:p>
    <w:p w14:paraId="63B5483D" w14:textId="43DC5777" w:rsidR="00655895" w:rsidRPr="00655895" w:rsidRDefault="00F32190" w:rsidP="00655895">
      <w:pPr>
        <w:pStyle w:val="NormalWeb"/>
        <w:tabs>
          <w:tab w:val="left" w:pos="709"/>
        </w:tabs>
        <w:spacing w:before="120" w:beforeAutospacing="0" w:after="0" w:afterAutospacing="0" w:line="264" w:lineRule="auto"/>
        <w:ind w:firstLine="720"/>
        <w:jc w:val="both"/>
        <w:rPr>
          <w:b/>
          <w:bCs/>
          <w:i/>
          <w:iCs/>
          <w:sz w:val="28"/>
          <w:szCs w:val="28"/>
          <w:lang w:val="vi-VN"/>
        </w:rPr>
      </w:pPr>
      <w:r>
        <w:rPr>
          <w:b/>
          <w:bCs/>
          <w:i/>
          <w:iCs/>
          <w:sz w:val="28"/>
          <w:szCs w:val="28"/>
          <w:lang w:val="en-US"/>
        </w:rPr>
        <w:t>4</w:t>
      </w:r>
      <w:r w:rsidR="00655895" w:rsidRPr="00655895">
        <w:rPr>
          <w:b/>
          <w:bCs/>
          <w:i/>
          <w:iCs/>
          <w:sz w:val="28"/>
          <w:szCs w:val="28"/>
          <w:lang w:val="vi-VN"/>
        </w:rPr>
        <w:t>.5. Quy định về nghĩa vụ công bố thông tin minh bạch</w:t>
      </w:r>
    </w:p>
    <w:p w14:paraId="3CA135F6"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Luật thiết lập nghĩa vụ công bố thông tin bắt buộc đối với SGDHHPS, CCP và các thành viên thị trường. Nội dung công bố bao gồm:</w:t>
      </w:r>
    </w:p>
    <w:p w14:paraId="0F9FE421" w14:textId="63CCFDE7"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Giá cả, khối lượng giao dịch;</w:t>
      </w:r>
    </w:p>
    <w:p w14:paraId="03FF7D97" w14:textId="0099EEA6"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Số lượng và cơ cấu vị thế mở;</w:t>
      </w:r>
    </w:p>
    <w:p w14:paraId="7B81B4C9" w14:textId="4AB16776"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Tình trạng ký quỹ;</w:t>
      </w:r>
    </w:p>
    <w:p w14:paraId="3A01864B" w14:textId="6B1969D3" w:rsidR="00655895" w:rsidRPr="00655895" w:rsidRDefault="00655895" w:rsidP="00655895">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Pr="00655895">
        <w:rPr>
          <w:sz w:val="28"/>
          <w:szCs w:val="28"/>
          <w:lang w:val="vi-VN"/>
        </w:rPr>
        <w:t>Các sự kiện bất thường ảnh hưởng đến an toàn thị trường.</w:t>
      </w:r>
    </w:p>
    <w:p w14:paraId="6789CE13"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Cơ chế công bố thông tin minh bạch giúp nhà đầu tư đưa ra quyết định chính xác, đồng thời tạo điều kiện để cơ quan quản lý giám sát hiệu quả, phát hiện sớm dấu hiệu gian lận hoặc thao túng, qua đó nâng cao uy tín của thị trường.</w:t>
      </w:r>
    </w:p>
    <w:p w14:paraId="01ED2C08" w14:textId="5F87506D" w:rsidR="00655895" w:rsidRPr="00655895" w:rsidRDefault="00F32190" w:rsidP="00655895">
      <w:pPr>
        <w:pStyle w:val="NormalWeb"/>
        <w:tabs>
          <w:tab w:val="left" w:pos="709"/>
        </w:tabs>
        <w:spacing w:before="120" w:beforeAutospacing="0" w:after="0" w:afterAutospacing="0" w:line="264" w:lineRule="auto"/>
        <w:ind w:firstLine="720"/>
        <w:jc w:val="both"/>
        <w:rPr>
          <w:b/>
          <w:bCs/>
          <w:i/>
          <w:iCs/>
          <w:sz w:val="28"/>
          <w:szCs w:val="28"/>
          <w:lang w:val="vi-VN"/>
        </w:rPr>
      </w:pPr>
      <w:r>
        <w:rPr>
          <w:b/>
          <w:bCs/>
          <w:i/>
          <w:iCs/>
          <w:sz w:val="28"/>
          <w:szCs w:val="28"/>
          <w:lang w:val="en-US"/>
        </w:rPr>
        <w:t>4</w:t>
      </w:r>
      <w:r w:rsidR="00655895" w:rsidRPr="00655895">
        <w:rPr>
          <w:b/>
          <w:bCs/>
          <w:i/>
          <w:iCs/>
          <w:sz w:val="28"/>
          <w:szCs w:val="28"/>
          <w:lang w:val="vi-VN"/>
        </w:rPr>
        <w:t>.6. Quy định chế độ báo cáo phục vụ giám sát</w:t>
      </w:r>
    </w:p>
    <w:p w14:paraId="02BEDD5E"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Luật quy định các hình thức báo cáo bắt buộc, bao gồm:</w:t>
      </w:r>
    </w:p>
    <w:p w14:paraId="6F3F03F0" w14:textId="6C46B225"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Báo cáo định kỳ về tình hình giao dịch, thanh toán bù trừ, ký quỹ và rủi ro;</w:t>
      </w:r>
    </w:p>
    <w:p w14:paraId="5F870624" w14:textId="0BAB47BB"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Báo cáo đột xuất khi phát sinh sự cố, biến động bất thường hoặc rủi ro hệ thống;</w:t>
      </w:r>
    </w:p>
    <w:p w14:paraId="5A03844B" w14:textId="0D38A566"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Báo cáo vị thế lớn để kiểm soát nguy cơ thao túng và tích tụ quyền lực thị trường.</w:t>
      </w:r>
    </w:p>
    <w:p w14:paraId="53F71CB1"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Cơ chế báo cáo này giúp cơ quan quản lý có thông tin kịp thời, toàn diện để thực hiện giám sát chủ động và phòng ngừa rủi ro hệ thống theo chuẩn mực quốc tế.</w:t>
      </w:r>
    </w:p>
    <w:p w14:paraId="1408B375" w14:textId="63BCDDCD" w:rsidR="00655895" w:rsidRPr="00655895" w:rsidRDefault="00F32190" w:rsidP="00655895">
      <w:pPr>
        <w:pStyle w:val="NormalWeb"/>
        <w:tabs>
          <w:tab w:val="left" w:pos="709"/>
        </w:tabs>
        <w:spacing w:before="120" w:beforeAutospacing="0" w:after="0" w:afterAutospacing="0" w:line="264" w:lineRule="auto"/>
        <w:ind w:firstLine="720"/>
        <w:jc w:val="both"/>
        <w:rPr>
          <w:b/>
          <w:bCs/>
          <w:i/>
          <w:iCs/>
          <w:sz w:val="28"/>
          <w:szCs w:val="28"/>
          <w:lang w:val="vi-VN"/>
        </w:rPr>
      </w:pPr>
      <w:r>
        <w:rPr>
          <w:b/>
          <w:bCs/>
          <w:i/>
          <w:iCs/>
          <w:sz w:val="28"/>
          <w:szCs w:val="28"/>
          <w:lang w:val="en-US"/>
        </w:rPr>
        <w:lastRenderedPageBreak/>
        <w:t>4</w:t>
      </w:r>
      <w:r w:rsidR="00655895" w:rsidRPr="00655895">
        <w:rPr>
          <w:b/>
          <w:bCs/>
          <w:i/>
          <w:iCs/>
          <w:sz w:val="28"/>
          <w:szCs w:val="28"/>
          <w:lang w:val="vi-VN"/>
        </w:rPr>
        <w:t>.7. Nguyên tắc cân bằng giữa minh bạch và bảo mật thông tin</w:t>
      </w:r>
    </w:p>
    <w:p w14:paraId="2CD942AE"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Luật xác lập nguyên tắc bảo đảm minh bạch dữ liệu thị trường đồng thời bảo vệ thông tin nhạy cảm. Theo đó:</w:t>
      </w:r>
    </w:p>
    <w:p w14:paraId="25DFE960" w14:textId="02FA6901"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Các thông tin có tính chất công khai (giá, khối lượng, biến động vị thế mở…) phải được công bố đầy đủ, kịp thời;</w:t>
      </w:r>
    </w:p>
    <w:p w14:paraId="1A08CB63" w14:textId="77777777" w:rsidR="00655895" w:rsidRPr="00655895" w:rsidRDefault="00655895" w:rsidP="00655895">
      <w:pPr>
        <w:pStyle w:val="NormalWeb"/>
        <w:numPr>
          <w:ilvl w:val="0"/>
          <w:numId w:val="31"/>
        </w:numPr>
        <w:tabs>
          <w:tab w:val="clear" w:pos="720"/>
          <w:tab w:val="left" w:pos="709"/>
        </w:tabs>
        <w:spacing w:before="120" w:beforeAutospacing="0" w:after="0" w:afterAutospacing="0" w:line="264" w:lineRule="auto"/>
        <w:ind w:firstLine="720"/>
        <w:jc w:val="both"/>
        <w:rPr>
          <w:sz w:val="28"/>
          <w:szCs w:val="28"/>
          <w:lang w:val="vi-VN"/>
        </w:rPr>
      </w:pPr>
      <w:r w:rsidRPr="00655895">
        <w:rPr>
          <w:sz w:val="28"/>
          <w:szCs w:val="28"/>
          <w:lang w:val="vi-VN"/>
        </w:rPr>
        <w:t>Những dữ liệu chiến lược, thông tin định danh nhà đầu tư hoặc thông tin ảnh hưởng đến an ninh tài chính chỉ được chia sẻ cho cơ quan có thẩm quyền.</w:t>
      </w:r>
    </w:p>
    <w:p w14:paraId="5E6F61B1"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Cách tiếp cận này bảo đảm hài hòa giữa quyền được thông tin của nhà đầu tư và yêu cầu bảo mật, an toàn hệ thống, phù hợp với chuẩn mực quản lý thị trường quốc tế.</w:t>
      </w:r>
    </w:p>
    <w:p w14:paraId="0FB03FC1" w14:textId="17836A44" w:rsidR="00655895" w:rsidRPr="00655895" w:rsidRDefault="00F32190" w:rsidP="00655895">
      <w:pPr>
        <w:pStyle w:val="NormalWeb"/>
        <w:tabs>
          <w:tab w:val="left" w:pos="709"/>
        </w:tabs>
        <w:spacing w:before="120" w:beforeAutospacing="0" w:after="0" w:afterAutospacing="0" w:line="264" w:lineRule="auto"/>
        <w:ind w:firstLine="720"/>
        <w:jc w:val="both"/>
        <w:rPr>
          <w:b/>
          <w:bCs/>
          <w:i/>
          <w:iCs/>
          <w:sz w:val="28"/>
          <w:szCs w:val="28"/>
          <w:lang w:val="vi-VN"/>
        </w:rPr>
      </w:pPr>
      <w:r w:rsidRPr="00F32190">
        <w:rPr>
          <w:b/>
          <w:bCs/>
          <w:i/>
          <w:iCs/>
          <w:sz w:val="28"/>
          <w:szCs w:val="28"/>
          <w:lang w:val="en-US"/>
        </w:rPr>
        <w:t>4</w:t>
      </w:r>
      <w:r w:rsidR="00655895" w:rsidRPr="00655895">
        <w:rPr>
          <w:b/>
          <w:bCs/>
          <w:i/>
          <w:iCs/>
          <w:sz w:val="28"/>
          <w:szCs w:val="28"/>
          <w:lang w:val="vi-VN"/>
        </w:rPr>
        <w:t>.8. Giao Chính phủ quy định chi tiết về chế độ công bố thông tin và báo cáo</w:t>
      </w:r>
    </w:p>
    <w:p w14:paraId="778A8249"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Luật quy định các nguyên tắc chung về công bố thông tin và báo cáo, đồng thời giao Chính phủ quy định chi tiết về:</w:t>
      </w:r>
    </w:p>
    <w:p w14:paraId="17B52D0C" w14:textId="54F85FDF"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Nội dung, hình thức, tần suất công bố thông tin;</w:t>
      </w:r>
    </w:p>
    <w:p w14:paraId="1C8DE906" w14:textId="1D0A4CEF"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Quy trình báo cáo;</w:t>
      </w:r>
    </w:p>
    <w:p w14:paraId="0B313F7C" w14:textId="00E3FC71"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Cơ chế phân quyền truy cập dữ liệu.</w:t>
      </w:r>
    </w:p>
    <w:p w14:paraId="7B5D2347"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Việc giao thẩm quyền này giúp khuôn khổ pháp lý có tính linh hoạt, có thể điều chỉnh kịp thời trước sự thay đổi của thị trường và công nghệ, nhưng vẫn bảo đảm tính minh bạch và ổn định cần thiết.</w:t>
      </w:r>
    </w:p>
    <w:p w14:paraId="2FD6271D" w14:textId="616874F3" w:rsidR="00655895" w:rsidRPr="00655895" w:rsidRDefault="00F32190" w:rsidP="00655895">
      <w:pPr>
        <w:pStyle w:val="NormalWeb"/>
        <w:tabs>
          <w:tab w:val="left" w:pos="709"/>
        </w:tabs>
        <w:spacing w:before="120" w:beforeAutospacing="0" w:after="0" w:afterAutospacing="0" w:line="264" w:lineRule="auto"/>
        <w:ind w:firstLine="720"/>
        <w:jc w:val="both"/>
        <w:rPr>
          <w:b/>
          <w:bCs/>
          <w:i/>
          <w:iCs/>
          <w:sz w:val="28"/>
          <w:szCs w:val="28"/>
          <w:lang w:val="vi-VN"/>
        </w:rPr>
      </w:pPr>
      <w:r w:rsidRPr="00F32190">
        <w:rPr>
          <w:b/>
          <w:bCs/>
          <w:i/>
          <w:iCs/>
          <w:sz w:val="28"/>
          <w:szCs w:val="28"/>
          <w:lang w:val="en-US"/>
        </w:rPr>
        <w:t>4</w:t>
      </w:r>
      <w:r w:rsidR="00655895" w:rsidRPr="00655895">
        <w:rPr>
          <w:b/>
          <w:bCs/>
          <w:i/>
          <w:iCs/>
          <w:sz w:val="28"/>
          <w:szCs w:val="28"/>
          <w:lang w:val="vi-VN"/>
        </w:rPr>
        <w:t>.9. Quy định về quản trị rủi ro hệ thống và cơ chế cảnh báo sớm</w:t>
      </w:r>
    </w:p>
    <w:p w14:paraId="45A74EEA"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Luật quy định trách nhiệm của SGDHHPS, CCP và các thành viên trong việc áp dụng mô hình quản trị rủi ro theo chuẩn mực quốc tế; thiết lập hệ thống giám sát dựa trên rủi ro và cơ chế cảnh báo sớm thông qua các chỉ số như vị thế mở, biến động ký quỹ, thanh khoản và các dấu hiệu bất thường.</w:t>
      </w:r>
    </w:p>
    <w:p w14:paraId="3E8B3682"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Cách tiếp cận này giúp cơ quan quản lý tập trung nguồn lực vào các khu vực rủi ro cao, nâng cao hiệu quả phòng ngừa và ứng phó với biến động thị trường.</w:t>
      </w:r>
    </w:p>
    <w:p w14:paraId="6CFC9757" w14:textId="73343BDB" w:rsidR="00655895" w:rsidRPr="00655895" w:rsidRDefault="00F32190" w:rsidP="00655895">
      <w:pPr>
        <w:pStyle w:val="NormalWeb"/>
        <w:tabs>
          <w:tab w:val="left" w:pos="709"/>
        </w:tabs>
        <w:spacing w:before="120" w:beforeAutospacing="0" w:after="0" w:afterAutospacing="0" w:line="264" w:lineRule="auto"/>
        <w:ind w:firstLine="720"/>
        <w:jc w:val="both"/>
        <w:rPr>
          <w:b/>
          <w:bCs/>
          <w:i/>
          <w:iCs/>
          <w:sz w:val="28"/>
          <w:szCs w:val="28"/>
          <w:lang w:val="vi-VN"/>
        </w:rPr>
      </w:pPr>
      <w:r w:rsidRPr="00F32190">
        <w:rPr>
          <w:b/>
          <w:bCs/>
          <w:i/>
          <w:iCs/>
          <w:sz w:val="28"/>
          <w:szCs w:val="28"/>
          <w:lang w:val="en-US"/>
        </w:rPr>
        <w:t>4</w:t>
      </w:r>
      <w:r w:rsidR="00655895" w:rsidRPr="00655895">
        <w:rPr>
          <w:b/>
          <w:bCs/>
          <w:i/>
          <w:iCs/>
          <w:sz w:val="28"/>
          <w:szCs w:val="28"/>
          <w:lang w:val="vi-VN"/>
        </w:rPr>
        <w:t>.10. Quy định về biện pháp can thiệp khẩn cấp</w:t>
      </w:r>
    </w:p>
    <w:p w14:paraId="3146CBEF"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Để bảo đảm an toàn hệ thống, Luật trao cho cơ quan quản lý thẩm quyền áp dụng các biện pháp can thiệp khẩn cấp khi cần thiết, bao gồm:</w:t>
      </w:r>
    </w:p>
    <w:p w14:paraId="040A55E3" w14:textId="031604FB"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Điều chỉnh mức ký quỹ;</w:t>
      </w:r>
    </w:p>
    <w:p w14:paraId="1B8D9293" w14:textId="13D61E5F"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Áp đặt hoặc thay đổi giới hạn vị thế;</w:t>
      </w:r>
    </w:p>
    <w:p w14:paraId="213CD238" w14:textId="057B1025"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Tạm dừng giao dịch đối với sản phẩm hoặc thị trường cụ thể.</w:t>
      </w:r>
    </w:p>
    <w:p w14:paraId="35596664"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lastRenderedPageBreak/>
        <w:t>Các biện pháp này được áp dụng minh bạch, có giới hạn và dựa trên cơ sở pháp lý rõ ràng, nhằm ngăn chặn nguy cơ đổ vỡ hệ thống mà không xâm phạm quá mức đến quyền tự do kinh doanh.</w:t>
      </w:r>
    </w:p>
    <w:p w14:paraId="12AFA017" w14:textId="3B944027" w:rsidR="00655895" w:rsidRPr="00655895" w:rsidRDefault="00F32190" w:rsidP="00655895">
      <w:pPr>
        <w:pStyle w:val="NormalWeb"/>
        <w:tabs>
          <w:tab w:val="left" w:pos="709"/>
        </w:tabs>
        <w:spacing w:before="120" w:beforeAutospacing="0" w:after="0" w:afterAutospacing="0" w:line="264" w:lineRule="auto"/>
        <w:ind w:firstLine="720"/>
        <w:jc w:val="both"/>
        <w:rPr>
          <w:b/>
          <w:bCs/>
          <w:sz w:val="28"/>
          <w:szCs w:val="28"/>
          <w:lang w:val="vi-VN"/>
        </w:rPr>
      </w:pPr>
      <w:r w:rsidRPr="00F32190">
        <w:rPr>
          <w:b/>
          <w:bCs/>
          <w:sz w:val="28"/>
          <w:szCs w:val="28"/>
          <w:lang w:val="en-US"/>
        </w:rPr>
        <w:t>4</w:t>
      </w:r>
      <w:r w:rsidR="00655895" w:rsidRPr="00655895">
        <w:rPr>
          <w:b/>
          <w:bCs/>
          <w:sz w:val="28"/>
          <w:szCs w:val="28"/>
          <w:lang w:val="vi-VN"/>
        </w:rPr>
        <w:t>.11. Quy định về chế tài xử lý vi phạm và cơ chế bảo vệ nhà đầu tư</w:t>
      </w:r>
    </w:p>
    <w:p w14:paraId="769D5111"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Luật thiết lập hệ thống chế tài nghiêm minh đối với các hành vi như thao túng thị trường, giao dịch nội gián, cung cấp thông tin sai lệch, vi phạm nghĩa vụ ký quỹ hoặc chiếm dụng tài sản khách hàng. Hình thức xử lý bao gồm:</w:t>
      </w:r>
    </w:p>
    <w:p w14:paraId="0C3BFAA8" w14:textId="1E40AB18"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Xử phạt hành chính;</w:t>
      </w:r>
    </w:p>
    <w:p w14:paraId="740BADB5" w14:textId="5B3BF62A"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Đình chỉ hoạt động, thu hồi giấy phép;</w:t>
      </w:r>
    </w:p>
    <w:p w14:paraId="7F13FF2C" w14:textId="4A752718"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Truy cứu trách nhiệm hình sự trong trường hợp nghiêm trọng.</w:t>
      </w:r>
    </w:p>
    <w:p w14:paraId="3D313618"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Đồng thời, Luật quy định cơ chế bảo vệ nhà đầu tư thông qua Quỹ bảo vệ nhà đầu tư hoặc cơ chế bồi thường khi thành viên vi phạm hoặc mất khả năng thanh toán – phù hợp với thông lệ quốc tế.</w:t>
      </w:r>
    </w:p>
    <w:p w14:paraId="084D34DF" w14:textId="24FF70AD" w:rsidR="00655895" w:rsidRPr="00655895" w:rsidRDefault="00F32190" w:rsidP="00655895">
      <w:pPr>
        <w:pStyle w:val="NormalWeb"/>
        <w:tabs>
          <w:tab w:val="left" w:pos="709"/>
        </w:tabs>
        <w:spacing w:before="120" w:beforeAutospacing="0" w:after="0" w:afterAutospacing="0" w:line="264" w:lineRule="auto"/>
        <w:ind w:firstLine="720"/>
        <w:jc w:val="both"/>
        <w:rPr>
          <w:b/>
          <w:bCs/>
          <w:i/>
          <w:iCs/>
          <w:sz w:val="28"/>
          <w:szCs w:val="28"/>
          <w:lang w:val="vi-VN"/>
        </w:rPr>
      </w:pPr>
      <w:r w:rsidRPr="00F32190">
        <w:rPr>
          <w:b/>
          <w:bCs/>
          <w:i/>
          <w:iCs/>
          <w:sz w:val="28"/>
          <w:szCs w:val="28"/>
          <w:lang w:val="en-US"/>
        </w:rPr>
        <w:t>4</w:t>
      </w:r>
      <w:r w:rsidR="00655895" w:rsidRPr="00655895">
        <w:rPr>
          <w:b/>
          <w:bCs/>
          <w:i/>
          <w:iCs/>
          <w:sz w:val="28"/>
          <w:szCs w:val="28"/>
          <w:lang w:val="vi-VN"/>
        </w:rPr>
        <w:t>.12. Quy định về cơ chế giải quyết tranh chấp</w:t>
      </w:r>
    </w:p>
    <w:p w14:paraId="14F1FFA5"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Luật xác lập cơ chế giải quyết tranh chấp đa tầng, bao gồm:</w:t>
      </w:r>
    </w:p>
    <w:p w14:paraId="22E90C00" w14:textId="42A27102"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Thương lượng;</w:t>
      </w:r>
    </w:p>
    <w:p w14:paraId="617E122C" w14:textId="435BABB7"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Hòa giải;</w:t>
      </w:r>
    </w:p>
    <w:p w14:paraId="3C8C0856" w14:textId="03EA45F8"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Trọng tài thương mại;</w:t>
      </w:r>
    </w:p>
    <w:p w14:paraId="6328A9BA" w14:textId="3C6DEAFB" w:rsidR="00655895" w:rsidRPr="00655895" w:rsidRDefault="00F32190" w:rsidP="00F32190">
      <w:pPr>
        <w:pStyle w:val="NormalWeb"/>
        <w:tabs>
          <w:tab w:val="left" w:pos="709"/>
        </w:tabs>
        <w:spacing w:before="120" w:beforeAutospacing="0" w:after="0" w:afterAutospacing="0" w:line="264" w:lineRule="auto"/>
        <w:jc w:val="both"/>
        <w:rPr>
          <w:sz w:val="28"/>
          <w:szCs w:val="28"/>
          <w:lang w:val="vi-VN"/>
        </w:rPr>
      </w:pPr>
      <w:r>
        <w:rPr>
          <w:sz w:val="28"/>
          <w:szCs w:val="28"/>
          <w:lang w:val="en-US"/>
        </w:rPr>
        <w:tab/>
        <w:t xml:space="preserve">- </w:t>
      </w:r>
      <w:r w:rsidR="00655895" w:rsidRPr="00655895">
        <w:rPr>
          <w:sz w:val="28"/>
          <w:szCs w:val="28"/>
          <w:lang w:val="vi-VN"/>
        </w:rPr>
        <w:t>Tòa án.</w:t>
      </w:r>
    </w:p>
    <w:p w14:paraId="2A042049" w14:textId="77777777" w:rsidR="00655895" w:rsidRPr="00655895" w:rsidRDefault="00655895" w:rsidP="00655895">
      <w:pPr>
        <w:pStyle w:val="NormalWeb"/>
        <w:tabs>
          <w:tab w:val="left" w:pos="709"/>
        </w:tabs>
        <w:spacing w:before="120" w:beforeAutospacing="0" w:after="0" w:afterAutospacing="0" w:line="264" w:lineRule="auto"/>
        <w:ind w:firstLine="720"/>
        <w:jc w:val="both"/>
        <w:rPr>
          <w:sz w:val="28"/>
          <w:szCs w:val="28"/>
          <w:lang w:val="vi-VN"/>
        </w:rPr>
      </w:pPr>
      <w:r w:rsidRPr="00655895">
        <w:rPr>
          <w:sz w:val="28"/>
          <w:szCs w:val="28"/>
          <w:lang w:val="vi-VN"/>
        </w:rPr>
        <w:t>Cơ chế này tạo sự linh hoạt, nhanh chóng và hiệu quả trong xử lý tranh chấp, giảm chi phí pháp lý, bảo đảm tính ổn định và liên tục của hoạt động thị trường.</w:t>
      </w:r>
    </w:p>
    <w:p w14:paraId="4FE281B0" w14:textId="77777777" w:rsidR="00F32190" w:rsidRPr="00B13F8A" w:rsidRDefault="00F32190" w:rsidP="00F32190">
      <w:pPr>
        <w:pStyle w:val="NormalWeb"/>
        <w:tabs>
          <w:tab w:val="left" w:pos="993"/>
        </w:tabs>
        <w:spacing w:before="120" w:beforeAutospacing="0" w:after="0" w:afterAutospacing="0" w:line="264" w:lineRule="auto"/>
        <w:ind w:firstLine="720"/>
        <w:jc w:val="both"/>
        <w:rPr>
          <w:b/>
          <w:bCs/>
          <w:sz w:val="28"/>
          <w:szCs w:val="28"/>
        </w:rPr>
      </w:pPr>
      <w:r>
        <w:rPr>
          <w:b/>
          <w:bCs/>
          <w:sz w:val="28"/>
          <w:szCs w:val="28"/>
        </w:rPr>
        <w:t xml:space="preserve">5. </w:t>
      </w:r>
      <w:r w:rsidRPr="004A574B">
        <w:rPr>
          <w:b/>
          <w:bCs/>
          <w:sz w:val="28"/>
          <w:szCs w:val="28"/>
        </w:rPr>
        <w:t xml:space="preserve">Chính sách </w:t>
      </w:r>
      <w:r>
        <w:rPr>
          <w:b/>
          <w:bCs/>
          <w:sz w:val="28"/>
          <w:szCs w:val="28"/>
        </w:rPr>
        <w:t>5</w:t>
      </w:r>
      <w:r w:rsidRPr="004A574B">
        <w:rPr>
          <w:b/>
          <w:bCs/>
          <w:sz w:val="28"/>
          <w:szCs w:val="28"/>
        </w:rPr>
        <w:t>:</w:t>
      </w:r>
      <w:r>
        <w:rPr>
          <w:b/>
          <w:bCs/>
          <w:sz w:val="28"/>
          <w:szCs w:val="28"/>
        </w:rPr>
        <w:t xml:space="preserve"> Quy định về </w:t>
      </w:r>
      <w:r w:rsidRPr="00B13F8A">
        <w:rPr>
          <w:b/>
          <w:bCs/>
          <w:sz w:val="28"/>
          <w:szCs w:val="28"/>
        </w:rPr>
        <w:t>Mô hình quản lý nhà nước và cơ chế tự quản thị trường:</w:t>
      </w:r>
    </w:p>
    <w:p w14:paraId="73EEA399" w14:textId="4649B641" w:rsidR="00E337B9" w:rsidRPr="00E337B9" w:rsidRDefault="00F32190" w:rsidP="004A574B">
      <w:pPr>
        <w:spacing w:before="120" w:after="120" w:line="240" w:lineRule="auto"/>
        <w:ind w:firstLine="720"/>
        <w:jc w:val="both"/>
        <w:rPr>
          <w:rFonts w:ascii="Times New Roman" w:eastAsia="Times New Roman" w:hAnsi="Times New Roman" w:cs="Times New Roman"/>
          <w:b/>
          <w:bCs/>
          <w:i/>
          <w:iCs/>
          <w:kern w:val="0"/>
          <w:sz w:val="28"/>
          <w:szCs w:val="28"/>
          <w:lang w:val="en-GB" w:eastAsia="en-GB"/>
          <w14:ligatures w14:val="none"/>
        </w:rPr>
      </w:pPr>
      <w:r>
        <w:rPr>
          <w:rFonts w:ascii="Times New Roman" w:eastAsia="Times New Roman" w:hAnsi="Times New Roman" w:cs="Times New Roman"/>
          <w:b/>
          <w:bCs/>
          <w:i/>
          <w:iCs/>
          <w:kern w:val="0"/>
          <w:sz w:val="28"/>
          <w:szCs w:val="28"/>
          <w:lang w:val="en-GB" w:eastAsia="en-GB"/>
          <w14:ligatures w14:val="none"/>
        </w:rPr>
        <w:t>5</w:t>
      </w:r>
      <w:r w:rsidR="004A574B" w:rsidRPr="00E337B9">
        <w:rPr>
          <w:rFonts w:ascii="Times New Roman" w:eastAsia="Times New Roman" w:hAnsi="Times New Roman" w:cs="Times New Roman"/>
          <w:b/>
          <w:bCs/>
          <w:i/>
          <w:iCs/>
          <w:kern w:val="0"/>
          <w:sz w:val="28"/>
          <w:szCs w:val="28"/>
          <w:lang w:val="en-GB" w:eastAsia="en-GB"/>
          <w14:ligatures w14:val="none"/>
        </w:rPr>
        <w:t xml:space="preserve">.1. Xác định cơ quan chủ trì </w:t>
      </w:r>
      <w:r w:rsidR="00E337B9" w:rsidRPr="00E337B9">
        <w:rPr>
          <w:rFonts w:ascii="Times New Roman" w:eastAsia="Times New Roman" w:hAnsi="Times New Roman" w:cs="Times New Roman"/>
          <w:b/>
          <w:bCs/>
          <w:i/>
          <w:iCs/>
          <w:kern w:val="0"/>
          <w:sz w:val="28"/>
          <w:szCs w:val="28"/>
          <w:lang w:val="en-GB" w:eastAsia="en-GB"/>
          <w14:ligatures w14:val="none"/>
        </w:rPr>
        <w:t>thực hiện chức năng quản lý nhà nước trong lĩnh vực giao dịch hàng hóa phái sinh</w:t>
      </w:r>
    </w:p>
    <w:p w14:paraId="367F83BE" w14:textId="447EE966" w:rsidR="004A574B" w:rsidRPr="004A574B" w:rsidRDefault="00BF471E" w:rsidP="004A574B">
      <w:pPr>
        <w:spacing w:before="120" w:after="120" w:line="240" w:lineRule="auto"/>
        <w:ind w:firstLine="720"/>
        <w:jc w:val="both"/>
        <w:rPr>
          <w:rFonts w:ascii="Times New Roman" w:eastAsia="Times New Roman" w:hAnsi="Times New Roman" w:cs="Times New Roman"/>
          <w:kern w:val="0"/>
          <w:sz w:val="28"/>
          <w:szCs w:val="28"/>
          <w:lang w:val="en-GB" w:eastAsia="en-GB"/>
          <w14:ligatures w14:val="none"/>
        </w:rPr>
      </w:pPr>
      <w:r w:rsidRPr="00BF471E">
        <w:rPr>
          <w:rFonts w:ascii="Times New Roman" w:hAnsi="Times New Roman" w:cs="Times New Roman"/>
          <w:sz w:val="28"/>
          <w:szCs w:val="28"/>
        </w:rPr>
        <w:t xml:space="preserve">Việc xác định cơ quan chủ trì thực hiện chức năng quản lý nhà nước trong lĩnh vực giao dịch hàng hóa phái sinh là yêu cầu then chốt nhằm bảo đảm thị trường vận hành an toàn, minh bạch và phù hợp với thông lệ quốc tế. Dự thảo Luật quy định việc thành lập Ủy ban Giao dịch hàng hóa phái sinh, một cơ quan chuyên trách tương đối độc lập, có thể trực thuộc Chính phủ hoặc đặt dưới sự quản lý trực tiếp của Bộ Công Thương. Ủy ban này được giao trọng trách giám sát, quản lý vận hành thị trường, đồng thời làm đầu mối tổ chức thực thi pháp luật, giám sát Sở giao dịch, tổ chức bù trừ trung tâm, trung tâm lưu ký và các thành viên tham gia thị trường. Cơ chế quản lý theo hướng chuyên trách không chỉ bảo đảm tính khách quan, hạn chế xung đột lợi ích mà còn giúp phân định rõ thẩm </w:t>
      </w:r>
      <w:r w:rsidRPr="00BF471E">
        <w:rPr>
          <w:rFonts w:ascii="Times New Roman" w:hAnsi="Times New Roman" w:cs="Times New Roman"/>
          <w:sz w:val="28"/>
          <w:szCs w:val="28"/>
        </w:rPr>
        <w:lastRenderedPageBreak/>
        <w:t>quyền giữa cơ quan quản lý nhà nước và các chủ thể tham gia thị trường, tránh tình trạng chồng chéo hoặc buông lỏng giám sát. Việc thành lập một cơ quan chuyên sâu còn có ý nghĩa nâng cao hiệu quả quản lý, tạo điều kiện tập trung nguồn lực về nhân sự, công nghệ và nghiệp vụ giám sát, đồng thời tạo niềm tin cho nhà đầu tư trong và ngoài nước về sự chuyên nghiệp và minh bạch của thị trường hàng hóa phái sinh tại Việt Nam. Đây cũng là bước đi phù hợp với kinh nghiệm quốc tế, khi hầu hết các quốc gia có thị trường phái sinh phát triển đều duy trì cơ quan giám sát chuyên biệt, gắn với trách nhiệm giải trình rõ ràng và cơ chế phối hợp liên ngành chặt chẽ.</w:t>
      </w:r>
    </w:p>
    <w:p w14:paraId="54EDD003" w14:textId="7EB2F0A8" w:rsidR="004A574B" w:rsidRPr="004A574B" w:rsidRDefault="004A574B" w:rsidP="004A574B">
      <w:pPr>
        <w:spacing w:before="120" w:after="120" w:line="240" w:lineRule="auto"/>
        <w:ind w:firstLine="720"/>
        <w:jc w:val="both"/>
        <w:rPr>
          <w:rFonts w:ascii="Times New Roman" w:eastAsia="Times New Roman" w:hAnsi="Times New Roman" w:cs="Times New Roman"/>
          <w:kern w:val="0"/>
          <w:sz w:val="28"/>
          <w:szCs w:val="28"/>
          <w:lang w:val="en-GB" w:eastAsia="en-GB"/>
          <w14:ligatures w14:val="none"/>
        </w:rPr>
      </w:pPr>
      <w:r w:rsidRPr="004A574B">
        <w:rPr>
          <w:rFonts w:ascii="Times New Roman" w:eastAsia="Times New Roman" w:hAnsi="Times New Roman" w:cs="Times New Roman"/>
          <w:kern w:val="0"/>
          <w:sz w:val="28"/>
          <w:szCs w:val="28"/>
          <w:lang w:val="en-GB" w:eastAsia="en-GB"/>
          <w14:ligatures w14:val="none"/>
        </w:rPr>
        <w:t xml:space="preserve">Ủy ban sẽ được giao quyền giám sát </w:t>
      </w:r>
      <w:r w:rsidR="002E2352">
        <w:rPr>
          <w:rFonts w:ascii="Times New Roman" w:eastAsia="Times New Roman" w:hAnsi="Times New Roman" w:cs="Times New Roman"/>
          <w:kern w:val="0"/>
          <w:sz w:val="28"/>
          <w:szCs w:val="28"/>
          <w:lang w:val="en-GB" w:eastAsia="en-GB"/>
          <w14:ligatures w14:val="none"/>
        </w:rPr>
        <w:t>SỞ GDHHPS</w:t>
      </w:r>
      <w:r w:rsidRPr="004A574B">
        <w:rPr>
          <w:rFonts w:ascii="Times New Roman" w:eastAsia="Times New Roman" w:hAnsi="Times New Roman" w:cs="Times New Roman"/>
          <w:kern w:val="0"/>
          <w:sz w:val="28"/>
          <w:szCs w:val="28"/>
          <w:lang w:val="en-GB" w:eastAsia="en-GB"/>
          <w14:ligatures w14:val="none"/>
        </w:rPr>
        <w:t>, CCP, trung tâm lưu ký; cấp, thu hồi giấy phép hành nghề; giám sát tuân thủ pháp luật của các thành viên; và áp dụng biện pháp hành chính trong trường hợp vi phạm. Quy định này tạo cơ chế quản lý chuyên sâu, chuyên nghiệp và hạn chế xung đột lợi ích.</w:t>
      </w:r>
    </w:p>
    <w:p w14:paraId="4251E193" w14:textId="32EF49D2" w:rsidR="004A574B" w:rsidRPr="00246EEC" w:rsidRDefault="00F32190" w:rsidP="004A574B">
      <w:pPr>
        <w:spacing w:before="120" w:after="120" w:line="240" w:lineRule="auto"/>
        <w:ind w:firstLine="720"/>
        <w:jc w:val="both"/>
        <w:rPr>
          <w:rFonts w:ascii="Times New Roman" w:eastAsia="Times New Roman" w:hAnsi="Times New Roman" w:cs="Times New Roman"/>
          <w:b/>
          <w:bCs/>
          <w:i/>
          <w:iCs/>
          <w:kern w:val="0"/>
          <w:sz w:val="28"/>
          <w:szCs w:val="28"/>
          <w:lang w:val="en-GB" w:eastAsia="en-GB"/>
          <w14:ligatures w14:val="none"/>
        </w:rPr>
      </w:pPr>
      <w:r>
        <w:rPr>
          <w:rFonts w:ascii="Times New Roman" w:eastAsia="Times New Roman" w:hAnsi="Times New Roman" w:cs="Times New Roman"/>
          <w:b/>
          <w:bCs/>
          <w:i/>
          <w:iCs/>
          <w:kern w:val="0"/>
          <w:sz w:val="28"/>
          <w:szCs w:val="28"/>
          <w:lang w:val="en-GB" w:eastAsia="en-GB"/>
          <w14:ligatures w14:val="none"/>
        </w:rPr>
        <w:t>5</w:t>
      </w:r>
      <w:r w:rsidR="004A574B" w:rsidRPr="00246EEC">
        <w:rPr>
          <w:rFonts w:ascii="Times New Roman" w:eastAsia="Times New Roman" w:hAnsi="Times New Roman" w:cs="Times New Roman"/>
          <w:b/>
          <w:bCs/>
          <w:i/>
          <w:iCs/>
          <w:kern w:val="0"/>
          <w:sz w:val="28"/>
          <w:szCs w:val="28"/>
          <w:lang w:val="en-GB" w:eastAsia="en-GB"/>
          <w14:ligatures w14:val="none"/>
        </w:rPr>
        <w:t>.</w:t>
      </w:r>
      <w:r w:rsidR="00246EEC" w:rsidRPr="00246EEC">
        <w:rPr>
          <w:rFonts w:ascii="Times New Roman" w:eastAsia="Times New Roman" w:hAnsi="Times New Roman" w:cs="Times New Roman"/>
          <w:b/>
          <w:bCs/>
          <w:i/>
          <w:iCs/>
          <w:kern w:val="0"/>
          <w:sz w:val="28"/>
          <w:szCs w:val="28"/>
          <w:lang w:val="en-GB" w:eastAsia="en-GB"/>
          <w14:ligatures w14:val="none"/>
        </w:rPr>
        <w:t>2</w:t>
      </w:r>
      <w:r w:rsidR="004A574B" w:rsidRPr="00246EEC">
        <w:rPr>
          <w:rFonts w:ascii="Times New Roman" w:eastAsia="Times New Roman" w:hAnsi="Times New Roman" w:cs="Times New Roman"/>
          <w:b/>
          <w:bCs/>
          <w:i/>
          <w:iCs/>
          <w:kern w:val="0"/>
          <w:sz w:val="28"/>
          <w:szCs w:val="28"/>
          <w:lang w:val="en-GB" w:eastAsia="en-GB"/>
          <w14:ligatures w14:val="none"/>
        </w:rPr>
        <w:t>. Quy định cơ chế phối hợp liên ngành (NHNN, Bộ Tài chính, Bộ Công an, Bộ NN&amp;</w:t>
      </w:r>
      <w:r w:rsidR="00246EEC" w:rsidRPr="00246EEC">
        <w:rPr>
          <w:rFonts w:ascii="Times New Roman" w:eastAsia="Times New Roman" w:hAnsi="Times New Roman" w:cs="Times New Roman"/>
          <w:b/>
          <w:bCs/>
          <w:i/>
          <w:iCs/>
          <w:kern w:val="0"/>
          <w:sz w:val="28"/>
          <w:szCs w:val="28"/>
          <w:lang w:val="en-GB" w:eastAsia="en-GB"/>
          <w14:ligatures w14:val="none"/>
        </w:rPr>
        <w:t>MT</w:t>
      </w:r>
      <w:r w:rsidR="004A574B" w:rsidRPr="00246EEC">
        <w:rPr>
          <w:rFonts w:ascii="Times New Roman" w:eastAsia="Times New Roman" w:hAnsi="Times New Roman" w:cs="Times New Roman"/>
          <w:b/>
          <w:bCs/>
          <w:i/>
          <w:iCs/>
          <w:kern w:val="0"/>
          <w:sz w:val="28"/>
          <w:szCs w:val="28"/>
          <w:lang w:val="en-GB" w:eastAsia="en-GB"/>
          <w14:ligatures w14:val="none"/>
        </w:rPr>
        <w:t>…)</w:t>
      </w:r>
    </w:p>
    <w:p w14:paraId="0B89C255" w14:textId="77777777" w:rsidR="00A02035" w:rsidRDefault="00A02035" w:rsidP="004A574B">
      <w:pPr>
        <w:spacing w:before="120" w:after="120" w:line="240" w:lineRule="auto"/>
        <w:ind w:firstLine="720"/>
        <w:jc w:val="both"/>
        <w:rPr>
          <w:rFonts w:ascii="Times New Roman" w:hAnsi="Times New Roman" w:cs="Times New Roman"/>
          <w:sz w:val="28"/>
          <w:szCs w:val="28"/>
        </w:rPr>
      </w:pPr>
      <w:r w:rsidRPr="00A02035">
        <w:rPr>
          <w:rFonts w:ascii="Times New Roman" w:hAnsi="Times New Roman" w:cs="Times New Roman"/>
          <w:sz w:val="28"/>
          <w:szCs w:val="28"/>
        </w:rPr>
        <w:t>Thị trường hàng hóa phái sinh có mối liên hệ mật thiết với nhiều lĩnh vực kinh tế – xã hội khác nhau, từ thanh toán tài chính, an toàn tiền tệ, nghĩa vụ thuế, cho đến quản lý hàng hóa cơ sở và phòng chống tội phạm kinh tế. Vì vậy, việc thiết lập một cơ chế phối hợp liên ngành là điều kiện tiên quyết để bảo đảm sự vận hành thông suốt, minh bạch và an toàn của thị trường. Trong đó, Ngân hàng Nhà nước giữ vai trò quan trọng trong quản lý dòng tiền, giám sát hoạt động thanh toán và phòng ngừa rửa tiền thông qua giao dịch phái sinh; Bộ Tài chính có trách nhiệm giám sát nghĩa vụ thuế, phí và chế độ hạch toán tài chính nhằm bảo đảm tính minh bạch trong báo cáo và nghĩa vụ ngân sách; Bộ Công an tham gia vào công tác phòng chống và xử lý các hành vi gian lận, thao túng, lừa đảo, bảo vệ an ninh tài chính; trong khi Bộ Nông nghiệp và Phát triển nông thôn phối hợp quản lý chất lượng, nguồn gốc và tính xác thực của hàng hóa nông sản được sử dụng làm tài sản cơ sở trong giao dịch.</w:t>
      </w:r>
    </w:p>
    <w:p w14:paraId="48F7615C" w14:textId="7F07E68B" w:rsidR="00A02035" w:rsidRPr="00A02035" w:rsidRDefault="00A02035" w:rsidP="004A574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Dự thảo Luật</w:t>
      </w:r>
      <w:r w:rsidRPr="00A02035">
        <w:rPr>
          <w:rFonts w:ascii="Times New Roman" w:hAnsi="Times New Roman" w:cs="Times New Roman"/>
          <w:sz w:val="28"/>
          <w:szCs w:val="28"/>
        </w:rPr>
        <w:t xml:space="preserve"> xác định rõ trách nhiệm của từng cơ quan, còn những nội dung kỹ thuật và quy trình cụ thể về chia sẻ dữ liệu, chế độ báo cáo và phương thức phối hợp sẽ được Chính phủ quy định tại Nghị định hoặc ban hành thành Quy chế liên ngành. Cách tiếp cận này vừa bảo đảm khung pháp lý chặt chẽ, vừa tạo sự linh hoạt trong tổ chức thực hiện, qua đó giúp nâng cao hiệu quả quản lý, giảm thiểu rủi ro hệ thống và củng cố niềm tin của nhà đầu tư đối với thị trường hàng hóa phái sinh.</w:t>
      </w:r>
    </w:p>
    <w:p w14:paraId="50A0A02A" w14:textId="465E5871" w:rsidR="004A574B" w:rsidRPr="00246EEC" w:rsidRDefault="00F32190" w:rsidP="004A574B">
      <w:pPr>
        <w:spacing w:before="120" w:after="120" w:line="240" w:lineRule="auto"/>
        <w:ind w:firstLine="720"/>
        <w:jc w:val="both"/>
        <w:rPr>
          <w:rFonts w:ascii="Times New Roman" w:eastAsia="Times New Roman" w:hAnsi="Times New Roman" w:cs="Times New Roman"/>
          <w:b/>
          <w:bCs/>
          <w:i/>
          <w:iCs/>
          <w:kern w:val="0"/>
          <w:sz w:val="28"/>
          <w:szCs w:val="28"/>
          <w:lang w:val="en-GB" w:eastAsia="en-GB"/>
          <w14:ligatures w14:val="none"/>
        </w:rPr>
      </w:pPr>
      <w:r>
        <w:rPr>
          <w:rFonts w:ascii="Times New Roman" w:eastAsia="Times New Roman" w:hAnsi="Times New Roman" w:cs="Times New Roman"/>
          <w:b/>
          <w:bCs/>
          <w:i/>
          <w:iCs/>
          <w:kern w:val="0"/>
          <w:sz w:val="28"/>
          <w:szCs w:val="28"/>
          <w:lang w:val="en-GB" w:eastAsia="en-GB"/>
          <w14:ligatures w14:val="none"/>
        </w:rPr>
        <w:t>5</w:t>
      </w:r>
      <w:r w:rsidR="004A574B" w:rsidRPr="00246EEC">
        <w:rPr>
          <w:rFonts w:ascii="Times New Roman" w:eastAsia="Times New Roman" w:hAnsi="Times New Roman" w:cs="Times New Roman"/>
          <w:b/>
          <w:bCs/>
          <w:i/>
          <w:iCs/>
          <w:kern w:val="0"/>
          <w:sz w:val="28"/>
          <w:szCs w:val="28"/>
          <w:lang w:val="en-GB" w:eastAsia="en-GB"/>
          <w14:ligatures w14:val="none"/>
        </w:rPr>
        <w:t>.</w:t>
      </w:r>
      <w:r w:rsidR="00246EEC" w:rsidRPr="00246EEC">
        <w:rPr>
          <w:rFonts w:ascii="Times New Roman" w:eastAsia="Times New Roman" w:hAnsi="Times New Roman" w:cs="Times New Roman"/>
          <w:b/>
          <w:bCs/>
          <w:i/>
          <w:iCs/>
          <w:kern w:val="0"/>
          <w:sz w:val="28"/>
          <w:szCs w:val="28"/>
          <w:lang w:val="en-GB" w:eastAsia="en-GB"/>
          <w14:ligatures w14:val="none"/>
        </w:rPr>
        <w:t>3</w:t>
      </w:r>
      <w:r w:rsidR="004A574B" w:rsidRPr="00246EEC">
        <w:rPr>
          <w:rFonts w:ascii="Times New Roman" w:eastAsia="Times New Roman" w:hAnsi="Times New Roman" w:cs="Times New Roman"/>
          <w:b/>
          <w:bCs/>
          <w:i/>
          <w:iCs/>
          <w:kern w:val="0"/>
          <w:sz w:val="28"/>
          <w:szCs w:val="28"/>
          <w:lang w:val="en-GB" w:eastAsia="en-GB"/>
          <w14:ligatures w14:val="none"/>
        </w:rPr>
        <w:t xml:space="preserve">. Công nhận và tạo hành lang pháp lý cho tổ chức xã hội </w:t>
      </w:r>
      <w:r>
        <w:rPr>
          <w:rFonts w:ascii="Times New Roman" w:eastAsia="Times New Roman" w:hAnsi="Times New Roman" w:cs="Times New Roman"/>
          <w:b/>
          <w:bCs/>
          <w:i/>
          <w:iCs/>
          <w:kern w:val="0"/>
          <w:sz w:val="28"/>
          <w:szCs w:val="28"/>
          <w:lang w:val="en-GB" w:eastAsia="en-GB"/>
          <w14:ligatures w14:val="none"/>
        </w:rPr>
        <w:t>-</w:t>
      </w:r>
      <w:r w:rsidR="004A574B" w:rsidRPr="00246EEC">
        <w:rPr>
          <w:rFonts w:ascii="Times New Roman" w:eastAsia="Times New Roman" w:hAnsi="Times New Roman" w:cs="Times New Roman"/>
          <w:b/>
          <w:bCs/>
          <w:i/>
          <w:iCs/>
          <w:kern w:val="0"/>
          <w:sz w:val="28"/>
          <w:szCs w:val="28"/>
          <w:lang w:val="en-GB" w:eastAsia="en-GB"/>
          <w14:ligatures w14:val="none"/>
        </w:rPr>
        <w:t xml:space="preserve"> nghề nghiệp</w:t>
      </w:r>
    </w:p>
    <w:p w14:paraId="600BD550" w14:textId="77777777" w:rsidR="00AE4CA4" w:rsidRDefault="00A02035" w:rsidP="00D429A2">
      <w:pPr>
        <w:spacing w:before="120" w:after="120" w:line="240" w:lineRule="auto"/>
        <w:ind w:firstLine="720"/>
        <w:jc w:val="both"/>
        <w:rPr>
          <w:rFonts w:ascii="Times New Roman" w:hAnsi="Times New Roman" w:cs="Times New Roman"/>
          <w:sz w:val="28"/>
          <w:szCs w:val="28"/>
        </w:rPr>
      </w:pPr>
      <w:r w:rsidRPr="00A02035">
        <w:rPr>
          <w:rFonts w:ascii="Times New Roman" w:hAnsi="Times New Roman" w:cs="Times New Roman"/>
          <w:sz w:val="28"/>
          <w:szCs w:val="28"/>
        </w:rPr>
        <w:t xml:space="preserve">Để bảo đảm sự phát triển bền vững và chuyên nghiệp của thị trường giao dịch hàng hóa phái sinh, Luật cần thiết phải ghi nhận và trao vai trò chính thức cho các tổ chức xã hội – nghề nghiệp như hiệp hội, hội môi giới, hội tư vấn. Đây là những chủ thể trung gian quan trọng, vừa đại diện cho lợi ích của cộng đồng hành nghề, vừa là cánh tay nối dài hỗ trợ cơ quan quản lý trong việc tổ chức, điều tiết và giám sát thị trường. Các tổ chức này được thành lập theo quy định của pháp luật và hoạt động dưới sự giám sát trực tiếp của </w:t>
      </w:r>
      <w:r w:rsidR="00AE4CA4">
        <w:rPr>
          <w:rFonts w:ascii="Times New Roman" w:hAnsi="Times New Roman" w:cs="Times New Roman"/>
          <w:sz w:val="28"/>
          <w:szCs w:val="28"/>
        </w:rPr>
        <w:t xml:space="preserve">Ủy ban giao dịch hàng hóa phái </w:t>
      </w:r>
      <w:r w:rsidR="00AE4CA4">
        <w:rPr>
          <w:rFonts w:ascii="Times New Roman" w:hAnsi="Times New Roman" w:cs="Times New Roman"/>
          <w:sz w:val="28"/>
          <w:szCs w:val="28"/>
        </w:rPr>
        <w:lastRenderedPageBreak/>
        <w:t>sinh</w:t>
      </w:r>
      <w:r w:rsidRPr="00A02035">
        <w:rPr>
          <w:rFonts w:ascii="Times New Roman" w:hAnsi="Times New Roman" w:cs="Times New Roman"/>
          <w:sz w:val="28"/>
          <w:szCs w:val="28"/>
        </w:rPr>
        <w:t xml:space="preserve">, đồng thời được trao một số chức năng cụ thể nhằm nâng cao chất lượng và chuẩn hóa hoạt động nghề nghiệp. </w:t>
      </w:r>
    </w:p>
    <w:p w14:paraId="33689683" w14:textId="0A64ECA4" w:rsidR="004A574B" w:rsidRDefault="00AE4CA4" w:rsidP="00D429A2">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Các tổ chức này có </w:t>
      </w:r>
      <w:r w:rsidR="00A02035" w:rsidRPr="00A02035">
        <w:rPr>
          <w:rFonts w:ascii="Times New Roman" w:hAnsi="Times New Roman" w:cs="Times New Roman"/>
          <w:sz w:val="28"/>
          <w:szCs w:val="28"/>
        </w:rPr>
        <w:t xml:space="preserve">trách nhiệm tổ chức đào tạo, bồi dưỡng kiến thức chuyên môn và cấp chứng chỉ hành nghề cho đội ngũ môi giới, tư vấn, góp phần hình thành nguồn nhân lực đạt chuẩn và đáp ứng yêu cầu của thị trường. Bên cạnh đó, việc xây dựng và giám sát thực thi các chuẩn mực đạo đức nghề nghiệp là nhiệm vụ quan trọng, nhằm bảo đảm tính liêm chính, minh bạch và hạn chế xung đột lợi ích trong hoạt động hành nghề. Các tổ chức này cũng cần tham gia vào quá trình xây dựng chính sách, thông qua việc đóng góp ý kiến, phản biện và đề xuất giải pháp phù hợp với thực tiễn vận hành thị trường. Ngoài ra, với lợi thế tiếp cận trực tiếp cộng đồng nhà đầu tư, các hiệp hội và hội nghề nghiệp còn có vai trò phối hợp với cơ quan quản lý trong công tác tuyên truyền, phổ biến kiến thức và nâng cao hiểu biết của công chúng về rủi ro cũng như lợi ích khi tham gia thị trường phái sinh. Song song với quyền hạn và vai trò được công nhận, các tổ chức này phải thực hiện nghĩa vụ báo cáo định kỳ </w:t>
      </w:r>
      <w:r>
        <w:rPr>
          <w:rFonts w:ascii="Times New Roman" w:hAnsi="Times New Roman" w:cs="Times New Roman"/>
          <w:sz w:val="28"/>
          <w:szCs w:val="28"/>
        </w:rPr>
        <w:t>đến Ủy ban giao dịch hàng hóa phái sinh</w:t>
      </w:r>
      <w:r w:rsidR="00A02035" w:rsidRPr="00A02035">
        <w:rPr>
          <w:rFonts w:ascii="Times New Roman" w:hAnsi="Times New Roman" w:cs="Times New Roman"/>
          <w:sz w:val="28"/>
          <w:szCs w:val="28"/>
        </w:rPr>
        <w:t>, bảo đảm cơ chế giám sát hai chiều vừa minh bạch</w:t>
      </w:r>
      <w:r w:rsidR="00231272">
        <w:rPr>
          <w:rFonts w:ascii="Times New Roman" w:hAnsi="Times New Roman" w:cs="Times New Roman"/>
          <w:sz w:val="28"/>
          <w:szCs w:val="28"/>
        </w:rPr>
        <w:t xml:space="preserve"> hiệu quả.</w:t>
      </w:r>
    </w:p>
    <w:p w14:paraId="2B8B8948" w14:textId="77777777" w:rsidR="00F32190" w:rsidRPr="00B13F8A" w:rsidRDefault="00F32190" w:rsidP="00F32190">
      <w:pPr>
        <w:pStyle w:val="NormalWeb"/>
        <w:tabs>
          <w:tab w:val="left" w:pos="993"/>
        </w:tabs>
        <w:spacing w:before="120" w:beforeAutospacing="0" w:after="0" w:afterAutospacing="0" w:line="264" w:lineRule="auto"/>
        <w:ind w:firstLine="720"/>
        <w:jc w:val="both"/>
        <w:rPr>
          <w:b/>
          <w:bCs/>
          <w:sz w:val="28"/>
          <w:szCs w:val="28"/>
        </w:rPr>
      </w:pPr>
      <w:r>
        <w:rPr>
          <w:rStyle w:val="Strong"/>
          <w:rFonts w:eastAsiaTheme="majorEastAsia"/>
          <w:sz w:val="28"/>
          <w:szCs w:val="28"/>
        </w:rPr>
        <w:t>6</w:t>
      </w:r>
      <w:r w:rsidR="00590E4E" w:rsidRPr="00590E4E">
        <w:rPr>
          <w:rStyle w:val="Strong"/>
          <w:rFonts w:eastAsiaTheme="majorEastAsia"/>
          <w:sz w:val="28"/>
          <w:szCs w:val="28"/>
        </w:rPr>
        <w:t xml:space="preserve">. Chính sách </w:t>
      </w:r>
      <w:r>
        <w:rPr>
          <w:rStyle w:val="Strong"/>
          <w:rFonts w:eastAsiaTheme="majorEastAsia"/>
          <w:sz w:val="28"/>
          <w:szCs w:val="28"/>
        </w:rPr>
        <w:t>6</w:t>
      </w:r>
      <w:r w:rsidR="00590E4E" w:rsidRPr="00590E4E">
        <w:rPr>
          <w:rStyle w:val="Strong"/>
          <w:rFonts w:eastAsiaTheme="majorEastAsia"/>
          <w:sz w:val="28"/>
          <w:szCs w:val="28"/>
        </w:rPr>
        <w:t xml:space="preserve">: </w:t>
      </w:r>
      <w:r w:rsidRPr="00B13F8A">
        <w:rPr>
          <w:b/>
          <w:bCs/>
          <w:sz w:val="28"/>
          <w:szCs w:val="28"/>
        </w:rPr>
        <w:t>Hội nhập quốc tế và quản lý giao dịch xuyên biên giới:</w:t>
      </w:r>
    </w:p>
    <w:p w14:paraId="1A30AFD1" w14:textId="4D9A6EB5" w:rsidR="00590E4E" w:rsidRPr="00590E4E" w:rsidRDefault="00F32190" w:rsidP="00590E4E">
      <w:pPr>
        <w:spacing w:before="120" w:after="120" w:line="240" w:lineRule="auto"/>
        <w:ind w:firstLine="720"/>
        <w:jc w:val="both"/>
        <w:rPr>
          <w:rStyle w:val="Strong"/>
          <w:rFonts w:ascii="Times New Roman" w:eastAsiaTheme="majorEastAsia" w:hAnsi="Times New Roman" w:cs="Times New Roman"/>
          <w:i/>
          <w:iCs/>
          <w:sz w:val="28"/>
          <w:szCs w:val="28"/>
        </w:rPr>
      </w:pPr>
      <w:r>
        <w:rPr>
          <w:rStyle w:val="Strong"/>
          <w:rFonts w:ascii="Times New Roman" w:eastAsiaTheme="majorEastAsia" w:hAnsi="Times New Roman" w:cs="Times New Roman"/>
          <w:i/>
          <w:iCs/>
          <w:sz w:val="28"/>
          <w:szCs w:val="28"/>
        </w:rPr>
        <w:t>6</w:t>
      </w:r>
      <w:r w:rsidR="00590E4E" w:rsidRPr="00590E4E">
        <w:rPr>
          <w:rStyle w:val="Strong"/>
          <w:rFonts w:ascii="Times New Roman" w:eastAsiaTheme="majorEastAsia" w:hAnsi="Times New Roman" w:cs="Times New Roman"/>
          <w:i/>
          <w:iCs/>
          <w:sz w:val="28"/>
          <w:szCs w:val="28"/>
        </w:rPr>
        <w:t>.1. Quy định nguyên tắc và điều kiện liên thông với Sở giao dịch hàng hóa quốc tế</w:t>
      </w:r>
    </w:p>
    <w:p w14:paraId="2BB907F6" w14:textId="0E85563F" w:rsidR="0094570A" w:rsidRDefault="0094570A" w:rsidP="00590E4E">
      <w:pPr>
        <w:spacing w:before="120" w:after="120" w:line="240" w:lineRule="auto"/>
        <w:ind w:firstLine="720"/>
        <w:jc w:val="both"/>
        <w:rPr>
          <w:rFonts w:ascii="Times New Roman" w:hAnsi="Times New Roman" w:cs="Times New Roman"/>
          <w:sz w:val="28"/>
          <w:szCs w:val="28"/>
        </w:rPr>
      </w:pPr>
      <w:r w:rsidRPr="0094570A">
        <w:rPr>
          <w:rFonts w:ascii="Times New Roman" w:hAnsi="Times New Roman" w:cs="Times New Roman"/>
          <w:sz w:val="28"/>
          <w:szCs w:val="28"/>
        </w:rPr>
        <w:t xml:space="preserve">Trong bối cảnh toàn cầu hóa và hội nhập kinh tế quốc tế ngày càng sâu rộng, việc cho phép Sở Giao dịch hàng hóa phái sinh của Việt Nam liên thông với các Sở giao dịch hàng hóa quốc tế không chỉ là xu hướng tất yếu mà còn là bước đi chiến lược nhằm mở rộng quy mô thị trường, tăng tính thanh khoản, đa dạng hóa sản phẩm và thu hút sự tham gia của các nhà đầu tư nước ngoài. Tuy nhiên, để bảo đảm quá trình liên thông vừa mở cửa hội nhập vừa giữ vững chủ quyền quản lý nhà nước, </w:t>
      </w:r>
      <w:r>
        <w:rPr>
          <w:rFonts w:ascii="Times New Roman" w:hAnsi="Times New Roman" w:cs="Times New Roman"/>
          <w:sz w:val="28"/>
          <w:szCs w:val="28"/>
        </w:rPr>
        <w:t>dự thảo Luật</w:t>
      </w:r>
      <w:r w:rsidRPr="0094570A">
        <w:rPr>
          <w:rFonts w:ascii="Times New Roman" w:hAnsi="Times New Roman" w:cs="Times New Roman"/>
          <w:sz w:val="28"/>
          <w:szCs w:val="28"/>
        </w:rPr>
        <w:t xml:space="preserve"> những nguyên tắc cơ bản làm nền tảng pháp lý cho hoạt động này. Các nguyên tắc bao gồm sự tương thích về khung pháp lý, sự đồng bộ về chuẩn mực giao dịch và tính tương thích của hạ tầng công nghệ, nhằm bảo đảm các giao dịch xuyên biên giới được vận hành thông suốt, minh bạch và công bằng.</w:t>
      </w:r>
    </w:p>
    <w:p w14:paraId="63169A30" w14:textId="1A3D335E" w:rsidR="0094570A" w:rsidRDefault="0094570A" w:rsidP="00590E4E">
      <w:pPr>
        <w:spacing w:before="120" w:after="120" w:line="240" w:lineRule="auto"/>
        <w:ind w:firstLine="720"/>
        <w:jc w:val="both"/>
        <w:rPr>
          <w:rFonts w:ascii="Times New Roman" w:hAnsi="Times New Roman" w:cs="Times New Roman"/>
          <w:sz w:val="28"/>
          <w:szCs w:val="28"/>
        </w:rPr>
      </w:pPr>
      <w:r w:rsidRPr="0094570A">
        <w:rPr>
          <w:rFonts w:ascii="Times New Roman" w:hAnsi="Times New Roman" w:cs="Times New Roman"/>
          <w:sz w:val="28"/>
          <w:szCs w:val="28"/>
        </w:rPr>
        <w:t xml:space="preserve">Đồng thời, </w:t>
      </w:r>
      <w:r>
        <w:rPr>
          <w:rFonts w:ascii="Times New Roman" w:hAnsi="Times New Roman" w:cs="Times New Roman"/>
          <w:sz w:val="28"/>
          <w:szCs w:val="28"/>
        </w:rPr>
        <w:t>dự thảo Luật cũng</w:t>
      </w:r>
      <w:r w:rsidRPr="0094570A">
        <w:rPr>
          <w:rFonts w:ascii="Times New Roman" w:hAnsi="Times New Roman" w:cs="Times New Roman"/>
          <w:sz w:val="28"/>
          <w:szCs w:val="28"/>
        </w:rPr>
        <w:t xml:space="preserve"> quy định các điều kiện chặt chẽ để triển khai liên thông, trong đó nhấn mạnh yêu cầu bảo đảm an toàn hệ thống tài chính quốc gia, tuân thủ nghiêm ngặt các quy định về quản lý ngoại hối, phòng chống rửa tiền và chống tài trợ khủng bố, cũng như bảo đảm mọi hoạt động giao dịch quốc tế đều đáp ứng chuẩn mực công khai, minh bạch và bảo vệ quyền lợi nhà đầu tư. Việc quy định khung nguyên tắc ở cấp Luật giúp tạo hành lang pháp lý ổn định, còn chi tiết về lựa chọn đối tác liên thông, quy trình kỹ thuật, phương thức chia sẻ dữ liệu và cơ chế giám sát song phương hoặc đa phương sẽ được giao cho Chính phủ quy định, nhằm bảo đảm tính linh hoạt trong thực thi và khả năng điều chỉnh phù hợp với bối cảnh thực tiễn. Cách tiếp cận này vừa cho phép thị trường hàng hóa phái sinh Việt Nam hội nhập với dòng chảy quốc tế, vừa bảo đảm lợi ích quốc gia và an ninh tài chính trong dài hạn.</w:t>
      </w:r>
    </w:p>
    <w:p w14:paraId="4BBF7F96" w14:textId="6D1DB47B" w:rsidR="00590E4E" w:rsidRPr="0094570A" w:rsidRDefault="00F32190" w:rsidP="00590E4E">
      <w:pPr>
        <w:spacing w:before="120" w:after="120" w:line="240" w:lineRule="auto"/>
        <w:ind w:firstLine="720"/>
        <w:jc w:val="both"/>
        <w:rPr>
          <w:rStyle w:val="Strong"/>
          <w:rFonts w:ascii="Times New Roman" w:eastAsiaTheme="majorEastAsia" w:hAnsi="Times New Roman" w:cs="Times New Roman"/>
          <w:i/>
          <w:iCs/>
          <w:sz w:val="28"/>
          <w:szCs w:val="28"/>
        </w:rPr>
      </w:pPr>
      <w:r>
        <w:rPr>
          <w:rStyle w:val="Strong"/>
          <w:rFonts w:ascii="Times New Roman" w:eastAsiaTheme="majorEastAsia" w:hAnsi="Times New Roman" w:cs="Times New Roman"/>
          <w:i/>
          <w:iCs/>
          <w:sz w:val="28"/>
          <w:szCs w:val="28"/>
        </w:rPr>
        <w:lastRenderedPageBreak/>
        <w:t>6</w:t>
      </w:r>
      <w:r w:rsidR="00590E4E" w:rsidRPr="0094570A">
        <w:rPr>
          <w:rStyle w:val="Strong"/>
          <w:rFonts w:ascii="Times New Roman" w:eastAsiaTheme="majorEastAsia" w:hAnsi="Times New Roman" w:cs="Times New Roman"/>
          <w:i/>
          <w:iCs/>
          <w:sz w:val="28"/>
          <w:szCs w:val="28"/>
        </w:rPr>
        <w:t>.2. Quy định trách nhiệm và quy trình phát triển hợp đồng hàng hóa nội địa ra quốc tế</w:t>
      </w:r>
    </w:p>
    <w:p w14:paraId="540EB3E9" w14:textId="11ECCAEB" w:rsidR="00320173" w:rsidRDefault="0094570A" w:rsidP="00590E4E">
      <w:pPr>
        <w:spacing w:before="120" w:after="120" w:line="240" w:lineRule="auto"/>
        <w:ind w:firstLine="720"/>
        <w:jc w:val="both"/>
        <w:rPr>
          <w:rFonts w:ascii="Times New Roman" w:hAnsi="Times New Roman" w:cs="Times New Roman"/>
          <w:sz w:val="28"/>
          <w:szCs w:val="28"/>
        </w:rPr>
      </w:pPr>
      <w:r w:rsidRPr="0094570A">
        <w:rPr>
          <w:rFonts w:ascii="Times New Roman" w:hAnsi="Times New Roman" w:cs="Times New Roman"/>
          <w:sz w:val="28"/>
          <w:szCs w:val="28"/>
        </w:rPr>
        <w:t xml:space="preserve">Để nâng cao vị thế của hàng hóa Việt Nam và từng bước khẳng định vai trò trên bản đồ phái sinh toàn cầu, </w:t>
      </w:r>
      <w:r w:rsidR="006062C4">
        <w:rPr>
          <w:rFonts w:ascii="Times New Roman" w:hAnsi="Times New Roman" w:cs="Times New Roman"/>
          <w:sz w:val="28"/>
          <w:szCs w:val="28"/>
        </w:rPr>
        <w:t>dự thảo Luật quy định</w:t>
      </w:r>
      <w:r w:rsidRPr="0094570A">
        <w:rPr>
          <w:rFonts w:ascii="Times New Roman" w:hAnsi="Times New Roman" w:cs="Times New Roman"/>
          <w:sz w:val="28"/>
          <w:szCs w:val="28"/>
        </w:rPr>
        <w:t xml:space="preserve"> cơ chế pháp lý cho phép phát triển các hợp đồng hàng hóa nội địa trở thành sản phẩm giao dịch quốc tế. Cơ chế này không chỉ mở ra cơ hội quảng bá thương hiệu hàng hóa Việt mà còn tạo công cụ phòng ngừa rủi ro hữu hiệu cho các doanh nghiệp xuất nhập khẩu trong bối cảnh hội nhập. Trách nhiệm trung tâm thuộc về Sở Giao dịch hàng hóa phái sinh, với vai trò khởi xướng, chuẩn hóa và xây dựng các hợp đồng dựa trên những mặt hàng chủ lực của Việt Nam, như nông sản, cà phê, hạt tiêu, gạo, cao su hay các sản phẩm công nghiệp có sức cạnh tranh. Sở Giao dịch phải bảo đảm rằng hợp đồng được thiết kế theo chuẩn mực quốc tế, bao gồm các yếu tố về quy mô hợp đồng, đơn vị giao dịch, phương thức thanh toán, cơ chế ký quỹ và thanh toán bù trừ, đồng thời đáp ứng yêu cầu minh bạch và dễ dàng so sánh với sản phẩm tương tự trên các Sở giao dịch quốc tế.</w:t>
      </w:r>
    </w:p>
    <w:p w14:paraId="53114C31" w14:textId="11E8CEC3" w:rsidR="00590E4E" w:rsidRPr="0094570A" w:rsidRDefault="0094570A" w:rsidP="00590E4E">
      <w:pPr>
        <w:spacing w:before="120" w:after="120" w:line="240" w:lineRule="auto"/>
        <w:ind w:firstLine="720"/>
        <w:jc w:val="both"/>
        <w:rPr>
          <w:rStyle w:val="Strong"/>
          <w:rFonts w:ascii="Times New Roman" w:eastAsiaTheme="majorEastAsia" w:hAnsi="Times New Roman" w:cs="Times New Roman"/>
          <w:b w:val="0"/>
          <w:bCs w:val="0"/>
          <w:sz w:val="28"/>
          <w:szCs w:val="28"/>
        </w:rPr>
      </w:pPr>
      <w:r w:rsidRPr="0094570A">
        <w:rPr>
          <w:rFonts w:ascii="Times New Roman" w:hAnsi="Times New Roman" w:cs="Times New Roman"/>
          <w:sz w:val="28"/>
          <w:szCs w:val="28"/>
        </w:rPr>
        <w:t xml:space="preserve">Bên cạnh đó, Sở có trách nhiệm phối hợp chặt chẽ với các cơ quan quản lý nhà nước như Bộ Nông nghiệp và </w:t>
      </w:r>
      <w:r w:rsidR="00320173">
        <w:rPr>
          <w:rFonts w:ascii="Times New Roman" w:hAnsi="Times New Roman" w:cs="Times New Roman"/>
          <w:sz w:val="28"/>
          <w:szCs w:val="28"/>
        </w:rPr>
        <w:t>Môi trường</w:t>
      </w:r>
      <w:r w:rsidRPr="0094570A">
        <w:rPr>
          <w:rFonts w:ascii="Times New Roman" w:hAnsi="Times New Roman" w:cs="Times New Roman"/>
          <w:sz w:val="28"/>
          <w:szCs w:val="28"/>
        </w:rPr>
        <w:t xml:space="preserve"> trong việc xác định chất lượng và nguồn gốc hàng hóa, Bộ Công Thương trong việc định hướng phát triển thị trường và quản lý giao dịch, Bộ Tài chính trong việc giám sát nghĩa vụ tài chính và chuẩn mực kế toán, nhằm bảo đảm tính đồng bộ và uy tín của sản phẩm. Toàn bộ quá trình từ khâu chuẩn hóa sản phẩm, thẩm định hợp đồng, đến phê duyệt niêm yết ra quốc tế cần được kiểm soát chặt chẽ bởi cơ quan quản lý chuyên ngành, nhằm tránh tình trạng đưa ra thị trường những sản phẩm kém thanh khoản, thiếu chuẩn hóa hoặc tiềm ẩn rủi ro cao. Cuối cùng, việc ký kết các thỏa thuận hợp tác với Sở giao dịch quốc tế phải đi kèm với cơ chế giám sát song phương và chia sẻ dữ liệu, bảo đảm rằng hợp đồng hàng hóa nội địa khi bước ra thị trường toàn cầu vừa giữ được uy tín quốc gia, vừa đáp ứng yêu cầu khắt khe của các đối tác quốc tế.</w:t>
      </w:r>
    </w:p>
    <w:p w14:paraId="59A4E4CB" w14:textId="03865E6C" w:rsidR="00590E4E" w:rsidRPr="007B66CC" w:rsidRDefault="00F32190" w:rsidP="00590E4E">
      <w:pPr>
        <w:spacing w:before="120" w:after="120" w:line="240" w:lineRule="auto"/>
        <w:ind w:firstLine="720"/>
        <w:jc w:val="both"/>
        <w:rPr>
          <w:rStyle w:val="Strong"/>
          <w:rFonts w:ascii="Times New Roman" w:eastAsiaTheme="majorEastAsia" w:hAnsi="Times New Roman" w:cs="Times New Roman"/>
          <w:sz w:val="28"/>
          <w:szCs w:val="28"/>
        </w:rPr>
      </w:pPr>
      <w:r>
        <w:rPr>
          <w:rStyle w:val="Strong"/>
          <w:rFonts w:ascii="Times New Roman" w:eastAsiaTheme="majorEastAsia" w:hAnsi="Times New Roman" w:cs="Times New Roman"/>
          <w:sz w:val="28"/>
          <w:szCs w:val="28"/>
        </w:rPr>
        <w:t>6</w:t>
      </w:r>
      <w:r w:rsidR="00590E4E" w:rsidRPr="007B66CC">
        <w:rPr>
          <w:rStyle w:val="Strong"/>
          <w:rFonts w:ascii="Times New Roman" w:eastAsiaTheme="majorEastAsia" w:hAnsi="Times New Roman" w:cs="Times New Roman"/>
          <w:sz w:val="28"/>
          <w:szCs w:val="28"/>
        </w:rPr>
        <w:t>.3. Quy định cơ chế quản lý rủi ro xuyên biên giới và bảo vệ nhà đầu tư trong giao dịch liên thông</w:t>
      </w:r>
    </w:p>
    <w:p w14:paraId="2F249F62" w14:textId="77777777" w:rsidR="007B66CC" w:rsidRDefault="003A52CC" w:rsidP="003A52CC">
      <w:pPr>
        <w:spacing w:before="120" w:after="120" w:line="240" w:lineRule="auto"/>
        <w:ind w:firstLine="720"/>
        <w:jc w:val="both"/>
        <w:rPr>
          <w:rFonts w:ascii="Times New Roman" w:hAnsi="Times New Roman" w:cs="Times New Roman"/>
          <w:sz w:val="28"/>
          <w:szCs w:val="28"/>
        </w:rPr>
      </w:pPr>
      <w:r w:rsidRPr="003A52CC">
        <w:rPr>
          <w:rFonts w:ascii="Times New Roman" w:hAnsi="Times New Roman" w:cs="Times New Roman"/>
          <w:sz w:val="28"/>
          <w:szCs w:val="28"/>
        </w:rPr>
        <w:t xml:space="preserve">Giao dịch hàng hóa phái sinh xuyên biên giới mở ra cơ hội lớn về hội nhập và mở rộng thị trường nhưng cũng tiềm ẩn những rủi ro phức tạp, đòi hỏi phải có cơ chế quản lý chặt chẽ. Sự khác biệt về khung pháp luật, cơ chế thanh toán quốc tế, chuẩn mực giám sát và thẩm quyền tài phán giữa các quốc gia dễ dẫn đến xung đột trong quản lý và giải quyết tranh chấp. Đồng thời, các nguy cơ gian lận xuyên biên giới, rửa tiền hoặc biến động bất thường từ các thị trường lớn có thể tác động trực tiếp đến sự ổn định của thị trường trong nước. </w:t>
      </w:r>
      <w:r w:rsidR="007B66CC">
        <w:rPr>
          <w:rFonts w:ascii="Times New Roman" w:hAnsi="Times New Roman" w:cs="Times New Roman"/>
          <w:sz w:val="28"/>
          <w:szCs w:val="28"/>
        </w:rPr>
        <w:t>Theo đó, Luật</w:t>
      </w:r>
      <w:r w:rsidRPr="003A52CC">
        <w:rPr>
          <w:rFonts w:ascii="Times New Roman" w:hAnsi="Times New Roman" w:cs="Times New Roman"/>
          <w:sz w:val="28"/>
          <w:szCs w:val="28"/>
        </w:rPr>
        <w:t xml:space="preserve"> thiết lập một cơ chế quản lý rủi ro xuyên biên giới, trong đó S</w:t>
      </w:r>
      <w:r w:rsidR="007B66CC">
        <w:rPr>
          <w:rFonts w:ascii="Times New Roman" w:hAnsi="Times New Roman" w:cs="Times New Roman"/>
          <w:sz w:val="28"/>
          <w:szCs w:val="28"/>
        </w:rPr>
        <w:t xml:space="preserve">ở </w:t>
      </w:r>
      <w:r w:rsidRPr="003A52CC">
        <w:rPr>
          <w:rFonts w:ascii="Times New Roman" w:hAnsi="Times New Roman" w:cs="Times New Roman"/>
          <w:sz w:val="28"/>
          <w:szCs w:val="28"/>
        </w:rPr>
        <w:t>GDHHPS, CCP và cơ quan quản lý có trách nhiệm chủ động ký kết thỏa thuận hợp tác giám sát với các sở giao dịch và cơ quan quản lý nước ngoài, thiết lập cơ chế chia sẻ dữ liệu và phối hợp xử lý sự cố nhằm phát hiện và ngăn chặn kịp thời những bất thường trong giao dịch.</w:t>
      </w:r>
    </w:p>
    <w:p w14:paraId="22C9247F" w14:textId="77777777" w:rsidR="007B66CC" w:rsidRDefault="003A52CC" w:rsidP="003A52CC">
      <w:pPr>
        <w:spacing w:before="120" w:after="120" w:line="240" w:lineRule="auto"/>
        <w:ind w:firstLine="720"/>
        <w:jc w:val="both"/>
        <w:rPr>
          <w:rFonts w:ascii="Times New Roman" w:hAnsi="Times New Roman" w:cs="Times New Roman"/>
          <w:sz w:val="28"/>
          <w:szCs w:val="28"/>
        </w:rPr>
      </w:pPr>
      <w:r w:rsidRPr="003A52CC">
        <w:rPr>
          <w:rFonts w:ascii="Times New Roman" w:hAnsi="Times New Roman" w:cs="Times New Roman"/>
          <w:sz w:val="28"/>
          <w:szCs w:val="28"/>
        </w:rPr>
        <w:t xml:space="preserve">Về phía nhà đầu tư, </w:t>
      </w:r>
      <w:r w:rsidR="007B66CC">
        <w:rPr>
          <w:rFonts w:ascii="Times New Roman" w:hAnsi="Times New Roman" w:cs="Times New Roman"/>
          <w:sz w:val="28"/>
          <w:szCs w:val="28"/>
        </w:rPr>
        <w:t>dự thảo Luật quy định</w:t>
      </w:r>
      <w:r w:rsidRPr="003A52CC">
        <w:rPr>
          <w:rFonts w:ascii="Times New Roman" w:hAnsi="Times New Roman" w:cs="Times New Roman"/>
          <w:sz w:val="28"/>
          <w:szCs w:val="28"/>
        </w:rPr>
        <w:t xml:space="preserve"> cơ chế bảo vệ toàn diện, từ yêu cầu công bố đầy đủ và rõ ràng các rủi ro liên quan đến giao dịch liên thông, đến </w:t>
      </w:r>
      <w:r w:rsidRPr="003A52CC">
        <w:rPr>
          <w:rFonts w:ascii="Times New Roman" w:hAnsi="Times New Roman" w:cs="Times New Roman"/>
          <w:sz w:val="28"/>
          <w:szCs w:val="28"/>
        </w:rPr>
        <w:lastRenderedPageBreak/>
        <w:t>nghĩa vụ tư vấn bắt buộc của môi giới trước khi khách hàng tham gia giao dịch quốc tế, để nhà đầu tư có thể đưa ra quyết định trên cơ sở thông tin minh bạch và đầy đủ. Đồng thời, cần xây dựng một cơ chế giải quyết tranh chấp có yếu tố nước ngoài, bảo đảm sự công bằng, khả thi và phù hợp với thông lệ quốc tế, nhằm tạo niềm tin cho nhà đầu tư khi tham gia thị trường xuyên biên giới.</w:t>
      </w:r>
    </w:p>
    <w:p w14:paraId="27F6BE31" w14:textId="46EF272E" w:rsidR="00934293" w:rsidRPr="00BE4A6B" w:rsidRDefault="003A52CC" w:rsidP="003A52CC">
      <w:pPr>
        <w:spacing w:before="120" w:after="120" w:line="240" w:lineRule="auto"/>
        <w:ind w:firstLine="720"/>
        <w:jc w:val="both"/>
        <w:rPr>
          <w:rFonts w:ascii="Times New Roman" w:hAnsi="Times New Roman" w:cs="Times New Roman"/>
          <w:sz w:val="28"/>
          <w:szCs w:val="28"/>
        </w:rPr>
      </w:pPr>
      <w:r w:rsidRPr="003A52CC">
        <w:rPr>
          <w:rFonts w:ascii="Times New Roman" w:hAnsi="Times New Roman" w:cs="Times New Roman"/>
          <w:sz w:val="28"/>
          <w:szCs w:val="28"/>
        </w:rPr>
        <w:t xml:space="preserve">Ngoài ra, Luật cũng </w:t>
      </w:r>
      <w:r w:rsidR="007B66CC">
        <w:rPr>
          <w:rFonts w:ascii="Times New Roman" w:hAnsi="Times New Roman" w:cs="Times New Roman"/>
          <w:sz w:val="28"/>
          <w:szCs w:val="28"/>
        </w:rPr>
        <w:t>giao</w:t>
      </w:r>
      <w:r w:rsidRPr="003A52CC">
        <w:rPr>
          <w:rFonts w:ascii="Times New Roman" w:hAnsi="Times New Roman" w:cs="Times New Roman"/>
          <w:sz w:val="28"/>
          <w:szCs w:val="28"/>
        </w:rPr>
        <w:t xml:space="preserve"> Chính phủ q</w:t>
      </w:r>
      <w:r w:rsidR="007B66CC">
        <w:rPr>
          <w:rFonts w:ascii="Times New Roman" w:hAnsi="Times New Roman" w:cs="Times New Roman"/>
          <w:sz w:val="28"/>
          <w:szCs w:val="28"/>
        </w:rPr>
        <w:t>uy định</w:t>
      </w:r>
      <w:r w:rsidRPr="003A52CC">
        <w:rPr>
          <w:rFonts w:ascii="Times New Roman" w:hAnsi="Times New Roman" w:cs="Times New Roman"/>
          <w:sz w:val="28"/>
          <w:szCs w:val="28"/>
        </w:rPr>
        <w:t xml:space="preserve"> các biện pháp khẩn cấp, bao gồm hạn chế hoặc tạm đình chỉ giao dịch liên thông, trong trường hợp xuất hiện rủi ro hệ thống, biến </w:t>
      </w:r>
      <w:r w:rsidRPr="00BE4A6B">
        <w:rPr>
          <w:rFonts w:ascii="Times New Roman" w:hAnsi="Times New Roman" w:cs="Times New Roman"/>
          <w:sz w:val="28"/>
          <w:szCs w:val="28"/>
        </w:rPr>
        <w:t>động bất thường hoặc nguy cơ đe dọa đến an ninh tài chính quốc gia.</w:t>
      </w:r>
    </w:p>
    <w:sectPr w:rsidR="00934293" w:rsidRPr="00BE4A6B" w:rsidSect="009071B4">
      <w:pgSz w:w="11907" w:h="16840" w:code="9"/>
      <w:pgMar w:top="1134" w:right="1134" w:bottom="1134" w:left="1701" w:header="397" w:footer="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9E3E7" w14:textId="77777777" w:rsidR="005E68E8" w:rsidRDefault="005E68E8" w:rsidP="004C4449">
      <w:pPr>
        <w:spacing w:after="0" w:line="240" w:lineRule="auto"/>
      </w:pPr>
      <w:r>
        <w:separator/>
      </w:r>
    </w:p>
  </w:endnote>
  <w:endnote w:type="continuationSeparator" w:id="0">
    <w:p w14:paraId="4F60E0D1" w14:textId="77777777" w:rsidR="005E68E8" w:rsidRDefault="005E68E8" w:rsidP="004C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45DF" w14:textId="77777777" w:rsidR="005E68E8" w:rsidRDefault="005E68E8" w:rsidP="004C4449">
      <w:pPr>
        <w:spacing w:after="0" w:line="240" w:lineRule="auto"/>
      </w:pPr>
      <w:r>
        <w:separator/>
      </w:r>
    </w:p>
  </w:footnote>
  <w:footnote w:type="continuationSeparator" w:id="0">
    <w:p w14:paraId="087703CE" w14:textId="77777777" w:rsidR="005E68E8" w:rsidRDefault="005E68E8" w:rsidP="004C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41323660"/>
      <w:docPartObj>
        <w:docPartGallery w:val="Page Numbers (Top of Page)"/>
        <w:docPartUnique/>
      </w:docPartObj>
    </w:sdtPr>
    <w:sdtEndPr>
      <w:rPr>
        <w:noProof/>
      </w:rPr>
    </w:sdtEndPr>
    <w:sdtContent>
      <w:p w14:paraId="1E81E482" w14:textId="19559B60" w:rsidR="009071B4" w:rsidRPr="009071B4" w:rsidRDefault="009071B4">
        <w:pPr>
          <w:pStyle w:val="Header"/>
          <w:jc w:val="center"/>
          <w:rPr>
            <w:rFonts w:ascii="Times New Roman" w:hAnsi="Times New Roman" w:cs="Times New Roman"/>
            <w:sz w:val="28"/>
            <w:szCs w:val="28"/>
          </w:rPr>
        </w:pPr>
        <w:r w:rsidRPr="009071B4">
          <w:rPr>
            <w:rFonts w:ascii="Times New Roman" w:hAnsi="Times New Roman" w:cs="Times New Roman"/>
            <w:sz w:val="28"/>
            <w:szCs w:val="28"/>
          </w:rPr>
          <w:fldChar w:fldCharType="begin"/>
        </w:r>
        <w:r w:rsidRPr="009071B4">
          <w:rPr>
            <w:rFonts w:ascii="Times New Roman" w:hAnsi="Times New Roman" w:cs="Times New Roman"/>
            <w:sz w:val="28"/>
            <w:szCs w:val="28"/>
          </w:rPr>
          <w:instrText xml:space="preserve"> PAGE   \* MERGEFORMAT </w:instrText>
        </w:r>
        <w:r w:rsidRPr="009071B4">
          <w:rPr>
            <w:rFonts w:ascii="Times New Roman" w:hAnsi="Times New Roman" w:cs="Times New Roman"/>
            <w:sz w:val="28"/>
            <w:szCs w:val="28"/>
          </w:rPr>
          <w:fldChar w:fldCharType="separate"/>
        </w:r>
        <w:r w:rsidRPr="009071B4">
          <w:rPr>
            <w:rFonts w:ascii="Times New Roman" w:hAnsi="Times New Roman" w:cs="Times New Roman"/>
            <w:noProof/>
            <w:sz w:val="28"/>
            <w:szCs w:val="28"/>
          </w:rPr>
          <w:t>2</w:t>
        </w:r>
        <w:r w:rsidRPr="009071B4">
          <w:rPr>
            <w:rFonts w:ascii="Times New Roman" w:hAnsi="Times New Roman" w:cs="Times New Roman"/>
            <w:noProof/>
            <w:sz w:val="28"/>
            <w:szCs w:val="28"/>
          </w:rPr>
          <w:fldChar w:fldCharType="end"/>
        </w:r>
      </w:p>
    </w:sdtContent>
  </w:sdt>
  <w:p w14:paraId="1F8D48F4" w14:textId="77777777" w:rsidR="009071B4" w:rsidRDefault="00907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162091"/>
      <w:docPartObj>
        <w:docPartGallery w:val="Page Numbers (Top of Page)"/>
        <w:docPartUnique/>
      </w:docPartObj>
    </w:sdtPr>
    <w:sdtEndPr>
      <w:rPr>
        <w:rFonts w:ascii="Times New Roman" w:hAnsi="Times New Roman" w:cs="Times New Roman"/>
        <w:noProof/>
        <w:sz w:val="28"/>
        <w:szCs w:val="28"/>
      </w:rPr>
    </w:sdtEndPr>
    <w:sdtContent>
      <w:p w14:paraId="55D10624" w14:textId="2176DCCD" w:rsidR="009071B4" w:rsidRPr="009071B4" w:rsidRDefault="009071B4">
        <w:pPr>
          <w:pStyle w:val="Header"/>
          <w:jc w:val="center"/>
          <w:rPr>
            <w:rFonts w:ascii="Times New Roman" w:hAnsi="Times New Roman" w:cs="Times New Roman"/>
            <w:sz w:val="28"/>
            <w:szCs w:val="28"/>
          </w:rPr>
        </w:pPr>
        <w:r w:rsidRPr="009071B4">
          <w:rPr>
            <w:rFonts w:ascii="Times New Roman" w:hAnsi="Times New Roman" w:cs="Times New Roman"/>
            <w:sz w:val="28"/>
            <w:szCs w:val="28"/>
          </w:rPr>
          <w:fldChar w:fldCharType="begin"/>
        </w:r>
        <w:r w:rsidRPr="009071B4">
          <w:rPr>
            <w:rFonts w:ascii="Times New Roman" w:hAnsi="Times New Roman" w:cs="Times New Roman"/>
            <w:sz w:val="28"/>
            <w:szCs w:val="28"/>
          </w:rPr>
          <w:instrText xml:space="preserve"> PAGE   \* MERGEFORMAT </w:instrText>
        </w:r>
        <w:r w:rsidRPr="009071B4">
          <w:rPr>
            <w:rFonts w:ascii="Times New Roman" w:hAnsi="Times New Roman" w:cs="Times New Roman"/>
            <w:sz w:val="28"/>
            <w:szCs w:val="28"/>
          </w:rPr>
          <w:fldChar w:fldCharType="separate"/>
        </w:r>
        <w:r w:rsidRPr="009071B4">
          <w:rPr>
            <w:rFonts w:ascii="Times New Roman" w:hAnsi="Times New Roman" w:cs="Times New Roman"/>
            <w:noProof/>
            <w:sz w:val="28"/>
            <w:szCs w:val="28"/>
          </w:rPr>
          <w:t>2</w:t>
        </w:r>
        <w:r w:rsidRPr="009071B4">
          <w:rPr>
            <w:rFonts w:ascii="Times New Roman" w:hAnsi="Times New Roman" w:cs="Times New Roman"/>
            <w:noProof/>
            <w:sz w:val="28"/>
            <w:szCs w:val="28"/>
          </w:rPr>
          <w:fldChar w:fldCharType="end"/>
        </w:r>
      </w:p>
    </w:sdtContent>
  </w:sdt>
  <w:p w14:paraId="494672CC" w14:textId="77777777" w:rsidR="00BE4A6B" w:rsidRDefault="00BE4A6B" w:rsidP="00056CCD">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885"/>
    <w:multiLevelType w:val="multilevel"/>
    <w:tmpl w:val="3E7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75698"/>
    <w:multiLevelType w:val="multilevel"/>
    <w:tmpl w:val="9E38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16FCA"/>
    <w:multiLevelType w:val="multilevel"/>
    <w:tmpl w:val="AE86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D11AC"/>
    <w:multiLevelType w:val="multilevel"/>
    <w:tmpl w:val="4ADA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41F5A"/>
    <w:multiLevelType w:val="multilevel"/>
    <w:tmpl w:val="009CE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B7C99"/>
    <w:multiLevelType w:val="multilevel"/>
    <w:tmpl w:val="B268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B3432"/>
    <w:multiLevelType w:val="multilevel"/>
    <w:tmpl w:val="65DA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E4B74"/>
    <w:multiLevelType w:val="multilevel"/>
    <w:tmpl w:val="B3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01458B"/>
    <w:multiLevelType w:val="multilevel"/>
    <w:tmpl w:val="484C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91963"/>
    <w:multiLevelType w:val="multilevel"/>
    <w:tmpl w:val="416C2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B0671"/>
    <w:multiLevelType w:val="multilevel"/>
    <w:tmpl w:val="8714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30088"/>
    <w:multiLevelType w:val="multilevel"/>
    <w:tmpl w:val="1E1C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304AF"/>
    <w:multiLevelType w:val="multilevel"/>
    <w:tmpl w:val="C1D4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C05CE"/>
    <w:multiLevelType w:val="multilevel"/>
    <w:tmpl w:val="C234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B064F"/>
    <w:multiLevelType w:val="multilevel"/>
    <w:tmpl w:val="437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57060"/>
    <w:multiLevelType w:val="multilevel"/>
    <w:tmpl w:val="A4DE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D6834"/>
    <w:multiLevelType w:val="multilevel"/>
    <w:tmpl w:val="E5E6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746E7"/>
    <w:multiLevelType w:val="multilevel"/>
    <w:tmpl w:val="BE3E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561C5"/>
    <w:multiLevelType w:val="multilevel"/>
    <w:tmpl w:val="001E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554D5"/>
    <w:multiLevelType w:val="multilevel"/>
    <w:tmpl w:val="93BA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A3639"/>
    <w:multiLevelType w:val="multilevel"/>
    <w:tmpl w:val="AF6A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7B2617"/>
    <w:multiLevelType w:val="multilevel"/>
    <w:tmpl w:val="01DE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36922"/>
    <w:multiLevelType w:val="multilevel"/>
    <w:tmpl w:val="3344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7870A3"/>
    <w:multiLevelType w:val="multilevel"/>
    <w:tmpl w:val="F94C7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12496A"/>
    <w:multiLevelType w:val="multilevel"/>
    <w:tmpl w:val="5ED2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6D0570"/>
    <w:multiLevelType w:val="multilevel"/>
    <w:tmpl w:val="7EEA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6C66AA"/>
    <w:multiLevelType w:val="multilevel"/>
    <w:tmpl w:val="A8EC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223DD"/>
    <w:multiLevelType w:val="multilevel"/>
    <w:tmpl w:val="08CC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E1150"/>
    <w:multiLevelType w:val="multilevel"/>
    <w:tmpl w:val="9E244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575339"/>
    <w:multiLevelType w:val="multilevel"/>
    <w:tmpl w:val="CF70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376327"/>
    <w:multiLevelType w:val="multilevel"/>
    <w:tmpl w:val="1F52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A15649"/>
    <w:multiLevelType w:val="multilevel"/>
    <w:tmpl w:val="EFA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F06DAE"/>
    <w:multiLevelType w:val="multilevel"/>
    <w:tmpl w:val="DFCC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5071EE"/>
    <w:multiLevelType w:val="multilevel"/>
    <w:tmpl w:val="F9A2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44139"/>
    <w:multiLevelType w:val="multilevel"/>
    <w:tmpl w:val="B3B0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46018">
    <w:abstractNumId w:val="9"/>
  </w:num>
  <w:num w:numId="2" w16cid:durableId="1932541874">
    <w:abstractNumId w:val="14"/>
  </w:num>
  <w:num w:numId="3" w16cid:durableId="1333142566">
    <w:abstractNumId w:val="19"/>
  </w:num>
  <w:num w:numId="4" w16cid:durableId="1516382074">
    <w:abstractNumId w:val="3"/>
  </w:num>
  <w:num w:numId="5" w16cid:durableId="1576165127">
    <w:abstractNumId w:val="16"/>
  </w:num>
  <w:num w:numId="6" w16cid:durableId="679703193">
    <w:abstractNumId w:val="34"/>
  </w:num>
  <w:num w:numId="7" w16cid:durableId="1519544009">
    <w:abstractNumId w:val="23"/>
  </w:num>
  <w:num w:numId="8" w16cid:durableId="1906407147">
    <w:abstractNumId w:val="28"/>
  </w:num>
  <w:num w:numId="9" w16cid:durableId="1185754963">
    <w:abstractNumId w:val="13"/>
  </w:num>
  <w:num w:numId="10" w16cid:durableId="97415683">
    <w:abstractNumId w:val="8"/>
  </w:num>
  <w:num w:numId="11" w16cid:durableId="1746995886">
    <w:abstractNumId w:val="15"/>
  </w:num>
  <w:num w:numId="12" w16cid:durableId="797454462">
    <w:abstractNumId w:val="7"/>
  </w:num>
  <w:num w:numId="13" w16cid:durableId="1407679776">
    <w:abstractNumId w:val="1"/>
  </w:num>
  <w:num w:numId="14" w16cid:durableId="1209146671">
    <w:abstractNumId w:val="0"/>
  </w:num>
  <w:num w:numId="15" w16cid:durableId="1293247384">
    <w:abstractNumId w:val="26"/>
  </w:num>
  <w:num w:numId="16" w16cid:durableId="2029792290">
    <w:abstractNumId w:val="32"/>
  </w:num>
  <w:num w:numId="17" w16cid:durableId="1714304383">
    <w:abstractNumId w:val="24"/>
  </w:num>
  <w:num w:numId="18" w16cid:durableId="518396385">
    <w:abstractNumId w:val="31"/>
  </w:num>
  <w:num w:numId="19" w16cid:durableId="1126580970">
    <w:abstractNumId w:val="4"/>
  </w:num>
  <w:num w:numId="20" w16cid:durableId="544416308">
    <w:abstractNumId w:val="25"/>
  </w:num>
  <w:num w:numId="21" w16cid:durableId="1606961210">
    <w:abstractNumId w:val="27"/>
  </w:num>
  <w:num w:numId="22" w16cid:durableId="1447624825">
    <w:abstractNumId w:val="5"/>
  </w:num>
  <w:num w:numId="23" w16cid:durableId="305165492">
    <w:abstractNumId w:val="20"/>
  </w:num>
  <w:num w:numId="24" w16cid:durableId="645477686">
    <w:abstractNumId w:val="29"/>
  </w:num>
  <w:num w:numId="25" w16cid:durableId="1404181259">
    <w:abstractNumId w:val="12"/>
  </w:num>
  <w:num w:numId="26" w16cid:durableId="1183474642">
    <w:abstractNumId w:val="30"/>
  </w:num>
  <w:num w:numId="27" w16cid:durableId="1450078852">
    <w:abstractNumId w:val="21"/>
  </w:num>
  <w:num w:numId="28" w16cid:durableId="1453330277">
    <w:abstractNumId w:val="6"/>
  </w:num>
  <w:num w:numId="29" w16cid:durableId="1985768258">
    <w:abstractNumId w:val="18"/>
  </w:num>
  <w:num w:numId="30" w16cid:durableId="244460152">
    <w:abstractNumId w:val="10"/>
  </w:num>
  <w:num w:numId="31" w16cid:durableId="1806199422">
    <w:abstractNumId w:val="33"/>
  </w:num>
  <w:num w:numId="32" w16cid:durableId="1612322511">
    <w:abstractNumId w:val="11"/>
  </w:num>
  <w:num w:numId="33" w16cid:durableId="1769227907">
    <w:abstractNumId w:val="17"/>
  </w:num>
  <w:num w:numId="34" w16cid:durableId="811021011">
    <w:abstractNumId w:val="22"/>
  </w:num>
  <w:num w:numId="35" w16cid:durableId="882788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12"/>
    <w:rsid w:val="00044E8E"/>
    <w:rsid w:val="00056CCD"/>
    <w:rsid w:val="00062388"/>
    <w:rsid w:val="0008251E"/>
    <w:rsid w:val="000D525E"/>
    <w:rsid w:val="001140E8"/>
    <w:rsid w:val="0015499F"/>
    <w:rsid w:val="00163815"/>
    <w:rsid w:val="001709B6"/>
    <w:rsid w:val="001945E4"/>
    <w:rsid w:val="001C2249"/>
    <w:rsid w:val="001C3E9C"/>
    <w:rsid w:val="001D6BBF"/>
    <w:rsid w:val="001E233A"/>
    <w:rsid w:val="001F2A19"/>
    <w:rsid w:val="002162F8"/>
    <w:rsid w:val="00231272"/>
    <w:rsid w:val="00246EEC"/>
    <w:rsid w:val="00251D93"/>
    <w:rsid w:val="002636AA"/>
    <w:rsid w:val="00297FF5"/>
    <w:rsid w:val="002C389D"/>
    <w:rsid w:val="002E2352"/>
    <w:rsid w:val="003124B4"/>
    <w:rsid w:val="003137A6"/>
    <w:rsid w:val="00320173"/>
    <w:rsid w:val="003322C4"/>
    <w:rsid w:val="00375578"/>
    <w:rsid w:val="00375662"/>
    <w:rsid w:val="00382D86"/>
    <w:rsid w:val="00384E05"/>
    <w:rsid w:val="003A021C"/>
    <w:rsid w:val="003A52CC"/>
    <w:rsid w:val="003A73CE"/>
    <w:rsid w:val="003F7626"/>
    <w:rsid w:val="00462309"/>
    <w:rsid w:val="00473A89"/>
    <w:rsid w:val="00492B43"/>
    <w:rsid w:val="004A574B"/>
    <w:rsid w:val="004C4449"/>
    <w:rsid w:val="005124FE"/>
    <w:rsid w:val="00535A3B"/>
    <w:rsid w:val="00541294"/>
    <w:rsid w:val="00585897"/>
    <w:rsid w:val="00590E4E"/>
    <w:rsid w:val="005C5303"/>
    <w:rsid w:val="005C7D9C"/>
    <w:rsid w:val="005E68E8"/>
    <w:rsid w:val="006062C4"/>
    <w:rsid w:val="00612B8D"/>
    <w:rsid w:val="0061763A"/>
    <w:rsid w:val="0064104A"/>
    <w:rsid w:val="00655895"/>
    <w:rsid w:val="006620CA"/>
    <w:rsid w:val="006630E3"/>
    <w:rsid w:val="00677635"/>
    <w:rsid w:val="006B7861"/>
    <w:rsid w:val="006D77F3"/>
    <w:rsid w:val="006E14CB"/>
    <w:rsid w:val="006E4360"/>
    <w:rsid w:val="00707423"/>
    <w:rsid w:val="00727617"/>
    <w:rsid w:val="0072774D"/>
    <w:rsid w:val="00752152"/>
    <w:rsid w:val="0077706B"/>
    <w:rsid w:val="007B66CC"/>
    <w:rsid w:val="007F7EC5"/>
    <w:rsid w:val="008045BB"/>
    <w:rsid w:val="008210B2"/>
    <w:rsid w:val="008D583C"/>
    <w:rsid w:val="008E3D58"/>
    <w:rsid w:val="00905381"/>
    <w:rsid w:val="009071B4"/>
    <w:rsid w:val="00934293"/>
    <w:rsid w:val="0094570A"/>
    <w:rsid w:val="009C2322"/>
    <w:rsid w:val="009C6C9C"/>
    <w:rsid w:val="009E1068"/>
    <w:rsid w:val="00A02035"/>
    <w:rsid w:val="00A4789F"/>
    <w:rsid w:val="00A914A5"/>
    <w:rsid w:val="00AB6674"/>
    <w:rsid w:val="00AB67FA"/>
    <w:rsid w:val="00AC312C"/>
    <w:rsid w:val="00AE4CA4"/>
    <w:rsid w:val="00B34ED9"/>
    <w:rsid w:val="00B77E79"/>
    <w:rsid w:val="00B85D56"/>
    <w:rsid w:val="00B86168"/>
    <w:rsid w:val="00B92E0B"/>
    <w:rsid w:val="00BC2599"/>
    <w:rsid w:val="00BC6FA2"/>
    <w:rsid w:val="00BE4A6B"/>
    <w:rsid w:val="00BF471E"/>
    <w:rsid w:val="00C45A23"/>
    <w:rsid w:val="00C52460"/>
    <w:rsid w:val="00C8226B"/>
    <w:rsid w:val="00D01053"/>
    <w:rsid w:val="00D05E61"/>
    <w:rsid w:val="00D15F0D"/>
    <w:rsid w:val="00D429A2"/>
    <w:rsid w:val="00D464EE"/>
    <w:rsid w:val="00D51912"/>
    <w:rsid w:val="00D66CD6"/>
    <w:rsid w:val="00D9006A"/>
    <w:rsid w:val="00D901EF"/>
    <w:rsid w:val="00E00E92"/>
    <w:rsid w:val="00E145DD"/>
    <w:rsid w:val="00E23A71"/>
    <w:rsid w:val="00E337B9"/>
    <w:rsid w:val="00E5149C"/>
    <w:rsid w:val="00E57709"/>
    <w:rsid w:val="00E77C86"/>
    <w:rsid w:val="00EA210D"/>
    <w:rsid w:val="00ED2D8F"/>
    <w:rsid w:val="00ED6258"/>
    <w:rsid w:val="00EE2652"/>
    <w:rsid w:val="00EF7BB6"/>
    <w:rsid w:val="00F1545D"/>
    <w:rsid w:val="00F218B9"/>
    <w:rsid w:val="00F32190"/>
    <w:rsid w:val="00F763B7"/>
    <w:rsid w:val="00F94464"/>
    <w:rsid w:val="00FB261B"/>
    <w:rsid w:val="00FF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1326"/>
  <w15:chartTrackingRefBased/>
  <w15:docId w15:val="{69E52FBD-C1CD-48A2-95DB-4ECCFD1DE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1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19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19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19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1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19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19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19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19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1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912"/>
    <w:rPr>
      <w:rFonts w:eastAsiaTheme="majorEastAsia" w:cstheme="majorBidi"/>
      <w:color w:val="272727" w:themeColor="text1" w:themeTint="D8"/>
    </w:rPr>
  </w:style>
  <w:style w:type="paragraph" w:styleId="Title">
    <w:name w:val="Title"/>
    <w:basedOn w:val="Normal"/>
    <w:next w:val="Normal"/>
    <w:link w:val="TitleChar"/>
    <w:uiPriority w:val="10"/>
    <w:qFormat/>
    <w:rsid w:val="00D51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912"/>
    <w:pPr>
      <w:spacing w:before="160"/>
      <w:jc w:val="center"/>
    </w:pPr>
    <w:rPr>
      <w:i/>
      <w:iCs/>
      <w:color w:val="404040" w:themeColor="text1" w:themeTint="BF"/>
    </w:rPr>
  </w:style>
  <w:style w:type="character" w:customStyle="1" w:styleId="QuoteChar">
    <w:name w:val="Quote Char"/>
    <w:basedOn w:val="DefaultParagraphFont"/>
    <w:link w:val="Quote"/>
    <w:uiPriority w:val="29"/>
    <w:rsid w:val="00D51912"/>
    <w:rPr>
      <w:i/>
      <w:iCs/>
      <w:color w:val="404040" w:themeColor="text1" w:themeTint="BF"/>
    </w:rPr>
  </w:style>
  <w:style w:type="paragraph" w:styleId="ListParagraph">
    <w:name w:val="List Paragraph"/>
    <w:basedOn w:val="Normal"/>
    <w:uiPriority w:val="34"/>
    <w:qFormat/>
    <w:rsid w:val="00D51912"/>
    <w:pPr>
      <w:ind w:left="720"/>
      <w:contextualSpacing/>
    </w:pPr>
  </w:style>
  <w:style w:type="character" w:styleId="IntenseEmphasis">
    <w:name w:val="Intense Emphasis"/>
    <w:basedOn w:val="DefaultParagraphFont"/>
    <w:uiPriority w:val="21"/>
    <w:qFormat/>
    <w:rsid w:val="00D51912"/>
    <w:rPr>
      <w:i/>
      <w:iCs/>
      <w:color w:val="2F5496" w:themeColor="accent1" w:themeShade="BF"/>
    </w:rPr>
  </w:style>
  <w:style w:type="paragraph" w:styleId="IntenseQuote">
    <w:name w:val="Intense Quote"/>
    <w:basedOn w:val="Normal"/>
    <w:next w:val="Normal"/>
    <w:link w:val="IntenseQuoteChar"/>
    <w:uiPriority w:val="30"/>
    <w:qFormat/>
    <w:rsid w:val="00D51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1912"/>
    <w:rPr>
      <w:i/>
      <w:iCs/>
      <w:color w:val="2F5496" w:themeColor="accent1" w:themeShade="BF"/>
    </w:rPr>
  </w:style>
  <w:style w:type="character" w:styleId="IntenseReference">
    <w:name w:val="Intense Reference"/>
    <w:basedOn w:val="DefaultParagraphFont"/>
    <w:uiPriority w:val="32"/>
    <w:qFormat/>
    <w:rsid w:val="00D51912"/>
    <w:rPr>
      <w:b/>
      <w:bCs/>
      <w:smallCaps/>
      <w:color w:val="2F5496" w:themeColor="accent1" w:themeShade="BF"/>
      <w:spacing w:val="5"/>
    </w:rPr>
  </w:style>
  <w:style w:type="table" w:styleId="TableGrid">
    <w:name w:val="Table Grid"/>
    <w:basedOn w:val="TableNormal"/>
    <w:uiPriority w:val="39"/>
    <w:rsid w:val="00E23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3A71"/>
    <w:rPr>
      <w:b/>
      <w:bCs/>
    </w:rPr>
  </w:style>
  <w:style w:type="paragraph" w:styleId="Header">
    <w:name w:val="header"/>
    <w:basedOn w:val="Normal"/>
    <w:link w:val="HeaderChar"/>
    <w:uiPriority w:val="99"/>
    <w:unhideWhenUsed/>
    <w:rsid w:val="004C4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449"/>
  </w:style>
  <w:style w:type="paragraph" w:styleId="Footer">
    <w:name w:val="footer"/>
    <w:basedOn w:val="Normal"/>
    <w:link w:val="FooterChar"/>
    <w:uiPriority w:val="99"/>
    <w:unhideWhenUsed/>
    <w:rsid w:val="004C4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449"/>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Char Char Char"/>
    <w:basedOn w:val="Normal"/>
    <w:link w:val="NormalWebChar"/>
    <w:uiPriority w:val="99"/>
    <w:unhideWhenUsed/>
    <w:qFormat/>
    <w:rsid w:val="00251D93"/>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Char Char Char Char"/>
    <w:link w:val="NormalWeb"/>
    <w:uiPriority w:val="99"/>
    <w:locked/>
    <w:rsid w:val="00B77E79"/>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83884">
      <w:bodyDiv w:val="1"/>
      <w:marLeft w:val="0"/>
      <w:marRight w:val="0"/>
      <w:marTop w:val="0"/>
      <w:marBottom w:val="0"/>
      <w:divBdr>
        <w:top w:val="none" w:sz="0" w:space="0" w:color="auto"/>
        <w:left w:val="none" w:sz="0" w:space="0" w:color="auto"/>
        <w:bottom w:val="none" w:sz="0" w:space="0" w:color="auto"/>
        <w:right w:val="none" w:sz="0" w:space="0" w:color="auto"/>
      </w:divBdr>
    </w:div>
    <w:div w:id="337780326">
      <w:bodyDiv w:val="1"/>
      <w:marLeft w:val="0"/>
      <w:marRight w:val="0"/>
      <w:marTop w:val="0"/>
      <w:marBottom w:val="0"/>
      <w:divBdr>
        <w:top w:val="none" w:sz="0" w:space="0" w:color="auto"/>
        <w:left w:val="none" w:sz="0" w:space="0" w:color="auto"/>
        <w:bottom w:val="none" w:sz="0" w:space="0" w:color="auto"/>
        <w:right w:val="none" w:sz="0" w:space="0" w:color="auto"/>
      </w:divBdr>
    </w:div>
    <w:div w:id="408619567">
      <w:bodyDiv w:val="1"/>
      <w:marLeft w:val="0"/>
      <w:marRight w:val="0"/>
      <w:marTop w:val="0"/>
      <w:marBottom w:val="0"/>
      <w:divBdr>
        <w:top w:val="none" w:sz="0" w:space="0" w:color="auto"/>
        <w:left w:val="none" w:sz="0" w:space="0" w:color="auto"/>
        <w:bottom w:val="none" w:sz="0" w:space="0" w:color="auto"/>
        <w:right w:val="none" w:sz="0" w:space="0" w:color="auto"/>
      </w:divBdr>
    </w:div>
    <w:div w:id="417561930">
      <w:bodyDiv w:val="1"/>
      <w:marLeft w:val="0"/>
      <w:marRight w:val="0"/>
      <w:marTop w:val="0"/>
      <w:marBottom w:val="0"/>
      <w:divBdr>
        <w:top w:val="none" w:sz="0" w:space="0" w:color="auto"/>
        <w:left w:val="none" w:sz="0" w:space="0" w:color="auto"/>
        <w:bottom w:val="none" w:sz="0" w:space="0" w:color="auto"/>
        <w:right w:val="none" w:sz="0" w:space="0" w:color="auto"/>
      </w:divBdr>
    </w:div>
    <w:div w:id="437413094">
      <w:bodyDiv w:val="1"/>
      <w:marLeft w:val="0"/>
      <w:marRight w:val="0"/>
      <w:marTop w:val="0"/>
      <w:marBottom w:val="0"/>
      <w:divBdr>
        <w:top w:val="none" w:sz="0" w:space="0" w:color="auto"/>
        <w:left w:val="none" w:sz="0" w:space="0" w:color="auto"/>
        <w:bottom w:val="none" w:sz="0" w:space="0" w:color="auto"/>
        <w:right w:val="none" w:sz="0" w:space="0" w:color="auto"/>
      </w:divBdr>
    </w:div>
    <w:div w:id="676617419">
      <w:bodyDiv w:val="1"/>
      <w:marLeft w:val="0"/>
      <w:marRight w:val="0"/>
      <w:marTop w:val="0"/>
      <w:marBottom w:val="0"/>
      <w:divBdr>
        <w:top w:val="none" w:sz="0" w:space="0" w:color="auto"/>
        <w:left w:val="none" w:sz="0" w:space="0" w:color="auto"/>
        <w:bottom w:val="none" w:sz="0" w:space="0" w:color="auto"/>
        <w:right w:val="none" w:sz="0" w:space="0" w:color="auto"/>
      </w:divBdr>
    </w:div>
    <w:div w:id="826703161">
      <w:bodyDiv w:val="1"/>
      <w:marLeft w:val="0"/>
      <w:marRight w:val="0"/>
      <w:marTop w:val="0"/>
      <w:marBottom w:val="0"/>
      <w:divBdr>
        <w:top w:val="none" w:sz="0" w:space="0" w:color="auto"/>
        <w:left w:val="none" w:sz="0" w:space="0" w:color="auto"/>
        <w:bottom w:val="none" w:sz="0" w:space="0" w:color="auto"/>
        <w:right w:val="none" w:sz="0" w:space="0" w:color="auto"/>
      </w:divBdr>
    </w:div>
    <w:div w:id="1162353273">
      <w:bodyDiv w:val="1"/>
      <w:marLeft w:val="0"/>
      <w:marRight w:val="0"/>
      <w:marTop w:val="0"/>
      <w:marBottom w:val="0"/>
      <w:divBdr>
        <w:top w:val="none" w:sz="0" w:space="0" w:color="auto"/>
        <w:left w:val="none" w:sz="0" w:space="0" w:color="auto"/>
        <w:bottom w:val="none" w:sz="0" w:space="0" w:color="auto"/>
        <w:right w:val="none" w:sz="0" w:space="0" w:color="auto"/>
      </w:divBdr>
    </w:div>
    <w:div w:id="1219246138">
      <w:bodyDiv w:val="1"/>
      <w:marLeft w:val="0"/>
      <w:marRight w:val="0"/>
      <w:marTop w:val="0"/>
      <w:marBottom w:val="0"/>
      <w:divBdr>
        <w:top w:val="none" w:sz="0" w:space="0" w:color="auto"/>
        <w:left w:val="none" w:sz="0" w:space="0" w:color="auto"/>
        <w:bottom w:val="none" w:sz="0" w:space="0" w:color="auto"/>
        <w:right w:val="none" w:sz="0" w:space="0" w:color="auto"/>
      </w:divBdr>
    </w:div>
    <w:div w:id="1442382543">
      <w:bodyDiv w:val="1"/>
      <w:marLeft w:val="0"/>
      <w:marRight w:val="0"/>
      <w:marTop w:val="0"/>
      <w:marBottom w:val="0"/>
      <w:divBdr>
        <w:top w:val="none" w:sz="0" w:space="0" w:color="auto"/>
        <w:left w:val="none" w:sz="0" w:space="0" w:color="auto"/>
        <w:bottom w:val="none" w:sz="0" w:space="0" w:color="auto"/>
        <w:right w:val="none" w:sz="0" w:space="0" w:color="auto"/>
      </w:divBdr>
    </w:div>
    <w:div w:id="2062897624">
      <w:bodyDiv w:val="1"/>
      <w:marLeft w:val="0"/>
      <w:marRight w:val="0"/>
      <w:marTop w:val="0"/>
      <w:marBottom w:val="0"/>
      <w:divBdr>
        <w:top w:val="none" w:sz="0" w:space="0" w:color="auto"/>
        <w:left w:val="none" w:sz="0" w:space="0" w:color="auto"/>
        <w:bottom w:val="none" w:sz="0" w:space="0" w:color="auto"/>
        <w:right w:val="none" w:sz="0" w:space="0" w:color="auto"/>
      </w:divBdr>
      <w:divsChild>
        <w:div w:id="1165124838">
          <w:marLeft w:val="0"/>
          <w:marRight w:val="0"/>
          <w:marTop w:val="0"/>
          <w:marBottom w:val="0"/>
          <w:divBdr>
            <w:top w:val="none" w:sz="0" w:space="0" w:color="auto"/>
            <w:left w:val="none" w:sz="0" w:space="0" w:color="auto"/>
            <w:bottom w:val="none" w:sz="0" w:space="0" w:color="auto"/>
            <w:right w:val="none" w:sz="0" w:space="0" w:color="auto"/>
          </w:divBdr>
          <w:divsChild>
            <w:div w:id="837429289">
              <w:marLeft w:val="0"/>
              <w:marRight w:val="0"/>
              <w:marTop w:val="0"/>
              <w:marBottom w:val="0"/>
              <w:divBdr>
                <w:top w:val="none" w:sz="0" w:space="0" w:color="auto"/>
                <w:left w:val="none" w:sz="0" w:space="0" w:color="auto"/>
                <w:bottom w:val="none" w:sz="0" w:space="0" w:color="auto"/>
                <w:right w:val="none" w:sz="0" w:space="0" w:color="auto"/>
              </w:divBdr>
              <w:divsChild>
                <w:div w:id="296954470">
                  <w:marLeft w:val="0"/>
                  <w:marRight w:val="0"/>
                  <w:marTop w:val="0"/>
                  <w:marBottom w:val="0"/>
                  <w:divBdr>
                    <w:top w:val="none" w:sz="0" w:space="0" w:color="auto"/>
                    <w:left w:val="none" w:sz="0" w:space="0" w:color="auto"/>
                    <w:bottom w:val="none" w:sz="0" w:space="0" w:color="auto"/>
                    <w:right w:val="none" w:sz="0" w:space="0" w:color="auto"/>
                  </w:divBdr>
                  <w:divsChild>
                    <w:div w:id="42564807">
                      <w:marLeft w:val="0"/>
                      <w:marRight w:val="0"/>
                      <w:marTop w:val="0"/>
                      <w:marBottom w:val="0"/>
                      <w:divBdr>
                        <w:top w:val="none" w:sz="0" w:space="0" w:color="auto"/>
                        <w:left w:val="none" w:sz="0" w:space="0" w:color="auto"/>
                        <w:bottom w:val="none" w:sz="0" w:space="0" w:color="auto"/>
                        <w:right w:val="none" w:sz="0" w:space="0" w:color="auto"/>
                      </w:divBdr>
                      <w:divsChild>
                        <w:div w:id="139005076">
                          <w:marLeft w:val="0"/>
                          <w:marRight w:val="0"/>
                          <w:marTop w:val="0"/>
                          <w:marBottom w:val="0"/>
                          <w:divBdr>
                            <w:top w:val="none" w:sz="0" w:space="0" w:color="auto"/>
                            <w:left w:val="none" w:sz="0" w:space="0" w:color="auto"/>
                            <w:bottom w:val="none" w:sz="0" w:space="0" w:color="auto"/>
                            <w:right w:val="none" w:sz="0" w:space="0" w:color="auto"/>
                          </w:divBdr>
                          <w:divsChild>
                            <w:div w:id="16414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7412</Words>
  <Characters>42250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2026-02-10T07:35:00Z</dcterms:created>
  <dcterms:modified xsi:type="dcterms:W3CDTF">2026-02-10T07:43:00Z</dcterms:modified>
</cp:coreProperties>
</file>