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5849.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786"/>
        <w:gridCol w:w="11063"/>
        <w:tblGridChange w:id="0">
          <w:tblGrid>
            <w:gridCol w:w="4786"/>
            <w:gridCol w:w="11063"/>
          </w:tblGrid>
        </w:tblGridChange>
      </w:tblGrid>
      <w:tr>
        <w:trPr>
          <w:cantSplit w:val="0"/>
          <w:trHeight w:val="315" w:hRule="atLeast"/>
          <w:tblHeader w:val="0"/>
        </w:trPr>
        <w:tc>
          <w:tcPr/>
          <w:p w:rsidR="00000000" w:rsidDel="00000000" w:rsidP="00000000" w:rsidRDefault="00000000" w:rsidRPr="00000000" w14:paraId="00000002">
            <w:pPr>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BỘ TÀI CHÍNH</w:t>
            </w:r>
          </w:p>
          <w:p w:rsidR="00000000" w:rsidDel="00000000" w:rsidP="00000000" w:rsidRDefault="00000000" w:rsidRPr="00000000" w14:paraId="00000003">
            <w:pPr>
              <w:jc w:val="center"/>
              <w:rPr>
                <w:rFonts w:ascii="Times New Roman" w:cs="Times New Roman" w:eastAsia="Times New Roman" w:hAnsi="Times New Roman"/>
                <w:b w:val="1"/>
                <w:bCs w:val="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1108103</wp:posOffset>
                      </wp:positionH>
                      <wp:positionV relativeFrom="paragraph">
                        <wp:posOffset>46355</wp:posOffset>
                      </wp:positionV>
                      <wp:extent cx="755650" cy="12700"/>
                      <wp:effectExtent b="0" l="0" r="0" t="0"/>
                      <wp:wrapNone/>
                      <wp:docPr id="2" name=""/>
                      <a:graphic>
                        <a:graphicData uri="http://schemas.microsoft.com/office/word/2010/wordprocessingShape">
                          <wps:wsp>
                            <wps:cNvCnPr/>
                            <wps:spPr>
                              <a:xfrm>
                                <a:off x="4968175" y="3780000"/>
                                <a:ext cx="75565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1108103</wp:posOffset>
                      </wp:positionH>
                      <wp:positionV relativeFrom="paragraph">
                        <wp:posOffset>46355</wp:posOffset>
                      </wp:positionV>
                      <wp:extent cx="755650" cy="12700"/>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755650" cy="12700"/>
                              </a:xfrm>
                              <a:prstGeom prst="rect"/>
                              <a:ln/>
                            </pic:spPr>
                          </pic:pic>
                        </a:graphicData>
                      </a:graphic>
                    </wp:anchor>
                  </w:drawing>
                </mc:Fallback>
              </mc:AlternateContent>
            </w:r>
          </w:p>
        </w:tc>
        <w:tc>
          <w:tcPr/>
          <w:p w:rsidR="00000000" w:rsidDel="00000000" w:rsidP="00000000" w:rsidRDefault="00000000" w:rsidRPr="00000000" w14:paraId="00000004">
            <w:pPr>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CỘNG HÒA XÃ HỘI CHỦ NGHĨA VIỆT NAM</w:t>
            </w:r>
          </w:p>
          <w:p w:rsidR="00000000" w:rsidDel="00000000" w:rsidP="00000000" w:rsidRDefault="00000000" w:rsidRPr="00000000" w14:paraId="00000005">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Độc lập - Tự do - Hạnh phúc</w:t>
            </w:r>
          </w:p>
          <w:p w:rsidR="00000000" w:rsidDel="00000000" w:rsidP="00000000" w:rsidRDefault="00000000" w:rsidRPr="00000000" w14:paraId="00000006">
            <w:pPr>
              <w:jc w:val="center"/>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2401570</wp:posOffset>
                      </wp:positionH>
                      <wp:positionV relativeFrom="paragraph">
                        <wp:posOffset>16813</wp:posOffset>
                      </wp:positionV>
                      <wp:extent cx="2087880" cy="12700"/>
                      <wp:effectExtent b="0" l="0" r="0" t="0"/>
                      <wp:wrapNone/>
                      <wp:docPr id="1" name=""/>
                      <a:graphic>
                        <a:graphicData uri="http://schemas.microsoft.com/office/word/2010/wordprocessingShape">
                          <wps:wsp>
                            <wps:cNvCnPr/>
                            <wps:spPr>
                              <a:xfrm>
                                <a:off x="4302060" y="3780000"/>
                                <a:ext cx="208788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2401570</wp:posOffset>
                      </wp:positionH>
                      <wp:positionV relativeFrom="paragraph">
                        <wp:posOffset>16813</wp:posOffset>
                      </wp:positionV>
                      <wp:extent cx="2087880" cy="1270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2087880" cy="12700"/>
                              </a:xfrm>
                              <a:prstGeom prst="rect"/>
                              <a:ln/>
                            </pic:spPr>
                          </pic:pic>
                        </a:graphicData>
                      </a:graphic>
                    </wp:anchor>
                  </w:drawing>
                </mc:Fallback>
              </mc:AlternateContent>
            </w:r>
          </w:p>
        </w:tc>
      </w:tr>
    </w:tbl>
    <w:p w:rsidR="00000000" w:rsidDel="00000000" w:rsidP="00000000" w:rsidRDefault="00000000" w:rsidRPr="00000000" w14:paraId="00000007">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BẢN SO SÁNH DỰ THẢO NGHỊ ĐỊNH XỬ PHẠT VI PHẠM HÀNH CHÍNH TRONG LĨNH VỰC HẢI QUAN</w:t>
      </w:r>
    </w:p>
    <w:p w:rsidR="00000000" w:rsidDel="00000000" w:rsidP="00000000" w:rsidRDefault="00000000" w:rsidRPr="00000000" w14:paraId="0000000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VỚI QUY ĐỊNH PHÁP LUẬT HIỆN HÀNH</w:t>
      </w:r>
    </w:p>
    <w:p w:rsidR="00000000" w:rsidDel="00000000" w:rsidP="00000000" w:rsidRDefault="00000000" w:rsidRPr="00000000" w14:paraId="0000000A">
      <w:pPr>
        <w:spacing w:after="0" w:before="120" w:line="24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(Kèm theo Công văn số    </w:t>
      </w:r>
      <w:r w:rsidDel="00000000" w:rsidR="00000000" w:rsidRPr="00000000">
        <w:rPr>
          <w:rFonts w:ascii="Times New Roman" w:cs="Times New Roman" w:eastAsia="Times New Roman" w:hAnsi="Times New Roman"/>
          <w:i w:val="1"/>
          <w:iCs w:val="1"/>
          <w:color w:val="ff0000"/>
          <w:sz w:val="28"/>
          <w:szCs w:val="28"/>
          <w:highlight w:val="yellow"/>
          <w:rtl w:val="0"/>
        </w:rPr>
        <w:t xml:space="preserve">…./BTC-CHQ ngày … tháng … năm </w:t>
      </w:r>
      <w:r w:rsidDel="00000000" w:rsidR="00000000" w:rsidRPr="00000000">
        <w:rPr>
          <w:rFonts w:ascii="Times New Roman" w:cs="Times New Roman" w:eastAsia="Times New Roman" w:hAnsi="Times New Roman"/>
          <w:i w:val="1"/>
          <w:iCs w:val="1"/>
          <w:color w:val="ff0000"/>
          <w:sz w:val="28"/>
          <w:szCs w:val="28"/>
          <w:rtl w:val="0"/>
        </w:rPr>
        <w:t xml:space="preserve">2026 </w:t>
      </w:r>
      <w:r w:rsidDel="00000000" w:rsidR="00000000" w:rsidRPr="00000000">
        <w:rPr>
          <w:rFonts w:ascii="Times New Roman" w:cs="Times New Roman" w:eastAsia="Times New Roman" w:hAnsi="Times New Roman"/>
          <w:i w:val="1"/>
          <w:iCs w:val="1"/>
          <w:sz w:val="28"/>
          <w:szCs w:val="28"/>
          <w:rtl w:val="0"/>
        </w:rPr>
        <w:t xml:space="preserve">của Bộ Tài chính)</w:t>
      </w:r>
    </w:p>
    <w:p w:rsidR="00000000" w:rsidDel="00000000" w:rsidP="00000000" w:rsidRDefault="00000000" w:rsidRPr="00000000" w14:paraId="0000000B">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bl>
      <w:tblPr>
        <w:tblStyle w:val="Table2"/>
        <w:tblW w:w="147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53"/>
        <w:gridCol w:w="5387"/>
        <w:gridCol w:w="3969"/>
        <w:tblGridChange w:id="0">
          <w:tblGrid>
            <w:gridCol w:w="5353"/>
            <w:gridCol w:w="5387"/>
            <w:gridCol w:w="3969"/>
          </w:tblGrid>
        </w:tblGridChange>
      </w:tblGrid>
      <w:tr>
        <w:trPr>
          <w:cantSplit w:val="0"/>
          <w:tblHeader w:val="0"/>
        </w:trPr>
        <w:tc>
          <w:tcPr/>
          <w:p w:rsidR="00000000" w:rsidDel="00000000" w:rsidP="00000000" w:rsidRDefault="00000000" w:rsidRPr="00000000" w14:paraId="0000000C">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VĂN BẢN ĐƯỢC SỬA ĐỔI, BỔ SUNG</w:t>
            </w:r>
          </w:p>
          <w:p w:rsidR="00000000" w:rsidDel="00000000" w:rsidP="00000000" w:rsidRDefault="00000000" w:rsidRPr="00000000" w14:paraId="0000000D">
            <w:pPr>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(Nghị định …./2026/NĐ-CP)</w:t>
            </w:r>
          </w:p>
        </w:tc>
        <w:tc>
          <w:tcPr/>
          <w:p w:rsidR="00000000" w:rsidDel="00000000" w:rsidP="00000000" w:rsidRDefault="00000000" w:rsidRPr="00000000" w14:paraId="0000000E">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DỰ THẢO VĂN BẢN</w:t>
            </w:r>
          </w:p>
          <w:p w:rsidR="00000000" w:rsidDel="00000000" w:rsidP="00000000" w:rsidRDefault="00000000" w:rsidRPr="00000000" w14:paraId="0000000F">
            <w:pPr>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(Chữ in đậm nghiêng là phần nội dung mới)</w:t>
            </w:r>
          </w:p>
        </w:tc>
        <w:tc>
          <w:tcPr/>
          <w:p w:rsidR="00000000" w:rsidDel="00000000" w:rsidP="00000000" w:rsidRDefault="00000000" w:rsidRPr="00000000" w14:paraId="00000010">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THUYẾT MINH</w:t>
            </w:r>
          </w:p>
        </w:tc>
      </w:tr>
      <w:tr>
        <w:trPr>
          <w:cantSplit w:val="0"/>
          <w:tblHeader w:val="0"/>
        </w:trPr>
        <w:tc>
          <w:tcPr/>
          <w:bookmarkStart w:colFirst="0" w:colLast="0" w:name="vor81do5cuse" w:id="0"/>
          <w:bookmarkEnd w:id="0"/>
          <w:p w:rsidR="00000000" w:rsidDel="00000000" w:rsidP="00000000" w:rsidRDefault="00000000" w:rsidRPr="00000000" w14:paraId="00000011">
            <w:pPr>
              <w:widowControl w:val="0"/>
              <w:tabs>
                <w:tab w:val="left" w:leader="none" w:pos="720"/>
              </w:tabs>
              <w:spacing w:after="120" w:before="12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Điều 7. Những trường hợp không xử phạt vi phạm hành chính, không vi phạm hành chính trong lĩnh vực hải quan</w:t>
            </w:r>
          </w:p>
          <w:p w:rsidR="00000000" w:rsidDel="00000000" w:rsidP="00000000" w:rsidRDefault="00000000" w:rsidRPr="00000000" w14:paraId="00000012">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Các trường hợp không xử phạt theo quy định tại Điều 11 Luật Xử lý vi phạm hành chính số 15/2012/QH13.</w:t>
            </w:r>
          </w:p>
          <w:p w:rsidR="00000000" w:rsidDel="00000000" w:rsidP="00000000" w:rsidRDefault="00000000" w:rsidRPr="00000000" w14:paraId="00000013">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Hàng hóa, phương tiện vận tải được đưa vào lãnh thổ nước Cộng hòa xã hội chủ nghĩa Việt Nam do sự kiện bất ngờ, sự kiện bất khả kháng thì phải thông báo với cơ quan hải quan hoặc cơ quan có thẩm quyền khác theo quy định của pháp luật; hàng hóa, phương tiện vận tải đó phải được đưa ra khỏi lãnh thổ nước Cộng hòa xã hội chủ nghĩa Việt Nam sau khi các yếu tố nêu trên được khắc phục.</w:t>
            </w:r>
          </w:p>
          <w:p w:rsidR="00000000" w:rsidDel="00000000" w:rsidP="00000000" w:rsidRDefault="00000000" w:rsidRPr="00000000" w14:paraId="00000014">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Các trường hợp không vi phạm hành chính trong lĩnh vực hải quan</w:t>
            </w:r>
          </w:p>
          <w:p w:rsidR="00000000" w:rsidDel="00000000" w:rsidP="00000000" w:rsidRDefault="00000000" w:rsidRPr="00000000" w14:paraId="00000015">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Các trường hợp được khai bổ sung hồ sơ hải quan trong thời hạn theo quy định tại khoản 4 Điều 29 Luật Hải quan số 54/2014/QH13 không bị xử phạt vi phạm hành chính.</w:t>
            </w:r>
          </w:p>
          <w:p w:rsidR="00000000" w:rsidDel="00000000" w:rsidP="00000000" w:rsidRDefault="00000000" w:rsidRPr="00000000" w14:paraId="00000016">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Các trường hợp người khai hải quan thực hiện theo văn bản hành chính, quyết định xử lý của cơ quan quản lý thuế, cơ quan có thẩm quyền liên quan đến nội dung xác định nghĩa vụ thuế theo quy định tại khoản 11 Điều 16 Luật Quản lý thuế số 38/2019/QH14.</w:t>
            </w:r>
          </w:p>
          <w:p w:rsidR="00000000" w:rsidDel="00000000" w:rsidP="00000000" w:rsidRDefault="00000000" w:rsidRPr="00000000" w14:paraId="00000017">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Trường hợp hàng hóa gửi vào Việt Nam không phù hợp với hợp đồng theo quy định tại Điều 39 Luật Thương mại số 36/2005/QH11 (trừ hàng hóa cấm nhập khẩu, tạm ngừng nhập khẩu, hàng giả, phế liệu không thuộc Danh mục được phép nhập khẩu làm nguyên liệu sản xuất) nhưng đã được người gửi hàng, người vận tải, người nhận hàng hoặc người đại diện hợp pháp của người gửi hàng, người vận tải, người nhận hàng thông báo bằng văn bản (nêu rõ lý do) kèm theo các chứng từ liên quan tới Đội trưởng Hải quan cửa khẩu/ngoài cửa khẩu nơi lưu giữ hàng hóa khi chưa đăng ký tờ khai hải quan.</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19">
            <w:pPr>
              <w:widowControl w:val="0"/>
              <w:tabs>
                <w:tab w:val="left" w:leader="none" w:pos="720"/>
              </w:tabs>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Điều 7. Những trường hợp không xử phạt vi phạm hành chính, không vi phạm hành chính trong lĩnh vực hải quan</w:t>
            </w:r>
          </w:p>
          <w:p w:rsidR="00000000" w:rsidDel="00000000" w:rsidP="00000000" w:rsidRDefault="00000000" w:rsidRPr="00000000" w14:paraId="0000001A">
            <w:pPr>
              <w:widowControl w:val="0"/>
              <w:tabs>
                <w:tab w:val="left" w:leader="none" w:pos="72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Các trường hợp không xử phạt theo quy định tại Điều 11 Luật Xử lý vi phạm hành chính số 15/2012/QH13.</w:t>
            </w:r>
          </w:p>
          <w:p w:rsidR="00000000" w:rsidDel="00000000" w:rsidP="00000000" w:rsidRDefault="00000000" w:rsidRPr="00000000" w14:paraId="0000001B">
            <w:pPr>
              <w:widowControl w:val="0"/>
              <w:tabs>
                <w:tab w:val="left" w:leader="none" w:pos="72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Hàng hóa, phương tiện vận tải được đưa vào lãnh thổ nước Cộng hòa xã hội chủ nghĩa Việt Nam do sự kiện bất ngờ, sự kiện bất khả kháng thì phải thông báo với cơ quan hải quan hoặc cơ quan có thẩm quyền khác theo quy định của pháp luật; hàng hóa, phương tiện vận tải đó phải được đưa ra khỏi lãnh thổ nước Cộng hòa xã hội chủ nghĩa Việt Nam sau khi các yếu tố nêu trên được khắc phục.</w:t>
            </w:r>
          </w:p>
          <w:p w:rsidR="00000000" w:rsidDel="00000000" w:rsidP="00000000" w:rsidRDefault="00000000" w:rsidRPr="00000000" w14:paraId="0000001C">
            <w:pPr>
              <w:widowControl w:val="0"/>
              <w:tabs>
                <w:tab w:val="left" w:leader="none" w:pos="720"/>
              </w:tabs>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2. Các trường hợp không vi phạm hành chính trong lĩnh vực hải quan</w:t>
            </w:r>
          </w:p>
          <w:p w:rsidR="00000000" w:rsidDel="00000000" w:rsidP="00000000" w:rsidRDefault="00000000" w:rsidRPr="00000000" w14:paraId="0000001D">
            <w:pPr>
              <w:widowControl w:val="0"/>
              <w:tabs>
                <w:tab w:val="left" w:leader="none" w:pos="720"/>
              </w:tabs>
              <w:spacing w:after="120" w:before="120" w:lineRule="auto"/>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a) Người nộp thuế có hành vi khai sai theo quy định tại Điều 10 Nghị định này nhưng đã khai bổ sung trước thời điểm cơ quan hải quan thông báo việc kiểm tra trực tiếp hồ sơ hải quan đối với hàng hóa đang làm thủ tục hải quan; khai bổ sung trong thời hạn 60 ngày kể từ ngày thông quan và trước thời điểm quyết định thanh tra, kiểm tra đối với hàng hóa đã thông quan, kiểm tra sau thông quan; sửa đổi, bổ sung báo cáo quyết toán trong thời hạn 60 ngày kể từ ngày nộp báo cáo quyết toán; khai bổ sung về trị giá hải quan trong thời hạn quy định đối với trường hợp hàng hóa chưa có giá chính thức tại thời điểm đăng ký tờ khai hải quan, hàng hóa có khoản thực thanh toán, hàng hóa có các khoản điều chỉnh cộng vào trị giá hải quan chưa xác định được tại thời điểm đăng ký tờ khai hải quan; khai bổ sung trong thời hạn quy định đối với trường hợp xuất khẩu, nhập khẩu được thỏa thuận dung sai về số lượng, cấp độ thương mại của hàng hóa mà hàng hóa gửi thừa không vượt quá dung sai và hàng hóa không thừa so với giấy phép, giấy chứng nhận kiểm tra chuyên ngành hoặc thừa so với giấy phép, giấy chứng nhận kiểm tra chuyên ngành nhưng đã được cơ quan có thẩm quyền cho phép điều chỉnh số lượng trong thời hạn quy định.</w:t>
            </w:r>
          </w:p>
          <w:p w:rsidR="00000000" w:rsidDel="00000000" w:rsidP="00000000" w:rsidRDefault="00000000" w:rsidRPr="00000000" w14:paraId="0000001E">
            <w:pPr>
              <w:widowControl w:val="0"/>
              <w:tabs>
                <w:tab w:val="left" w:leader="none" w:pos="720"/>
              </w:tabs>
              <w:spacing w:after="120" w:before="120" w:lineRule="auto"/>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b) Người nộp thuế thực hiện nghĩa vụ thuế theo văn bản hành chính hoặc quyết định xử lý của cơ quan hải quan, cơ quan nhà nước có thẩm quyền liên quan đến nội dung xác định nghĩa vụ thuế của người nộp thuế theo quy định tại điểm o khoản 1 Điều 37 Luật Quản lý thuế số 108/2025/QH15.</w:t>
            </w:r>
          </w:p>
          <w:p w:rsidR="00000000" w:rsidDel="00000000" w:rsidP="00000000" w:rsidRDefault="00000000" w:rsidRPr="00000000" w14:paraId="0000001F">
            <w:pPr>
              <w:widowControl w:val="0"/>
              <w:tabs>
                <w:tab w:val="left" w:leader="none" w:pos="72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Trường hợp hàng hóa gửi vào Việt Nam không phù hợp với hợp đồng theo quy định tại Điều 39 Luật Thương mại số 36/2005/QH11 (trừ hàng hóa cấm nhập khẩu, tạm ngừng nhập khẩu, hàng giả, phế liệu không thuộc Danh mục được phép nhập khẩu làm nguyên liệu sản xuất) nhưng đã được người gửi hàng, người vận tải, người nhận hàng hoặc người đại diện hợp pháp của người gửi hàng, người vận tải, người nhận hàng thông báo bằng văn bản (nêu rõ lý do) kèm theo các chứng từ liên quan tới Đội trưởng Hải quan cửa khẩu/ngoài cửa khẩu nơi lưu giữ hàng hóa khi chưa đăng ký tờ khai hải quan.</w:t>
            </w:r>
          </w:p>
        </w:tc>
        <w:tc>
          <w:tcPr/>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Tại khoản 2:</w:t>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Điểm a: Quy định cụ thể các trường hợp không xử phạt vi phạm hành chính theo quy định tại điểm b khoản 2 Điều 44 Luật Quản lý thuế số 108/2025/QH15 đối với các trường hợp khai sai liên quan đến thuế nhưng thuộc trường hợp không xử phạt vi phạm hành chính. Cụ thể: Khai bổ sung báo cáo quyết toán trong thời hạn quy định tại Điều 41 Nghị định 167/2025/NĐ-CP, Điều 60 Thông tư 121/2025/TT-BTC; khai bổ sung hồ sơ hải quan trong thời hạn quy định tại khoản 4 Điều 29 Luật Hải quan, điểm b khoản 2 Điều 44 Luật Quản lý thuế; các trường hợp khai bổ sung trị giá hải quan với các trường hợp chưa có giá chính thức theo quy định (phí bản quyền, phsi giấy phép) tại Thông tư 39/2015/TT-BTC (sửa đổi, bổ sung tại Thông tư 60/2019/TT-BTC); khai bổ sung về lượng trong thỏa thuận về dung sai quy định tại Điều 20 Thông tư 121/2025/TT-BTC.</w:t>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Điểm b: Quy định cụ thể trường hợp không xử phạt theo quy định tại điểm o khoản 1 Điều 37 Luật Quản lý thuế số 108/2025/QH15 về các trường hợp thực hiện theo văn bản hướng dẫn của cơ quan có thẩm quyền làm ảnh hưởng đến nghĩa vụ thuế của người khai hải quan để áp dụng thống nhất trên thực tế.</w:t>
            </w:r>
          </w:p>
        </w:tc>
      </w:tr>
      <w:tr>
        <w:trPr>
          <w:cantSplit w:val="0"/>
          <w:tblHeader w:val="0"/>
        </w:trPr>
        <w:tc>
          <w:tcPr/>
          <w:bookmarkStart w:colFirst="0" w:colLast="0" w:name="vj0yhq97ktuu" w:id="1"/>
          <w:bookmarkEnd w:id="1"/>
          <w:p w:rsidR="00000000" w:rsidDel="00000000" w:rsidP="00000000" w:rsidRDefault="00000000" w:rsidRPr="00000000" w14:paraId="00000037">
            <w:pPr>
              <w:widowControl w:val="0"/>
              <w:tabs>
                <w:tab w:val="left" w:leader="none" w:pos="720"/>
              </w:tabs>
              <w:spacing w:after="120" w:before="12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Điều 10. Vi phạm quy định về khai thuế dẫn đến thiếu số tiền thuế phải nộp hoặc tăng số tiền thuế được miễn, giảm, hoàn, không thu</w:t>
            </w:r>
          </w:p>
          <w:p w:rsidR="00000000" w:rsidDel="00000000" w:rsidP="00000000" w:rsidRDefault="00000000" w:rsidRPr="00000000" w14:paraId="00000038">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Các hành vi khai sai dẫn đến thiếu số tiền thuế phải nộp hoặc tăng số tiền thuế được miễn, giảm, hoàn, không thu gồm:</w:t>
            </w:r>
          </w:p>
          <w:p w:rsidR="00000000" w:rsidDel="00000000" w:rsidP="00000000" w:rsidRDefault="00000000" w:rsidRPr="00000000" w14:paraId="00000039">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Khai sai về lượng, tên hàng, chất lượng, trị giá hải quan, mã số hàng hóa, thuế suất, mức thuế, trừ quy định tại </w:t>
            </w:r>
            <w:bookmarkStart w:colFirst="0" w:colLast="0" w:name="dqzp3q3g84fv" w:id="2"/>
            <w:bookmarkEnd w:id="2"/>
            <w:r w:rsidDel="00000000" w:rsidR="00000000" w:rsidRPr="00000000">
              <w:rPr>
                <w:rFonts w:ascii="Times New Roman" w:cs="Times New Roman" w:eastAsia="Times New Roman" w:hAnsi="Times New Roman"/>
                <w:sz w:val="24"/>
                <w:szCs w:val="24"/>
                <w:rtl w:val="0"/>
              </w:rPr>
              <w:t xml:space="preserve">điểm b khoản 1 Điều 15 Nghị định này;</w:t>
            </w:r>
          </w:p>
          <w:p w:rsidR="00000000" w:rsidDel="00000000" w:rsidP="00000000" w:rsidRDefault="00000000" w:rsidRPr="00000000" w14:paraId="0000003A">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Khai sai đối tượng không chịu thuế, đối tượng miễn thuế, hàng quản lý theo hạn ngạch thuế quan;</w:t>
            </w:r>
          </w:p>
          <w:p w:rsidR="00000000" w:rsidDel="00000000" w:rsidP="00000000" w:rsidRDefault="00000000" w:rsidRPr="00000000" w14:paraId="0000003B">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Lập và khai không đúng các nội dung trong hồ sơ miễn thuế, giảm thuế, hoàn thuế, không thu thuế, hồ sơ xử lý tiền thuế, tiền phạt nộp thừa;</w:t>
            </w:r>
          </w:p>
          <w:p w:rsidR="00000000" w:rsidDel="00000000" w:rsidP="00000000" w:rsidRDefault="00000000" w:rsidRPr="00000000" w14:paraId="0000003C">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Vi phạm quy định về quản lý nguyên liệu, vật tư, máy móc, thiết bị, sản phẩm gia công, sản xuất xuất khẩu, chế xuất dẫn đến hàng hóa thực tế tồn kho thiếu so với chứng từ kế toán, sổ kế toán, hồ sơ hải quan đối với hàng hóa xuất khẩu, nhập khẩu mà không thuộc trường hợp quy định tại các </w:t>
            </w:r>
            <w:bookmarkStart w:colFirst="0" w:colLast="0" w:name="ln3fnsezdkbl" w:id="3"/>
            <w:bookmarkEnd w:id="3"/>
            <w:r w:rsidDel="00000000" w:rsidR="00000000" w:rsidRPr="00000000">
              <w:rPr>
                <w:rFonts w:ascii="Times New Roman" w:cs="Times New Roman" w:eastAsia="Times New Roman" w:hAnsi="Times New Roman"/>
                <w:sz w:val="24"/>
                <w:szCs w:val="24"/>
                <w:rtl w:val="0"/>
              </w:rPr>
              <w:t xml:space="preserve">điểm d, đ, e và điểm g khoản 1 Điều 15 Nghị định này;</w:t>
            </w:r>
          </w:p>
          <w:p w:rsidR="00000000" w:rsidDel="00000000" w:rsidP="00000000" w:rsidRDefault="00000000" w:rsidRPr="00000000" w14:paraId="0000003D">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 Lập báo cáo quyết toán về lượng nguyên liệu, vật tư, linh kiện nhập khẩu đã sử dụng để sản xuất không đúng với thực tế sử dụng để sản xuất sản phẩm gia công, sản phẩm xuất khẩu;</w:t>
            </w:r>
          </w:p>
          <w:p w:rsidR="00000000" w:rsidDel="00000000" w:rsidP="00000000" w:rsidRDefault="00000000" w:rsidRPr="00000000" w14:paraId="0000003E">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Khai báo hàng hóa nhập khẩu theo loại hình gia công, sản xuất xuất khẩu nhưng không có cơ sở sản xuất hàng gia công, cơ sở sản xuất hàng xuất khẩu trên lãnh thổ nước Cộng hòa xã hội chủ nghĩa Việt Nam; hoặc không có máy móc, thiết bị thuộc quyền sở hữu hoặc quyền sử dụng tại cơ sở sản xuất phù hợp với nguyên liệu, vật tư, linh kiện nhập khẩu để gia công, sản xuất hàng xuất khẩu.</w:t>
            </w:r>
          </w:p>
          <w:p w:rsidR="00000000" w:rsidDel="00000000" w:rsidP="00000000" w:rsidRDefault="00000000" w:rsidRPr="00000000" w14:paraId="0000003F">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Phạt 10% tính trên số tiền thuế khai thiếu hoặc số tiền thuế khai tăng trong trường hợp được miễn, giảm, hoàn, không thu thuế đối với vi phạm quy định tại khoản 1 Điều này mà người nộp thuế tự phát hiện và khai bổ sung hồ sơ thuế theo quy định pháp luật hải quan thuộc một trong các trường hợp sau:</w:t>
            </w:r>
          </w:p>
          <w:p w:rsidR="00000000" w:rsidDel="00000000" w:rsidP="00000000" w:rsidRDefault="00000000" w:rsidRPr="00000000" w14:paraId="00000040">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Sau thời điểm cơ quan hải quan thông báo việc kiểm tra trực tiếp hồ sơ hải quan đối với hàng hóa đang làm thủ tục hải quan;</w:t>
            </w:r>
          </w:p>
          <w:p w:rsidR="00000000" w:rsidDel="00000000" w:rsidP="00000000" w:rsidRDefault="00000000" w:rsidRPr="00000000" w14:paraId="00000041">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Sau thời hạn 60 ngày kể từ ngày thông quan và trước thời điểm quyết định kiểm tra, kiểm tra sau thông quan, thanh tra đối với hàng hóa đã được thông quan;</w:t>
            </w:r>
          </w:p>
          <w:p w:rsidR="00000000" w:rsidDel="00000000" w:rsidP="00000000" w:rsidRDefault="00000000" w:rsidRPr="00000000" w14:paraId="00000042">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Quá thời hạn quy định khai bổ sung báo cáo quyết toán nhưng trước thời điểm cơ quan hải quan ban hành quyết định kiểm tra báo cáo quyết toán.</w:t>
            </w:r>
          </w:p>
          <w:p w:rsidR="00000000" w:rsidDel="00000000" w:rsidP="00000000" w:rsidRDefault="00000000" w:rsidRPr="00000000" w14:paraId="00000043">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Phạt 20% tính trên số tiền thuế khai thiếu hoặc số tiền thuế khai tăng trong trường hợp được miễn, giảm, hoàn, không thu thuế đối với một trong các trường hợp sau:</w:t>
            </w:r>
          </w:p>
          <w:p w:rsidR="00000000" w:rsidDel="00000000" w:rsidP="00000000" w:rsidRDefault="00000000" w:rsidRPr="00000000" w14:paraId="00000044">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Vi phạm quy định tại khoản 1 Điều này mà cơ quan hải quan phát hiện trong quá trình làm thủ tục hải quan;</w:t>
            </w:r>
          </w:p>
          <w:p w:rsidR="00000000" w:rsidDel="00000000" w:rsidP="00000000" w:rsidRDefault="00000000" w:rsidRPr="00000000" w14:paraId="00000045">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Vi phạm quy định tại khoản 1 Điều này bị phát hiện khi kiểm tra, thanh tra, kiểm toán đối với hàng hóa đã thông quan;</w:t>
            </w:r>
          </w:p>
          <w:p w:rsidR="00000000" w:rsidDel="00000000" w:rsidP="00000000" w:rsidRDefault="00000000" w:rsidRPr="00000000" w14:paraId="00000046">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Không khai bổ sung về trị giá hải quan theo quy định mà bị phát hiện khi kiểm tra, thanh tra đối với trường hợp hàng hóa chưa có giá chính thức tại thời điểm đăng ký tờ khai hải quan, hàng hóa có khoản thực thanh toán, hàng hóa có các khoản điều chỉnh cộng vào trị giá hải quan chưa xác định được tại thời điểm đăng ký tờ khai hải quan;</w:t>
            </w:r>
          </w:p>
          <w:p w:rsidR="00000000" w:rsidDel="00000000" w:rsidP="00000000" w:rsidRDefault="00000000" w:rsidRPr="00000000" w14:paraId="00000047">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Vi phạm quy định tại khoản 1 Điều này mà người khai hải quan tự phát hiện và khai bổ sung hồ sơ thuế ngoài các nội dung đã có kết luận kiểm tra, thanh tra.</w:t>
            </w:r>
          </w:p>
          <w:p w:rsidR="00000000" w:rsidDel="00000000" w:rsidP="00000000" w:rsidRDefault="00000000" w:rsidRPr="00000000" w14:paraId="00000048">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Cá nhân, tổ chức vi phạm quy định tại các điểm b, c, d khoản 3 Điều này thì bị xử phạt theo quy định tại điểm c khoản 1 Điều 15 Nghị định này khi thuộc một trong các trường hợp sau: </w:t>
            </w:r>
          </w:p>
          <w:p w:rsidR="00000000" w:rsidDel="00000000" w:rsidP="00000000" w:rsidRDefault="00000000" w:rsidRPr="00000000" w14:paraId="00000049">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Cá nhân, tổ chức vi phạm không tự nguyện khắc phục hậu quả bằng cách nộp đủ số tiền thuế phải nộp trước thời điểm lập biên bản vi phạm hành chính; </w:t>
            </w:r>
          </w:p>
          <w:p w:rsidR="00000000" w:rsidDel="00000000" w:rsidP="00000000" w:rsidRDefault="00000000" w:rsidRPr="00000000" w14:paraId="0000004A">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Hành vi vi phạm do cơ quan có thẩm quyền tiến hành tố tụng hình sự chuyển đến theo quy định tại khoản 1 Điều 63 Luật Xử lý vi phạm hành chính số 15/2012/QH13 đã được sửa đổi, bổ sung bởi điểm d khoản 31 Điều 1 Luật số 67/2020/QH14 và khoản 13 Điều 1 Luật số 88/2025/QH15 mà cá nhân, tổ chức vi phạm không tự nguyện khắc phục hậu quả bằng cách nộp đủ số tiền thuế phải nộp trước thời điểm ban hành quyết định xử phạt vi phạm hành chính.</w:t>
            </w:r>
          </w:p>
          <w:p w:rsidR="00000000" w:rsidDel="00000000" w:rsidP="00000000" w:rsidRDefault="00000000" w:rsidRPr="00000000" w14:paraId="0000004B">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Áp dụng biện pháp khắc phục hậu quả:</w:t>
            </w:r>
          </w:p>
          <w:p w:rsidR="00000000" w:rsidDel="00000000" w:rsidP="00000000" w:rsidRDefault="00000000" w:rsidRPr="00000000" w14:paraId="0000004C">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Buộc nộp đủ số tiền thuế thiếu; số tiền thuế đã được miễn, giảm, hoàn, không thu không đúng vào ngân sách Nhà nước đối với hành vi vi phạm quy định tại Điều này.</w:t>
            </w:r>
          </w:p>
          <w:p w:rsidR="00000000" w:rsidDel="00000000" w:rsidP="00000000" w:rsidRDefault="00000000" w:rsidRPr="00000000" w14:paraId="0000004D">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Thực hiện xử phạt theo quy định tại các khoản 1, 2 và 3 Điều này chỉ áp dụng trong trường hợp số tiền thuế chênh lệch từ 500.000 đồng/tờ khai hải quan đối với vi phạm do cá nhân thực hiện, từ 2.000.000 đồng/tờ khai hải quan đối với vi phạm do tổ chức thực hiện.</w:t>
            </w:r>
          </w:p>
          <w:p w:rsidR="00000000" w:rsidDel="00000000" w:rsidP="00000000" w:rsidRDefault="00000000" w:rsidRPr="00000000" w14:paraId="0000004E">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Vi phạm quy định tại các khoản 1, 2 và 3 Điều này là hành vi trốn thuế thì xử phạt theo quy định tại </w:t>
            </w:r>
            <w:bookmarkStart w:colFirst="0" w:colLast="0" w:name="xmnyqdf0qq02" w:id="4"/>
            <w:bookmarkEnd w:id="4"/>
            <w:r w:rsidDel="00000000" w:rsidR="00000000" w:rsidRPr="00000000">
              <w:rPr>
                <w:rFonts w:ascii="Times New Roman" w:cs="Times New Roman" w:eastAsia="Times New Roman" w:hAnsi="Times New Roman"/>
                <w:sz w:val="24"/>
                <w:szCs w:val="24"/>
                <w:rtl w:val="0"/>
              </w:rPr>
              <w:t xml:space="preserve">Điều 15 Nghị định này.</w:t>
            </w:r>
          </w:p>
          <w:p w:rsidR="00000000" w:rsidDel="00000000" w:rsidP="00000000" w:rsidRDefault="00000000" w:rsidRPr="00000000" w14:paraId="0000004F">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Quy định tại Điều này không áp dụng đối với các trường hợp vi phạm quy định tại các </w:t>
            </w:r>
            <w:bookmarkStart w:colFirst="0" w:colLast="0" w:name="tdzljggpmmh1" w:id="5"/>
            <w:bookmarkEnd w:id="5"/>
            <w:r w:rsidDel="00000000" w:rsidR="00000000" w:rsidRPr="00000000">
              <w:rPr>
                <w:rFonts w:ascii="Times New Roman" w:cs="Times New Roman" w:eastAsia="Times New Roman" w:hAnsi="Times New Roman"/>
                <w:sz w:val="24"/>
                <w:szCs w:val="24"/>
                <w:rtl w:val="0"/>
              </w:rPr>
              <w:t xml:space="preserve">Điều 16, 17, </w:t>
            </w:r>
            <w:bookmarkStart w:colFirst="0" w:colLast="0" w:name="8j9fa3qrd71h" w:id="6"/>
            <w:bookmarkEnd w:id="6"/>
            <w:r w:rsidDel="00000000" w:rsidR="00000000" w:rsidRPr="00000000">
              <w:rPr>
                <w:rFonts w:ascii="Times New Roman" w:cs="Times New Roman" w:eastAsia="Times New Roman" w:hAnsi="Times New Roman"/>
                <w:sz w:val="24"/>
                <w:szCs w:val="24"/>
                <w:rtl w:val="0"/>
              </w:rPr>
              <w:t xml:space="preserve">18, 19, 20, </w:t>
            </w:r>
            <w:bookmarkStart w:colFirst="0" w:colLast="0" w:name="aq4ag2b85by7" w:id="7"/>
            <w:bookmarkEnd w:id="7"/>
            <w:r w:rsidDel="00000000" w:rsidR="00000000" w:rsidRPr="00000000">
              <w:rPr>
                <w:rFonts w:ascii="Times New Roman" w:cs="Times New Roman" w:eastAsia="Times New Roman" w:hAnsi="Times New Roman"/>
                <w:sz w:val="24"/>
                <w:szCs w:val="24"/>
                <w:rtl w:val="0"/>
              </w:rPr>
              <w:t xml:space="preserve">21, 22, 23 Nghị định này.</w:t>
            </w:r>
          </w:p>
        </w:tc>
        <w:tc>
          <w:tcPr/>
          <w:p w:rsidR="00000000" w:rsidDel="00000000" w:rsidP="00000000" w:rsidRDefault="00000000" w:rsidRPr="00000000" w14:paraId="00000050">
            <w:pPr>
              <w:widowControl w:val="0"/>
              <w:tabs>
                <w:tab w:val="left" w:leader="none" w:pos="720"/>
              </w:tabs>
              <w:spacing w:after="120" w:before="12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Điều 10. Vi phạm quy định về khai thuế dẫn đến thiếu số tiền thuế phải nộp hoặc tăng số tiền thuế được miễn, giảm, hoàn, không thu</w:t>
            </w:r>
          </w:p>
          <w:p w:rsidR="00000000" w:rsidDel="00000000" w:rsidP="00000000" w:rsidRDefault="00000000" w:rsidRPr="00000000" w14:paraId="00000051">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Các hành vi khai sai dẫn đến thiếu số tiền thuế phải nộp hoặc tăng số tiền thuế được miễn, giảm, hoàn, không thu gồm:</w:t>
            </w:r>
          </w:p>
          <w:p w:rsidR="00000000" w:rsidDel="00000000" w:rsidP="00000000" w:rsidRDefault="00000000" w:rsidRPr="00000000" w14:paraId="00000052">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Khai sai về lượng, tên hàng, chất lượng, trị giá hải quan, mã số hàng hóa, thuế suất, mức thuế, trừ quy định tại điểm b khoản 1 Điều 15 Nghị định này;</w:t>
            </w:r>
          </w:p>
          <w:p w:rsidR="00000000" w:rsidDel="00000000" w:rsidP="00000000" w:rsidRDefault="00000000" w:rsidRPr="00000000" w14:paraId="00000053">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Khai sai đối tượng không chịu thuế, đối tượng miễn thuế, hàng quản lý theo hạn ngạch thuế quan;</w:t>
            </w:r>
          </w:p>
          <w:p w:rsidR="00000000" w:rsidDel="00000000" w:rsidP="00000000" w:rsidRDefault="00000000" w:rsidRPr="00000000" w14:paraId="00000054">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Lập và khai không đúng các nội dung trong hồ sơ miễn thuế, giảm thuế, hoàn thuế, không thu thuế, hồ sơ xử lý tiền thuế, tiền phạt nộp thừa;</w:t>
            </w:r>
          </w:p>
          <w:p w:rsidR="00000000" w:rsidDel="00000000" w:rsidP="00000000" w:rsidRDefault="00000000" w:rsidRPr="00000000" w14:paraId="00000055">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Vi phạm quy định về quản lý nguyên liệu, vật tư, máy móc, thiết bị, sản phẩm gia công, sản xuất xuất khẩu, chế xuất dẫn đến hàng hóa thực tế tồn kho thiếu so với chứng từ kế toán, sổ kế toán, hồ sơ hải quan đối với hàng hóa xuất khẩu, nhập khẩu mà không thuộc trường hợp quy định tại các điểm d, đ, e và điểm g khoản 1 Điều 15 Nghị định này;</w:t>
            </w:r>
          </w:p>
          <w:p w:rsidR="00000000" w:rsidDel="00000000" w:rsidP="00000000" w:rsidRDefault="00000000" w:rsidRPr="00000000" w14:paraId="00000056">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 Lập báo cáo quyết toán về lượng nguyên liệu, vật tư, linh kiện nhập khẩu đã sử dụng để sản xuất không đúng với thực tế sử dụng để sản xuất sản phẩm gia công, sản phẩm xuất khẩu;</w:t>
            </w:r>
          </w:p>
          <w:p w:rsidR="00000000" w:rsidDel="00000000" w:rsidP="00000000" w:rsidRDefault="00000000" w:rsidRPr="00000000" w14:paraId="00000057">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Khai báo hàng hóa nhập khẩu theo loại hình gia công, sản xuất xuất khẩu nhưng không có cơ sở sản xuất hàng gia công, cơ sở sản xuất hàng xuất khẩu trên lãnh thổ nước Cộng hòa xã hội chủ nghĩa Việt Nam; hoặc không có máy móc, thiết bị thuộc quyền sở hữu hoặc quyền sử dụng tại cơ sở sản xuất phù hợp với nguyên liệu, vật tư, linh kiện nhập khẩu để gia công, sản xuất hàng xuất khẩu.</w:t>
            </w:r>
          </w:p>
          <w:p w:rsidR="00000000" w:rsidDel="00000000" w:rsidP="00000000" w:rsidRDefault="00000000" w:rsidRPr="00000000" w14:paraId="00000058">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Phạt 10% tính trên số tiền thuế khai thiếu hoặc số tiền thuế khai tăng trong trường hợp được miễn, giảm, hoàn, không thu thuế đối với vi phạm quy định tại khoản 1 Điều này mà người nộp thuế tự phát hiện và khai bổ sung </w:t>
            </w:r>
            <w:r w:rsidDel="00000000" w:rsidR="00000000" w:rsidRPr="00000000">
              <w:rPr>
                <w:rFonts w:ascii="Times New Roman" w:cs="Times New Roman" w:eastAsia="Times New Roman" w:hAnsi="Times New Roman"/>
                <w:strike w:val="1"/>
                <w:sz w:val="24"/>
                <w:szCs w:val="24"/>
                <w:highlight w:val="yellow"/>
                <w:rtl w:val="0"/>
              </w:rPr>
              <w:t xml:space="preserve">hồ sơ thuế theo quy định pháp luật hải quan</w:t>
            </w:r>
            <w:r w:rsidDel="00000000" w:rsidR="00000000" w:rsidRPr="00000000">
              <w:rPr>
                <w:rFonts w:ascii="Times New Roman" w:cs="Times New Roman" w:eastAsia="Times New Roman" w:hAnsi="Times New Roman"/>
                <w:sz w:val="24"/>
                <w:szCs w:val="24"/>
                <w:rtl w:val="0"/>
              </w:rPr>
              <w:t xml:space="preserve"> thuộc một trong các trường hợp sau:</w:t>
            </w:r>
          </w:p>
          <w:p w:rsidR="00000000" w:rsidDel="00000000" w:rsidP="00000000" w:rsidRDefault="00000000" w:rsidRPr="00000000" w14:paraId="00000059">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Sau thời điểm cơ quan hải quan thông báo việc kiểm tra trực tiếp hồ sơ hải quan đối với hàng hóa đang làm thủ tục hải quan;</w:t>
            </w:r>
          </w:p>
          <w:p w:rsidR="00000000" w:rsidDel="00000000" w:rsidP="00000000" w:rsidRDefault="00000000" w:rsidRPr="00000000" w14:paraId="0000005A">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Sau thời hạn 60 ngày kể từ ngày thông quan và trước thời điểm quyết định kiểm tra, kiểm tra sau thông quan, thanh tra đối với hàng hóa đã được thông quan;</w:t>
            </w:r>
          </w:p>
          <w:p w:rsidR="00000000" w:rsidDel="00000000" w:rsidP="00000000" w:rsidRDefault="00000000" w:rsidRPr="00000000" w14:paraId="0000005B">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Quá thời hạn quy định khai bổ sung báo cáo quyết toán nhưng trước thời điểm cơ quan hải quan ban hành quyết định kiểm tra báo cáo quyết toán.</w:t>
            </w:r>
          </w:p>
          <w:p w:rsidR="00000000" w:rsidDel="00000000" w:rsidP="00000000" w:rsidRDefault="00000000" w:rsidRPr="00000000" w14:paraId="0000005C">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Phạt 20% tính trên số tiền thuế khai thiếu hoặc số tiền thuế khai tăng trong trường hợp được miễn, giảm, hoàn, không thu thuế đối với một trong các trường hợp sau:</w:t>
            </w:r>
          </w:p>
          <w:p w:rsidR="00000000" w:rsidDel="00000000" w:rsidP="00000000" w:rsidRDefault="00000000" w:rsidRPr="00000000" w14:paraId="0000005D">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Vi phạm quy định tại khoản 1 Điều này mà cơ quan hải quan phát hiện trong quá trình làm thủ tục hải quan;</w:t>
            </w:r>
          </w:p>
          <w:p w:rsidR="00000000" w:rsidDel="00000000" w:rsidP="00000000" w:rsidRDefault="00000000" w:rsidRPr="00000000" w14:paraId="0000005E">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Vi phạm quy định tại khoản 1 Điều này bị phát hiện khi kiểm tra, thanh tra, kiểm toán đối với hàng hóa đã thông quan;</w:t>
            </w:r>
          </w:p>
          <w:p w:rsidR="00000000" w:rsidDel="00000000" w:rsidP="00000000" w:rsidRDefault="00000000" w:rsidRPr="00000000" w14:paraId="0000005F">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Không khai bổ sung về trị giá hải quan theo quy định mà bị phát hiện khi kiểm tra, thanh tra đối với trường hợp hàng hóa chưa có giá chính thức tại thời điểm đăng ký tờ khai hải quan, hàng hóa có khoản thực thanh toán, hàng hóa có các khoản điều chỉnh cộng vào trị giá hải quan chưa xác định được tại thời điểm đăng ký tờ khai hải quan;</w:t>
            </w:r>
          </w:p>
          <w:p w:rsidR="00000000" w:rsidDel="00000000" w:rsidP="00000000" w:rsidRDefault="00000000" w:rsidRPr="00000000" w14:paraId="00000060">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Vi phạm quy định tại khoản 1 Điều này mà người khai hải quan tự phát hiện và khai bổ sung hồ sơ thuế ngoài các nội dung đã có kết luận kiểm tra, thanh tra.</w:t>
            </w:r>
          </w:p>
          <w:p w:rsidR="00000000" w:rsidDel="00000000" w:rsidP="00000000" w:rsidRDefault="00000000" w:rsidRPr="00000000" w14:paraId="00000061">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Cá nhân, tổ chức vi phạm quy định tại các điểm b, c, d khoản 3 Điều này thì bị xử phạt theo quy định tại điểm c khoản 1 Điều 15 Nghị định này khi thuộc một trong các trường hợp sau: </w:t>
            </w:r>
          </w:p>
          <w:p w:rsidR="00000000" w:rsidDel="00000000" w:rsidP="00000000" w:rsidRDefault="00000000" w:rsidRPr="00000000" w14:paraId="00000062">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Cá nhân, tổ chức vi phạm không tự nguyện khắc phục hậu quả bằng cách nộp đủ số tiền thuế phải nộp trước thời điểm lập biên bản vi phạm hành chính; </w:t>
            </w:r>
          </w:p>
          <w:p w:rsidR="00000000" w:rsidDel="00000000" w:rsidP="00000000" w:rsidRDefault="00000000" w:rsidRPr="00000000" w14:paraId="00000063">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Hành vi vi phạm do cơ quan có thẩm quyền tiến hành tố tụng hình sự chuyển đến theo quy định tại khoản 1 Điều 63 Luật Xử lý vi phạm hành chính số 15/2012/QH13 đã được sửa đổi, bổ sung bởi điểm d khoản 31 Điều 1 Luật số 67/2020/QH14 và khoản 13 Điều 1 Luật số 88/2025/QH15 mà cá nhân, tổ chức vi phạm không tự nguyện khắc phục hậu quả bằng cách nộp đủ số tiền thuế phải nộp trước thời điểm ban hành quyết định xử phạt vi phạm hành chính.</w:t>
            </w:r>
          </w:p>
          <w:p w:rsidR="00000000" w:rsidDel="00000000" w:rsidP="00000000" w:rsidRDefault="00000000" w:rsidRPr="00000000" w14:paraId="00000064">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Áp dụng biện pháp khắc phục hậu quả:</w:t>
            </w:r>
          </w:p>
          <w:p w:rsidR="00000000" w:rsidDel="00000000" w:rsidP="00000000" w:rsidRDefault="00000000" w:rsidRPr="00000000" w14:paraId="00000065">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Buộc nộp đủ số tiền thuế thiếu; số tiền thuế đã được miễn, giảm, hoàn, không thu không đúng vào ngân sách Nhà nước đối với hành vi vi phạm quy định tại Điều này.</w:t>
            </w:r>
          </w:p>
          <w:p w:rsidR="00000000" w:rsidDel="00000000" w:rsidP="00000000" w:rsidRDefault="00000000" w:rsidRPr="00000000" w14:paraId="00000066">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Thực hiện xử phạt theo quy định tại các khoản 1, 2 và 3 Điều này chỉ áp dụng trong trường hợp số tiền thuế chênh lệch từ 500.000 đồng/tờ khai hải quan đối với vi phạm do cá nhân thực hiện, từ 2.000.000 đồng/tờ khai hải quan đối với vi phạm do tổ chức thực hiện.</w:t>
            </w:r>
          </w:p>
          <w:p w:rsidR="00000000" w:rsidDel="00000000" w:rsidP="00000000" w:rsidRDefault="00000000" w:rsidRPr="00000000" w14:paraId="00000067">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Vi phạm quy định tại các khoản 1, 2 và 3 Điều này là hành vi trốn thuế thì xử phạt theo quy định tại Điều 15 Nghị định này.</w:t>
            </w:r>
          </w:p>
          <w:p w:rsidR="00000000" w:rsidDel="00000000" w:rsidP="00000000" w:rsidRDefault="00000000" w:rsidRPr="00000000" w14:paraId="00000068">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Quy định tại Điều này không áp dụng đối với các trường hợp vi phạm quy định tại các Điều 16, 17, 18, 19, 20, 21, 22, 23 Nghị định này.</w:t>
            </w:r>
          </w:p>
        </w:tc>
        <w:tc>
          <w:tcPr/>
          <w:p w:rsidR="00000000" w:rsidDel="00000000" w:rsidP="00000000" w:rsidRDefault="00000000" w:rsidRPr="00000000" w14:paraId="0000006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Khoản 2: Bỏ cụm từ “</w:t>
            </w:r>
            <w:r w:rsidDel="00000000" w:rsidR="00000000" w:rsidRPr="00000000">
              <w:rPr>
                <w:rFonts w:ascii="Times New Roman" w:cs="Times New Roman" w:eastAsia="Times New Roman" w:hAnsi="Times New Roman"/>
                <w:i w:val="1"/>
                <w:iCs w:val="1"/>
                <w:sz w:val="24"/>
                <w:szCs w:val="24"/>
                <w:rtl w:val="0"/>
              </w:rPr>
              <w:t xml:space="preserve">hồ sơ thuế theo quy định pháp luật hải quan”</w:t>
            </w:r>
            <w:r w:rsidDel="00000000" w:rsidR="00000000" w:rsidRPr="00000000">
              <w:rPr>
                <w:rFonts w:ascii="Times New Roman" w:cs="Times New Roman" w:eastAsia="Times New Roman" w:hAnsi="Times New Roman"/>
                <w:sz w:val="24"/>
                <w:szCs w:val="24"/>
                <w:rtl w:val="0"/>
              </w:rPr>
              <w:t xml:space="preserve"> tại khoản 2 Điều 10 để đảm bảo phù hợp quy định tại điểm a khoản 3 Điều 45 Luật Quản lý thuế số 108/2025/QH15: “</w:t>
            </w:r>
            <w:r w:rsidDel="00000000" w:rsidR="00000000" w:rsidRPr="00000000">
              <w:rPr>
                <w:rFonts w:ascii="Times New Roman" w:cs="Times New Roman" w:eastAsia="Times New Roman" w:hAnsi="Times New Roman"/>
                <w:i w:val="1"/>
                <w:iCs w:val="1"/>
                <w:sz w:val="24"/>
                <w:szCs w:val="24"/>
                <w:rtl w:val="0"/>
              </w:rPr>
              <w:t xml:space="preserve">a) Người nộp thuế </w:t>
            </w:r>
            <w:r w:rsidDel="00000000" w:rsidR="00000000" w:rsidRPr="00000000">
              <w:rPr>
                <w:rFonts w:ascii="Times New Roman" w:cs="Times New Roman" w:eastAsia="Times New Roman" w:hAnsi="Times New Roman"/>
                <w:i w:val="1"/>
                <w:iCs w:val="1"/>
                <w:sz w:val="24"/>
                <w:szCs w:val="24"/>
                <w:u w:val="single"/>
                <w:rtl w:val="0"/>
              </w:rPr>
              <w:t xml:space="preserve">tự phát hiện và khai bổ sung</w:t>
            </w:r>
            <w:r w:rsidDel="00000000" w:rsidR="00000000" w:rsidRPr="00000000">
              <w:rPr>
                <w:rFonts w:ascii="Times New Roman" w:cs="Times New Roman" w:eastAsia="Times New Roman" w:hAnsi="Times New Roman"/>
                <w:i w:val="1"/>
                <w:iCs w:val="1"/>
                <w:sz w:val="24"/>
                <w:szCs w:val="24"/>
                <w:rtl w:val="0"/>
              </w:rPr>
              <w:t xml:space="preserve"> sau thời điểm cơ quan hải quan thông báo việc kiểm tra trực tiếp hồ sơ hải quan đối với hàng hóa đang làm thủ tục hải quan hoặc sau thời hạn 60 ngày kể từ ngày thông quan và trước thời điểm quyết định kiểm tra sau thông quan, thanh tra, kiểm tra đối với hàng hóa đã thông quan;”. </w:t>
            </w:r>
            <w:r w:rsidDel="00000000" w:rsidR="00000000" w:rsidRPr="00000000">
              <w:rPr>
                <w:rFonts w:ascii="Times New Roman" w:cs="Times New Roman" w:eastAsia="Times New Roman" w:hAnsi="Times New Roman"/>
                <w:sz w:val="24"/>
                <w:szCs w:val="24"/>
                <w:rtl w:val="0"/>
              </w:rPr>
              <w:t xml:space="preserve">Việc tự phát hiện và khai bổ sung không chỉ theo quy định pháp luật hải quan mà còn theo quy định của Luật Quản lý thuế. </w:t>
            </w:r>
          </w:p>
          <w:p w:rsidR="00000000" w:rsidDel="00000000" w:rsidP="00000000" w:rsidRDefault="00000000" w:rsidRPr="00000000" w14:paraId="00000088">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widowControl w:val="0"/>
              <w:tabs>
                <w:tab w:val="left" w:leader="none" w:pos="720"/>
              </w:tabs>
              <w:spacing w:after="120" w:before="120" w:lineRule="auto"/>
              <w:jc w:val="both"/>
              <w:rPr>
                <w:rFonts w:ascii="Times New Roman" w:cs="Times New Roman" w:eastAsia="Times New Roman" w:hAnsi="Times New Roman"/>
                <w:sz w:val="24"/>
                <w:szCs w:val="24"/>
              </w:rPr>
            </w:pPr>
            <w:bookmarkStart w:colFirst="0" w:colLast="0" w:name="_nrc383ge5lsw" w:id="8"/>
            <w:bookmarkEnd w:id="8"/>
            <w:r w:rsidDel="00000000" w:rsidR="00000000" w:rsidRPr="00000000">
              <w:rPr>
                <w:rtl w:val="0"/>
              </w:rPr>
            </w:r>
          </w:p>
        </w:tc>
      </w:tr>
      <w:tr>
        <w:trPr>
          <w:cantSplit w:val="0"/>
          <w:tblHeader w:val="0"/>
        </w:trPr>
        <w:tc>
          <w:tcPr/>
          <w:bookmarkStart w:colFirst="0" w:colLast="0" w:name="qzl57jjxdand" w:id="9"/>
          <w:bookmarkEnd w:id="9"/>
          <w:p w:rsidR="00000000" w:rsidDel="00000000" w:rsidP="00000000" w:rsidRDefault="00000000" w:rsidRPr="00000000" w14:paraId="000000AB">
            <w:pPr>
              <w:widowControl w:val="0"/>
              <w:tabs>
                <w:tab w:val="left" w:leader="none" w:pos="720"/>
              </w:tabs>
              <w:spacing w:after="120" w:before="12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Điều 26. Vi phạm quy định liên quan đến cưỡng chế thi hành quyết định hành chính</w:t>
            </w:r>
          </w:p>
          <w:p w:rsidR="00000000" w:rsidDel="00000000" w:rsidP="00000000" w:rsidRDefault="00000000" w:rsidRPr="00000000" w14:paraId="000000AC">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Phạt tiền từ 1.000.000 đồng đến 5.000.000 đồng đối với hành vi cố tình không thực hiện quyết định cưỡng chế bằng biện pháp khấu trừ một phần tiền lương, thu nhập của cá nhân bị cưỡng chế theo quyết định cưỡng chế của cơ quan hải quan.</w:t>
            </w:r>
          </w:p>
          <w:p w:rsidR="00000000" w:rsidDel="00000000" w:rsidP="00000000" w:rsidRDefault="00000000" w:rsidRPr="00000000" w14:paraId="000000AD">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Phạt tiền từ 5.000.000 đồng đến 10.000.000 đồng đối với trường hợp không thực hiện trích chuyển tiền của cá nhân, tổ chức bị cưỡng chế thi hành quyết định xử phạt vi phạm hành chính trong lĩnh vực hải quan của người có thẩm quyền, trừ trường hợp quy định tại khoản 3 Điều này.</w:t>
            </w:r>
          </w:p>
          <w:p w:rsidR="00000000" w:rsidDel="00000000" w:rsidP="00000000" w:rsidRDefault="00000000" w:rsidRPr="00000000" w14:paraId="000000AE">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Phạt tiền tương ứng với số tiền không trích chuyển vào tài khoản của ngân sách Nhà nước đối với ngân hàng thương mại không thực hiện trách nhiệm trích chuyển tiền từ tài khoản của người nộp thuế vào tài khoản của ngân sách Nhà nước đối với số tiền thuế nợ phải nộp của người nộp thuế theo yêu cầu của cơ quan quản lý thuế, trừ trường hợp các tài khoản của người nộp thuế không còn số dư hoặc đã trích chuyển toàn bộ số dư tài khoản của người nộp thuế vào tài khoản của ngân sách Nhà nước nhưng vẫn không đủ số tiền thuế nợ mà người nộp thuế phải nộp.</w:t>
            </w:r>
          </w:p>
          <w:p w:rsidR="00000000" w:rsidDel="00000000" w:rsidP="00000000" w:rsidRDefault="00000000" w:rsidRPr="00000000" w14:paraId="000000AF">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Phạt tiền từ 5.000.000 đồng đến 10.000.000 đồng đối với một trong các hành vi sau:</w:t>
            </w:r>
          </w:p>
          <w:p w:rsidR="00000000" w:rsidDel="00000000" w:rsidP="00000000" w:rsidRDefault="00000000" w:rsidRPr="00000000" w14:paraId="000000B0">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Không cung cấp hoặc cung cấp không chính xác thông tin, chứng từ, tài liệu, nội dung giao dịch qua tài khoản của người nộp thuế mở tại tổ chức tín dụng liên quan đến hàng hóa xuất khẩu, nhập khẩu, phương tiện vận tải xuất cảnh, nhập cảnh khi cơ quan hải quan yêu cầu theo quy định của pháp luật;</w:t>
            </w:r>
          </w:p>
          <w:p w:rsidR="00000000" w:rsidDel="00000000" w:rsidP="00000000" w:rsidRDefault="00000000" w:rsidRPr="00000000" w14:paraId="000000B1">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Thông đồng, bao che người nộp thuế trốn thuế, không thực hiện quyết định cưỡng chế hành chính thuế trong lĩnh vực hải quan.</w:t>
            </w:r>
          </w:p>
          <w:p w:rsidR="00000000" w:rsidDel="00000000" w:rsidP="00000000" w:rsidRDefault="00000000" w:rsidRPr="00000000" w14:paraId="000000B2">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3">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Điều 26. Vi phạm quy định liên quan đến cưỡng chế thi hành quyết định hành chính</w:t>
            </w:r>
          </w:p>
          <w:p w:rsidR="00000000" w:rsidDel="00000000" w:rsidP="00000000" w:rsidRDefault="00000000" w:rsidRPr="00000000" w14:paraId="000000B4">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Phạt tiền từ 1.000.000 đồng đến 5.000.000 đồng đối với hành vi cố tình không thực hiện quyết định cưỡng chế bằng biện pháp khấu trừ một phần tiền lương, thu nhập của cá nhân bị cưỡng chế theo quyết định cưỡng chế của cơ quan hải quan.</w:t>
            </w:r>
          </w:p>
          <w:p w:rsidR="00000000" w:rsidDel="00000000" w:rsidP="00000000" w:rsidRDefault="00000000" w:rsidRPr="00000000" w14:paraId="000000B5">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Phạt tiền từ 5.000.000 đồng đến 10.000.000 đồng đối với trường hợp không thực hiện trích chuyển tiền của cá nhân, tổ chức bị cưỡng chế thi hành quyết định xử phạt vi phạm hành chính trong lĩnh vực hải quan của người có thẩm quyền, trừ trường hợp quy định tại khoản 3 Điều này.</w:t>
            </w:r>
          </w:p>
          <w:p w:rsidR="00000000" w:rsidDel="00000000" w:rsidP="00000000" w:rsidRDefault="00000000" w:rsidRPr="00000000" w14:paraId="000000B6">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Phạt tiền tương ứng với số tiền không trích chuyển vào tài khoản của ngân sách Nhà nước đối với </w:t>
            </w:r>
            <w:r w:rsidDel="00000000" w:rsidR="00000000" w:rsidRPr="00000000">
              <w:rPr>
                <w:rFonts w:ascii="Times New Roman" w:cs="Times New Roman" w:eastAsia="Times New Roman" w:hAnsi="Times New Roman"/>
                <w:b w:val="1"/>
                <w:bCs w:val="1"/>
                <w:i w:val="1"/>
                <w:iCs w:val="1"/>
                <w:sz w:val="24"/>
                <w:szCs w:val="24"/>
                <w:u w:val="single"/>
                <w:rtl w:val="0"/>
              </w:rPr>
              <w:t xml:space="preserve">tổ chức tín dụng, chi nhánh ngân hàng nước ngoài, tổ chức cung ứng dịch vụ thanh toán, tổ chức cung ứng dịch vụ trung gian thanh toán </w:t>
            </w:r>
            <w:r w:rsidDel="00000000" w:rsidR="00000000" w:rsidRPr="00000000">
              <w:rPr>
                <w:rFonts w:ascii="Times New Roman" w:cs="Times New Roman" w:eastAsia="Times New Roman" w:hAnsi="Times New Roman"/>
                <w:strike w:val="1"/>
                <w:sz w:val="24"/>
                <w:szCs w:val="24"/>
                <w:rtl w:val="0"/>
              </w:rPr>
              <w:t xml:space="preserve">ngân hàng thương mại</w:t>
            </w:r>
            <w:r w:rsidDel="00000000" w:rsidR="00000000" w:rsidRPr="00000000">
              <w:rPr>
                <w:rFonts w:ascii="Times New Roman" w:cs="Times New Roman" w:eastAsia="Times New Roman" w:hAnsi="Times New Roman"/>
                <w:sz w:val="24"/>
                <w:szCs w:val="24"/>
                <w:rtl w:val="0"/>
              </w:rPr>
              <w:t xml:space="preserve"> không thực hiện trách nhiệm trích chuyển tiền từ tài khoản của người nộp thuế vào tài khoản của ngân sách Nhà nước đối với số tiền thuế nợ phải nộp của người nộp thuế theo yêu cầu của cơ quan quản lý thuế, trừ trường hợp các tài khoản của người nộp thuế không còn số dư hoặc đã trích chuyển toàn bộ số dư tài khoản của người nộp thuế vào tài khoản của ngân sách Nhà nước nhưng vẫn không đủ số tiền thuế nợ mà người nộp thuế phải nộp.</w:t>
            </w:r>
          </w:p>
          <w:p w:rsidR="00000000" w:rsidDel="00000000" w:rsidP="00000000" w:rsidRDefault="00000000" w:rsidRPr="00000000" w14:paraId="000000B7">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Phạt tiền từ 5.000.000 đồng đến 10.000.000 đồng đối với một trong các hành vi sau:</w:t>
            </w:r>
          </w:p>
          <w:p w:rsidR="00000000" w:rsidDel="00000000" w:rsidP="00000000" w:rsidRDefault="00000000" w:rsidRPr="00000000" w14:paraId="000000B8">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Không cung cấp hoặc cung cấp không chính xác thông tin, chứng từ, tài liệu, nội dung giao dịch qua tài khoản của người nộp thuế mở tại tổ chức tín dụng liên quan đến hàng hóa xuất khẩu, nhập khẩu, phương tiện vận tải xuất cảnh, nhập cảnh khi cơ quan hải quan yêu cầu theo quy định của pháp luật;</w:t>
            </w:r>
          </w:p>
          <w:p w:rsidR="00000000" w:rsidDel="00000000" w:rsidP="00000000" w:rsidRDefault="00000000" w:rsidRPr="00000000" w14:paraId="000000B9">
            <w:pPr>
              <w:widowControl w:val="0"/>
              <w:tabs>
                <w:tab w:val="left" w:leader="none" w:pos="720"/>
              </w:tabs>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Thông đồng, bao che người nộp thuế trốn thuế, không thực hiện quyết định cưỡng chế hành chính thuế trong lĩnh vực hải quan.</w:t>
            </w:r>
          </w:p>
          <w:p w:rsidR="00000000" w:rsidDel="00000000" w:rsidP="00000000" w:rsidRDefault="00000000" w:rsidRPr="00000000" w14:paraId="000000BA">
            <w:pPr>
              <w:spacing w:after="120" w:before="120" w:lineRule="auto"/>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5. Người bảo lãnh không thực hiện nghĩa vụ của người nộp thuế trong phạm vi bảo lãnh khi người nộp thuế không thực hiện nghĩa vụ nộp thuế thì người bảo lãnh bị phạt tiền tương ứng với số tiền phải thực hiện nghĩa vụ của người nộp thuế trong phạm vi được bảo lãnh.</w:t>
            </w:r>
          </w:p>
        </w:tc>
        <w:tc>
          <w:tcPr/>
          <w:p w:rsidR="00000000" w:rsidDel="00000000" w:rsidP="00000000" w:rsidRDefault="00000000" w:rsidRPr="00000000" w14:paraId="000000B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Khoản 3: Sửa đổi khoản 3 Điều 26 đảm bảo phù hợp quy định tại khoản 1 Điều 46 Luật Quản lý thuế số 108/2025/QH15: “</w:t>
            </w:r>
            <w:r w:rsidDel="00000000" w:rsidR="00000000" w:rsidRPr="00000000">
              <w:rPr>
                <w:rFonts w:ascii="Times New Roman" w:cs="Times New Roman" w:eastAsia="Times New Roman" w:hAnsi="Times New Roman"/>
                <w:i w:val="1"/>
                <w:iCs w:val="1"/>
                <w:sz w:val="24"/>
                <w:szCs w:val="24"/>
                <w:u w:val="single"/>
                <w:rtl w:val="0"/>
              </w:rPr>
              <w:t xml:space="preserve">Tổ chức tín dụng, chi nhánh ngân hàng nước ngoài, tổ chức cung ứng dịch vụ thanh toán, tổ chức cung ứng dịch vụ trung gian thanh toán</w:t>
            </w:r>
            <w:r w:rsidDel="00000000" w:rsidR="00000000" w:rsidRPr="00000000">
              <w:rPr>
                <w:rFonts w:ascii="Times New Roman" w:cs="Times New Roman" w:eastAsia="Times New Roman" w:hAnsi="Times New Roman"/>
                <w:i w:val="1"/>
                <w:iCs w:val="1"/>
                <w:sz w:val="24"/>
                <w:szCs w:val="24"/>
                <w:rtl w:val="0"/>
              </w:rPr>
              <w:t xml:space="preserve"> không thực hiện trách nhiệm trích chuyển tiền từ tài khoản của người nộp thuế vào tài khoản của ngân sách nhà nước đối với số tiền thuế nợ phải nộp của người nộp thuế theo yêu cầu của cơ quan quản lý thuế thì bị phạt số tiền tương ứng với số tiền không trích chuyển vào tài khoản của ngân sách nhà nước, trừ trường hợp các tài khoản của người nộp thuế không còn số dư hoặc đã trích chuyển toàn bộ số dư tài khoản của người nộp thuế vào tài khoản của ngân sách nhà nước nhưng vẫn không đủ số tiền thuế nợ mà người nộp thuế phải nộp.</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Bổ sung khoản 5: bổ sung hành vi vi phạm liên quan đến trách nhiệm của người bảo lãnh theo quy định tại khoản 2 Điều 46 Luật Quản lý thuế số 108/2025/QH15: “</w:t>
            </w:r>
            <w:r w:rsidDel="00000000" w:rsidR="00000000" w:rsidRPr="00000000">
              <w:rPr>
                <w:rFonts w:ascii="Times New Roman" w:cs="Times New Roman" w:eastAsia="Times New Roman" w:hAnsi="Times New Roman"/>
                <w:i w:val="1"/>
                <w:iCs w:val="1"/>
                <w:sz w:val="24"/>
                <w:szCs w:val="24"/>
                <w:rtl w:val="0"/>
              </w:rPr>
              <w:t xml:space="preserve">2. Người bảo lãnh không thực hiện nghĩa vụ bảo lãnh cho người nộp thuế trong trường hợp người nộp thuế không nộp thuế thì người bảo lãnh phải thực hiện nghĩa vụ của người nộp thuế trong phạm vi bảo lãnh.</w:t>
            </w: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0D0">
      <w:pPr>
        <w:spacing w:after="0" w:line="240" w:lineRule="auto"/>
        <w:jc w:val="center"/>
        <w:rPr>
          <w:rFonts w:ascii="Times New Roman" w:cs="Times New Roman" w:eastAsia="Times New Roman" w:hAnsi="Times New Roman"/>
          <w:sz w:val="24"/>
          <w:szCs w:val="24"/>
        </w:rPr>
      </w:pPr>
      <w:r w:rsidDel="00000000" w:rsidR="00000000" w:rsidRPr="00000000">
        <w:rPr>
          <w:rtl w:val="0"/>
        </w:rPr>
      </w:r>
    </w:p>
    <w:sectPr>
      <w:headerReference r:id="rId7" w:type="default"/>
      <w:pgSz w:h="11909" w:w="16834" w:orient="landscape"/>
      <w:pgMar w:bottom="993" w:top="1134" w:left="1418" w:right="1134"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