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38" w:type="dxa"/>
        <w:tblLook w:val="01E0" w:firstRow="1" w:lastRow="1" w:firstColumn="1" w:lastColumn="1" w:noHBand="0" w:noVBand="0"/>
      </w:tblPr>
      <w:tblGrid>
        <w:gridCol w:w="3363"/>
        <w:gridCol w:w="5675"/>
      </w:tblGrid>
      <w:tr w:rsidR="00802A1F" w:rsidRPr="000C0386" w14:paraId="38448AC3" w14:textId="77777777" w:rsidTr="00B46CBC">
        <w:trPr>
          <w:trHeight w:val="1063"/>
        </w:trPr>
        <w:tc>
          <w:tcPr>
            <w:tcW w:w="3363" w:type="dxa"/>
          </w:tcPr>
          <w:p w14:paraId="64907D75" w14:textId="77777777" w:rsidR="00802A1F" w:rsidRPr="000C0386" w:rsidRDefault="00802A1F" w:rsidP="00830255">
            <w:pPr>
              <w:jc w:val="center"/>
              <w:rPr>
                <w:b/>
                <w:sz w:val="26"/>
                <w:szCs w:val="26"/>
              </w:rPr>
            </w:pPr>
            <w:r w:rsidRPr="000C0386">
              <w:rPr>
                <w:b/>
                <w:sz w:val="26"/>
                <w:szCs w:val="26"/>
              </w:rPr>
              <w:t>BỘ XÂY DỰNG</w:t>
            </w:r>
          </w:p>
          <w:p w14:paraId="1629DE3A" w14:textId="77777777" w:rsidR="00802A1F" w:rsidRPr="000C0386" w:rsidRDefault="00802A1F" w:rsidP="00830255">
            <w:pPr>
              <w:jc w:val="center"/>
              <w:rPr>
                <w:b/>
                <w:sz w:val="16"/>
                <w:szCs w:val="16"/>
              </w:rPr>
            </w:pPr>
            <w:r w:rsidRPr="000C0386">
              <w:rPr>
                <w:b/>
                <w:sz w:val="16"/>
                <w:szCs w:val="16"/>
              </w:rPr>
              <w:t>_______________</w:t>
            </w:r>
          </w:p>
          <w:p w14:paraId="5F3F200D" w14:textId="77777777" w:rsidR="00802A1F" w:rsidRPr="000C0386" w:rsidRDefault="00802A1F" w:rsidP="00830255">
            <w:pPr>
              <w:jc w:val="center"/>
              <w:rPr>
                <w:b/>
                <w:sz w:val="16"/>
                <w:szCs w:val="16"/>
              </w:rPr>
            </w:pPr>
          </w:p>
          <w:p w14:paraId="13BD696B" w14:textId="77777777" w:rsidR="00802A1F" w:rsidRPr="000C0386" w:rsidRDefault="00802A1F" w:rsidP="00830255">
            <w:pPr>
              <w:spacing w:line="320" w:lineRule="exact"/>
              <w:jc w:val="center"/>
            </w:pPr>
          </w:p>
        </w:tc>
        <w:tc>
          <w:tcPr>
            <w:tcW w:w="5675" w:type="dxa"/>
          </w:tcPr>
          <w:p w14:paraId="6481E76A" w14:textId="77777777" w:rsidR="00802A1F" w:rsidRPr="000C0386" w:rsidRDefault="00802A1F" w:rsidP="00830255">
            <w:pPr>
              <w:jc w:val="center"/>
              <w:rPr>
                <w:b/>
                <w:sz w:val="26"/>
                <w:szCs w:val="26"/>
              </w:rPr>
            </w:pPr>
            <w:r w:rsidRPr="000C0386">
              <w:rPr>
                <w:b/>
                <w:sz w:val="26"/>
                <w:szCs w:val="26"/>
              </w:rPr>
              <w:t xml:space="preserve">CỘNG HOÀ XÃ HỘI CHỦ NGHĨA VIỆT NAM </w:t>
            </w:r>
            <w:r w:rsidRPr="000C0386">
              <w:rPr>
                <w:rFonts w:hint="eastAsia"/>
                <w:b/>
                <w:szCs w:val="26"/>
              </w:rPr>
              <w:t>Đ</w:t>
            </w:r>
            <w:r w:rsidRPr="000C0386">
              <w:rPr>
                <w:b/>
                <w:szCs w:val="26"/>
              </w:rPr>
              <w:t>ộc lập - Tự do - Hạnh phúc</w:t>
            </w:r>
          </w:p>
          <w:p w14:paraId="6697BA87" w14:textId="77777777" w:rsidR="00802A1F" w:rsidRPr="000C0386" w:rsidRDefault="00802A1F" w:rsidP="00830255">
            <w:pPr>
              <w:jc w:val="center"/>
              <w:rPr>
                <w:b/>
                <w:sz w:val="16"/>
                <w:szCs w:val="16"/>
              </w:rPr>
            </w:pPr>
            <w:r w:rsidRPr="000C0386">
              <w:rPr>
                <w:b/>
                <w:sz w:val="16"/>
                <w:szCs w:val="16"/>
              </w:rPr>
              <w:t>___________________________________</w:t>
            </w:r>
          </w:p>
          <w:p w14:paraId="65DBB1E5" w14:textId="77777777" w:rsidR="00802A1F" w:rsidRPr="000C0386" w:rsidRDefault="00802A1F" w:rsidP="00830255">
            <w:pPr>
              <w:jc w:val="center"/>
              <w:rPr>
                <w:i/>
              </w:rPr>
            </w:pPr>
            <w:r w:rsidRPr="000C0386">
              <w:rPr>
                <w:i/>
              </w:rPr>
              <w:t xml:space="preserve">           </w:t>
            </w:r>
          </w:p>
        </w:tc>
      </w:tr>
      <w:tr w:rsidR="00802A1F" w:rsidRPr="000C0386" w14:paraId="74682672" w14:textId="77777777" w:rsidTr="00B46CBC">
        <w:trPr>
          <w:trHeight w:val="331"/>
        </w:trPr>
        <w:tc>
          <w:tcPr>
            <w:tcW w:w="3363" w:type="dxa"/>
          </w:tcPr>
          <w:p w14:paraId="388C3C3F" w14:textId="77777777" w:rsidR="00802A1F" w:rsidRPr="000C0386" w:rsidRDefault="00802A1F" w:rsidP="00830255">
            <w:pPr>
              <w:jc w:val="center"/>
              <w:rPr>
                <w:b/>
                <w:sz w:val="28"/>
                <w:szCs w:val="28"/>
              </w:rPr>
            </w:pPr>
            <w:r w:rsidRPr="000C0386">
              <w:rPr>
                <w:sz w:val="28"/>
                <w:szCs w:val="28"/>
              </w:rPr>
              <w:t>Số:         /TTr-BXD</w:t>
            </w:r>
          </w:p>
        </w:tc>
        <w:tc>
          <w:tcPr>
            <w:tcW w:w="5675" w:type="dxa"/>
          </w:tcPr>
          <w:p w14:paraId="76F01BD1" w14:textId="77777777" w:rsidR="00802A1F" w:rsidRPr="000C0386" w:rsidRDefault="00802A1F" w:rsidP="00830255">
            <w:pPr>
              <w:jc w:val="center"/>
              <w:rPr>
                <w:b/>
                <w:sz w:val="28"/>
                <w:szCs w:val="28"/>
                <w:lang w:val="vi-VN"/>
              </w:rPr>
            </w:pPr>
            <w:r w:rsidRPr="000C0386">
              <w:rPr>
                <w:i/>
                <w:sz w:val="28"/>
                <w:szCs w:val="28"/>
              </w:rPr>
              <w:t>Hà Nội, ngày      tháng     n</w:t>
            </w:r>
            <w:r w:rsidRPr="000C0386">
              <w:rPr>
                <w:rFonts w:hint="eastAsia"/>
                <w:i/>
                <w:sz w:val="28"/>
                <w:szCs w:val="28"/>
              </w:rPr>
              <w:t>ă</w:t>
            </w:r>
            <w:r w:rsidRPr="000C0386">
              <w:rPr>
                <w:i/>
                <w:sz w:val="28"/>
                <w:szCs w:val="28"/>
              </w:rPr>
              <w:t>m 202</w:t>
            </w:r>
            <w:r w:rsidRPr="000C0386">
              <w:rPr>
                <w:i/>
                <w:sz w:val="28"/>
                <w:szCs w:val="28"/>
                <w:lang w:val="vi-VN"/>
              </w:rPr>
              <w:t>6</w:t>
            </w:r>
          </w:p>
        </w:tc>
      </w:tr>
    </w:tbl>
    <w:p w14:paraId="5A97D7A0" w14:textId="2C93FFBF" w:rsidR="00802A1F" w:rsidRPr="000C0386" w:rsidRDefault="00B46CBC" w:rsidP="00802A1F">
      <w:pPr>
        <w:spacing w:before="120"/>
        <w:jc w:val="center"/>
        <w:rPr>
          <w:b/>
          <w:color w:val="000000"/>
          <w:sz w:val="28"/>
          <w:szCs w:val="28"/>
        </w:rPr>
      </w:pPr>
      <w:r>
        <w:rPr>
          <w:b/>
          <w:noProof/>
          <w:color w:val="000000"/>
          <w:sz w:val="28"/>
          <w:szCs w:val="28"/>
        </w:rPr>
        <mc:AlternateContent>
          <mc:Choice Requires="wps">
            <w:drawing>
              <wp:anchor distT="0" distB="0" distL="114300" distR="114300" simplePos="0" relativeHeight="251664384" behindDoc="0" locked="0" layoutInCell="1" allowOverlap="1" wp14:anchorId="44C71123" wp14:editId="2D10B01A">
                <wp:simplePos x="0" y="0"/>
                <wp:positionH relativeFrom="column">
                  <wp:posOffset>-524180</wp:posOffset>
                </wp:positionH>
                <wp:positionV relativeFrom="paragraph">
                  <wp:posOffset>209042</wp:posOffset>
                </wp:positionV>
                <wp:extent cx="1126541" cy="343814"/>
                <wp:effectExtent l="0" t="0" r="16510" b="18415"/>
                <wp:wrapNone/>
                <wp:docPr id="5" name="Text Box 5"/>
                <wp:cNvGraphicFramePr/>
                <a:graphic xmlns:a="http://schemas.openxmlformats.org/drawingml/2006/main">
                  <a:graphicData uri="http://schemas.microsoft.com/office/word/2010/wordprocessingShape">
                    <wps:wsp>
                      <wps:cNvSpPr txBox="1"/>
                      <wps:spPr>
                        <a:xfrm>
                          <a:off x="0" y="0"/>
                          <a:ext cx="1126541" cy="343814"/>
                        </a:xfrm>
                        <a:prstGeom prst="rect">
                          <a:avLst/>
                        </a:prstGeom>
                        <a:solidFill>
                          <a:schemeClr val="lt1"/>
                        </a:solidFill>
                        <a:ln w="6350">
                          <a:solidFill>
                            <a:prstClr val="black"/>
                          </a:solidFill>
                        </a:ln>
                      </wps:spPr>
                      <wps:txbx>
                        <w:txbxContent>
                          <w:p w14:paraId="22812D71" w14:textId="62F87FBD" w:rsidR="00B46CBC" w:rsidRPr="00B46CBC" w:rsidRDefault="00B46CBC">
                            <w:pPr>
                              <w:rPr>
                                <w:b/>
                                <w:sz w:val="28"/>
                                <w:szCs w:val="28"/>
                              </w:rPr>
                            </w:pPr>
                            <w:r w:rsidRPr="00B46CBC">
                              <w:rPr>
                                <w:b/>
                                <w:sz w:val="28"/>
                                <w:szCs w:val="28"/>
                              </w:rPr>
                              <w:t>DỰ THẢO</w:t>
                            </w:r>
                          </w:p>
                          <w:p w14:paraId="72494F59" w14:textId="77777777" w:rsidR="00B46CBC" w:rsidRPr="00B46CBC" w:rsidRDefault="00B46CBC">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C71123" id="_x0000_t202" coordsize="21600,21600" o:spt="202" path="m,l,21600r21600,l21600,xe">
                <v:stroke joinstyle="miter"/>
                <v:path gradientshapeok="t" o:connecttype="rect"/>
              </v:shapetype>
              <v:shape id="Text Box 5" o:spid="_x0000_s1026" type="#_x0000_t202" style="position:absolute;left:0;text-align:left;margin-left:-41.25pt;margin-top:16.45pt;width:88.7pt;height:2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" fillcolor="white [3201]" strokeweight=".5pt">
                <v:textbox>
                  <w:txbxContent>
                    <w:p w14:paraId="22812D71" w14:textId="62F87FBD" w:rsidR="00B46CBC" w:rsidRPr="00B46CBC" w:rsidRDefault="00B46CBC">
                      <w:pPr>
                        <w:rPr>
                          <w:b/>
                          <w:sz w:val="28"/>
                          <w:szCs w:val="28"/>
                        </w:rPr>
                      </w:pPr>
                      <w:r w:rsidRPr="00B46CBC">
                        <w:rPr>
                          <w:b/>
                          <w:sz w:val="28"/>
                          <w:szCs w:val="28"/>
                        </w:rPr>
                        <w:t>DỰ THẢO</w:t>
                      </w:r>
                    </w:p>
                    <w:p w14:paraId="72494F59" w14:textId="77777777" w:rsidR="00B46CBC" w:rsidRPr="00B46CBC" w:rsidRDefault="00B46CBC">
                      <w:pPr>
                        <w:rPr>
                          <w:b/>
                        </w:rPr>
                      </w:pPr>
                    </w:p>
                  </w:txbxContent>
                </v:textbox>
              </v:shape>
            </w:pict>
          </mc:Fallback>
        </mc:AlternateContent>
      </w:r>
    </w:p>
    <w:p w14:paraId="0E380AD7" w14:textId="77777777" w:rsidR="00802A1F" w:rsidRPr="000C0386" w:rsidRDefault="00802A1F" w:rsidP="00802A1F">
      <w:pPr>
        <w:spacing w:before="120"/>
        <w:jc w:val="center"/>
        <w:rPr>
          <w:b/>
          <w:color w:val="000000"/>
          <w:sz w:val="28"/>
          <w:szCs w:val="28"/>
        </w:rPr>
      </w:pPr>
      <w:r w:rsidRPr="000C0386">
        <w:rPr>
          <w:b/>
          <w:color w:val="000000"/>
          <w:sz w:val="28"/>
          <w:szCs w:val="28"/>
        </w:rPr>
        <w:t>TỜ TRÌNH</w:t>
      </w:r>
    </w:p>
    <w:p w14:paraId="17049B4C" w14:textId="77777777" w:rsidR="00802A1F" w:rsidRPr="000C0386" w:rsidRDefault="00802A1F" w:rsidP="00802A1F">
      <w:pPr>
        <w:jc w:val="center"/>
        <w:rPr>
          <w:b/>
          <w:sz w:val="28"/>
          <w:szCs w:val="28"/>
          <w:lang w:val="nl-NL"/>
        </w:rPr>
      </w:pPr>
      <w:r w:rsidRPr="000C0386">
        <w:rPr>
          <w:b/>
          <w:sz w:val="28"/>
          <w:szCs w:val="28"/>
        </w:rPr>
        <w:t>Dự</w:t>
      </w:r>
      <w:r w:rsidRPr="000C0386">
        <w:rPr>
          <w:b/>
          <w:sz w:val="28"/>
          <w:szCs w:val="28"/>
          <w:lang w:val="vi-VN"/>
        </w:rPr>
        <w:t xml:space="preserve"> thảo </w:t>
      </w:r>
      <w:r w:rsidRPr="000C0386">
        <w:rPr>
          <w:b/>
          <w:sz w:val="28"/>
          <w:szCs w:val="28"/>
        </w:rPr>
        <w:t>Nghị</w:t>
      </w:r>
      <w:r w:rsidRPr="000C0386">
        <w:rPr>
          <w:b/>
          <w:sz w:val="28"/>
          <w:szCs w:val="28"/>
          <w:lang w:val="vi-VN"/>
        </w:rPr>
        <w:t xml:space="preserve"> định Chính phủ về tàu bay và khai thác tàu bay</w:t>
      </w:r>
    </w:p>
    <w:p w14:paraId="26C66723" w14:textId="77777777" w:rsidR="00802A1F" w:rsidRPr="000C0386" w:rsidRDefault="00802A1F" w:rsidP="00802A1F">
      <w:pPr>
        <w:jc w:val="center"/>
        <w:rPr>
          <w:bCs/>
          <w:sz w:val="28"/>
          <w:szCs w:val="28"/>
          <w:lang w:val="nl-NL"/>
        </w:rPr>
      </w:pPr>
      <w:r w:rsidRPr="000C0386">
        <w:rPr>
          <w:bCs/>
          <w:noProof/>
          <w:sz w:val="28"/>
          <w:szCs w:val="28"/>
        </w:rPr>
        <mc:AlternateContent>
          <mc:Choice Requires="wps">
            <w:drawing>
              <wp:anchor distT="0" distB="0" distL="114300" distR="114300" simplePos="0" relativeHeight="251663360" behindDoc="0" locked="0" layoutInCell="1" allowOverlap="1" wp14:anchorId="5BBE60D5" wp14:editId="3195B361">
                <wp:simplePos x="0" y="0"/>
                <wp:positionH relativeFrom="column">
                  <wp:posOffset>2350962</wp:posOffset>
                </wp:positionH>
                <wp:positionV relativeFrom="paragraph">
                  <wp:posOffset>27346</wp:posOffset>
                </wp:positionV>
                <wp:extent cx="1132514" cy="0"/>
                <wp:effectExtent l="0" t="0" r="10795" b="12700"/>
                <wp:wrapNone/>
                <wp:docPr id="500673742" name="Straight Connector 500673742"/>
                <wp:cNvGraphicFramePr/>
                <a:graphic xmlns:a="http://schemas.openxmlformats.org/drawingml/2006/main">
                  <a:graphicData uri="http://schemas.microsoft.com/office/word/2010/wordprocessingShape">
                    <wps:wsp>
                      <wps:cNvCnPr/>
                      <wps:spPr>
                        <a:xfrm>
                          <a:off x="0" y="0"/>
                          <a:ext cx="11325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B13F6C8" id="Straight Connector 50067374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5.1pt,2.15pt" to="274.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" strokecolor="black [3040]"/>
            </w:pict>
          </mc:Fallback>
        </mc:AlternateContent>
      </w:r>
    </w:p>
    <w:p w14:paraId="246F69DB" w14:textId="77777777" w:rsidR="00802A1F" w:rsidRPr="000C0386" w:rsidRDefault="00802A1F" w:rsidP="00802A1F">
      <w:pPr>
        <w:spacing w:before="120"/>
        <w:jc w:val="center"/>
        <w:rPr>
          <w:bCs/>
          <w:sz w:val="28"/>
          <w:szCs w:val="28"/>
          <w:lang w:val="nl-NL"/>
        </w:rPr>
      </w:pPr>
      <w:r w:rsidRPr="000C0386">
        <w:rPr>
          <w:bCs/>
          <w:sz w:val="28"/>
          <w:szCs w:val="28"/>
          <w:lang w:val="nl-NL"/>
        </w:rPr>
        <w:t>Kính gửi: Chính phủ</w:t>
      </w:r>
    </w:p>
    <w:p w14:paraId="613CBC9D" w14:textId="77777777" w:rsidR="00802A1F" w:rsidRPr="000C0386" w:rsidRDefault="00802A1F" w:rsidP="00802A1F">
      <w:pPr>
        <w:spacing w:before="120" w:after="120"/>
        <w:ind w:firstLine="720"/>
        <w:jc w:val="both"/>
        <w:rPr>
          <w:spacing w:val="4"/>
          <w:sz w:val="28"/>
          <w:szCs w:val="28"/>
          <w:lang w:val="nl-NL"/>
        </w:rPr>
      </w:pPr>
      <w:r w:rsidRPr="000C0386">
        <w:rPr>
          <w:iCs/>
          <w:sz w:val="28"/>
          <w:szCs w:val="28"/>
          <w:lang w:val="nl-NL"/>
        </w:rPr>
        <w:t>Thực hiện Luật Ban hành văn bản quy phạm pháp luật ngày 19/02/2025, Nghị định số 78/2025/NĐ-CP ngày 01/4/2025 của Chính phủ quy định chi tiết một số điều và biện pháp để tổ chức, hướng dẫn thi hành Luật Ban hành văn bản quy phạm pháp luật, Nghị định số 187/2025/NĐ-CP của Chính phủ sửa đổi, bổ sung một số điều của Nghị định số 78/2025/NĐ-CP</w:t>
      </w:r>
      <w:r w:rsidRPr="000C0386">
        <w:rPr>
          <w:iCs/>
          <w:sz w:val="28"/>
          <w:szCs w:val="28"/>
          <w:lang w:val="vi-VN"/>
        </w:rPr>
        <w:t>,</w:t>
      </w:r>
      <w:r w:rsidRPr="000C0386">
        <w:rPr>
          <w:iCs/>
          <w:sz w:val="28"/>
          <w:szCs w:val="28"/>
          <w:lang w:val="nl-NL"/>
        </w:rPr>
        <w:t xml:space="preserve"> </w:t>
      </w:r>
      <w:r w:rsidRPr="000C0386">
        <w:rPr>
          <w:sz w:val="28"/>
          <w:szCs w:val="28"/>
          <w:lang w:val="nl-NL"/>
        </w:rPr>
        <w:t>Bộ Xây dựng kính trình Chính phủ d</w:t>
      </w:r>
      <w:r w:rsidRPr="000C0386">
        <w:rPr>
          <w:sz w:val="28"/>
          <w:szCs w:val="28"/>
          <w:lang w:val="vi-VN"/>
        </w:rPr>
        <w:t xml:space="preserve">ự thảo Nghị định về tàu bay và khai thác tàu bay </w:t>
      </w:r>
      <w:r w:rsidRPr="000C0386">
        <w:rPr>
          <w:spacing w:val="4"/>
          <w:sz w:val="28"/>
          <w:szCs w:val="28"/>
          <w:lang w:val="nl-NL"/>
        </w:rPr>
        <w:t xml:space="preserve">(sau đây viết tắt là dự thảo Nghị định) như sau: </w:t>
      </w:r>
    </w:p>
    <w:p w14:paraId="721CCCDE" w14:textId="77777777" w:rsidR="00802A1F" w:rsidRPr="000C0386" w:rsidRDefault="00802A1F" w:rsidP="00802A1F">
      <w:pPr>
        <w:spacing w:before="120" w:after="120"/>
        <w:ind w:firstLine="720"/>
        <w:jc w:val="both"/>
        <w:rPr>
          <w:b/>
          <w:sz w:val="28"/>
          <w:szCs w:val="28"/>
          <w:lang w:val="nl-NL"/>
        </w:rPr>
      </w:pPr>
      <w:r w:rsidRPr="000C0386">
        <w:rPr>
          <w:b/>
          <w:sz w:val="28"/>
          <w:szCs w:val="28"/>
          <w:lang w:val="nl-NL"/>
        </w:rPr>
        <w:t>I</w:t>
      </w:r>
      <w:r w:rsidRPr="000C0386">
        <w:rPr>
          <w:b/>
          <w:sz w:val="28"/>
          <w:szCs w:val="28"/>
          <w:lang w:val="vi-VN"/>
        </w:rPr>
        <w:t xml:space="preserve">. </w:t>
      </w:r>
      <w:r w:rsidRPr="000C0386">
        <w:rPr>
          <w:b/>
          <w:sz w:val="28"/>
          <w:szCs w:val="28"/>
          <w:lang w:val="nl-NL"/>
        </w:rPr>
        <w:t>SỰ CẦN THIẾT BA</w:t>
      </w:r>
      <w:bookmarkStart w:id="0" w:name="_GoBack"/>
      <w:bookmarkEnd w:id="0"/>
      <w:r w:rsidRPr="000C0386">
        <w:rPr>
          <w:b/>
          <w:sz w:val="28"/>
          <w:szCs w:val="28"/>
          <w:lang w:val="nl-NL"/>
        </w:rPr>
        <w:t>N HÀNH NGHỊ ĐỊNH</w:t>
      </w:r>
    </w:p>
    <w:p w14:paraId="55EC47D3" w14:textId="77777777" w:rsidR="00802A1F" w:rsidRPr="000C0386" w:rsidRDefault="00802A1F" w:rsidP="00802A1F">
      <w:pPr>
        <w:spacing w:before="120" w:after="120"/>
        <w:ind w:firstLine="720"/>
        <w:jc w:val="both"/>
        <w:rPr>
          <w:b/>
          <w:bCs/>
          <w:sz w:val="28"/>
          <w:szCs w:val="28"/>
          <w:lang w:val="nl-NL"/>
        </w:rPr>
      </w:pPr>
      <w:r w:rsidRPr="000C0386">
        <w:rPr>
          <w:b/>
          <w:bCs/>
          <w:sz w:val="28"/>
          <w:szCs w:val="28"/>
          <w:lang w:val="nl-NL"/>
        </w:rPr>
        <w:t>1. Cơ sở</w:t>
      </w:r>
      <w:r w:rsidRPr="000C0386">
        <w:rPr>
          <w:b/>
          <w:bCs/>
          <w:sz w:val="28"/>
          <w:szCs w:val="28"/>
          <w:lang w:val="vi-VN"/>
        </w:rPr>
        <w:t xml:space="preserve"> chính trị,</w:t>
      </w:r>
      <w:r w:rsidRPr="000C0386">
        <w:rPr>
          <w:b/>
          <w:bCs/>
          <w:sz w:val="28"/>
          <w:szCs w:val="28"/>
          <w:lang w:val="nl-NL"/>
        </w:rPr>
        <w:t xml:space="preserve"> pháp lý</w:t>
      </w:r>
    </w:p>
    <w:p w14:paraId="648C4823" w14:textId="77777777" w:rsidR="00802A1F" w:rsidRPr="000C0386" w:rsidRDefault="00802A1F" w:rsidP="00802A1F">
      <w:pPr>
        <w:spacing w:before="120" w:after="120"/>
        <w:ind w:firstLine="720"/>
        <w:jc w:val="both"/>
        <w:rPr>
          <w:iCs/>
          <w:sz w:val="28"/>
          <w:szCs w:val="28"/>
          <w:lang w:val="vi-VN"/>
        </w:rPr>
      </w:pPr>
      <w:r w:rsidRPr="000C0386">
        <w:rPr>
          <w:iCs/>
          <w:sz w:val="28"/>
          <w:szCs w:val="28"/>
          <w:lang w:val="vi-VN"/>
        </w:rPr>
        <w:t xml:space="preserve">Căn cứ </w:t>
      </w:r>
      <w:r w:rsidRPr="000C0386">
        <w:rPr>
          <w:color w:val="000000" w:themeColor="text1"/>
          <w:sz w:val="28"/>
          <w:szCs w:val="28"/>
          <w:lang w:val="nl-NL"/>
        </w:rPr>
        <w:t>Luật Hàng không dân dụng Việt Nam được Quốc hội khóa XV thông qua ngày 10/12/2025, có hiệu lực thi hành từ ngày 01/7/2026</w:t>
      </w:r>
      <w:r w:rsidRPr="000C0386">
        <w:rPr>
          <w:iCs/>
          <w:sz w:val="28"/>
          <w:szCs w:val="28"/>
          <w:lang w:val="vi-VN"/>
        </w:rPr>
        <w:t>.</w:t>
      </w:r>
    </w:p>
    <w:p w14:paraId="74B8426D" w14:textId="77777777" w:rsidR="00802A1F" w:rsidRPr="000C0386" w:rsidRDefault="00802A1F" w:rsidP="00802A1F">
      <w:pPr>
        <w:spacing w:before="120" w:after="120"/>
        <w:ind w:firstLine="720"/>
        <w:jc w:val="both"/>
        <w:rPr>
          <w:iCs/>
          <w:sz w:val="28"/>
          <w:szCs w:val="28"/>
          <w:lang w:val="vi-VN"/>
        </w:rPr>
      </w:pPr>
      <w:r w:rsidRPr="000C0386">
        <w:rPr>
          <w:sz w:val="28"/>
          <w:szCs w:val="28"/>
          <w:lang w:val="vi-VN"/>
        </w:rPr>
        <w:t>Nghị quyết số 24-NQ/TW ngày 03/6/2013 của Ban Chấp hành Trung ương Đảng về chủ động ứng phó với biến đổi khí hậu, tăng cường quản lý tài nguyên và bảo vệ môi trường: “</w:t>
      </w:r>
      <w:r w:rsidRPr="000C0386">
        <w:rPr>
          <w:i/>
          <w:iCs/>
          <w:sz w:val="28"/>
          <w:szCs w:val="28"/>
          <w:lang w:val="vi-VN"/>
        </w:rPr>
        <w:t>Thúc đẩy các hoạt động giảm nhẹ phát thải khí nhà kính phù hợp với điều kiện nước ta trên cơ sở hỗ trợ tài chính và công nghệ của các nước và tổ chức quốc tế</w:t>
      </w:r>
      <w:r w:rsidRPr="000C0386">
        <w:rPr>
          <w:sz w:val="28"/>
          <w:szCs w:val="28"/>
          <w:lang w:val="vi-VN"/>
        </w:rPr>
        <w:t>”.</w:t>
      </w:r>
    </w:p>
    <w:p w14:paraId="5BD93606" w14:textId="77777777" w:rsidR="00802A1F" w:rsidRPr="000C0386" w:rsidRDefault="00802A1F" w:rsidP="00802A1F">
      <w:pPr>
        <w:spacing w:before="120" w:after="120"/>
        <w:ind w:firstLine="720"/>
        <w:jc w:val="both"/>
        <w:rPr>
          <w:iCs/>
          <w:sz w:val="28"/>
          <w:szCs w:val="28"/>
          <w:lang w:val="vi-VN"/>
        </w:rPr>
      </w:pPr>
      <w:r w:rsidRPr="000C0386">
        <w:rPr>
          <w:sz w:val="28"/>
          <w:szCs w:val="28"/>
          <w:shd w:val="clear" w:color="auto" w:fill="FFFFFF"/>
          <w:lang w:val="de-DE"/>
        </w:rPr>
        <w:t>Nghị quyết số 18-NQ/TW ngày 25/10/2017 của Ban Chấp hành Trung ương</w:t>
      </w:r>
      <w:r w:rsidRPr="000C0386">
        <w:rPr>
          <w:sz w:val="28"/>
          <w:szCs w:val="28"/>
          <w:shd w:val="clear" w:color="auto" w:fill="FFFFFF"/>
          <w:lang w:val="vi-VN"/>
        </w:rPr>
        <w:t xml:space="preserve"> Đảng</w:t>
      </w:r>
      <w:r w:rsidRPr="000C0386">
        <w:rPr>
          <w:sz w:val="28"/>
          <w:szCs w:val="28"/>
          <w:shd w:val="clear" w:color="auto" w:fill="FFFFFF"/>
          <w:lang w:val="de-DE"/>
        </w:rPr>
        <w:t xml:space="preserve"> về tiếp tục đổi mới, sắp xếp tổ chức bộ máy của hệ thống chính trị tinh gọn, hoạt động hiệu lực, hiệu quả</w:t>
      </w:r>
    </w:p>
    <w:p w14:paraId="36FA69B5" w14:textId="77777777" w:rsidR="00802A1F" w:rsidRPr="000C0386" w:rsidRDefault="00802A1F" w:rsidP="00802A1F">
      <w:pPr>
        <w:widowControl w:val="0"/>
        <w:shd w:val="clear" w:color="auto" w:fill="FFFFFF" w:themeFill="background1"/>
        <w:tabs>
          <w:tab w:val="left" w:pos="2835"/>
        </w:tabs>
        <w:spacing w:before="120" w:line="320" w:lineRule="exact"/>
        <w:ind w:firstLine="720"/>
        <w:jc w:val="both"/>
        <w:rPr>
          <w:spacing w:val="6"/>
          <w:sz w:val="28"/>
          <w:szCs w:val="28"/>
          <w:lang w:val="vi-VN"/>
        </w:rPr>
      </w:pPr>
      <w:r w:rsidRPr="000C0386">
        <w:rPr>
          <w:spacing w:val="6"/>
          <w:sz w:val="28"/>
          <w:szCs w:val="28"/>
          <w:lang w:val="vi-VN"/>
        </w:rPr>
        <w:t>Nghị quyết số 55-NQ/TW ngày 11/2/2020 của Bộ Chính trị về định hướng Chiến lược phát triển năng lượng quốc gia của Việt Nam đến năm 2030, tầm nhìn đến năm 2045: “</w:t>
      </w:r>
      <w:r w:rsidRPr="000C0386">
        <w:rPr>
          <w:i/>
          <w:iCs/>
          <w:spacing w:val="6"/>
          <w:sz w:val="28"/>
          <w:szCs w:val="28"/>
          <w:lang w:val="vi-VN"/>
        </w:rPr>
        <w:t>Giảm phát thải khí nhà kính từ hoạt động năng lượng so với kịch bản phát triển bình thường ở mức 15% vào năm 2030, lên mức 20% vào năm 2025”</w:t>
      </w:r>
      <w:r w:rsidRPr="000C0386">
        <w:rPr>
          <w:spacing w:val="6"/>
          <w:sz w:val="28"/>
          <w:szCs w:val="28"/>
          <w:lang w:val="vi-VN"/>
        </w:rPr>
        <w:t>.</w:t>
      </w:r>
    </w:p>
    <w:p w14:paraId="3FB62350" w14:textId="77777777" w:rsidR="00802A1F" w:rsidRPr="000C0386" w:rsidRDefault="00802A1F" w:rsidP="00802A1F">
      <w:pPr>
        <w:spacing w:before="120" w:after="120"/>
        <w:ind w:firstLine="720"/>
        <w:jc w:val="both"/>
        <w:rPr>
          <w:color w:val="000000" w:themeColor="text1"/>
          <w:sz w:val="28"/>
          <w:szCs w:val="28"/>
          <w:lang w:val="vi-VN"/>
        </w:rPr>
      </w:pPr>
      <w:r w:rsidRPr="000C0386">
        <w:rPr>
          <w:color w:val="000000" w:themeColor="text1"/>
          <w:sz w:val="28"/>
          <w:szCs w:val="28"/>
          <w:lang w:val="vi-VN"/>
        </w:rPr>
        <w:t xml:space="preserve">Nghị quyết số 27-NQ/TW ngày 09/11/2022 của Ban Chấp hành Trung ương Đảng khóa XIII về tiếp tục xây dựng và hoàn thiện Nhà nước pháp quyền xã hội chủ nghĩa Việt Nam trong giai đoạn mới, trong đó đề ra một số nhiệm vụ và giải pháp trọng tâm như: “Hoàn thiện hệ thống pháp luật và cơ chế tổ chức thực hiện pháp luật nghiêm minh, nhất quán”; “tiếp tục hoàn thiện hệ thống pháp luật và cơ chế tổ chức thực hiện pháp luật nghiêm minh, hiệu quả, bảo đảm yêu cầu phát triển đất nước nhanh và bền vững”; “xây dựng nền hành chính phục vụ </w:t>
      </w:r>
      <w:r w:rsidRPr="000C0386">
        <w:rPr>
          <w:color w:val="000000" w:themeColor="text1"/>
          <w:sz w:val="28"/>
          <w:szCs w:val="28"/>
          <w:lang w:val="vi-VN"/>
        </w:rPr>
        <w:lastRenderedPageBreak/>
        <w:t>nhân dân, dân chủ, pháp quyền, chuyên nghiệp, hiện đại, khoa học, trong sạch, công khai, minh bạch, tạo môi trường thuận lợi cho người dân, doanh nghiệp.</w:t>
      </w:r>
    </w:p>
    <w:p w14:paraId="497596BE" w14:textId="77777777" w:rsidR="00802A1F" w:rsidRPr="000C0386" w:rsidRDefault="00802A1F" w:rsidP="00802A1F">
      <w:pPr>
        <w:widowControl w:val="0"/>
        <w:shd w:val="clear" w:color="auto" w:fill="FFFFFF" w:themeFill="background1"/>
        <w:tabs>
          <w:tab w:val="left" w:pos="2835"/>
        </w:tabs>
        <w:spacing w:before="120" w:line="320" w:lineRule="exact"/>
        <w:ind w:firstLine="720"/>
        <w:jc w:val="both"/>
        <w:rPr>
          <w:iCs/>
          <w:spacing w:val="-2"/>
          <w:sz w:val="28"/>
          <w:szCs w:val="28"/>
          <w:lang w:val="vi-VN"/>
        </w:rPr>
      </w:pPr>
      <w:r w:rsidRPr="000C0386">
        <w:rPr>
          <w:iCs/>
          <w:spacing w:val="-2"/>
          <w:sz w:val="28"/>
          <w:szCs w:val="28"/>
          <w:lang w:val="af-ZA"/>
        </w:rPr>
        <w:t>Chỉ thị số 23-CT/TW ngày 25/5/2023 của Ban Bí thư về tăng cường sự lãnh đạo của Đảng đối với công tác bảo đảm trật tự, an toàn giao thông trong tình hình mới xác định: “</w:t>
      </w:r>
      <w:r w:rsidRPr="000C0386">
        <w:rPr>
          <w:i/>
          <w:spacing w:val="-2"/>
          <w:sz w:val="28"/>
          <w:szCs w:val="28"/>
          <w:lang w:val="af-ZA"/>
        </w:rPr>
        <w:t>Tập trung rà soát, hoàn thiện đồng bộ hệ thống pháp luật về giao thông theo hướng quy định rõ trách nhiệm quản lý nhà nước đối với công tác bảo đảm trật tự, an toàn giao thông gắn với bảo đảm an ninh, trật tự, an toàn xã hội, xây dựng kết cấu hạ tầng giao thông và phát triển kinh tế - xã hội</w:t>
      </w:r>
      <w:r w:rsidRPr="000C0386">
        <w:rPr>
          <w:iCs/>
          <w:spacing w:val="-2"/>
          <w:sz w:val="28"/>
          <w:szCs w:val="28"/>
          <w:lang w:val="af-ZA"/>
        </w:rPr>
        <w:t>”; “</w:t>
      </w:r>
      <w:r w:rsidRPr="000C0386">
        <w:rPr>
          <w:i/>
          <w:spacing w:val="-2"/>
          <w:sz w:val="28"/>
          <w:szCs w:val="28"/>
          <w:lang w:val="af-ZA"/>
        </w:rPr>
        <w:t>Đẩy mạnh phân cấp, phân quyền ... Xây dựng cơ chế, chính sách huy động, sử dụng các nguồn lực xây dựng, phát triển kết cấu hạ tầng và bảo đảm trật tự, an toàn giao thông</w:t>
      </w:r>
      <w:r w:rsidRPr="000C0386">
        <w:rPr>
          <w:iCs/>
          <w:spacing w:val="-2"/>
          <w:sz w:val="28"/>
          <w:szCs w:val="28"/>
          <w:lang w:val="af-ZA"/>
        </w:rPr>
        <w:t>”.</w:t>
      </w:r>
    </w:p>
    <w:p w14:paraId="3F24D954" w14:textId="77777777" w:rsidR="00802A1F" w:rsidRPr="000C0386" w:rsidRDefault="00802A1F" w:rsidP="00802A1F">
      <w:pPr>
        <w:widowControl w:val="0"/>
        <w:shd w:val="clear" w:color="auto" w:fill="FFFFFF" w:themeFill="background1"/>
        <w:tabs>
          <w:tab w:val="left" w:pos="2835"/>
        </w:tabs>
        <w:snapToGrid w:val="0"/>
        <w:spacing w:before="120" w:line="320" w:lineRule="exact"/>
        <w:ind w:firstLine="720"/>
        <w:jc w:val="both"/>
        <w:rPr>
          <w:i/>
          <w:sz w:val="28"/>
          <w:szCs w:val="28"/>
          <w:lang w:val="vi-VN"/>
        </w:rPr>
      </w:pPr>
      <w:r w:rsidRPr="000C0386">
        <w:rPr>
          <w:sz w:val="28"/>
          <w:szCs w:val="28"/>
          <w:shd w:val="clear" w:color="auto" w:fill="FFFFFF"/>
          <w:lang w:val="de-DE"/>
        </w:rPr>
        <w:t>Nghị quyết số 57-NQ/TW ngày 22/12/2024 của Bộ Chính trị về đột phá phát triển khoa học, công nghệ</w:t>
      </w:r>
      <w:r w:rsidRPr="000C0386">
        <w:rPr>
          <w:iCs/>
          <w:sz w:val="28"/>
          <w:szCs w:val="28"/>
          <w:lang w:val="de-DE"/>
        </w:rPr>
        <w:t xml:space="preserve">, đổi mới sáng tạo và chuyển đổi số quốc gia đã xác định nhiệm vụ, giải pháp: </w:t>
      </w:r>
      <w:r w:rsidRPr="000C0386">
        <w:rPr>
          <w:i/>
          <w:sz w:val="28"/>
          <w:szCs w:val="28"/>
          <w:lang w:val="de-DE"/>
        </w:rPr>
        <w:t>“Khẩn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 “Phát triển, trọng dụng nhân lực chất lượng cao, nhân tài đáp ứng yêu cầu phát triển khoa học, công nghệ, đổi mới sáng tạo và chuyển đổi số quốc gia”</w:t>
      </w:r>
      <w:r w:rsidRPr="000C0386">
        <w:rPr>
          <w:i/>
          <w:sz w:val="28"/>
          <w:szCs w:val="28"/>
          <w:lang w:val="vi-VN"/>
        </w:rPr>
        <w:t>.</w:t>
      </w:r>
    </w:p>
    <w:p w14:paraId="03B25159" w14:textId="77777777" w:rsidR="00802A1F" w:rsidRPr="000C0386" w:rsidRDefault="00802A1F" w:rsidP="00802A1F">
      <w:pPr>
        <w:widowControl w:val="0"/>
        <w:shd w:val="clear" w:color="auto" w:fill="FFFFFF" w:themeFill="background1"/>
        <w:tabs>
          <w:tab w:val="left" w:pos="2835"/>
        </w:tabs>
        <w:snapToGrid w:val="0"/>
        <w:spacing w:before="120" w:line="320" w:lineRule="exact"/>
        <w:ind w:firstLine="720"/>
        <w:jc w:val="both"/>
        <w:rPr>
          <w:i/>
          <w:sz w:val="28"/>
          <w:szCs w:val="28"/>
          <w:lang w:val="de-DE"/>
        </w:rPr>
      </w:pPr>
      <w:r w:rsidRPr="000C0386">
        <w:rPr>
          <w:sz w:val="28"/>
          <w:szCs w:val="28"/>
          <w:lang w:val="vi-VN"/>
        </w:rPr>
        <w:t>Nghị quyết số 59-NQ/TW ngày 24/01/2025 của Bộ Chính trị về hội nhập quốc tế trong tình hình mới xác định “</w:t>
      </w:r>
      <w:r w:rsidRPr="000C0386">
        <w:rPr>
          <w:i/>
          <w:sz w:val="28"/>
          <w:szCs w:val="28"/>
          <w:lang w:val="vi-VN"/>
        </w:rPr>
        <w:t>hội nhập là động lực chiến lược để Việt Nam bước vào kỷ nguyên mới</w:t>
      </w:r>
      <w:r w:rsidRPr="000C0386">
        <w:rPr>
          <w:sz w:val="28"/>
          <w:szCs w:val="28"/>
          <w:lang w:val="vi-VN"/>
        </w:rPr>
        <w:t>”, với một trong những phương hướng, nhiệm vụ, giải pháp: “</w:t>
      </w:r>
      <w:r w:rsidRPr="000C0386">
        <w:rPr>
          <w:i/>
          <w:sz w:val="28"/>
          <w:szCs w:val="28"/>
          <w:lang w:val="vi-VN"/>
        </w:rPr>
        <w:t>Nâng cao năng lực thực thi các cam kết, thỏa thuận quốc tế gắn với tăng cường công tác kiểm tra, giám sát thực thi và đẩy mạnh hoàn thiện thể chế, chính sách, pháp luật trong nước</w:t>
      </w:r>
      <w:r w:rsidRPr="000C0386">
        <w:rPr>
          <w:sz w:val="28"/>
          <w:szCs w:val="28"/>
          <w:lang w:val="vi-VN"/>
        </w:rPr>
        <w:t>”.</w:t>
      </w:r>
    </w:p>
    <w:p w14:paraId="6AE77109" w14:textId="77777777" w:rsidR="00802A1F" w:rsidRPr="000C0386" w:rsidRDefault="00802A1F" w:rsidP="00802A1F">
      <w:pPr>
        <w:widowControl w:val="0"/>
        <w:shd w:val="clear" w:color="auto" w:fill="FFFFFF" w:themeFill="background1"/>
        <w:tabs>
          <w:tab w:val="left" w:pos="2835"/>
        </w:tabs>
        <w:snapToGrid w:val="0"/>
        <w:spacing w:before="120" w:line="320" w:lineRule="exact"/>
        <w:ind w:firstLine="720"/>
        <w:jc w:val="both"/>
        <w:rPr>
          <w:i/>
          <w:sz w:val="28"/>
          <w:szCs w:val="28"/>
          <w:lang w:val="vi-VN"/>
        </w:rPr>
      </w:pPr>
      <w:r w:rsidRPr="000C0386">
        <w:rPr>
          <w:sz w:val="28"/>
          <w:szCs w:val="28"/>
          <w:shd w:val="clear" w:color="auto" w:fill="FFFFFF"/>
          <w:lang w:val="de-DE"/>
        </w:rPr>
        <w:t xml:space="preserve">Nghị quyết số 66-NQ/TW ngày 30/4/2025 của Bộ Chính trị về đổi mới công tác xây dựng và thi hành pháp luật đáp ứng yêu cầu phát triển đất nước trong kỷ nguyên mới: </w:t>
      </w:r>
      <w:r w:rsidRPr="000C0386">
        <w:rPr>
          <w:i/>
          <w:sz w:val="28"/>
          <w:szCs w:val="28"/>
          <w:lang w:val="de-DE"/>
        </w:rPr>
        <w:t>“Xác định xây dựng, hoàn thiện thể chế, pháp luật và kiểm tra, giám sát việc tổ chức thi hành pháp luật là nhiệm vụ trọng tâm, xuyên suốt, thường xuyên của các bộ, ngành Trung ương”, “Công tác xây dựng pháp luật phải thể chế hóa đầy đủ, đúng đắn, kịp thời chủ trương, đường lối của Đảng; xuất phát từ lợi ích toàn cục của đất nước; đưa thể chế, pháp luật trở thành lợi thế cạnh tranh; ... Các quy định của luật phải mang tính ổn định, đơn giản, dễ thực hiện, lấy người dân, doanh nghiệp làm trung tâm”</w:t>
      </w:r>
      <w:r w:rsidRPr="000C0386">
        <w:rPr>
          <w:i/>
          <w:sz w:val="28"/>
          <w:szCs w:val="28"/>
          <w:lang w:val="vi-VN"/>
        </w:rPr>
        <w:t>.</w:t>
      </w:r>
    </w:p>
    <w:p w14:paraId="4BE85ED4" w14:textId="77777777" w:rsidR="00802A1F" w:rsidRPr="000C0386" w:rsidRDefault="00802A1F" w:rsidP="00802A1F">
      <w:pPr>
        <w:widowControl w:val="0"/>
        <w:shd w:val="clear" w:color="auto" w:fill="FFFFFF" w:themeFill="background1"/>
        <w:tabs>
          <w:tab w:val="left" w:pos="2835"/>
        </w:tabs>
        <w:spacing w:before="120" w:line="320" w:lineRule="exact"/>
        <w:ind w:firstLine="720"/>
        <w:jc w:val="both"/>
        <w:rPr>
          <w:iCs/>
          <w:spacing w:val="-2"/>
          <w:sz w:val="28"/>
          <w:szCs w:val="28"/>
          <w:lang w:val="af-ZA"/>
        </w:rPr>
      </w:pPr>
      <w:r w:rsidRPr="000C0386">
        <w:rPr>
          <w:iCs/>
          <w:spacing w:val="-2"/>
          <w:sz w:val="28"/>
          <w:szCs w:val="28"/>
          <w:lang w:val="af-ZA"/>
        </w:rPr>
        <w:t xml:space="preserve">Nghị quyết số 68-NQ/TW ngày </w:t>
      </w:r>
      <w:r w:rsidRPr="000C0386">
        <w:rPr>
          <w:iCs/>
          <w:spacing w:val="-2"/>
          <w:sz w:val="28"/>
          <w:szCs w:val="28"/>
          <w:lang w:val="vi-VN"/>
        </w:rPr>
        <w:t>0</w:t>
      </w:r>
      <w:r w:rsidRPr="000C0386">
        <w:rPr>
          <w:iCs/>
          <w:spacing w:val="-2"/>
          <w:sz w:val="28"/>
          <w:szCs w:val="28"/>
          <w:lang w:val="af-ZA"/>
        </w:rPr>
        <w:t xml:space="preserve">4/5/2025 của Bộ Chính trị về phát triển kinh tế tư nhân xác định một trong các nhiệm vụ, giải pháp của hệ thống chính trị về đổi mới tư duy, thống nhất cao về nhận thức và hành động, khơi dậy niềm tin, khát vọng dân tộc, tạo xung lực mới, khí thế mới để phát triển kinh tế tư nhân; đẩy mạnh cải cách, hoàn thiện, nâng cao chất lượng thể chế, chính sách, bảo đảm và bảo vệ hữu hiệu quyền sở hữu, quyền tài sản, quyền tự do kinh doanh, quyền cạnh tranh bình đẳng của kinh tế tư nhân và bảo đảm thực thi hợp đồng của kinh tế tư nhân; tạo thuận lợi cho kinh tế tư nhân tiếp cận các nguồn lực về đất đai, vốn, nhân lực chất lượng cao; thúc đẩy khoa học công nghệ, đổi mới sáng tạo, chuyển đổi số, chuyển đổi xanh, kinh doanh hiệu quả, bền vững trong kinh tế tư nhân....Mở rộng </w:t>
      </w:r>
      <w:r w:rsidRPr="000C0386">
        <w:rPr>
          <w:iCs/>
          <w:spacing w:val="-2"/>
          <w:sz w:val="28"/>
          <w:szCs w:val="28"/>
          <w:lang w:val="af-ZA"/>
        </w:rPr>
        <w:lastRenderedPageBreak/>
        <w:t>sự tham gia của doanh nghiệp tư nhân vào các dự án quan trọng quốc gia; đa dạng hoá, nâng cao hiệu quả các hình thức hợp tác giữa Nhà nước và khu vực kinh tế tư nhân thông qua các mô hình hợp tác công tư (PPP), lãnh đạo công - quản trị tư, đầu tư công - quản lý tư, đầu tư tư - sử dụng công, trong các lĩnh vực cơ sở hạ tầng kinh tế, hạ tầng văn hoá - xã hội, công nghệ thông tin, truyền thông trên cơ sở lấy hiệu quả kinh tế - xã hội làm thước đo để lựa chọn.</w:t>
      </w:r>
    </w:p>
    <w:p w14:paraId="2C8ACEE6" w14:textId="77777777" w:rsidR="00802A1F" w:rsidRPr="000C0386" w:rsidRDefault="00802A1F" w:rsidP="00802A1F">
      <w:pPr>
        <w:spacing w:before="120" w:after="120"/>
        <w:ind w:firstLine="851"/>
        <w:jc w:val="both"/>
        <w:rPr>
          <w:b/>
          <w:bCs/>
          <w:sz w:val="28"/>
          <w:szCs w:val="28"/>
          <w:lang w:val="vi-VN"/>
        </w:rPr>
      </w:pPr>
      <w:r w:rsidRPr="000C0386">
        <w:rPr>
          <w:b/>
          <w:bCs/>
          <w:sz w:val="28"/>
          <w:szCs w:val="28"/>
          <w:lang w:val="nl-NL"/>
        </w:rPr>
        <w:t>2. Cơ sở thực tiễn</w:t>
      </w:r>
    </w:p>
    <w:p w14:paraId="643005E6" w14:textId="77777777" w:rsidR="00802A1F" w:rsidRPr="000C0386" w:rsidRDefault="00802A1F" w:rsidP="00802A1F">
      <w:pPr>
        <w:spacing w:before="80" w:after="80"/>
        <w:ind w:firstLine="851"/>
        <w:jc w:val="both"/>
        <w:rPr>
          <w:b/>
          <w:bCs/>
          <w:i/>
          <w:iCs/>
          <w:sz w:val="28"/>
          <w:szCs w:val="28"/>
          <w:lang w:val="vi-VN" w:eastAsia="ru-RU"/>
        </w:rPr>
      </w:pPr>
      <w:r w:rsidRPr="000C0386">
        <w:rPr>
          <w:b/>
          <w:bCs/>
          <w:i/>
          <w:iCs/>
          <w:sz w:val="28"/>
          <w:szCs w:val="28"/>
          <w:lang w:val="af-ZA" w:eastAsia="ru-RU"/>
        </w:rPr>
        <w:t>Thực tiễn áp dụng các Tiêu chuẩn và Khuyến cáo thực hành của ICAO (SARPs) và yêu cầu hoàn thiện khung pháp lý để đảm bảo căn cứ ban hành văn bản hướng dẫn chi tiết.</w:t>
      </w:r>
    </w:p>
    <w:p w14:paraId="215F392D" w14:textId="77777777" w:rsidR="00802A1F" w:rsidRPr="000C0386" w:rsidRDefault="00802A1F" w:rsidP="00802A1F">
      <w:pPr>
        <w:spacing w:before="80" w:after="80"/>
        <w:ind w:firstLine="851"/>
        <w:jc w:val="both"/>
        <w:rPr>
          <w:sz w:val="28"/>
          <w:szCs w:val="28"/>
          <w:lang w:val="vi-VN" w:eastAsia="ru-RU"/>
        </w:rPr>
      </w:pPr>
      <w:r w:rsidRPr="000C0386">
        <w:rPr>
          <w:sz w:val="28"/>
          <w:szCs w:val="28"/>
          <w:lang w:val="vi-VN" w:eastAsia="ru-RU"/>
        </w:rPr>
        <w:t>- Hệ thống các quy định về tàu bay và khai thác tàu bay hiện hành đang được quy định chủ yếu tại Thông tư của Bộ trưởng Bộ Giao thông vận tải (nay là Bộ Xây dựng). Thực tiễn thi hành cho thấy, các nội dung này cơ bản đã bao quát và đáp ứng được các yêu cầu của Tổ chức Hàng không dân dụng quốc tế (ICAO) tại các Phụ ước (Annex 1, 6, 8...), giúp Việt Nam duy trì chỉ số an toàn, các khuyến cáo về mặt thiếu hụt quy định trong các đợt thanh sát USOAP đã được cập nhật bổ sung vào Luật Hàng không dân dụng Việt Nam năm 2025.</w:t>
      </w:r>
    </w:p>
    <w:p w14:paraId="5D21270C" w14:textId="77777777" w:rsidR="00802A1F" w:rsidRPr="000C0386" w:rsidRDefault="00802A1F" w:rsidP="00802A1F">
      <w:pPr>
        <w:spacing w:before="80" w:after="80"/>
        <w:ind w:firstLine="851"/>
        <w:jc w:val="both"/>
        <w:rPr>
          <w:sz w:val="28"/>
          <w:szCs w:val="28"/>
          <w:lang w:val="vi-VN" w:eastAsia="ru-RU"/>
        </w:rPr>
      </w:pPr>
      <w:r w:rsidRPr="000C0386">
        <w:rPr>
          <w:sz w:val="28"/>
          <w:szCs w:val="28"/>
          <w:lang w:val="vi-VN" w:eastAsia="ru-RU"/>
        </w:rPr>
        <w:t>- Tuy nhiên, Luật Hàng không dân dụng Việt Nam năm 2025 được xây dựng theo hướng hiện đại, tập trung quy định các nguyên tắc quản lý nhà nước, các chính sách lớn và phân quyền mạnh mẽ cho Chính phủ quy định chi tiết (thay vì quy định quá cụ thể kỹ thuật trong Luật để đảm bảo tính ổn định).</w:t>
      </w:r>
    </w:p>
    <w:p w14:paraId="5BE3DDEF" w14:textId="77777777" w:rsidR="00802A1F" w:rsidRPr="000C0386" w:rsidRDefault="00802A1F" w:rsidP="00802A1F">
      <w:pPr>
        <w:spacing w:before="80" w:after="80"/>
        <w:ind w:firstLine="851"/>
        <w:jc w:val="both"/>
        <w:rPr>
          <w:sz w:val="28"/>
          <w:szCs w:val="28"/>
          <w:lang w:val="vi-VN" w:eastAsia="ru-RU"/>
        </w:rPr>
      </w:pPr>
      <w:r w:rsidRPr="000C0386">
        <w:rPr>
          <w:sz w:val="28"/>
          <w:szCs w:val="28"/>
          <w:lang w:val="vi-VN" w:eastAsia="ru-RU"/>
        </w:rPr>
        <w:t>- Đối chiếu với Luật Ban hành văn bản quy phạm pháp luật, Thông tư của Bộ trưởng chỉ được quy định chi tiết những điều, khoản, điểm mà Luật hoặc Nghị định giao. Nếu Nghị định không quy định các nội dung khung, thì các Thông tư hiện hành sẽ mất đi căn cứ ban hành khi Luật có hiệu lực. Điều này dẫn đến rủi ro pháp lý là các Thông tư hướng dẫn chi tiết về kỹ thuật (vốn cần linh hoạt sửa đổi theo ICAO) sẽ không có đầy đủ cơ sở pháp lý để ban hành hoặc bị tuýt còi vì quy định "vượt thẩm quyền".</w:t>
      </w:r>
    </w:p>
    <w:p w14:paraId="4FC60D37" w14:textId="77777777" w:rsidR="00802A1F" w:rsidRPr="000C0386" w:rsidRDefault="00802A1F" w:rsidP="00802A1F">
      <w:pPr>
        <w:tabs>
          <w:tab w:val="num" w:pos="720"/>
        </w:tabs>
        <w:spacing w:before="80" w:after="80"/>
        <w:ind w:firstLine="851"/>
        <w:jc w:val="both"/>
        <w:rPr>
          <w:sz w:val="28"/>
          <w:szCs w:val="28"/>
          <w:lang w:val="vi-VN" w:eastAsia="ru-RU"/>
        </w:rPr>
      </w:pPr>
      <w:r w:rsidRPr="000C0386">
        <w:rPr>
          <w:sz w:val="28"/>
          <w:szCs w:val="28"/>
          <w:lang w:val="vi-VN" w:eastAsia="ru-RU"/>
        </w:rPr>
        <w:t>- Xuất phát từ yêu cầu đó, việc xây dựng Nghị định lần này không chỉ đơn thuần là hướng dẫn Luật, mà còn đóng vai trò là "cầu nối pháp lý" quan trọng giúp chuyển tải các quy định mang tính cốt lõi, ổn định từ các Thông tư hiện hành lên quy định tại Nghị định; Quy định rõ thẩm quyền và phạm vi giao Bộ trưởng Bộ Xây dựng ban hành các Thông tư hướng dẫn và các tiêu chuẩn kỹ thuật chi tiết. Việc "nâng cấp" này đảm bảo hai mục tiêu: (i) Tuân thủ chặt chẽ Luật Ban hành văn bản quy phạm pháp luật (Nghị định quy định chính sách, Thông tư quy định kỹ thuật); (ii) Đảm bảo tính linh hoạt để Bộ Xây dựng có thể cập nhật nhanh chóng các tiêu chuẩn kỹ thuật khi ICAO sửa đổi Phụ ước mà không cần phải chờ sửa Nghị định."</w:t>
      </w:r>
    </w:p>
    <w:p w14:paraId="7BF5C654" w14:textId="77777777" w:rsidR="00802A1F" w:rsidRPr="000C0386" w:rsidRDefault="00802A1F" w:rsidP="00802A1F">
      <w:pPr>
        <w:spacing w:before="80" w:after="80"/>
        <w:ind w:firstLine="851"/>
        <w:jc w:val="both"/>
        <w:rPr>
          <w:b/>
          <w:bCs/>
          <w:i/>
          <w:iCs/>
          <w:sz w:val="28"/>
          <w:szCs w:val="28"/>
          <w:lang w:val="vi-VN" w:eastAsia="ru-RU"/>
        </w:rPr>
      </w:pPr>
      <w:r w:rsidRPr="000C0386">
        <w:rPr>
          <w:b/>
          <w:bCs/>
          <w:i/>
          <w:iCs/>
          <w:sz w:val="28"/>
          <w:szCs w:val="28"/>
          <w:lang w:val="vi-VN" w:eastAsia="ru-RU"/>
        </w:rPr>
        <w:t>Thực tiễn phát triển phương tiện bay cá nhân, tàu bay thực nghiệm chế tạo tại Việt Nam và yêu cầu đổi mới phương thức quản lý theo mức độ rủi ro.</w:t>
      </w:r>
    </w:p>
    <w:p w14:paraId="1EC66C12" w14:textId="77777777" w:rsidR="00802A1F" w:rsidRPr="000C0386" w:rsidRDefault="00802A1F" w:rsidP="00802A1F">
      <w:pPr>
        <w:spacing w:before="80" w:after="80"/>
        <w:ind w:firstLine="851"/>
        <w:jc w:val="both"/>
        <w:rPr>
          <w:sz w:val="28"/>
          <w:szCs w:val="28"/>
          <w:lang w:val="vi-VN" w:eastAsia="ru-RU"/>
        </w:rPr>
      </w:pPr>
      <w:r w:rsidRPr="000C0386">
        <w:rPr>
          <w:sz w:val="28"/>
          <w:szCs w:val="28"/>
          <w:lang w:val="vi-VN" w:eastAsia="ru-RU"/>
        </w:rPr>
        <w:t xml:space="preserve">- Theo quy định hiện hành, tất cả tàu bay có người lái (máy bay, trực thăng) khi đưa vào khai thác (không phân biệt tàu bay vận tải hành khách hay tàu bay </w:t>
      </w:r>
      <w:r w:rsidRPr="000C0386">
        <w:rPr>
          <w:sz w:val="28"/>
          <w:szCs w:val="28"/>
          <w:lang w:val="vi-VN" w:eastAsia="ru-RU"/>
        </w:rPr>
        <w:lastRenderedPageBreak/>
        <w:t>nhỏ phục vụ cá nhân/thể thao) đều bắt buộc phải được Cục Hàng không Việt Nam cấp giấy chứng nhận loại hoặc công nhận giấy chứng nhận loại. Thực tiễn cho thấy quy trình cấp Giấy chứng nhận loại theo chuẩn ICAO đòi hỏi chi phí và nguồn lực rất cao với hàng nghìn giờ bay thử nghiệm và quy trình đánh giá kéo dài nhiều năm. Quy định "đánh đồng" này đang tạo ra rào cản kỹ thuật quá lớn, bất khả thi đối với các doanh nghiệp khởi nghiệp, các viện nghiên cứu, trường đại học trong nước hoặc các cá nhân đam mê nghiên cứu, chế tạo tàu bay hạng nhẹ, tàu bay siêu nhẹ, hoặc tàu bay thể thao để phục vụ mục đích bay trải nghiệm cá nhân.</w:t>
      </w:r>
    </w:p>
    <w:p w14:paraId="3D2CA337" w14:textId="77777777" w:rsidR="00802A1F" w:rsidRPr="000C0386" w:rsidRDefault="00802A1F" w:rsidP="00802A1F">
      <w:pPr>
        <w:tabs>
          <w:tab w:val="num" w:pos="720"/>
        </w:tabs>
        <w:spacing w:before="80" w:after="80"/>
        <w:ind w:firstLine="851"/>
        <w:jc w:val="both"/>
        <w:rPr>
          <w:sz w:val="28"/>
          <w:szCs w:val="28"/>
          <w:lang w:val="vi-VN" w:eastAsia="ru-RU"/>
        </w:rPr>
      </w:pPr>
      <w:r w:rsidRPr="000C0386">
        <w:rPr>
          <w:sz w:val="28"/>
          <w:szCs w:val="28"/>
          <w:lang w:val="vi-VN" w:eastAsia="ru-RU"/>
        </w:rPr>
        <w:t>- Hiện nay, tại Việt Nam đã xuất hiện nhu cầu và năng lực thực tế trong việc thiết kế, sản xuất các loại tàu bay nhỏ, các phương tiện bay cá nhân (thiết bị bay tầm thấp). Tuy nhiên, do vướng mắc về thủ tục cấp giấy chứng nhận loại (vốn được thiết kế cho tàu bay thương mại chở khách), các sản phẩm này hiện nay chủ yếu dừng lại ở mức độ mô hình, không được cấp phép bay thử nghiệm hoặc bay hoạt động chính thức, làm kìm hãm sự phát triển của ngành công nghiệp hàng không nội địa và lãng phí nguồn lực xã hội.</w:t>
      </w:r>
    </w:p>
    <w:p w14:paraId="747E430E" w14:textId="77777777" w:rsidR="00802A1F" w:rsidRPr="000C0386" w:rsidRDefault="00802A1F" w:rsidP="00802A1F">
      <w:pPr>
        <w:spacing w:before="80" w:after="80"/>
        <w:ind w:firstLine="851"/>
        <w:jc w:val="both"/>
        <w:rPr>
          <w:sz w:val="28"/>
          <w:szCs w:val="28"/>
          <w:lang w:val="vi-VN" w:eastAsia="ru-RU"/>
        </w:rPr>
      </w:pPr>
      <w:r w:rsidRPr="000C0386">
        <w:rPr>
          <w:sz w:val="28"/>
          <w:szCs w:val="28"/>
          <w:lang w:val="vi-VN" w:eastAsia="ru-RU"/>
        </w:rPr>
        <w:t>- Tham khảo quy định của Cục Hàng không Liên bang Mỹ (FAA) và Cơ quan An toàn Hàng không Châu Âu (EASA), đối với loại tàu bay thực nghiệm (Experimental) hoặc tàu bay thể thao nhẹ (Light Sport Aircraft) phục vụ mục đích phi thương mại (bay cá nhân, huấn luyện, giải trí), nhà chức trách hàng không không yêu cầu cấp Giấy chứng nhận loại (Type Certificate). Thay vào đó, FAA, EASA áp dụng cơ chế quản lý linh hoạt hơn: chỉ cần công bố phù hợp tiêu chuẩn kỹ thuật hoặc cấp Giấy chứng nhận đủ điều kiện bay đặc biệt (Special Airworthiness Certificate). Cách tiếp cận này dựa trên nguyên tắc "quản lý dựa trên rủi ro" (Risk-based approach): tàu bay cá nhân, bay ở vùng trời không đông người, không chở khách thương mại thì không cần áp đặt tiêu chuẩn an toàn khắt khe như tàu bay chở khách.</w:t>
      </w:r>
    </w:p>
    <w:p w14:paraId="2ADF5444" w14:textId="77777777" w:rsidR="00802A1F" w:rsidRPr="000C0386" w:rsidRDefault="00802A1F" w:rsidP="00802A1F">
      <w:pPr>
        <w:spacing w:before="80" w:after="80"/>
        <w:ind w:firstLine="851"/>
        <w:jc w:val="both"/>
        <w:rPr>
          <w:sz w:val="28"/>
          <w:szCs w:val="28"/>
          <w:lang w:val="vi-VN" w:eastAsia="ru-RU"/>
        </w:rPr>
      </w:pPr>
      <w:r w:rsidRPr="000C0386">
        <w:rPr>
          <w:sz w:val="28"/>
          <w:szCs w:val="28"/>
          <w:lang w:val="vi-VN" w:eastAsia="ru-RU"/>
        </w:rPr>
        <w:t>- Xuất phát từ thực tiễn trên, để tạo hành lang pháp lý cho việc phát triển "Kinh tế tầm thấp" và khuyến khích "Make in Vietnam", dự thảo Nghị định đề xuất chính sách mới: Đối với tàu bay được thiết kế, sản xuất tại Việt Nam sử dụng cho mục đích bay không chuyên, bay cá nhân (không vận chuyển hành khách thu tiền): Bãi bỏ yêu cầu phê chuẩn Giấy chứng nhận loại (TC). Thay vào đó, chỉ yêu cầu tàu bay được Nhà chức trách hàng không Việt Nam xác nhận phù hợp với tiêu chuẩn kỹ thuật hiện hành (do Nhà chức trách hàng không Việt Nam ban hành hoặc công nhận). Quy định này vừa đảm bảo an toàn tối thiểu, vừa giảm chi phí tuân thủ, khơi thông nguồn lực cho hoạt động nghiên cứu, chế tạo tàu bay trong nước."</w:t>
      </w:r>
    </w:p>
    <w:p w14:paraId="54B088FF" w14:textId="77777777" w:rsidR="00802A1F" w:rsidRPr="000C0386" w:rsidRDefault="00802A1F" w:rsidP="00802A1F">
      <w:pPr>
        <w:spacing w:before="80" w:after="80"/>
        <w:ind w:firstLine="851"/>
        <w:jc w:val="both"/>
        <w:rPr>
          <w:b/>
          <w:bCs/>
          <w:sz w:val="28"/>
          <w:szCs w:val="28"/>
          <w:lang w:val="vi-VN" w:eastAsia="ru-RU"/>
        </w:rPr>
      </w:pPr>
      <w:r w:rsidRPr="000C0386">
        <w:rPr>
          <w:b/>
          <w:bCs/>
          <w:i/>
          <w:iCs/>
          <w:sz w:val="28"/>
          <w:szCs w:val="28"/>
          <w:lang w:val="vi-VN" w:eastAsia="ru-RU"/>
        </w:rPr>
        <w:t>Kết quả thực hiện các quy định về đăng ký quyền lợi đối với tàu bay và thực thi Công ước Cape Town (CTC).</w:t>
      </w:r>
    </w:p>
    <w:p w14:paraId="138485BE" w14:textId="77777777" w:rsidR="00802A1F" w:rsidRPr="000C0386" w:rsidRDefault="00802A1F" w:rsidP="00802A1F">
      <w:pPr>
        <w:spacing w:before="80" w:after="80"/>
        <w:ind w:firstLine="851"/>
        <w:jc w:val="both"/>
        <w:rPr>
          <w:sz w:val="28"/>
          <w:szCs w:val="28"/>
          <w:lang w:val="vi-VN" w:eastAsia="ru-RU"/>
        </w:rPr>
      </w:pPr>
      <w:r w:rsidRPr="000C0386">
        <w:rPr>
          <w:sz w:val="28"/>
          <w:szCs w:val="28"/>
          <w:lang w:val="vi-VN" w:eastAsia="ru-RU"/>
        </w:rPr>
        <w:t xml:space="preserve">- Quy định về đăng ký quốc tịch và đăng ký các quyền đối với tàu bay hiện nay (theo Nghị định số 68/2015/NĐ-CP và các Nghị định sửa đổi, bổ sung) đã đáp ứng tốt và tương thích với các yêu cầu của Công ước Cape Town mà Việt Nam là thành viên. Cụ thể, các thủ tục hành chính cốt lõi bao gồm: (i) Đăng ký, </w:t>
      </w:r>
      <w:r w:rsidRPr="000C0386">
        <w:rPr>
          <w:sz w:val="28"/>
          <w:szCs w:val="28"/>
          <w:lang w:val="vi-VN" w:eastAsia="ru-RU"/>
        </w:rPr>
        <w:lastRenderedPageBreak/>
        <w:t>xoá đăng ký quốc tịch tàu bay, (ii) Đăng ký, xoá đăng ký các quyền đối với tàu bay; (iii) Đăng ký, xoá đăng ký văn bản IDERA; và (iii) Thực hiện quyền của chủ tàu khi xảy ra vi phạm, đã đi vào nề nếp, quy trình rõ ràng, minh bạch. Nhờ sự ổn định của các quy định hiện hành, Việt Nam liên tục được Nhóm công tác Hàng không (Aviation Working Group - AWG) đánh giá tích cực về chỉ số tuân thủ Công ước Cape Town (điểm số tuân thủ CTC hiện nay đạt 67,5 điểm). Điều này góp phần tại lợi thế tín nhiệm quốc gia, giúp các hãng hàng không Việt Nam tiếp cận được nguồn vốn vay ưu đãi và thuê mua tàu bay với chi phí thấp hơn. Các nhà cho thuê tàu bay lớn trên thế giới đều yên tâm khi giao tài sản giá trị lớn vào thị trường Việt Nam do tin tưởng vào cơ chế bảo vệ quyền lợi hợp pháp đã được quy định rõ trong văn bản quy phạm pháp luật hiện hành.</w:t>
      </w:r>
    </w:p>
    <w:p w14:paraId="5E0B7B1A" w14:textId="77777777" w:rsidR="00802A1F" w:rsidRPr="000C0386" w:rsidRDefault="00802A1F" w:rsidP="00802A1F">
      <w:pPr>
        <w:spacing w:before="80" w:after="80"/>
        <w:ind w:firstLine="851"/>
        <w:jc w:val="both"/>
        <w:rPr>
          <w:sz w:val="28"/>
          <w:szCs w:val="28"/>
          <w:lang w:val="vi-VN" w:eastAsia="ru-RU"/>
        </w:rPr>
      </w:pPr>
      <w:r w:rsidRPr="000C0386">
        <w:rPr>
          <w:b/>
          <w:bCs/>
          <w:sz w:val="28"/>
          <w:szCs w:val="28"/>
          <w:lang w:val="vi-VN" w:eastAsia="ru-RU"/>
        </w:rPr>
        <w:t xml:space="preserve">- </w:t>
      </w:r>
      <w:r w:rsidRPr="000C0386">
        <w:rPr>
          <w:sz w:val="28"/>
          <w:szCs w:val="28"/>
          <w:lang w:val="vi-VN" w:eastAsia="ru-RU"/>
        </w:rPr>
        <w:t>Hoạt động tài chính hàng không đòi hỏi tính dự báo và sự ổn định pháp lý rất cao. Bất kỳ sự thay đổi đột ngột nào trong quy trình đăng ký quyền lợi hoặc xử lý IDERA đều có thể gây xáo trộn tâm lý cho các nhà đầu tư và chủ tàu quốc tế, dẫn đến nguy cơ bị hạ bậc tín nhiệm hoặc tăng chi phí thuê tàu bay.</w:t>
      </w:r>
    </w:p>
    <w:p w14:paraId="797E6D4F" w14:textId="7F296E88" w:rsidR="00802A1F" w:rsidRPr="000C0386" w:rsidRDefault="00802A1F" w:rsidP="00802A1F">
      <w:pPr>
        <w:spacing w:before="80" w:after="80"/>
        <w:ind w:firstLine="851"/>
        <w:jc w:val="both"/>
        <w:rPr>
          <w:sz w:val="28"/>
          <w:szCs w:val="28"/>
          <w:lang w:val="vi-VN" w:eastAsia="ru-RU"/>
        </w:rPr>
      </w:pPr>
      <w:r w:rsidRPr="000C0386">
        <w:rPr>
          <w:b/>
          <w:bCs/>
          <w:sz w:val="28"/>
          <w:szCs w:val="28"/>
          <w:lang w:val="vi-VN" w:eastAsia="ru-RU"/>
        </w:rPr>
        <w:t xml:space="preserve">- </w:t>
      </w:r>
      <w:r w:rsidRPr="000C0386">
        <w:rPr>
          <w:sz w:val="28"/>
          <w:szCs w:val="28"/>
          <w:lang w:val="vi-VN" w:eastAsia="ru-RU"/>
        </w:rPr>
        <w:t>Để đảm bảo tính liên tục của hệ thống pháp luật và giữ vững niềm tin của các định chế tài chính quốc tế, Dự thảo Nghị định về tàu bay và khai thác tàu bay cần kế thừa các nội dung quy định về</w:t>
      </w:r>
      <w:r w:rsidR="00D763AE">
        <w:rPr>
          <w:sz w:val="28"/>
          <w:szCs w:val="28"/>
          <w:lang w:val="vi-VN" w:eastAsia="ru-RU"/>
        </w:rPr>
        <w:t xml:space="preserve"> đăng ký tàu bay</w:t>
      </w:r>
      <w:r w:rsidRPr="000C0386">
        <w:rPr>
          <w:sz w:val="28"/>
          <w:szCs w:val="28"/>
          <w:lang w:val="vi-VN" w:eastAsia="ru-RU"/>
        </w:rPr>
        <w:t xml:space="preserve"> đăng ký các quyền đối với tàu bay và cơ chế thực thi Công ước Cape Town từ các văn bản hiện hành. Việc này nhằm đảm bảo không làm phát sinh thủ tục hành chính mới, không gây gián đoạn hoạt động thương mại của doanh nghiệp.</w:t>
      </w:r>
    </w:p>
    <w:p w14:paraId="023459E0" w14:textId="77777777" w:rsidR="00802A1F" w:rsidRPr="000C0386" w:rsidRDefault="00802A1F" w:rsidP="00802A1F">
      <w:pPr>
        <w:spacing w:before="80" w:after="80"/>
        <w:ind w:firstLine="851"/>
        <w:jc w:val="both"/>
        <w:rPr>
          <w:b/>
          <w:bCs/>
          <w:sz w:val="28"/>
          <w:szCs w:val="28"/>
          <w:lang w:val="vi-VN" w:eastAsia="ru-RU"/>
        </w:rPr>
      </w:pPr>
      <w:r w:rsidRPr="000C0386">
        <w:rPr>
          <w:b/>
          <w:bCs/>
          <w:i/>
          <w:iCs/>
          <w:sz w:val="28"/>
          <w:szCs w:val="28"/>
          <w:lang w:val="vi-VN" w:eastAsia="ru-RU"/>
        </w:rPr>
        <w:t>Thực tiễn chuyển đổi số trong hoạt động khai thác tàu bay và yêu cầu hoàn thiện hành lang pháp lý đối với hồ sơ, tài liệu điện tử.</w:t>
      </w:r>
    </w:p>
    <w:p w14:paraId="2D68A8B0" w14:textId="77777777" w:rsidR="00802A1F" w:rsidRPr="000C0386" w:rsidRDefault="00802A1F" w:rsidP="00802A1F">
      <w:pPr>
        <w:spacing w:before="80" w:after="80"/>
        <w:ind w:firstLine="851"/>
        <w:jc w:val="both"/>
        <w:rPr>
          <w:sz w:val="28"/>
          <w:szCs w:val="28"/>
          <w:lang w:val="vi-VN" w:eastAsia="ru-RU"/>
        </w:rPr>
      </w:pPr>
      <w:r w:rsidRPr="000C0386">
        <w:rPr>
          <w:sz w:val="28"/>
          <w:szCs w:val="28"/>
          <w:lang w:val="vi-VN" w:eastAsia="ru-RU"/>
        </w:rPr>
        <w:t>- Trong bối cảnh cuộc Cách mạng công nghiệp 4.0 và chủ trương đẩy mạnh chuyển đổi số quốc gia, các hãng hàng không Việt Nam và thế giới đã và đang thay đổi căn bản phương thức quản lý, vận hành tàu bay từ phương thức thủ công (dựa trên giấy tờ) sang phương thức số hóa. Cụ thể như sau:</w:t>
      </w:r>
    </w:p>
    <w:p w14:paraId="231C3844" w14:textId="77777777" w:rsidR="00802A1F" w:rsidRPr="000C0386" w:rsidRDefault="00802A1F" w:rsidP="00802A1F">
      <w:pPr>
        <w:spacing w:before="80" w:after="80"/>
        <w:ind w:firstLine="851"/>
        <w:jc w:val="both"/>
        <w:rPr>
          <w:sz w:val="28"/>
          <w:szCs w:val="28"/>
          <w:lang w:val="vi-VN" w:eastAsia="ru-RU"/>
        </w:rPr>
      </w:pPr>
      <w:r w:rsidRPr="000C0386">
        <w:rPr>
          <w:b/>
          <w:bCs/>
          <w:sz w:val="28"/>
          <w:szCs w:val="28"/>
          <w:lang w:val="vi-VN" w:eastAsia="ru-RU"/>
        </w:rPr>
        <w:t xml:space="preserve">+ </w:t>
      </w:r>
      <w:r w:rsidRPr="000C0386">
        <w:rPr>
          <w:sz w:val="28"/>
          <w:szCs w:val="28"/>
          <w:lang w:val="vi-VN" w:eastAsia="ru-RU"/>
        </w:rPr>
        <w:t>Các hãng hàng không lớn trong nước đã triển khai hệ thống Tài liệu bay điện tử (Electronic Flight Bag - EFB) trang bị cho tổ lái và đang thí điểm, tiến tới áp dụng toàn diện Nhật ký kỹ thuật điện tử (Electronic Tech Log - ETL). Việc áp dụng các giải pháp này cho phép cập nhật dữ liệu khí tượng, bản đồ bay, tính toán hiệu suất cất hạ cánh và ghi nhận tình trạng kỹ thuật tàu bay theo thời gian thực (real-time), thay thế cho các cặp tài liệu giấy nặng hàng chục ki-lô-gam trên buồng lái và các cuốn nhật ký kỹ thuật bằng giấy truyền thống.</w:t>
      </w:r>
    </w:p>
    <w:p w14:paraId="0CA74865" w14:textId="77777777" w:rsidR="00802A1F" w:rsidRPr="000C0386" w:rsidRDefault="00802A1F" w:rsidP="00802A1F">
      <w:pPr>
        <w:spacing w:before="80" w:after="80"/>
        <w:ind w:firstLine="851"/>
        <w:jc w:val="both"/>
        <w:rPr>
          <w:sz w:val="28"/>
          <w:szCs w:val="28"/>
          <w:lang w:val="vi-VN" w:eastAsia="ru-RU"/>
        </w:rPr>
      </w:pPr>
      <w:r w:rsidRPr="000C0386">
        <w:rPr>
          <w:b/>
          <w:bCs/>
          <w:sz w:val="28"/>
          <w:szCs w:val="28"/>
          <w:lang w:val="vi-VN" w:eastAsia="ru-RU"/>
        </w:rPr>
        <w:t xml:space="preserve">+ </w:t>
      </w:r>
      <w:r w:rsidRPr="000C0386">
        <w:rPr>
          <w:sz w:val="28"/>
          <w:szCs w:val="28"/>
          <w:lang w:val="vi-VN" w:eastAsia="ru-RU"/>
        </w:rPr>
        <w:t>Tuy nhiên, hệ thống văn bản quy phạm pháp luật hiện hành về hàng không vẫn được xây dựng dựa trên tư duy quản lý hồ sơ giấy. Điều này dẫn đến tình trạng "chồng chéo" trong quy trình: Doanh nghiệp vừa phải đầu tư hệ thống công nghệ hiện đại, vừa phải duy trì in ấn, lưu trữ hồ sơ giấy song song để phục vụ công tác thanh tra, kiểm tra của cơ quan quản lý nhà nước. Việc chưa có quy định rõ ràng công nhận giá trị pháp lý tương đương của dữ liệu điện tử (trên EFB, ETL) với tài liệu giấy đang là rào cản lớn, gây lãng phí nguồn lực xã hội.</w:t>
      </w:r>
    </w:p>
    <w:p w14:paraId="08910D4E" w14:textId="77777777" w:rsidR="00802A1F" w:rsidRPr="000C0386" w:rsidRDefault="00802A1F" w:rsidP="00802A1F">
      <w:pPr>
        <w:tabs>
          <w:tab w:val="num" w:pos="720"/>
        </w:tabs>
        <w:spacing w:before="80" w:after="80"/>
        <w:ind w:firstLine="851"/>
        <w:jc w:val="both"/>
        <w:rPr>
          <w:sz w:val="28"/>
          <w:szCs w:val="28"/>
          <w:lang w:val="vi-VN" w:eastAsia="ru-RU"/>
        </w:rPr>
      </w:pPr>
      <w:r w:rsidRPr="000C0386">
        <w:rPr>
          <w:b/>
          <w:bCs/>
          <w:sz w:val="28"/>
          <w:szCs w:val="28"/>
          <w:lang w:val="vi-VN" w:eastAsia="ru-RU"/>
        </w:rPr>
        <w:lastRenderedPageBreak/>
        <w:t xml:space="preserve">+ </w:t>
      </w:r>
      <w:r w:rsidRPr="000C0386">
        <w:rPr>
          <w:sz w:val="28"/>
          <w:szCs w:val="28"/>
          <w:lang w:val="vi-VN" w:eastAsia="ru-RU"/>
        </w:rPr>
        <w:t>Thực tiễn cho thấy, việc chuyển đổi sang hồ sơ điện tử mang lại lợi ích về giảm chi phí in ấn, vận chuyển và không gian lưu trữ kho tàng đối với khối lượng hồ sơ khổng lồ tích lũy qua nhiều năm (quy định lưu trữ hồ sơ kỹ thuật thường kéo dài suốt vòng đời tàu bay). Đồng thời, việc loại bỏ tài liệu giấy trên tàu bay giúp giảm trọng lượng cất cánh, qua đó tiết kiệm nhiên liệu và giảm phát thải khí CO2. Đồng thời dữ liệu kỹ thuật điện tử giúp bộ phận mặt đất tiếp nhận tình trạng hỏng hóc của tàu bay ngay khi tàu bay đang bay hoặc vừa tiếp đất, rút ngắn thời gian quay đầu (turn-around time) và nâng cao độ chính xác trong công tác bảo dưỡng.</w:t>
      </w:r>
    </w:p>
    <w:p w14:paraId="3FB82F2B" w14:textId="77777777" w:rsidR="00802A1F" w:rsidRPr="000C0386" w:rsidRDefault="00802A1F" w:rsidP="00802A1F">
      <w:pPr>
        <w:spacing w:before="80" w:after="80"/>
        <w:ind w:firstLine="851"/>
        <w:jc w:val="both"/>
        <w:rPr>
          <w:sz w:val="28"/>
          <w:szCs w:val="28"/>
          <w:lang w:val="vi-VN" w:eastAsia="ru-RU"/>
        </w:rPr>
      </w:pPr>
      <w:r w:rsidRPr="000C0386">
        <w:rPr>
          <w:sz w:val="28"/>
          <w:szCs w:val="28"/>
          <w:lang w:val="vi-VN" w:eastAsia="ru-RU"/>
        </w:rPr>
        <w:t>- Từ thực tiễn nêu trên, Dự thảo Nghị định cần bổ sung các quy định cụ thể nhằm công nhận tính pháp lý của hồ sơ, tài liệu điện tử trong hoạt động hàng không. Đây là cơ sở pháp lý quan trọng để giảm thiểu yêu cầu lưu trữ hồ sơ giấy, tạo điều kiện thuận lợi cho doanh nghiệp và hiện đại hóa công tác quản lý nhà nước.</w:t>
      </w:r>
    </w:p>
    <w:p w14:paraId="17F6698D" w14:textId="77777777" w:rsidR="00802A1F" w:rsidRPr="000C0386" w:rsidRDefault="00802A1F" w:rsidP="00802A1F">
      <w:pPr>
        <w:spacing w:before="80" w:after="80"/>
        <w:ind w:firstLine="851"/>
        <w:jc w:val="both"/>
        <w:rPr>
          <w:b/>
          <w:bCs/>
          <w:i/>
          <w:iCs/>
          <w:sz w:val="28"/>
          <w:szCs w:val="28"/>
          <w:lang w:val="vi-VN" w:eastAsia="ru-RU"/>
        </w:rPr>
      </w:pPr>
      <w:r w:rsidRPr="000C0386">
        <w:rPr>
          <w:b/>
          <w:bCs/>
          <w:i/>
          <w:iCs/>
          <w:sz w:val="28"/>
          <w:szCs w:val="28"/>
          <w:lang w:val="vi-VN" w:eastAsia="ru-RU"/>
        </w:rPr>
        <w:t>Thực tiễn tiếp nhận các dòng tàu bay công nghệ mới và yêu cầu chuẩn hóa năng lực giám sát của Nhà chức trách hàng không trước khi cấp phép.</w:t>
      </w:r>
    </w:p>
    <w:p w14:paraId="633C1366" w14:textId="77777777" w:rsidR="00802A1F" w:rsidRPr="000C0386" w:rsidRDefault="00802A1F" w:rsidP="00802A1F">
      <w:pPr>
        <w:spacing w:before="80" w:after="80"/>
        <w:ind w:firstLine="851"/>
        <w:jc w:val="both"/>
        <w:rPr>
          <w:sz w:val="28"/>
          <w:szCs w:val="28"/>
          <w:lang w:val="vi-VN" w:eastAsia="ru-RU"/>
        </w:rPr>
      </w:pPr>
      <w:r w:rsidRPr="000C0386">
        <w:rPr>
          <w:sz w:val="28"/>
          <w:szCs w:val="28"/>
          <w:lang w:val="vi-VN" w:eastAsia="ru-RU"/>
        </w:rPr>
        <w:t>- Thực tiễn thị trường hàng không hiện nay cho thấy xu hướng các hãng hàng không và doanh nghiệp Việt Nam đang tìm kiếm và nhập khẩu nhiều dòng tàu bay mới để tối ưu hóa chi phí hoặc phục vụ các phân khúc thị trường ngách (như tàu bay phản lực khu vực - Regional jet, các dòng trực thăng thế hệ mới,...). Các dòng tàu bay này thường áp dụng công nghệ vật liệu mới, hệ thống điện tử hàng không (Avionics) phức tạp và triết lý bảo dưỡng khác biệt hoàn toàn so với các dòng tàu bay truyền thống mà Nhà chức trách hàng không Việt Nam đã có kinh nghiệm giám sát lâu năm.</w:t>
      </w:r>
    </w:p>
    <w:p w14:paraId="12C10D58" w14:textId="77777777" w:rsidR="00802A1F" w:rsidRPr="000C0386" w:rsidRDefault="00802A1F" w:rsidP="00802A1F">
      <w:pPr>
        <w:spacing w:before="80" w:after="80"/>
        <w:ind w:firstLine="851"/>
        <w:jc w:val="both"/>
        <w:rPr>
          <w:sz w:val="28"/>
          <w:szCs w:val="28"/>
          <w:lang w:val="vi-VN" w:eastAsia="ru-RU"/>
        </w:rPr>
      </w:pPr>
      <w:r w:rsidRPr="000C0386">
        <w:rPr>
          <w:sz w:val="28"/>
          <w:szCs w:val="28"/>
          <w:lang w:val="vi-VN" w:eastAsia="ru-RU"/>
        </w:rPr>
        <w:t>- Tổ chức Hàng không dân dụng quốc tế (ICAO) quy định rõ trách nhiệm của Quốc gia đăng ký tàu bay (State of Registry): trước khi đưa tàu bay vào danh bạ quốc gia, Nhà chức trách phải đảm bảo có đủ năng lực giám sát đối với loại tàu bay đó. Năng lực này bao gồm nhân sự được đào tạo để giám sát an toàn.</w:t>
      </w:r>
    </w:p>
    <w:p w14:paraId="1329A1EB" w14:textId="77777777" w:rsidR="00802A1F" w:rsidRPr="000C0386" w:rsidRDefault="00802A1F" w:rsidP="00802A1F">
      <w:pPr>
        <w:spacing w:before="80" w:after="80"/>
        <w:ind w:firstLine="851"/>
        <w:jc w:val="both"/>
        <w:rPr>
          <w:sz w:val="28"/>
          <w:szCs w:val="28"/>
          <w:lang w:val="vi-VN" w:eastAsia="ru-RU"/>
        </w:rPr>
      </w:pPr>
      <w:r w:rsidRPr="000C0386">
        <w:rPr>
          <w:sz w:val="28"/>
          <w:szCs w:val="28"/>
          <w:lang w:val="vi-VN" w:eastAsia="ru-RU"/>
        </w:rPr>
        <w:t>- Để khắc phục tình trạng tàu bay về trước, năng lực chạy theo sau, Dự thảo Nghị định cần quy định điều kiện bắt buộc: đối với loại tàu bay nhập khẩu lần đầu vào Việt Nam, tổ chức/cá nhân đề nghị nhập khẩu phải có trách nhiệm phối hợp với Tổ chức thiết kế/chế tạo (Type Certificate Holder) để xây dựng chương trình và tổ chức đào tạo, chuyển giao kỹ thuật cho Cục Hàng không Việt Nam. Việc công nhận Giấy chứng nhận loại (Type Validation) sẽ chỉ được xem xét hoàn tất sau khi Cục Hàng không Việt Nam đánh giá và xác nhận đã đủ năng lực giám sát an toàn đối với loại tàu bay này. Quy định này ràng buộc trách nhiệm của người nhập khẩu, đảm bảo an toàn tuyệt đối ngay từ thời điểm tàu bay bắt đầu khai thác tại Việt Nam.</w:t>
      </w:r>
    </w:p>
    <w:p w14:paraId="3F3569A5" w14:textId="77777777" w:rsidR="00802A1F" w:rsidRPr="000C0386" w:rsidRDefault="00802A1F" w:rsidP="00802A1F">
      <w:pPr>
        <w:spacing w:before="80" w:after="80"/>
        <w:ind w:firstLine="851"/>
        <w:jc w:val="both"/>
        <w:rPr>
          <w:b/>
          <w:bCs/>
          <w:i/>
          <w:iCs/>
          <w:sz w:val="28"/>
          <w:szCs w:val="28"/>
          <w:lang w:val="vi-VN" w:eastAsia="ru-RU"/>
        </w:rPr>
      </w:pPr>
      <w:r w:rsidRPr="000C0386">
        <w:rPr>
          <w:b/>
          <w:bCs/>
          <w:i/>
          <w:iCs/>
          <w:sz w:val="28"/>
          <w:szCs w:val="28"/>
          <w:lang w:val="vi-VN" w:eastAsia="ru-RU"/>
        </w:rPr>
        <w:t>Thực tiễn công tác đánh giá, phê chuẩn năng định tại nước ngoài và yêu cầu xã hội hóa nguồn lực bảo đảm hoạt động giám sát an toàn hàng không.</w:t>
      </w:r>
    </w:p>
    <w:p w14:paraId="7F22BE66" w14:textId="77777777" w:rsidR="00802A1F" w:rsidRPr="000C0386" w:rsidRDefault="00802A1F" w:rsidP="00802A1F">
      <w:pPr>
        <w:tabs>
          <w:tab w:val="num" w:pos="720"/>
        </w:tabs>
        <w:spacing w:before="80" w:after="80"/>
        <w:ind w:firstLine="851"/>
        <w:jc w:val="both"/>
        <w:rPr>
          <w:sz w:val="28"/>
          <w:szCs w:val="28"/>
          <w:lang w:val="vi-VN" w:eastAsia="ru-RU"/>
        </w:rPr>
      </w:pPr>
      <w:r w:rsidRPr="000C0386">
        <w:rPr>
          <w:sz w:val="28"/>
          <w:szCs w:val="28"/>
          <w:lang w:val="vi-VN" w:eastAsia="ru-RU"/>
        </w:rPr>
        <w:lastRenderedPageBreak/>
        <w:t>- Trong bối cảnh hội nhập quốc tế sâu rộng, hoạt động của các hãng hàng không, tổ chức bảo dưỡng, thiết kế, sản xuất, huấn luyện Việt Nam không còn bó hẹp trong lãnh thổ quốc gia. Nhu cầu thực tế phát sinh thường xuyên bao gồm:</w:t>
      </w:r>
    </w:p>
    <w:p w14:paraId="72EF38A0" w14:textId="77777777" w:rsidR="00802A1F" w:rsidRPr="000C0386" w:rsidRDefault="00802A1F" w:rsidP="00802A1F">
      <w:pPr>
        <w:tabs>
          <w:tab w:val="num" w:pos="720"/>
        </w:tabs>
        <w:spacing w:before="80" w:after="80"/>
        <w:ind w:firstLine="851"/>
        <w:jc w:val="both"/>
        <w:rPr>
          <w:sz w:val="28"/>
          <w:szCs w:val="28"/>
          <w:lang w:val="vi-VN" w:eastAsia="ru-RU"/>
        </w:rPr>
      </w:pPr>
      <w:r w:rsidRPr="000C0386">
        <w:rPr>
          <w:sz w:val="28"/>
          <w:szCs w:val="28"/>
          <w:lang w:val="vi-VN" w:eastAsia="ru-RU"/>
        </w:rPr>
        <w:t>+ Đánh giá, phê chuẩn các cơ sở đào tạo, huấn luyện và thiết bị mô phỏng buồng lái (SIM) đặt tại nước ngoài (do trong nước chưa đầu tư đủ).</w:t>
      </w:r>
    </w:p>
    <w:p w14:paraId="5E5C4FC7" w14:textId="77777777" w:rsidR="00802A1F" w:rsidRPr="000C0386" w:rsidRDefault="00802A1F" w:rsidP="00802A1F">
      <w:pPr>
        <w:tabs>
          <w:tab w:val="num" w:pos="720"/>
        </w:tabs>
        <w:spacing w:before="80" w:after="80"/>
        <w:ind w:firstLine="851"/>
        <w:jc w:val="both"/>
        <w:rPr>
          <w:sz w:val="28"/>
          <w:szCs w:val="28"/>
          <w:lang w:val="vi-VN" w:eastAsia="ru-RU"/>
        </w:rPr>
      </w:pPr>
      <w:r w:rsidRPr="000C0386">
        <w:rPr>
          <w:sz w:val="28"/>
          <w:szCs w:val="28"/>
          <w:lang w:val="vi-VN" w:eastAsia="ru-RU"/>
        </w:rPr>
        <w:t>+ Đánh giá cấp công nhận giấy chứng nhận loại cho loại tàu bay dự định nhập khẩu vào Việt Nam.</w:t>
      </w:r>
    </w:p>
    <w:p w14:paraId="166D76AA" w14:textId="77777777" w:rsidR="00802A1F" w:rsidRPr="000C0386" w:rsidRDefault="00802A1F" w:rsidP="00802A1F">
      <w:pPr>
        <w:tabs>
          <w:tab w:val="num" w:pos="720"/>
        </w:tabs>
        <w:spacing w:before="80" w:after="80"/>
        <w:ind w:firstLine="851"/>
        <w:jc w:val="both"/>
        <w:rPr>
          <w:sz w:val="28"/>
          <w:szCs w:val="28"/>
          <w:lang w:val="vi-VN" w:eastAsia="ru-RU"/>
        </w:rPr>
      </w:pPr>
      <w:r w:rsidRPr="000C0386">
        <w:rPr>
          <w:sz w:val="28"/>
          <w:szCs w:val="28"/>
          <w:lang w:val="vi-VN" w:eastAsia="ru-RU"/>
        </w:rPr>
        <w:t>+ Đánh giá, phê chuẩn các tổ chức bảo dưỡng, thiết kế, sản xuất nước ngoài thực hiện bảo dưỡng, thiết kế, sản xuất cho tàu bay đăng ký Việt Nam; mở rộng năng định bảo dưỡng của Tổ chức bảo dưỡng Việt Nam tại các sân bay quốc tế mà hãng hàng không Việt Nam có đường bay đến.</w:t>
      </w:r>
    </w:p>
    <w:p w14:paraId="006E046B" w14:textId="77777777" w:rsidR="00802A1F" w:rsidRPr="000C0386" w:rsidRDefault="00802A1F" w:rsidP="00802A1F">
      <w:pPr>
        <w:tabs>
          <w:tab w:val="num" w:pos="720"/>
        </w:tabs>
        <w:spacing w:before="80" w:after="80"/>
        <w:ind w:firstLine="851"/>
        <w:jc w:val="both"/>
        <w:rPr>
          <w:sz w:val="28"/>
          <w:szCs w:val="28"/>
          <w:lang w:val="vi-VN" w:eastAsia="ru-RU"/>
        </w:rPr>
      </w:pPr>
      <w:r w:rsidRPr="000C0386">
        <w:rPr>
          <w:sz w:val="28"/>
          <w:szCs w:val="28"/>
          <w:lang w:val="vi-VN" w:eastAsia="ru-RU"/>
        </w:rPr>
        <w:t>+ Kiểm tra, đánh giá để cấp chứng chỉ cho tàu bay thuê ướt, tàu bay thuê khô chuẩn bị nhập khẩu ngay tại cơ sở của bên cho thuê, sản xuất (nước ngoài) trước khi đưa về Việt Nam; kiểm tra cấp giấy chứng nhận đủ điều kiện bay xuất khẩu, xoá đăng ký quốc tịch tàu bay Việt Nam tại nước ngoài.</w:t>
      </w:r>
    </w:p>
    <w:p w14:paraId="17AC3A3D" w14:textId="77777777" w:rsidR="00802A1F" w:rsidRPr="000C0386" w:rsidRDefault="00802A1F" w:rsidP="00802A1F">
      <w:pPr>
        <w:tabs>
          <w:tab w:val="num" w:pos="720"/>
        </w:tabs>
        <w:spacing w:before="80" w:after="80"/>
        <w:ind w:firstLine="851"/>
        <w:jc w:val="both"/>
        <w:rPr>
          <w:sz w:val="28"/>
          <w:szCs w:val="28"/>
          <w:lang w:val="vi-VN" w:eastAsia="ru-RU"/>
        </w:rPr>
      </w:pPr>
      <w:r w:rsidRPr="000C0386">
        <w:rPr>
          <w:sz w:val="28"/>
          <w:szCs w:val="28"/>
          <w:lang w:val="vi-VN" w:eastAsia="ru-RU"/>
        </w:rPr>
        <w:t>+ Kiểm tra cơ sở phục vụ mặt đất cho tàu bay đăng ký Việt Nam tại các sân bay quốc tế; kiểm tra mở rộng đường bay mới của các Hãng hàng không Việt Nam đến các sân bay quốc tế,...</w:t>
      </w:r>
    </w:p>
    <w:p w14:paraId="454306EF" w14:textId="77777777" w:rsidR="00802A1F" w:rsidRPr="000C0386" w:rsidRDefault="00802A1F" w:rsidP="00802A1F">
      <w:pPr>
        <w:spacing w:before="80" w:after="80"/>
        <w:ind w:firstLine="851"/>
        <w:jc w:val="both"/>
        <w:rPr>
          <w:sz w:val="28"/>
          <w:szCs w:val="28"/>
          <w:lang w:val="vi-VN" w:eastAsia="ru-RU"/>
        </w:rPr>
      </w:pPr>
      <w:r w:rsidRPr="000C0386">
        <w:rPr>
          <w:sz w:val="28"/>
          <w:szCs w:val="28"/>
          <w:lang w:val="vi-VN" w:eastAsia="ru-RU"/>
        </w:rPr>
        <w:t>- Theo quy định hiện nay, kinh phí cho đoàn công tác của Cục Hàng không Việt Nam đi đánh giá, thẩm định tại nước ngoài phụ thuộc vào Ngân sách nhà nước, phải được lập dự toán từ đầu năm và tuân thủ các quy định ngặt nghèo về định mức chi. Cơ chế này đang bộc lộ nhiều hạn chế lớn:</w:t>
      </w:r>
    </w:p>
    <w:p w14:paraId="376DDCD3" w14:textId="77777777" w:rsidR="00802A1F" w:rsidRPr="000C0386" w:rsidRDefault="00802A1F" w:rsidP="00802A1F">
      <w:pPr>
        <w:spacing w:before="80" w:after="80"/>
        <w:ind w:firstLine="851"/>
        <w:jc w:val="both"/>
        <w:rPr>
          <w:sz w:val="28"/>
          <w:szCs w:val="28"/>
          <w:lang w:val="vi-VN" w:eastAsia="ru-RU"/>
        </w:rPr>
      </w:pPr>
      <w:r w:rsidRPr="000C0386">
        <w:rPr>
          <w:sz w:val="28"/>
          <w:szCs w:val="28"/>
          <w:lang w:val="vi-VN" w:eastAsia="ru-RU"/>
        </w:rPr>
        <w:t>+ Thiếu tính linh hoạt: Nhu cầu kinh doanh của doanh nghiệp thường phát sinh đột xuất (ví dụ: cần thuê gấp tàu bay để phục vụ cao điểm Tết, cần phê chuẩn gấp SIM để huấn luyện phi công), trong khi ngân sách nhà nước không thể bố trí kịp thời các khoản chi ngoài kế hoạch.</w:t>
      </w:r>
    </w:p>
    <w:p w14:paraId="0CBD4C4B" w14:textId="77777777" w:rsidR="00802A1F" w:rsidRPr="000C0386" w:rsidRDefault="00802A1F" w:rsidP="00802A1F">
      <w:pPr>
        <w:spacing w:before="80" w:after="80"/>
        <w:ind w:firstLine="851"/>
        <w:jc w:val="both"/>
        <w:rPr>
          <w:sz w:val="28"/>
          <w:szCs w:val="28"/>
          <w:lang w:val="vi-VN" w:eastAsia="ru-RU"/>
        </w:rPr>
      </w:pPr>
      <w:r w:rsidRPr="000C0386">
        <w:rPr>
          <w:sz w:val="28"/>
          <w:szCs w:val="28"/>
          <w:lang w:val="vi-VN" w:eastAsia="ru-RU"/>
        </w:rPr>
        <w:t>+ Gây lãng phí nguồn lực xã hội: Do không bố trí được kinh phí cho giám sát viên sang nước ngoài, doanh nghiệp buộc phải đưa tàu bay, trang thiết bị về Việt Nam để thực hiện kiểm tra. Chi phí bay chuyển sân (ferry flight), chi phí nhiên liệu và chi phí dừng khai thác tàu bay (downtime) lớn gấp hàng trăm lần so với chi phí cử chuyên gia đi công tác. Đối với các thiết bị cố định như SIM, việc đưa về Việt Nam để đánh giá là bất khả thi.</w:t>
      </w:r>
    </w:p>
    <w:p w14:paraId="55249137" w14:textId="77777777" w:rsidR="00802A1F" w:rsidRPr="000C0386" w:rsidRDefault="00802A1F" w:rsidP="00802A1F">
      <w:pPr>
        <w:spacing w:before="80" w:after="80"/>
        <w:ind w:firstLine="851"/>
        <w:jc w:val="both"/>
        <w:rPr>
          <w:sz w:val="28"/>
          <w:szCs w:val="28"/>
          <w:lang w:val="vi-VN" w:eastAsia="ru-RU"/>
        </w:rPr>
      </w:pPr>
      <w:r w:rsidRPr="000C0386">
        <w:rPr>
          <w:sz w:val="28"/>
          <w:szCs w:val="28"/>
          <w:lang w:val="vi-VN" w:eastAsia="ru-RU"/>
        </w:rPr>
        <w:t>+ Kìm hãm năng lực cạnh tranh: Việc chậm trễ trong cấp phép do chờ đợi thủ tục ngân sách khiến doanh nghiệp mất cơ hội kinh doanh, chậm đưa phương tiện vào khai thác.</w:t>
      </w:r>
    </w:p>
    <w:p w14:paraId="76E3DF1E" w14:textId="77777777" w:rsidR="00802A1F" w:rsidRPr="000C0386" w:rsidRDefault="00802A1F" w:rsidP="00802A1F">
      <w:pPr>
        <w:spacing w:before="80" w:after="80"/>
        <w:ind w:firstLine="851"/>
        <w:jc w:val="both"/>
        <w:rPr>
          <w:sz w:val="28"/>
          <w:szCs w:val="28"/>
          <w:lang w:val="vi-VN" w:eastAsia="ru-RU"/>
        </w:rPr>
      </w:pPr>
      <w:r w:rsidRPr="000C0386">
        <w:rPr>
          <w:sz w:val="28"/>
          <w:szCs w:val="28"/>
          <w:lang w:val="vi-VN" w:eastAsia="ru-RU"/>
        </w:rPr>
        <w:t>- Để tháo gỡ điểm nghẽn nêu trên và thực hiện chủ trương xã hội hóa dịch vụ công, Dự thảo Nghị định xây dựng quy định cho phép Doanh nghiệp được chi trả các chi phí đi lại, ăn, ở và các chi phí hợp lý khác cho đoàn giám sát viên an toàn hàng không thực hiện nhiệm vụ đánh giá, phê chuẩn, cấp phép tại nước ngoài theo đề nghị của chính doanh nghiệp. Việc chi trả phải đảm bảo công khai, minh bạch, tuân thủ định mức chi tiêu theo quy định của pháp luật và không làm ảnh hưởng đến tính khách quan, độc lập của hoạt động phê chuẩn, giám sát an toàn.</w:t>
      </w:r>
    </w:p>
    <w:p w14:paraId="1EF37092" w14:textId="77777777" w:rsidR="00802A1F" w:rsidRPr="000C0386" w:rsidRDefault="00802A1F" w:rsidP="00802A1F">
      <w:pPr>
        <w:spacing w:before="80" w:after="80"/>
        <w:ind w:firstLine="851"/>
        <w:jc w:val="both"/>
        <w:rPr>
          <w:b/>
          <w:bCs/>
          <w:i/>
          <w:iCs/>
          <w:sz w:val="28"/>
          <w:szCs w:val="28"/>
          <w:lang w:val="vi-VN" w:eastAsia="ru-RU"/>
        </w:rPr>
      </w:pPr>
      <w:r w:rsidRPr="000C0386">
        <w:rPr>
          <w:b/>
          <w:bCs/>
          <w:i/>
          <w:iCs/>
          <w:sz w:val="28"/>
          <w:szCs w:val="28"/>
          <w:lang w:val="vi-VN" w:eastAsia="ru-RU"/>
        </w:rPr>
        <w:lastRenderedPageBreak/>
        <w:t>Thực tiễn về kiểm soát biến động trong tổ chức hàng không và yêu cầu phê chuẩn trước đối với các thay đổi trọng yếu.</w:t>
      </w:r>
    </w:p>
    <w:p w14:paraId="7C324F73" w14:textId="77777777" w:rsidR="00802A1F" w:rsidRPr="000C0386" w:rsidRDefault="00802A1F" w:rsidP="00802A1F">
      <w:pPr>
        <w:spacing w:before="80" w:after="80"/>
        <w:ind w:firstLine="851"/>
        <w:jc w:val="both"/>
        <w:rPr>
          <w:sz w:val="28"/>
          <w:szCs w:val="28"/>
          <w:lang w:val="vi-VN" w:eastAsia="ru-RU"/>
        </w:rPr>
      </w:pPr>
      <w:r w:rsidRPr="000C0386">
        <w:rPr>
          <w:sz w:val="28"/>
          <w:szCs w:val="28"/>
          <w:lang w:val="vi-VN" w:eastAsia="ru-RU"/>
        </w:rPr>
        <w:t>- Hoạt động hàng không dân dụng luôn vận động không ngừng với các thay đổi về mô hình tổ chức, nhân sự chủ chốt, mở rộng đội tàu bay hoặc thay đổi phương thức khai thác. Tuy nhiên, thực tiễn giám sát thời gian qua cho thấy một "kẽ hở" trong quy trình quản lý: Nhiều doanh nghiệp thực hiện việc tái cơ cấu, thay đổi quy trình khai thác hoặc thay đổi nhân sự chịu trách nhiệm (Post Holders) trước, sau đó mới báo cáo Cục Hàng không Việt Nam. Việc doanh nghiệp tự ý áp dụng thay đổi rồi mới báo cáo tạo ra một "khoảng trống an toàn". Trong khoảng thời gian từ lúc thay đổi diễn ra đến lúc cơ quan quản lý nhà nước thực hiện đánh giá:</w:t>
      </w:r>
    </w:p>
    <w:p w14:paraId="311EFABF" w14:textId="77777777" w:rsidR="00802A1F" w:rsidRPr="000C0386" w:rsidRDefault="00802A1F" w:rsidP="00802A1F">
      <w:pPr>
        <w:spacing w:before="80" w:after="80"/>
        <w:ind w:firstLine="851"/>
        <w:jc w:val="both"/>
        <w:rPr>
          <w:sz w:val="28"/>
          <w:szCs w:val="28"/>
          <w:lang w:val="vi-VN" w:eastAsia="ru-RU"/>
        </w:rPr>
      </w:pPr>
      <w:r w:rsidRPr="000C0386">
        <w:rPr>
          <w:sz w:val="28"/>
          <w:szCs w:val="28"/>
          <w:lang w:val="vi-VN" w:eastAsia="ru-RU"/>
        </w:rPr>
        <w:t>+ Hệ thống tài liệu, quy trình mới chưa được thẩm định tính phù hợp với luật.</w:t>
      </w:r>
    </w:p>
    <w:p w14:paraId="0C86308E" w14:textId="77777777" w:rsidR="00802A1F" w:rsidRPr="000C0386" w:rsidRDefault="00802A1F" w:rsidP="00802A1F">
      <w:pPr>
        <w:spacing w:before="80" w:after="80"/>
        <w:ind w:firstLine="851"/>
        <w:jc w:val="both"/>
        <w:rPr>
          <w:sz w:val="28"/>
          <w:szCs w:val="28"/>
          <w:lang w:val="vi-VN" w:eastAsia="ru-RU"/>
        </w:rPr>
      </w:pPr>
      <w:r w:rsidRPr="000C0386">
        <w:rPr>
          <w:sz w:val="28"/>
          <w:szCs w:val="28"/>
          <w:lang w:val="vi-VN" w:eastAsia="ru-RU"/>
        </w:rPr>
        <w:t>+ Nhân sự mới có thể chưa đủ năng lực hoặc chưa được huấn luyện chuyển loại đầy đủ.</w:t>
      </w:r>
    </w:p>
    <w:p w14:paraId="13016FC9" w14:textId="77777777" w:rsidR="00802A1F" w:rsidRPr="000C0386" w:rsidRDefault="00802A1F" w:rsidP="00802A1F">
      <w:pPr>
        <w:spacing w:before="80" w:after="80"/>
        <w:ind w:firstLine="851"/>
        <w:jc w:val="both"/>
        <w:rPr>
          <w:sz w:val="28"/>
          <w:szCs w:val="28"/>
          <w:lang w:val="vi-VN" w:eastAsia="ru-RU"/>
        </w:rPr>
      </w:pPr>
      <w:r w:rsidRPr="000C0386">
        <w:rPr>
          <w:sz w:val="28"/>
          <w:szCs w:val="28"/>
          <w:lang w:val="vi-VN" w:eastAsia="ru-RU"/>
        </w:rPr>
        <w:t>+ Các rủi ro tiềm ẩn phát sinh từ sự thay đổi chưa được nhận diện và kiểm soát (theo nguyên tắc SMS). Thực tế thế giới đã chứng minh, nhiều tai nạn/sự cố hàng không xảy ra chính trong giai đoạn tổ chức đang có sự biến động lớn mà thiếu sự giám sát chặt chẽ.</w:t>
      </w:r>
    </w:p>
    <w:p w14:paraId="392A2E56" w14:textId="77777777" w:rsidR="00802A1F" w:rsidRPr="000C0386" w:rsidRDefault="00802A1F" w:rsidP="00802A1F">
      <w:pPr>
        <w:spacing w:before="80" w:after="80"/>
        <w:ind w:firstLine="851"/>
        <w:jc w:val="both"/>
        <w:rPr>
          <w:sz w:val="28"/>
          <w:szCs w:val="28"/>
          <w:lang w:val="vi-VN" w:eastAsia="ru-RU"/>
        </w:rPr>
      </w:pPr>
      <w:r w:rsidRPr="000C0386">
        <w:rPr>
          <w:sz w:val="28"/>
          <w:szCs w:val="28"/>
          <w:lang w:val="vi-VN" w:eastAsia="ru-RU"/>
        </w:rPr>
        <w:t>- Theo Phụ ước 19 của ICAO về Quản lý an toàn, quản lý sự thay đổi (Management of Change) là một trụ cột cốt lõi. ICAO yêu cầu mọi sự thay đổi ảnh hưởng đến mức độ an toàn hoặc điều kiện cấp Giấy chứng nhận người khai thác tàu bay (AOC), Giấy chứng nhận tổ chức bảo dưỡng (AMO)... đều phải được đánh giá rủi ro và được Nhà chức trách phê chuẩn hoặc chấp thuận.</w:t>
      </w:r>
    </w:p>
    <w:p w14:paraId="22407B8D" w14:textId="77777777" w:rsidR="00802A1F" w:rsidRPr="000C0386" w:rsidRDefault="00802A1F" w:rsidP="00802A1F">
      <w:pPr>
        <w:spacing w:before="80" w:after="80"/>
        <w:ind w:firstLine="851"/>
        <w:jc w:val="both"/>
        <w:rPr>
          <w:sz w:val="28"/>
          <w:szCs w:val="28"/>
          <w:lang w:val="vi-VN" w:eastAsia="ru-RU"/>
        </w:rPr>
      </w:pPr>
      <w:r w:rsidRPr="000C0386">
        <w:rPr>
          <w:sz w:val="28"/>
          <w:szCs w:val="28"/>
          <w:lang w:val="vi-VN" w:eastAsia="ru-RU"/>
        </w:rPr>
        <w:t>- Để chuyển từ trạng thái quản lý "bị động" sang "chủ động", Dự thảo Nghị định quy định rõ nguyên tắc: Mọi kế hoạch thay đổi làm ảnh hưởng đến điều kiện cấp phép, phê chuẩn bắt buộc phải được Nhà chức trách hàng không Việt Nam đánh giá, phê chuẩn trước khi triển khai thực hiện. Quy định này đảm bảo rằng mọi hoạt động hàng không diễn ra tại Việt Nam luôn nằm trong tầm kiểm soát của cơ quan quản lý nhà nước, đảm bảo duy trì liên tục các điều kiện an toàn đã được chứng nhận.</w:t>
      </w:r>
    </w:p>
    <w:p w14:paraId="1ED08FB0" w14:textId="77777777" w:rsidR="00802A1F" w:rsidRPr="000C0386" w:rsidRDefault="00802A1F" w:rsidP="00802A1F">
      <w:pPr>
        <w:spacing w:before="120" w:after="120"/>
        <w:ind w:firstLine="851"/>
        <w:jc w:val="both"/>
        <w:rPr>
          <w:rFonts w:ascii="Times New Roman Bold" w:hAnsi="Times New Roman Bold"/>
          <w:b/>
          <w:spacing w:val="-4"/>
          <w:sz w:val="28"/>
          <w:szCs w:val="28"/>
          <w:lang w:val="nl-NL"/>
        </w:rPr>
      </w:pPr>
      <w:r w:rsidRPr="000C0386">
        <w:rPr>
          <w:rFonts w:ascii="Times New Roman Bold" w:hAnsi="Times New Roman Bold"/>
          <w:b/>
          <w:spacing w:val="-4"/>
          <w:sz w:val="28"/>
          <w:szCs w:val="28"/>
          <w:lang w:val="nl-NL"/>
        </w:rPr>
        <w:t>II. MỤC ĐÍCH</w:t>
      </w:r>
      <w:r w:rsidRPr="000C0386">
        <w:rPr>
          <w:rFonts w:ascii="Times New Roman Bold" w:hAnsi="Times New Roman Bold"/>
          <w:b/>
          <w:spacing w:val="-4"/>
          <w:sz w:val="28"/>
          <w:szCs w:val="28"/>
          <w:lang w:val="vi-VN"/>
        </w:rPr>
        <w:t xml:space="preserve"> BAN HÀNH</w:t>
      </w:r>
      <w:r w:rsidRPr="000C0386">
        <w:rPr>
          <w:rFonts w:ascii="Times New Roman Bold" w:hAnsi="Times New Roman Bold"/>
          <w:b/>
          <w:spacing w:val="-4"/>
          <w:sz w:val="28"/>
          <w:szCs w:val="28"/>
          <w:lang w:val="nl-NL"/>
        </w:rPr>
        <w:t>, QUAN ĐIỂM XÂY DỰNG NGHỊ ĐỊNH</w:t>
      </w:r>
    </w:p>
    <w:p w14:paraId="42252702" w14:textId="77777777" w:rsidR="00802A1F" w:rsidRPr="000C0386" w:rsidRDefault="00802A1F" w:rsidP="00802A1F">
      <w:pPr>
        <w:spacing w:before="120" w:after="120"/>
        <w:ind w:firstLine="851"/>
        <w:jc w:val="both"/>
        <w:rPr>
          <w:b/>
          <w:sz w:val="28"/>
          <w:szCs w:val="28"/>
          <w:lang w:val="vi-VN"/>
        </w:rPr>
      </w:pPr>
      <w:r w:rsidRPr="000C0386">
        <w:rPr>
          <w:b/>
          <w:sz w:val="28"/>
          <w:szCs w:val="28"/>
          <w:lang w:val="nl-NL"/>
        </w:rPr>
        <w:t>1. Mục đích</w:t>
      </w:r>
      <w:r w:rsidRPr="000C0386">
        <w:rPr>
          <w:b/>
          <w:sz w:val="28"/>
          <w:szCs w:val="28"/>
          <w:lang w:val="vi-VN"/>
        </w:rPr>
        <w:t xml:space="preserve"> ban hành Nghị định</w:t>
      </w:r>
    </w:p>
    <w:p w14:paraId="265649ED" w14:textId="77777777" w:rsidR="00802A1F" w:rsidRPr="000C0386" w:rsidRDefault="00802A1F" w:rsidP="00802A1F">
      <w:pPr>
        <w:spacing w:before="80" w:after="80"/>
        <w:ind w:firstLine="851"/>
        <w:jc w:val="both"/>
        <w:rPr>
          <w:sz w:val="28"/>
          <w:szCs w:val="28"/>
          <w:lang w:val="vi-VN"/>
        </w:rPr>
      </w:pPr>
      <w:r w:rsidRPr="000C0386">
        <w:rPr>
          <w:sz w:val="28"/>
          <w:szCs w:val="28"/>
          <w:lang w:val="vi-VN"/>
        </w:rPr>
        <w:t>Việc ban hành Nghị định quy định về tàu bay và khai thác tàu bay nhằm đạt được các mục đích cơ bản sau đây:</w:t>
      </w:r>
    </w:p>
    <w:p w14:paraId="575EC68A" w14:textId="77777777" w:rsidR="00802A1F" w:rsidRPr="000C0386" w:rsidRDefault="00802A1F" w:rsidP="00802A1F">
      <w:pPr>
        <w:spacing w:before="80" w:after="80"/>
        <w:ind w:firstLine="851"/>
        <w:jc w:val="both"/>
        <w:rPr>
          <w:sz w:val="28"/>
          <w:szCs w:val="28"/>
          <w:lang w:val="vi-VN"/>
        </w:rPr>
      </w:pPr>
      <w:r w:rsidRPr="000C0386">
        <w:rPr>
          <w:sz w:val="28"/>
          <w:szCs w:val="28"/>
          <w:lang w:val="vi-VN"/>
        </w:rPr>
        <w:t>- Cụ thể hóa và đảm bảo tính thống nhất của hệ thống pháp luật: quy định chi tiết các điều, khoản được giao trong Luật Hàng không dân dụng Việt Nam năm 2025, tạo cơ sở pháp lý đầy đủ, đồng bộ và thống nhất để triển khai thi hành Luật trên thực tế. Khắc phục tình trạng một số nội dung quản lý an toàn trọng yếu hiện nay mới chỉ được quy định ở cấp Thông tư, đảm bảo tuân thủ đúng Luật Ban hành văn bản quy phạm pháp luật.</w:t>
      </w:r>
    </w:p>
    <w:p w14:paraId="69F373DF" w14:textId="77777777" w:rsidR="00802A1F" w:rsidRPr="000C0386" w:rsidRDefault="00802A1F" w:rsidP="00802A1F">
      <w:pPr>
        <w:spacing w:before="80" w:after="80"/>
        <w:ind w:firstLine="851"/>
        <w:jc w:val="both"/>
        <w:rPr>
          <w:sz w:val="28"/>
          <w:szCs w:val="28"/>
          <w:lang w:val="vi-VN"/>
        </w:rPr>
      </w:pPr>
      <w:r w:rsidRPr="000C0386">
        <w:rPr>
          <w:sz w:val="28"/>
          <w:szCs w:val="28"/>
          <w:lang w:val="vi-VN"/>
        </w:rPr>
        <w:lastRenderedPageBreak/>
        <w:t>- Luật hóa các cam kết quốc tế và duy trì năng lực hội nhập: cập nhật, bổ sung các quy định mới nhằm tương thích hoàn toàn với các Tiêu chuẩn và khuyến cáo thực hành (SARPs) của Tổ chức Hàng không dân dụng quốc tế (ICAO) và các điều ước quốc tế mà Việt Nam là thành viên (đặc biệt là Công ước Cape Town). Điều này nhằm đảm bảo duy trì chỉ số an toàn hàng không quốc gia, giữ vững năng định giám sát an toàn mức 1 (CAT 1) của FAA và nâng cao tín nhiệm quốc gia trong các giao dịch tài chính, thuê mua tàu bay quốc tế.</w:t>
      </w:r>
    </w:p>
    <w:p w14:paraId="3BB126C0" w14:textId="77777777" w:rsidR="00802A1F" w:rsidRPr="000C0386" w:rsidRDefault="00802A1F" w:rsidP="00802A1F">
      <w:pPr>
        <w:tabs>
          <w:tab w:val="num" w:pos="720"/>
        </w:tabs>
        <w:spacing w:before="80" w:after="80"/>
        <w:ind w:firstLine="851"/>
        <w:jc w:val="both"/>
        <w:rPr>
          <w:sz w:val="28"/>
          <w:szCs w:val="28"/>
          <w:lang w:val="vi-VN"/>
        </w:rPr>
      </w:pPr>
      <w:r w:rsidRPr="000C0386">
        <w:rPr>
          <w:sz w:val="28"/>
          <w:szCs w:val="28"/>
          <w:lang w:val="vi-VN"/>
        </w:rPr>
        <w:t>- Tháo gỡ điểm nghẽn, kiến tạo môi trường kinh doanh thông thoáng: giải quyết triệt để các vướng mắc thực tiễn phát sinh trong hoạt động đầu tư, khai thác của doanh nghiệp thời gian qua. Cụ thể:</w:t>
      </w:r>
    </w:p>
    <w:p w14:paraId="16286D71" w14:textId="77777777" w:rsidR="00802A1F" w:rsidRPr="000C0386" w:rsidRDefault="00802A1F" w:rsidP="00802A1F">
      <w:pPr>
        <w:tabs>
          <w:tab w:val="num" w:pos="720"/>
        </w:tabs>
        <w:spacing w:before="80" w:after="80"/>
        <w:ind w:firstLine="851"/>
        <w:jc w:val="both"/>
        <w:rPr>
          <w:sz w:val="28"/>
          <w:szCs w:val="28"/>
          <w:lang w:val="vi-VN"/>
        </w:rPr>
      </w:pPr>
      <w:r w:rsidRPr="000C0386">
        <w:rPr>
          <w:sz w:val="28"/>
          <w:szCs w:val="28"/>
          <w:lang w:val="vi-VN"/>
        </w:rPr>
        <w:t>+ Xây dựng cơ chế tài chính linh hoạt cho công tác đánh giá, cấp phép tại nước ngoài theo hướng xã hội hóa, giảm gánh nặng ngân sách nhà nước.</w:t>
      </w:r>
    </w:p>
    <w:p w14:paraId="27FB4BCA" w14:textId="77777777" w:rsidR="00802A1F" w:rsidRPr="000C0386" w:rsidRDefault="00802A1F" w:rsidP="00802A1F">
      <w:pPr>
        <w:tabs>
          <w:tab w:val="num" w:pos="720"/>
        </w:tabs>
        <w:spacing w:before="80" w:after="80"/>
        <w:ind w:firstLine="851"/>
        <w:jc w:val="both"/>
        <w:rPr>
          <w:sz w:val="28"/>
          <w:szCs w:val="28"/>
          <w:lang w:val="vi-VN"/>
        </w:rPr>
      </w:pPr>
      <w:r w:rsidRPr="000C0386">
        <w:rPr>
          <w:sz w:val="28"/>
          <w:szCs w:val="28"/>
          <w:lang w:val="vi-VN"/>
        </w:rPr>
        <w:t>+ Đơn giản hóa thủ tục hành chính, cắt giảm điều kiện kinh doanh không cần thiết (như không yêu cầu Giấy chứng nhận loại cho tàu bay phụ vụ mục đích bay trải nghiệm cá nhân được thiết kế, sản xuất trong nước) để khuyến khích phát triển công nghiệp hàng không và hàng không chung.</w:t>
      </w:r>
    </w:p>
    <w:p w14:paraId="6E973FA6" w14:textId="77777777" w:rsidR="00802A1F" w:rsidRPr="000C0386" w:rsidRDefault="00802A1F" w:rsidP="00802A1F">
      <w:pPr>
        <w:tabs>
          <w:tab w:val="num" w:pos="720"/>
        </w:tabs>
        <w:spacing w:before="80" w:after="80"/>
        <w:ind w:firstLine="851"/>
        <w:jc w:val="both"/>
        <w:rPr>
          <w:sz w:val="28"/>
          <w:szCs w:val="28"/>
          <w:lang w:val="vi-VN"/>
        </w:rPr>
      </w:pPr>
      <w:r w:rsidRPr="000C0386">
        <w:rPr>
          <w:sz w:val="28"/>
          <w:szCs w:val="28"/>
          <w:lang w:val="vi-VN"/>
        </w:rPr>
        <w:t>+ Công nhận tính pháp lý của dữ liệu và hồ sơ điện tử (Techlog điện tử, EFB), thúc đẩy chuyển đổi số toàn diện trong quản lý, khai thác.</w:t>
      </w:r>
    </w:p>
    <w:p w14:paraId="3B71B725" w14:textId="77777777" w:rsidR="00802A1F" w:rsidRPr="000C0386" w:rsidRDefault="00802A1F" w:rsidP="00802A1F">
      <w:pPr>
        <w:spacing w:before="80" w:after="80"/>
        <w:ind w:firstLine="851"/>
        <w:jc w:val="both"/>
        <w:rPr>
          <w:sz w:val="28"/>
          <w:szCs w:val="28"/>
          <w:lang w:val="vi-VN"/>
        </w:rPr>
      </w:pPr>
      <w:r w:rsidRPr="000C0386">
        <w:rPr>
          <w:sz w:val="28"/>
          <w:szCs w:val="28"/>
          <w:lang w:val="vi-VN"/>
        </w:rPr>
        <w:t>- Chuyển đổi phương thức quản lý nhà nước về an toàn: Chuyển mạnh từ phương thức quản lý "kiểm tra tuân thủ" truyền thống sang quản lý "dựa trên đánh giá rủi ro" (Risk-based surveillance) và "quản lý sự thay đổi". Thiết lập hành lang pháp lý để kiểm soát chặt chẽ các loại hình phương tiện bay mới, các mô hình khai thác phức tạp, đảm bảo an toàn tuyệt đối cho hoạt động bay trong bối cảnh tăng trưởng nóng của thị trường hàng không.</w:t>
      </w:r>
    </w:p>
    <w:p w14:paraId="148BD964" w14:textId="77777777" w:rsidR="00802A1F" w:rsidRPr="000C0386" w:rsidRDefault="00802A1F" w:rsidP="00802A1F">
      <w:pPr>
        <w:spacing w:before="120" w:after="120"/>
        <w:ind w:firstLine="851"/>
        <w:jc w:val="both"/>
        <w:rPr>
          <w:b/>
          <w:sz w:val="28"/>
          <w:szCs w:val="28"/>
          <w:lang w:val="nl-NL"/>
        </w:rPr>
      </w:pPr>
      <w:r w:rsidRPr="000C0386">
        <w:rPr>
          <w:b/>
          <w:sz w:val="28"/>
          <w:szCs w:val="28"/>
          <w:lang w:val="nl-NL"/>
        </w:rPr>
        <w:t>2. Quan điểm xây dựng dự thảo Nghị định</w:t>
      </w:r>
    </w:p>
    <w:p w14:paraId="541F87BA" w14:textId="77777777" w:rsidR="00802A1F" w:rsidRPr="000C0386" w:rsidRDefault="00802A1F" w:rsidP="00802A1F">
      <w:pPr>
        <w:spacing w:before="80" w:after="80"/>
        <w:ind w:firstLine="851"/>
        <w:jc w:val="both"/>
        <w:rPr>
          <w:sz w:val="28"/>
          <w:szCs w:val="28"/>
          <w:lang w:val="vi-VN"/>
        </w:rPr>
      </w:pPr>
      <w:r w:rsidRPr="000C0386">
        <w:rPr>
          <w:sz w:val="28"/>
          <w:szCs w:val="28"/>
          <w:lang w:val="nl-NL"/>
        </w:rPr>
        <w:t>- Thể</w:t>
      </w:r>
      <w:r w:rsidRPr="000C0386">
        <w:rPr>
          <w:sz w:val="28"/>
          <w:szCs w:val="28"/>
          <w:lang w:val="vi-VN"/>
        </w:rPr>
        <w:t xml:space="preserve"> chế hoá đầy đủ, chi tiết quan điểm, chủ trương, đường lối của Đảng và pháp luật về tàu bay và khai thác tàu bay.</w:t>
      </w:r>
    </w:p>
    <w:p w14:paraId="58A6BF76" w14:textId="77777777" w:rsidR="00802A1F" w:rsidRPr="000C0386" w:rsidRDefault="00802A1F" w:rsidP="00802A1F">
      <w:pPr>
        <w:spacing w:before="80" w:after="80"/>
        <w:ind w:firstLine="851"/>
        <w:jc w:val="both"/>
        <w:rPr>
          <w:sz w:val="28"/>
          <w:szCs w:val="28"/>
          <w:lang w:val="vi-VN"/>
        </w:rPr>
      </w:pPr>
      <w:r w:rsidRPr="000C0386">
        <w:rPr>
          <w:sz w:val="28"/>
          <w:szCs w:val="28"/>
          <w:lang w:val="vi-VN"/>
        </w:rPr>
        <w:t>- Bảo đảm tính hợp hiến, hợp pháp, tính đồng bộ, thống nhất và tính khả thi của hệ thống pháp luật; tập trung tháo gỡ các “điểm nghẽn” thể chế và triển khai, đáp ứng yêu cầu hội nhập quốc tế và phục vụ sự nghiệp phát triển đất nước trong kỷ nguyên mới, kỷ nguyên thịnh vượng và hùng cường của dân tộc.</w:t>
      </w:r>
    </w:p>
    <w:p w14:paraId="100C0A5B" w14:textId="77777777" w:rsidR="00802A1F" w:rsidRPr="000C0386" w:rsidRDefault="00802A1F" w:rsidP="00802A1F">
      <w:pPr>
        <w:spacing w:before="80" w:after="80"/>
        <w:ind w:firstLine="851"/>
        <w:jc w:val="both"/>
        <w:rPr>
          <w:sz w:val="28"/>
          <w:szCs w:val="28"/>
          <w:lang w:val="vi-VN"/>
        </w:rPr>
      </w:pPr>
      <w:r w:rsidRPr="000C0386">
        <w:rPr>
          <w:sz w:val="28"/>
          <w:szCs w:val="28"/>
          <w:lang w:val="vi-VN"/>
        </w:rPr>
        <w:t xml:space="preserve">- </w:t>
      </w:r>
      <w:r w:rsidRPr="000C0386">
        <w:rPr>
          <w:sz w:val="28"/>
          <w:szCs w:val="28"/>
          <w:lang w:val="nl-NL"/>
        </w:rPr>
        <w:t>Phù hợp với các điều ước quốc tế mà Việt Nam là thành viên, trong đó có</w:t>
      </w:r>
      <w:r w:rsidRPr="000C0386">
        <w:rPr>
          <w:sz w:val="28"/>
          <w:szCs w:val="28"/>
          <w:lang w:val="vi-VN"/>
        </w:rPr>
        <w:t xml:space="preserve"> Công ước quốc tế về hàng không dân dụng năm 1944,</w:t>
      </w:r>
      <w:r w:rsidRPr="000C0386">
        <w:rPr>
          <w:sz w:val="28"/>
          <w:szCs w:val="28"/>
          <w:lang w:val="nl-NL"/>
        </w:rPr>
        <w:t xml:space="preserve"> Công ước và Nghị định thư Cape Town</w:t>
      </w:r>
      <w:r w:rsidRPr="000C0386">
        <w:rPr>
          <w:sz w:val="28"/>
          <w:szCs w:val="28"/>
          <w:lang w:val="vi-VN"/>
        </w:rPr>
        <w:t>,</w:t>
      </w:r>
      <w:r w:rsidRPr="000C0386">
        <w:rPr>
          <w:sz w:val="28"/>
          <w:szCs w:val="28"/>
          <w:lang w:val="nl-NL" w:eastAsia="ru-RU"/>
        </w:rPr>
        <w:t xml:space="preserve"> </w:t>
      </w:r>
      <w:r w:rsidRPr="000C0386">
        <w:rPr>
          <w:sz w:val="28"/>
          <w:szCs w:val="28"/>
          <w:lang w:val="vi-VN" w:eastAsia="ru-RU"/>
        </w:rPr>
        <w:t>và tài liệu hướng dẫn của Tổ chức hàng không dân dụng Quốc tế (ICAO)</w:t>
      </w:r>
      <w:r w:rsidRPr="000C0386">
        <w:rPr>
          <w:sz w:val="28"/>
          <w:szCs w:val="28"/>
          <w:lang w:val="nl-NL" w:eastAsia="ru-RU"/>
        </w:rPr>
        <w:t xml:space="preserve"> </w:t>
      </w:r>
      <w:r w:rsidRPr="000C0386">
        <w:rPr>
          <w:sz w:val="28"/>
          <w:szCs w:val="28"/>
          <w:lang w:val="nl-NL"/>
        </w:rPr>
        <w:t>và các văn bản quy phạm pháp luật hiện hành.</w:t>
      </w:r>
    </w:p>
    <w:p w14:paraId="38F5FB88" w14:textId="77777777" w:rsidR="00802A1F" w:rsidRPr="000C0386" w:rsidRDefault="00802A1F" w:rsidP="00802A1F">
      <w:pPr>
        <w:spacing w:before="80" w:after="80"/>
        <w:ind w:firstLine="851"/>
        <w:jc w:val="both"/>
        <w:rPr>
          <w:sz w:val="28"/>
          <w:szCs w:val="28"/>
          <w:lang w:val="vi-VN"/>
        </w:rPr>
      </w:pPr>
      <w:r w:rsidRPr="000C0386">
        <w:rPr>
          <w:sz w:val="28"/>
          <w:szCs w:val="28"/>
          <w:lang w:val="vi-VN"/>
        </w:rPr>
        <w:t>- Kế thừa các quy định hiện hành đang áp dụng phù hợp, ổn định, bảo đảm sự đồng bộ với các quy định có liên quan.</w:t>
      </w:r>
    </w:p>
    <w:p w14:paraId="4FBF6C45" w14:textId="77777777" w:rsidR="00802A1F" w:rsidRPr="000C0386" w:rsidRDefault="00802A1F" w:rsidP="00802A1F">
      <w:pPr>
        <w:spacing w:before="120" w:after="120"/>
        <w:ind w:firstLine="851"/>
        <w:jc w:val="both"/>
        <w:rPr>
          <w:sz w:val="28"/>
          <w:szCs w:val="28"/>
          <w:lang w:val="nl-NL"/>
        </w:rPr>
      </w:pPr>
      <w:r w:rsidRPr="000C0386">
        <w:rPr>
          <w:sz w:val="28"/>
          <w:szCs w:val="28"/>
          <w:lang w:val="nl-NL"/>
        </w:rPr>
        <w:t>- Lấy doanh nghiệp, người dân làm trung tâm, động lực phát triển kinh tế - xã hội của đất nước; thúc đẩy, tạo mọi điều kiện thuận lợi cho doanh nghiệp, giảm thủ tục hành chính, thời gian và chi phí cho doanh nghiệp, người dân trong việc tuân thủ các quy định liên quan đến hoạt động kinh doanh.</w:t>
      </w:r>
    </w:p>
    <w:p w14:paraId="7DA96110" w14:textId="77777777" w:rsidR="00802A1F" w:rsidRPr="000C0386" w:rsidRDefault="00802A1F" w:rsidP="00802A1F">
      <w:pPr>
        <w:spacing w:before="120" w:after="120"/>
        <w:ind w:firstLine="851"/>
        <w:jc w:val="both"/>
        <w:rPr>
          <w:b/>
          <w:bCs/>
          <w:sz w:val="28"/>
          <w:szCs w:val="28"/>
          <w:lang w:val="vi-VN"/>
        </w:rPr>
      </w:pPr>
      <w:r w:rsidRPr="000C0386">
        <w:rPr>
          <w:b/>
          <w:bCs/>
          <w:sz w:val="28"/>
          <w:szCs w:val="28"/>
          <w:lang w:val="vi-VN"/>
        </w:rPr>
        <w:lastRenderedPageBreak/>
        <w:t>III. QUÁ TRÌNH XÂY DỰNG DỰ THẢO NGHỊ ĐỊNH</w:t>
      </w:r>
    </w:p>
    <w:p w14:paraId="65FDA662" w14:textId="77777777" w:rsidR="00802A1F" w:rsidRPr="000C0386" w:rsidRDefault="00802A1F" w:rsidP="00802A1F">
      <w:pPr>
        <w:spacing w:before="120" w:after="120"/>
        <w:ind w:firstLine="851"/>
        <w:jc w:val="both"/>
        <w:rPr>
          <w:bCs/>
          <w:sz w:val="28"/>
          <w:szCs w:val="28"/>
          <w:lang w:val="vi-VN"/>
        </w:rPr>
      </w:pPr>
      <w:r w:rsidRPr="000C0386">
        <w:rPr>
          <w:bCs/>
          <w:sz w:val="28"/>
          <w:szCs w:val="28"/>
          <w:lang w:val="vi-VN"/>
        </w:rPr>
        <w:t>Thực hiện nhiệm vụ nêu tại Luật Hàng không dân dụng Việt Nam năm 2025 đã được Quốc hội khoá XV kỳ họp thứ 10 thông qua, Thủ tướng Chính phủ đã ban hành Quyết định số 133/QĐ-TTg ngày 19/01/2026 về Kế hoạch triển khai thi hành Luật Hàng không dân dụng Việt Nam</w:t>
      </w:r>
      <w:r w:rsidRPr="000C0386">
        <w:rPr>
          <w:spacing w:val="-4"/>
          <w:sz w:val="28"/>
          <w:szCs w:val="28"/>
          <w:lang w:val="nl-NL"/>
        </w:rPr>
        <w:t xml:space="preserve"> trong đó giao Bộ Xây dựng chủ trì, phối hợp với các cơ quan xây dựng, trình Chính phủ Nghị định về tàu bay và khai thác tàu bay</w:t>
      </w:r>
      <w:r w:rsidRPr="000C0386">
        <w:rPr>
          <w:spacing w:val="-4"/>
          <w:sz w:val="28"/>
          <w:szCs w:val="28"/>
          <w:lang w:val="vi-VN"/>
        </w:rPr>
        <w:t>. Bộ Xây dựng đã phối hợp với các Bộ, ngành có liên quan để thực hiện việc xây dựng dự thảo Nghị định theo hướng dẫn của Luật Ban hành văn bản quy phạm pháp luật năm 2025. Các công việc chủ yếu đã thực hiện như sau:</w:t>
      </w:r>
    </w:p>
    <w:p w14:paraId="4EE4FC4E" w14:textId="77777777" w:rsidR="00802A1F" w:rsidRPr="000C0386" w:rsidRDefault="00802A1F" w:rsidP="00802A1F">
      <w:pPr>
        <w:spacing w:before="120" w:after="120"/>
        <w:ind w:firstLine="851"/>
        <w:jc w:val="both"/>
        <w:rPr>
          <w:spacing w:val="-4"/>
          <w:sz w:val="28"/>
          <w:szCs w:val="28"/>
          <w:lang w:val="nl-NL"/>
        </w:rPr>
      </w:pPr>
      <w:r w:rsidRPr="000C0386">
        <w:rPr>
          <w:bCs/>
          <w:sz w:val="28"/>
          <w:szCs w:val="28"/>
          <w:lang w:val="vi-VN"/>
        </w:rPr>
        <w:t>1. Bộ Xây dựng đã có Công văn số .... ngày ... gửi các cơ quan liên quan cử đại diện tham gia Ban soạn thảo, Tổ biên tập xây dựng dự thảo Nghị định</w:t>
      </w:r>
      <w:r w:rsidRPr="000C0386">
        <w:rPr>
          <w:spacing w:val="-4"/>
          <w:sz w:val="28"/>
          <w:szCs w:val="28"/>
          <w:lang w:val="nl-NL"/>
        </w:rPr>
        <w:t>;</w:t>
      </w:r>
    </w:p>
    <w:p w14:paraId="41B01C18" w14:textId="6F7314B5" w:rsidR="00802A1F" w:rsidRPr="000C0386" w:rsidRDefault="00802A1F" w:rsidP="00802A1F">
      <w:pPr>
        <w:spacing w:before="120" w:after="120"/>
        <w:ind w:firstLine="851"/>
        <w:jc w:val="both"/>
        <w:rPr>
          <w:spacing w:val="-4"/>
          <w:sz w:val="28"/>
          <w:szCs w:val="28"/>
          <w:lang w:val="nl-NL"/>
        </w:rPr>
      </w:pPr>
      <w:r w:rsidRPr="000C0386">
        <w:rPr>
          <w:spacing w:val="-4"/>
          <w:sz w:val="28"/>
          <w:szCs w:val="28"/>
          <w:lang w:val="nl-NL"/>
        </w:rPr>
        <w:t xml:space="preserve">2. Ban hành Quyết định số </w:t>
      </w:r>
      <w:r w:rsidRPr="000C0386">
        <w:rPr>
          <w:spacing w:val="-4"/>
          <w:sz w:val="28"/>
          <w:szCs w:val="28"/>
          <w:lang w:val="vi-VN"/>
        </w:rPr>
        <w:t>...</w:t>
      </w:r>
      <w:r w:rsidRPr="000C0386">
        <w:rPr>
          <w:spacing w:val="-4"/>
          <w:sz w:val="28"/>
          <w:szCs w:val="28"/>
          <w:lang w:val="nl-NL"/>
        </w:rPr>
        <w:t xml:space="preserve">/QĐ-BXD ngày </w:t>
      </w:r>
      <w:r w:rsidRPr="000C0386">
        <w:rPr>
          <w:spacing w:val="-4"/>
          <w:sz w:val="28"/>
          <w:szCs w:val="28"/>
          <w:lang w:val="vi-VN"/>
        </w:rPr>
        <w:t xml:space="preserve">  </w:t>
      </w:r>
      <w:r w:rsidRPr="000C0386">
        <w:rPr>
          <w:spacing w:val="-4"/>
          <w:sz w:val="28"/>
          <w:szCs w:val="28"/>
          <w:lang w:val="nl-NL"/>
        </w:rPr>
        <w:t>/</w:t>
      </w:r>
      <w:r w:rsidRPr="000C0386">
        <w:rPr>
          <w:spacing w:val="-4"/>
          <w:sz w:val="28"/>
          <w:szCs w:val="28"/>
          <w:lang w:val="vi-VN"/>
        </w:rPr>
        <w:t>...</w:t>
      </w:r>
      <w:r w:rsidRPr="000C0386">
        <w:rPr>
          <w:spacing w:val="-4"/>
          <w:sz w:val="28"/>
          <w:szCs w:val="28"/>
          <w:lang w:val="nl-NL"/>
        </w:rPr>
        <w:t>/202</w:t>
      </w:r>
      <w:r w:rsidRPr="000C0386">
        <w:rPr>
          <w:spacing w:val="-4"/>
          <w:sz w:val="28"/>
          <w:szCs w:val="28"/>
          <w:lang w:val="vi-VN"/>
        </w:rPr>
        <w:t>6</w:t>
      </w:r>
      <w:r w:rsidRPr="000C0386">
        <w:rPr>
          <w:spacing w:val="-4"/>
          <w:sz w:val="28"/>
          <w:szCs w:val="28"/>
          <w:lang w:val="nl-NL"/>
        </w:rPr>
        <w:t xml:space="preserve"> của Bộ trưởng Bộ Xây dựng thành lập Ban soạn thảo, Tổ biên tập xây dựng dự thảo Nghị định;</w:t>
      </w:r>
      <w:r w:rsidRPr="000C0386">
        <w:rPr>
          <w:lang w:val="nl-NL"/>
        </w:rPr>
        <w:t xml:space="preserve"> B</w:t>
      </w:r>
      <w:r w:rsidRPr="000C0386">
        <w:rPr>
          <w:spacing w:val="-4"/>
          <w:sz w:val="28"/>
          <w:szCs w:val="28"/>
          <w:lang w:val="nl-NL"/>
        </w:rPr>
        <w:t>an soạn thảo do một Thứ trưởng Bộ Xây dựng làm Trưởng ban. Thành viên Ban soạn thảo và Tổ biên tập gồm đại diện Văn phòng Chính phủ, các Bộ: Tư pháp, Công an, Tài chính, Nội vụ, Ngoại giao, Tòa án nhân dân tối cao, Viện kiểm sát nhân dân tố</w:t>
      </w:r>
      <w:r w:rsidR="00C24074">
        <w:rPr>
          <w:spacing w:val="-4"/>
          <w:sz w:val="28"/>
          <w:szCs w:val="28"/>
          <w:lang w:val="nl-NL"/>
        </w:rPr>
        <w:t>i cao</w:t>
      </w:r>
      <w:r w:rsidRPr="000C0386">
        <w:rPr>
          <w:spacing w:val="-4"/>
          <w:sz w:val="28"/>
          <w:szCs w:val="28"/>
          <w:lang w:val="nl-NL"/>
        </w:rPr>
        <w:t xml:space="preserve"> và một số đơn vị có liên quan thuộc Bộ Xây dựng.</w:t>
      </w:r>
    </w:p>
    <w:p w14:paraId="1C32A3CE" w14:textId="77777777" w:rsidR="00802A1F" w:rsidRPr="000C0386" w:rsidRDefault="00802A1F" w:rsidP="00802A1F">
      <w:pPr>
        <w:spacing w:before="120" w:after="120"/>
        <w:ind w:firstLine="851"/>
        <w:jc w:val="both"/>
        <w:rPr>
          <w:sz w:val="28"/>
          <w:szCs w:val="28"/>
          <w:lang w:val="nl-NL"/>
        </w:rPr>
      </w:pPr>
      <w:r w:rsidRPr="000C0386">
        <w:rPr>
          <w:spacing w:val="-4"/>
          <w:sz w:val="28"/>
          <w:szCs w:val="28"/>
          <w:lang w:val="nl-NL"/>
        </w:rPr>
        <w:t xml:space="preserve">3. Tiến hành rà soát các văn bản quy phạm pháp luật, </w:t>
      </w:r>
      <w:r w:rsidRPr="000C0386">
        <w:rPr>
          <w:sz w:val="28"/>
          <w:szCs w:val="28"/>
          <w:lang w:val="nl-NL"/>
        </w:rPr>
        <w:t>nghiên cứu các quy</w:t>
      </w:r>
      <w:r w:rsidRPr="000C0386">
        <w:rPr>
          <w:sz w:val="28"/>
          <w:szCs w:val="28"/>
          <w:lang w:val="vi-VN"/>
        </w:rPr>
        <w:t xml:space="preserve"> định tại các Điều ước quốc tế mà Việt Nam là thành viên (Công ước quốc tế về hàng không dân dụng, Công ước và Nghị định thư Cape Town)</w:t>
      </w:r>
      <w:r w:rsidRPr="000C0386">
        <w:rPr>
          <w:sz w:val="28"/>
          <w:szCs w:val="28"/>
          <w:lang w:val="nl-NL"/>
        </w:rPr>
        <w:t>.</w:t>
      </w:r>
    </w:p>
    <w:p w14:paraId="5DC2DC91" w14:textId="77777777" w:rsidR="00802A1F" w:rsidRPr="000C0386" w:rsidRDefault="00802A1F" w:rsidP="00802A1F">
      <w:pPr>
        <w:spacing w:before="120" w:after="120"/>
        <w:ind w:firstLine="851"/>
        <w:jc w:val="both"/>
        <w:rPr>
          <w:sz w:val="28"/>
          <w:szCs w:val="28"/>
          <w:lang w:val="nl-NL"/>
        </w:rPr>
      </w:pPr>
      <w:r w:rsidRPr="000C0386">
        <w:rPr>
          <w:sz w:val="28"/>
          <w:szCs w:val="28"/>
          <w:lang w:val="nl-NL"/>
        </w:rPr>
        <w:t>4. Xây dựng dự thảo Nghị định, các tài liệu trong hồ sơ dự thảo Nghị định và gửi xin ý kiến các đối tượng chịu sự tác động trực tiếp, gửi xin ý kiến bằng văn bản các Bộ, cơ quan ngang Bộ; UBND cấp tỉnh, các tổ chức, cá nhân có liên quan; (Công văn số</w:t>
      </w:r>
      <w:r w:rsidRPr="000C0386">
        <w:rPr>
          <w:sz w:val="28"/>
          <w:szCs w:val="28"/>
          <w:lang w:val="vi-VN"/>
        </w:rPr>
        <w:t xml:space="preserve"> .....</w:t>
      </w:r>
      <w:r w:rsidRPr="000C0386">
        <w:rPr>
          <w:sz w:val="28"/>
          <w:szCs w:val="28"/>
          <w:lang w:val="nl-NL"/>
        </w:rPr>
        <w:t xml:space="preserve">/BXD-VT&amp;ATGT ngày </w:t>
      </w:r>
      <w:r w:rsidRPr="000C0386">
        <w:rPr>
          <w:sz w:val="28"/>
          <w:szCs w:val="28"/>
          <w:lang w:val="vi-VN"/>
        </w:rPr>
        <w:t>..../.../2026</w:t>
      </w:r>
      <w:r w:rsidRPr="000C0386">
        <w:rPr>
          <w:sz w:val="28"/>
          <w:szCs w:val="28"/>
          <w:lang w:val="nl-NL"/>
        </w:rPr>
        <w:t xml:space="preserve"> của Bộ Xây dựng).</w:t>
      </w:r>
    </w:p>
    <w:p w14:paraId="17949280" w14:textId="77777777" w:rsidR="00802A1F" w:rsidRPr="000C0386" w:rsidRDefault="00802A1F" w:rsidP="00802A1F">
      <w:pPr>
        <w:spacing w:before="120" w:after="120"/>
        <w:ind w:firstLine="851"/>
        <w:jc w:val="both"/>
        <w:rPr>
          <w:sz w:val="28"/>
          <w:szCs w:val="28"/>
          <w:lang w:val="nl-NL"/>
        </w:rPr>
      </w:pPr>
      <w:r w:rsidRPr="000C0386">
        <w:rPr>
          <w:sz w:val="28"/>
          <w:szCs w:val="28"/>
          <w:lang w:val="nl-NL"/>
        </w:rPr>
        <w:t xml:space="preserve">- Thực hiện đăng tải lên Cổng Thông tin điện tử của Bộ Xây dựng để lấy ý kiến rộng rãi của tổ chức, cá nhân từ ngày </w:t>
      </w:r>
      <w:r w:rsidRPr="000C0386">
        <w:rPr>
          <w:sz w:val="28"/>
          <w:szCs w:val="28"/>
          <w:lang w:val="vi-VN"/>
        </w:rPr>
        <w:t>.../.../2026</w:t>
      </w:r>
      <w:r w:rsidRPr="000C0386">
        <w:rPr>
          <w:sz w:val="28"/>
          <w:szCs w:val="28"/>
          <w:lang w:val="nl-NL"/>
        </w:rPr>
        <w:t>.</w:t>
      </w:r>
    </w:p>
    <w:p w14:paraId="39C4FA96" w14:textId="77777777" w:rsidR="00802A1F" w:rsidRPr="000C0386" w:rsidRDefault="00802A1F" w:rsidP="00802A1F">
      <w:pPr>
        <w:spacing w:before="120" w:after="120"/>
        <w:ind w:firstLine="851"/>
        <w:jc w:val="both"/>
        <w:rPr>
          <w:rFonts w:eastAsiaTheme="minorHAnsi"/>
          <w:sz w:val="28"/>
          <w:szCs w:val="28"/>
          <w:lang w:val="nl-NL"/>
          <w14:ligatures w14:val="standardContextual"/>
        </w:rPr>
      </w:pPr>
      <w:r w:rsidRPr="000C0386">
        <w:rPr>
          <w:rFonts w:eastAsiaTheme="minorHAnsi"/>
          <w:sz w:val="28"/>
          <w:szCs w:val="28"/>
          <w:lang w:val="nl-NL"/>
          <w14:ligatures w14:val="standardContextual"/>
        </w:rPr>
        <w:t xml:space="preserve">- Bộ Xây dựng nhận được tổng số </w:t>
      </w:r>
      <w:r w:rsidRPr="000C0386">
        <w:rPr>
          <w:rFonts w:eastAsiaTheme="minorHAnsi"/>
          <w:sz w:val="28"/>
          <w:szCs w:val="28"/>
          <w:lang w:val="vi-VN"/>
          <w14:ligatures w14:val="standardContextual"/>
        </w:rPr>
        <w:t>...</w:t>
      </w:r>
      <w:r w:rsidRPr="000C0386">
        <w:rPr>
          <w:rFonts w:eastAsiaTheme="minorHAnsi"/>
          <w:sz w:val="28"/>
          <w:szCs w:val="28"/>
          <w:lang w:val="nl-NL"/>
          <w14:ligatures w14:val="standardContextual"/>
        </w:rPr>
        <w:t xml:space="preserve"> văn bản góp ý, trong đó: có </w:t>
      </w:r>
      <w:r w:rsidRPr="000C0386">
        <w:rPr>
          <w:rFonts w:eastAsiaTheme="minorHAnsi"/>
          <w:sz w:val="28"/>
          <w:szCs w:val="28"/>
          <w:lang w:val="vi-VN"/>
          <w14:ligatures w14:val="standardContextual"/>
        </w:rPr>
        <w:t>...</w:t>
      </w:r>
      <w:r w:rsidRPr="000C0386">
        <w:rPr>
          <w:rFonts w:eastAsiaTheme="minorHAnsi"/>
          <w:sz w:val="28"/>
          <w:szCs w:val="28"/>
          <w:lang w:val="nl-NL"/>
          <w14:ligatures w14:val="standardContextual"/>
        </w:rPr>
        <w:t xml:space="preserve"> cơ quan, đơn vị thống nhất với nội dung Dự thảo Nghị định; có </w:t>
      </w:r>
      <w:r w:rsidRPr="000C0386">
        <w:rPr>
          <w:rFonts w:eastAsiaTheme="minorHAnsi"/>
          <w:sz w:val="28"/>
          <w:szCs w:val="28"/>
          <w:lang w:val="vi-VN"/>
          <w14:ligatures w14:val="standardContextual"/>
        </w:rPr>
        <w:t>...</w:t>
      </w:r>
      <w:r w:rsidRPr="000C0386">
        <w:rPr>
          <w:rFonts w:eastAsiaTheme="minorHAnsi"/>
          <w:sz w:val="28"/>
          <w:szCs w:val="28"/>
          <w:lang w:val="nl-NL"/>
          <w14:ligatures w14:val="standardContextual"/>
        </w:rPr>
        <w:t xml:space="preserve"> cơ quan, đơn vị có ý kiến góp ý cụ thể đối với nội dung Dự thảo Nghị định. Bộ Xây dựng đã tổ chức tổng hợp các ý kiến góp ý; họp Ban soạn thảo, Tổ biên tập, nghiên cứu giải trình, tiếp thu ý kiến góp ý và chỉnh lý, hoàn thiện Dự thảo Nghị định để đề nghị Bộ Tư pháp thẩm định theo quy định của pháp luật.</w:t>
      </w:r>
    </w:p>
    <w:p w14:paraId="54CE2E46" w14:textId="77777777" w:rsidR="00802A1F" w:rsidRPr="000C0386" w:rsidRDefault="00802A1F" w:rsidP="00802A1F">
      <w:pPr>
        <w:spacing w:before="120" w:after="120"/>
        <w:ind w:firstLine="851"/>
        <w:jc w:val="both"/>
        <w:rPr>
          <w:sz w:val="28"/>
          <w:szCs w:val="28"/>
          <w:lang w:val="nl-NL"/>
        </w:rPr>
      </w:pPr>
      <w:r w:rsidRPr="000C0386">
        <w:rPr>
          <w:sz w:val="28"/>
          <w:szCs w:val="28"/>
          <w:lang w:val="nl-NL"/>
        </w:rPr>
        <w:t>- Ngày</w:t>
      </w:r>
      <w:r w:rsidRPr="000C0386">
        <w:rPr>
          <w:sz w:val="28"/>
          <w:szCs w:val="28"/>
          <w:lang w:val="vi-VN"/>
        </w:rPr>
        <w:t xml:space="preserve"> ...</w:t>
      </w:r>
      <w:r w:rsidRPr="000C0386">
        <w:rPr>
          <w:sz w:val="28"/>
          <w:szCs w:val="28"/>
          <w:lang w:val="nl-NL"/>
        </w:rPr>
        <w:t>/</w:t>
      </w:r>
      <w:r w:rsidRPr="000C0386">
        <w:rPr>
          <w:sz w:val="28"/>
          <w:szCs w:val="28"/>
          <w:lang w:val="vi-VN"/>
        </w:rPr>
        <w:t>...</w:t>
      </w:r>
      <w:r w:rsidRPr="000C0386">
        <w:rPr>
          <w:sz w:val="28"/>
          <w:szCs w:val="28"/>
          <w:lang w:val="nl-NL"/>
        </w:rPr>
        <w:t>/202</w:t>
      </w:r>
      <w:r w:rsidRPr="000C0386">
        <w:rPr>
          <w:sz w:val="28"/>
          <w:szCs w:val="28"/>
          <w:lang w:val="vi-VN"/>
        </w:rPr>
        <w:t>6</w:t>
      </w:r>
      <w:r w:rsidRPr="000C0386">
        <w:rPr>
          <w:sz w:val="28"/>
          <w:szCs w:val="28"/>
          <w:lang w:val="nl-NL"/>
        </w:rPr>
        <w:t xml:space="preserve">, Bộ Xây dựng đã có Công văn số </w:t>
      </w:r>
      <w:r w:rsidRPr="000C0386">
        <w:rPr>
          <w:sz w:val="28"/>
          <w:szCs w:val="28"/>
          <w:lang w:val="vi-VN"/>
        </w:rPr>
        <w:t>....</w:t>
      </w:r>
      <w:r w:rsidRPr="000C0386">
        <w:rPr>
          <w:sz w:val="28"/>
          <w:szCs w:val="28"/>
          <w:lang w:val="nl-NL"/>
        </w:rPr>
        <w:t>/BXD-VT&amp;ATGT gửi Bộ Tư pháp đề nghị thẩm định dự thảo Nghị định.</w:t>
      </w:r>
    </w:p>
    <w:p w14:paraId="04D20ED9" w14:textId="77777777" w:rsidR="00802A1F" w:rsidRPr="000C0386" w:rsidRDefault="00802A1F" w:rsidP="00802A1F">
      <w:pPr>
        <w:spacing w:before="120" w:after="120"/>
        <w:ind w:firstLine="851"/>
        <w:jc w:val="both"/>
        <w:rPr>
          <w:sz w:val="28"/>
          <w:szCs w:val="28"/>
          <w:lang w:val="nl-NL"/>
        </w:rPr>
      </w:pPr>
      <w:r w:rsidRPr="000C0386">
        <w:rPr>
          <w:sz w:val="28"/>
          <w:szCs w:val="28"/>
          <w:lang w:val="nl-NL"/>
        </w:rPr>
        <w:t>- Ngày</w:t>
      </w:r>
      <w:r w:rsidRPr="000C0386">
        <w:rPr>
          <w:sz w:val="28"/>
          <w:szCs w:val="28"/>
          <w:lang w:val="vi-VN"/>
        </w:rPr>
        <w:t xml:space="preserve"> ...</w:t>
      </w:r>
      <w:r w:rsidRPr="000C0386">
        <w:rPr>
          <w:sz w:val="28"/>
          <w:szCs w:val="28"/>
          <w:lang w:val="nl-NL"/>
        </w:rPr>
        <w:t>/</w:t>
      </w:r>
      <w:r w:rsidRPr="000C0386">
        <w:rPr>
          <w:sz w:val="28"/>
          <w:szCs w:val="28"/>
          <w:lang w:val="vi-VN"/>
        </w:rPr>
        <w:t>...</w:t>
      </w:r>
      <w:r w:rsidRPr="000C0386">
        <w:rPr>
          <w:sz w:val="28"/>
          <w:szCs w:val="28"/>
          <w:lang w:val="nl-NL"/>
        </w:rPr>
        <w:t>/202</w:t>
      </w:r>
      <w:r w:rsidRPr="000C0386">
        <w:rPr>
          <w:sz w:val="28"/>
          <w:szCs w:val="28"/>
          <w:lang w:val="vi-VN"/>
        </w:rPr>
        <w:t>6</w:t>
      </w:r>
      <w:r w:rsidRPr="000C0386">
        <w:rPr>
          <w:sz w:val="28"/>
          <w:szCs w:val="28"/>
          <w:lang w:val="nl-NL"/>
        </w:rPr>
        <w:t xml:space="preserve">, Bộ Tư pháp đã có Báo cáo thẩm định số </w:t>
      </w:r>
      <w:r w:rsidRPr="000C0386">
        <w:rPr>
          <w:sz w:val="28"/>
          <w:szCs w:val="28"/>
          <w:lang w:val="vi-VN"/>
        </w:rPr>
        <w:t>...</w:t>
      </w:r>
      <w:r w:rsidRPr="000C0386">
        <w:rPr>
          <w:sz w:val="28"/>
          <w:szCs w:val="28"/>
          <w:lang w:val="nl-NL"/>
        </w:rPr>
        <w:t xml:space="preserve"> thẩm định dự thảo Nghị định gửi Bộ Xây dựng và Văn phòng Chính phủ.</w:t>
      </w:r>
    </w:p>
    <w:p w14:paraId="09903F07" w14:textId="77777777" w:rsidR="00802A1F" w:rsidRPr="000C0386" w:rsidRDefault="00802A1F" w:rsidP="00802A1F">
      <w:pPr>
        <w:spacing w:before="120" w:after="120"/>
        <w:ind w:firstLine="851"/>
        <w:jc w:val="both"/>
        <w:rPr>
          <w:sz w:val="28"/>
          <w:szCs w:val="28"/>
          <w:lang w:val="nl-NL"/>
        </w:rPr>
      </w:pPr>
      <w:r w:rsidRPr="000C0386">
        <w:rPr>
          <w:sz w:val="28"/>
          <w:szCs w:val="28"/>
          <w:lang w:val="nl-NL"/>
        </w:rPr>
        <w:t xml:space="preserve">5. Trên cơ sở ý kiến thẩm định của Bộ Tư pháp tại Báo cáo số </w:t>
      </w:r>
      <w:r w:rsidRPr="000C0386">
        <w:rPr>
          <w:sz w:val="28"/>
          <w:szCs w:val="28"/>
          <w:lang w:val="vi-VN"/>
        </w:rPr>
        <w:t>....</w:t>
      </w:r>
      <w:r w:rsidRPr="000C0386">
        <w:rPr>
          <w:sz w:val="28"/>
          <w:szCs w:val="28"/>
          <w:lang w:val="nl-NL"/>
        </w:rPr>
        <w:t>, Bộ Xây dựng đã</w:t>
      </w:r>
      <w:r w:rsidRPr="000C0386">
        <w:rPr>
          <w:sz w:val="28"/>
          <w:szCs w:val="28"/>
          <w:lang w:val="vi-VN"/>
        </w:rPr>
        <w:t xml:space="preserve"> tiến hành</w:t>
      </w:r>
      <w:r w:rsidRPr="000C0386">
        <w:rPr>
          <w:sz w:val="28"/>
          <w:szCs w:val="28"/>
          <w:lang w:val="nl-NL"/>
        </w:rPr>
        <w:t xml:space="preserve"> nghiên cứu, tiếp thu, chỉnh lý và hoàn thiện dự thảo Nghị định trình Chính phủ xem xét ban hành.</w:t>
      </w:r>
    </w:p>
    <w:p w14:paraId="7DCE98C0" w14:textId="77777777" w:rsidR="00802A1F" w:rsidRPr="000C0386" w:rsidRDefault="00802A1F" w:rsidP="00802A1F">
      <w:pPr>
        <w:spacing w:before="120" w:after="120"/>
        <w:ind w:firstLine="851"/>
        <w:jc w:val="both"/>
        <w:rPr>
          <w:b/>
          <w:sz w:val="28"/>
          <w:szCs w:val="28"/>
          <w:lang w:val="nl-NL"/>
        </w:rPr>
      </w:pPr>
      <w:r w:rsidRPr="000C0386">
        <w:rPr>
          <w:b/>
          <w:sz w:val="28"/>
          <w:szCs w:val="28"/>
          <w:lang w:val="nl-NL"/>
        </w:rPr>
        <w:t>IV. BỐ CỤC VÀ NỘI DUNG CƠ BẢN CỦA DỰ THẢO NGHỊ ĐỊNH</w:t>
      </w:r>
    </w:p>
    <w:p w14:paraId="79C6FA34" w14:textId="77777777" w:rsidR="00802A1F" w:rsidRPr="000C0386" w:rsidRDefault="00802A1F" w:rsidP="00802A1F">
      <w:pPr>
        <w:spacing w:before="120" w:after="120"/>
        <w:ind w:firstLine="851"/>
        <w:jc w:val="both"/>
        <w:rPr>
          <w:b/>
          <w:bCs/>
          <w:sz w:val="28"/>
          <w:szCs w:val="28"/>
          <w:lang w:val="vi-VN"/>
        </w:rPr>
      </w:pPr>
      <w:r w:rsidRPr="000C0386">
        <w:rPr>
          <w:b/>
          <w:bCs/>
          <w:sz w:val="28"/>
          <w:szCs w:val="28"/>
          <w:lang w:val="vi-VN"/>
        </w:rPr>
        <w:lastRenderedPageBreak/>
        <w:t>1. Phạm vi điều chỉnh, đối tượng áp dụng</w:t>
      </w:r>
    </w:p>
    <w:p w14:paraId="617991DA" w14:textId="77777777" w:rsidR="00802A1F" w:rsidRPr="000C0386" w:rsidRDefault="00802A1F" w:rsidP="00802A1F">
      <w:pPr>
        <w:spacing w:before="120" w:after="120"/>
        <w:ind w:firstLine="851"/>
        <w:jc w:val="both"/>
        <w:rPr>
          <w:sz w:val="28"/>
          <w:szCs w:val="28"/>
          <w:lang w:val="nl-NL"/>
        </w:rPr>
      </w:pPr>
      <w:r w:rsidRPr="000C0386">
        <w:rPr>
          <w:sz w:val="28"/>
          <w:szCs w:val="28"/>
          <w:lang w:val="nl-NL"/>
        </w:rPr>
        <w:t>a. Phạm vi điều chỉnh</w:t>
      </w:r>
    </w:p>
    <w:p w14:paraId="0FDD46DE" w14:textId="77777777" w:rsidR="00802A1F" w:rsidRPr="000C0386" w:rsidRDefault="00802A1F" w:rsidP="00A34B7C">
      <w:pPr>
        <w:spacing w:line="300" w:lineRule="auto"/>
        <w:ind w:firstLine="708"/>
        <w:jc w:val="both"/>
        <w:rPr>
          <w:rFonts w:eastAsia="Times New Roman"/>
          <w:sz w:val="28"/>
          <w:szCs w:val="28"/>
          <w:lang w:val="vi"/>
        </w:rPr>
      </w:pPr>
      <w:r w:rsidRPr="000C0386">
        <w:rPr>
          <w:rFonts w:eastAsia="Times New Roman"/>
          <w:sz w:val="28"/>
          <w:szCs w:val="28"/>
          <w:lang w:val="vi"/>
        </w:rPr>
        <w:t xml:space="preserve">- Nghị định quy định về quản lý nhà nước lĩnh vực tàu bay và khai thác tàu bay, bao gồm: </w:t>
      </w:r>
    </w:p>
    <w:p w14:paraId="36F470FD" w14:textId="77777777" w:rsidR="00802A1F" w:rsidRPr="000C0386" w:rsidRDefault="00802A1F" w:rsidP="00A34B7C">
      <w:pPr>
        <w:spacing w:line="300" w:lineRule="auto"/>
        <w:ind w:firstLine="708"/>
        <w:jc w:val="both"/>
        <w:rPr>
          <w:rFonts w:eastAsia="Times New Roman"/>
          <w:sz w:val="28"/>
          <w:szCs w:val="28"/>
          <w:lang w:val="vi"/>
        </w:rPr>
      </w:pPr>
      <w:r w:rsidRPr="000C0386">
        <w:rPr>
          <w:rFonts w:eastAsia="Times New Roman"/>
          <w:sz w:val="28"/>
          <w:szCs w:val="28"/>
          <w:lang w:val="vi"/>
        </w:rPr>
        <w:t xml:space="preserve">+ Đăng ký quốc tịch, quản lý, xoá quốc tịch tàu bay, đăng ký quyền đối với tàu bay; giấy chứng nhận loại, giấy chứng nhận đủ điều kiện bay; nhập khẩu, xuất khẩu tàu bay, động cơ tàu bay, cánh quạt tàu bay và trang thiết bị tàu bay; </w:t>
      </w:r>
    </w:p>
    <w:p w14:paraId="5A9F788B" w14:textId="77777777" w:rsidR="00802A1F" w:rsidRPr="000C0386" w:rsidRDefault="00802A1F" w:rsidP="00A34B7C">
      <w:pPr>
        <w:spacing w:line="300" w:lineRule="auto"/>
        <w:ind w:firstLine="708"/>
        <w:jc w:val="both"/>
        <w:rPr>
          <w:rFonts w:eastAsia="Times New Roman"/>
          <w:sz w:val="28"/>
          <w:szCs w:val="28"/>
          <w:lang w:val="vi"/>
        </w:rPr>
      </w:pPr>
      <w:r w:rsidRPr="000C0386">
        <w:rPr>
          <w:rFonts w:eastAsia="Times New Roman"/>
          <w:sz w:val="28"/>
          <w:szCs w:val="28"/>
          <w:lang w:val="vi"/>
        </w:rPr>
        <w:t>+ Người khai thác tàu bay, giấy chứng nhận người khai thác tàu bay; chuyển giao nghĩa vụ giữa quốc gia đăng ký tàu bay, quốc gia đăng ký quốc tịch tàu bay và quốc gia của người khai thác tàu bay; đình chỉ thực hiện chuyến bay; yêu cầu tàu bay hạ cánh; vận chuyển hàng hóa nguy hiểm;</w:t>
      </w:r>
    </w:p>
    <w:p w14:paraId="32E05625" w14:textId="77777777" w:rsidR="00802A1F" w:rsidRPr="000C0386" w:rsidRDefault="00802A1F" w:rsidP="00A34B7C">
      <w:pPr>
        <w:spacing w:line="300" w:lineRule="auto"/>
        <w:ind w:firstLine="708"/>
        <w:jc w:val="both"/>
        <w:rPr>
          <w:rFonts w:eastAsia="Times New Roman"/>
          <w:sz w:val="28"/>
          <w:szCs w:val="28"/>
          <w:lang w:val="vi"/>
        </w:rPr>
      </w:pPr>
      <w:r w:rsidRPr="000C0386">
        <w:rPr>
          <w:rFonts w:eastAsia="Times New Roman"/>
          <w:sz w:val="28"/>
          <w:szCs w:val="28"/>
          <w:lang w:val="vi"/>
        </w:rPr>
        <w:t>+ Tổ chức thiết kế, sản xuất, thử nghiệm, bảo dưỡng tàu bay, động cơ tàu bay, cánh quạt tàu bay và trang thiết bị tàu bay;</w:t>
      </w:r>
    </w:p>
    <w:p w14:paraId="6355A7A0" w14:textId="77777777" w:rsidR="00802A1F" w:rsidRPr="000C0386" w:rsidRDefault="00802A1F" w:rsidP="00A34B7C">
      <w:pPr>
        <w:spacing w:line="300" w:lineRule="auto"/>
        <w:ind w:firstLine="708"/>
        <w:jc w:val="both"/>
        <w:rPr>
          <w:rFonts w:eastAsia="Times New Roman"/>
          <w:sz w:val="28"/>
          <w:szCs w:val="28"/>
          <w:lang w:val="vi"/>
        </w:rPr>
      </w:pPr>
      <w:r w:rsidRPr="000C0386">
        <w:rPr>
          <w:rFonts w:eastAsia="Times New Roman"/>
          <w:sz w:val="28"/>
          <w:szCs w:val="28"/>
          <w:lang w:val="vi"/>
        </w:rPr>
        <w:t>+ Bảo vệ môi trường.</w:t>
      </w:r>
    </w:p>
    <w:p w14:paraId="680C8B53" w14:textId="77777777" w:rsidR="00802A1F" w:rsidRPr="000C0386" w:rsidRDefault="00802A1F" w:rsidP="00A34B7C">
      <w:pPr>
        <w:ind w:firstLine="851"/>
        <w:jc w:val="both"/>
        <w:rPr>
          <w:sz w:val="28"/>
          <w:szCs w:val="28"/>
          <w:lang w:val="nl-NL"/>
        </w:rPr>
      </w:pPr>
      <w:r w:rsidRPr="000C0386">
        <w:rPr>
          <w:rFonts w:eastAsia="Times New Roman"/>
          <w:sz w:val="28"/>
          <w:szCs w:val="28"/>
          <w:lang w:val="vi"/>
        </w:rPr>
        <w:t>- Nghị định quy định chi tiết một số điều của Luật Hàng không dân dụng Việt Nam và bảo đảm tuân thủ các điều ước quốc tế về hàng không dân dụng mà Việt Nam là thành viên.</w:t>
      </w:r>
    </w:p>
    <w:p w14:paraId="4449E610" w14:textId="77777777" w:rsidR="00802A1F" w:rsidRPr="000C0386" w:rsidRDefault="00802A1F" w:rsidP="00A34B7C">
      <w:pPr>
        <w:ind w:firstLine="851"/>
        <w:jc w:val="both"/>
        <w:rPr>
          <w:sz w:val="28"/>
          <w:szCs w:val="28"/>
          <w:lang w:val="nl-NL"/>
        </w:rPr>
      </w:pPr>
      <w:r w:rsidRPr="000C0386">
        <w:rPr>
          <w:sz w:val="28"/>
          <w:szCs w:val="28"/>
          <w:lang w:val="nl-NL"/>
        </w:rPr>
        <w:t>b. Đối tượng áp dụng</w:t>
      </w:r>
    </w:p>
    <w:p w14:paraId="620BD7C4" w14:textId="77777777" w:rsidR="00802A1F" w:rsidRPr="000C0386" w:rsidRDefault="00802A1F" w:rsidP="00A34B7C">
      <w:pPr>
        <w:ind w:firstLine="851"/>
        <w:jc w:val="both"/>
        <w:rPr>
          <w:sz w:val="28"/>
          <w:szCs w:val="28"/>
          <w:lang w:val="nl-NL"/>
        </w:rPr>
      </w:pPr>
      <w:r w:rsidRPr="000C0386">
        <w:rPr>
          <w:sz w:val="28"/>
          <w:szCs w:val="28"/>
          <w:lang w:val="vi-VN"/>
        </w:rPr>
        <w:t xml:space="preserve">- </w:t>
      </w:r>
      <w:r w:rsidRPr="000C0386">
        <w:rPr>
          <w:sz w:val="28"/>
          <w:szCs w:val="28"/>
          <w:lang w:val="nl-NL"/>
        </w:rPr>
        <w:t>Tổ chức, cá nhân người Việt Nam hoặc nước ngoài có hoạt động khai thác tàu bay trên lãnh thổ Việt Nam; tổ chức, cá nhân khai thác quốc tế đối với tàu bay mang quốc tịch Việt Nam.</w:t>
      </w:r>
    </w:p>
    <w:p w14:paraId="7B615FE1" w14:textId="77777777" w:rsidR="00802A1F" w:rsidRPr="000C0386" w:rsidRDefault="00802A1F" w:rsidP="00A34B7C">
      <w:pPr>
        <w:ind w:firstLine="851"/>
        <w:jc w:val="both"/>
        <w:rPr>
          <w:sz w:val="28"/>
          <w:szCs w:val="28"/>
          <w:lang w:val="nl-NL"/>
        </w:rPr>
      </w:pPr>
      <w:r w:rsidRPr="000C0386">
        <w:rPr>
          <w:sz w:val="28"/>
          <w:szCs w:val="28"/>
          <w:lang w:val="vi-VN"/>
        </w:rPr>
        <w:t xml:space="preserve">- </w:t>
      </w:r>
      <w:r w:rsidRPr="000C0386">
        <w:rPr>
          <w:sz w:val="28"/>
          <w:szCs w:val="28"/>
          <w:lang w:val="nl-NL"/>
        </w:rPr>
        <w:t>Tổ chức, cá nhân người Việt Nam hoặc nước ngoài có hoạt động thiết kế, sản xuất, bảo dưỡng tàu bay, động cơ, cánh quạt và trang thiết bị lắp trên tàu bay mang quốc tịch Việt Nam;</w:t>
      </w:r>
    </w:p>
    <w:p w14:paraId="61A8273C" w14:textId="77777777" w:rsidR="00802A1F" w:rsidRPr="000C0386" w:rsidRDefault="00802A1F" w:rsidP="00A34B7C">
      <w:pPr>
        <w:ind w:firstLine="851"/>
        <w:jc w:val="both"/>
        <w:rPr>
          <w:sz w:val="28"/>
          <w:szCs w:val="28"/>
          <w:lang w:val="vi-VN"/>
        </w:rPr>
      </w:pPr>
      <w:r w:rsidRPr="000C0386">
        <w:rPr>
          <w:sz w:val="28"/>
          <w:szCs w:val="28"/>
          <w:lang w:val="vi-VN"/>
        </w:rPr>
        <w:t xml:space="preserve">- </w:t>
      </w:r>
      <w:r w:rsidRPr="000C0386">
        <w:rPr>
          <w:sz w:val="28"/>
          <w:szCs w:val="28"/>
          <w:lang w:val="nl-NL"/>
        </w:rPr>
        <w:t>Cơ quan quản lý nhà nước và tổ chức, cá nhân được ủy quyền thực hiện công tác quản lý nhà nước, giám sát an toàn đối với tàu bay và khai thác tàu bay.</w:t>
      </w:r>
    </w:p>
    <w:p w14:paraId="0AF6033D" w14:textId="77777777" w:rsidR="00802A1F" w:rsidRPr="000C0386" w:rsidRDefault="00802A1F" w:rsidP="00A34B7C">
      <w:pPr>
        <w:ind w:firstLine="851"/>
        <w:jc w:val="both"/>
        <w:rPr>
          <w:b/>
          <w:bCs/>
          <w:sz w:val="28"/>
          <w:szCs w:val="28"/>
          <w:lang w:val="vi-VN"/>
        </w:rPr>
      </w:pPr>
      <w:r w:rsidRPr="000C0386">
        <w:rPr>
          <w:b/>
          <w:bCs/>
          <w:sz w:val="28"/>
          <w:szCs w:val="28"/>
          <w:lang w:val="vi-VN"/>
        </w:rPr>
        <w:t>2</w:t>
      </w:r>
      <w:r w:rsidRPr="000C0386">
        <w:rPr>
          <w:b/>
          <w:bCs/>
          <w:sz w:val="28"/>
          <w:szCs w:val="28"/>
          <w:lang w:val="nl-NL"/>
        </w:rPr>
        <w:t>. Bố cục</w:t>
      </w:r>
      <w:r w:rsidRPr="000C0386">
        <w:rPr>
          <w:b/>
          <w:bCs/>
          <w:sz w:val="28"/>
          <w:szCs w:val="28"/>
          <w:lang w:val="vi-VN"/>
        </w:rPr>
        <w:t xml:space="preserve"> của dự thảo Nghị định</w:t>
      </w:r>
    </w:p>
    <w:p w14:paraId="1AE6F7DB" w14:textId="77777777" w:rsidR="00802A1F" w:rsidRPr="000C0386" w:rsidRDefault="00802A1F" w:rsidP="00A34B7C">
      <w:pPr>
        <w:spacing w:line="300" w:lineRule="auto"/>
        <w:ind w:firstLine="720"/>
        <w:jc w:val="both"/>
        <w:rPr>
          <w:sz w:val="28"/>
          <w:szCs w:val="28"/>
          <w:lang w:val="nl-NL"/>
        </w:rPr>
      </w:pPr>
      <w:r w:rsidRPr="000C0386">
        <w:rPr>
          <w:sz w:val="28"/>
          <w:szCs w:val="28"/>
          <w:lang w:val="nl-NL"/>
        </w:rPr>
        <w:t>Dự thảo Nghị định được bố cục thành 0</w:t>
      </w:r>
      <w:r w:rsidRPr="000C0386">
        <w:rPr>
          <w:sz w:val="28"/>
          <w:szCs w:val="28"/>
          <w:lang w:val="vi-VN"/>
        </w:rPr>
        <w:t>9 C</w:t>
      </w:r>
      <w:r w:rsidRPr="000C0386">
        <w:rPr>
          <w:sz w:val="28"/>
          <w:szCs w:val="28"/>
          <w:lang w:val="nl-NL"/>
        </w:rPr>
        <w:t xml:space="preserve">hương, </w:t>
      </w:r>
      <w:r w:rsidRPr="000C0386">
        <w:rPr>
          <w:sz w:val="28"/>
          <w:szCs w:val="28"/>
          <w:lang w:val="vi-VN"/>
        </w:rPr>
        <w:t>72</w:t>
      </w:r>
      <w:r w:rsidRPr="000C0386">
        <w:rPr>
          <w:sz w:val="28"/>
          <w:szCs w:val="28"/>
          <w:lang w:val="nl-NL"/>
        </w:rPr>
        <w:t xml:space="preserve"> Điều,</w:t>
      </w:r>
      <w:r w:rsidRPr="000C0386">
        <w:rPr>
          <w:sz w:val="28"/>
          <w:szCs w:val="28"/>
          <w:lang w:val="vi-VN"/>
        </w:rPr>
        <w:t xml:space="preserve"> 01 phụ lục,</w:t>
      </w:r>
      <w:r w:rsidRPr="000C0386">
        <w:rPr>
          <w:sz w:val="28"/>
          <w:szCs w:val="28"/>
          <w:lang w:val="nl-NL"/>
        </w:rPr>
        <w:t xml:space="preserve"> bao gồm:</w:t>
      </w:r>
    </w:p>
    <w:p w14:paraId="29BF44FB" w14:textId="77777777" w:rsidR="00802A1F" w:rsidRPr="000C0386" w:rsidRDefault="00802A1F" w:rsidP="00A34B7C">
      <w:pPr>
        <w:ind w:firstLine="720"/>
        <w:jc w:val="both"/>
        <w:rPr>
          <w:sz w:val="28"/>
          <w:szCs w:val="28"/>
          <w:lang w:val="vi-VN"/>
        </w:rPr>
      </w:pPr>
      <w:r w:rsidRPr="000C0386">
        <w:rPr>
          <w:sz w:val="28"/>
          <w:szCs w:val="28"/>
          <w:lang w:val="vi-VN"/>
        </w:rPr>
        <w:t>- Chương I: Quy định chung (Điều 1 đến Điều 7);</w:t>
      </w:r>
    </w:p>
    <w:p w14:paraId="29C62268" w14:textId="77777777" w:rsidR="00802A1F" w:rsidRPr="000C0386" w:rsidRDefault="00802A1F" w:rsidP="00A34B7C">
      <w:pPr>
        <w:ind w:firstLine="720"/>
        <w:jc w:val="both"/>
        <w:rPr>
          <w:sz w:val="28"/>
          <w:szCs w:val="28"/>
          <w:lang w:val="vi-VN"/>
        </w:rPr>
      </w:pPr>
      <w:r w:rsidRPr="000C0386">
        <w:rPr>
          <w:sz w:val="28"/>
          <w:szCs w:val="28"/>
          <w:lang w:val="vi-VN"/>
        </w:rPr>
        <w:t>- Chương II: Quy định về đủ điều kiện bay của tàu bay (Điều 8 đến Điều 12);</w:t>
      </w:r>
    </w:p>
    <w:p w14:paraId="3122C5BA" w14:textId="77777777" w:rsidR="00802A1F" w:rsidRPr="000C0386" w:rsidRDefault="00802A1F" w:rsidP="00A34B7C">
      <w:pPr>
        <w:ind w:firstLine="720"/>
        <w:jc w:val="both"/>
        <w:rPr>
          <w:sz w:val="28"/>
          <w:szCs w:val="28"/>
          <w:lang w:val="vi-VN"/>
        </w:rPr>
      </w:pPr>
      <w:r w:rsidRPr="000C0386">
        <w:rPr>
          <w:sz w:val="28"/>
          <w:szCs w:val="28"/>
          <w:lang w:val="vi-VN"/>
        </w:rPr>
        <w:t>- Chương III: Đăng ký quốc tịch và đăng ký các quyền đối với tàu bay (Điều 13 đến Điều 36);</w:t>
      </w:r>
    </w:p>
    <w:p w14:paraId="1E083129" w14:textId="77777777" w:rsidR="00802A1F" w:rsidRPr="000C0386" w:rsidRDefault="00802A1F" w:rsidP="00A34B7C">
      <w:pPr>
        <w:ind w:firstLine="720"/>
        <w:jc w:val="both"/>
        <w:rPr>
          <w:sz w:val="28"/>
          <w:szCs w:val="28"/>
          <w:lang w:val="vi-VN"/>
        </w:rPr>
      </w:pPr>
      <w:r w:rsidRPr="000C0386">
        <w:rPr>
          <w:sz w:val="28"/>
          <w:szCs w:val="28"/>
          <w:lang w:val="vi-VN"/>
        </w:rPr>
        <w:t>- Chương IV: Quy định về khai thác tàu bay (Điều 37 đến Điều 52);</w:t>
      </w:r>
    </w:p>
    <w:p w14:paraId="3B52BB66" w14:textId="77777777" w:rsidR="00802A1F" w:rsidRPr="000C0386" w:rsidRDefault="00802A1F" w:rsidP="00A34B7C">
      <w:pPr>
        <w:ind w:firstLine="720"/>
        <w:jc w:val="both"/>
        <w:rPr>
          <w:sz w:val="28"/>
          <w:szCs w:val="28"/>
          <w:lang w:val="vi-VN"/>
        </w:rPr>
      </w:pPr>
      <w:r w:rsidRPr="000C0386">
        <w:rPr>
          <w:sz w:val="28"/>
          <w:szCs w:val="28"/>
          <w:lang w:val="vi-VN"/>
        </w:rPr>
        <w:t>- Chương V: Tổ chức bảo dưỡng (Điều 53 đến Điều 57);</w:t>
      </w:r>
    </w:p>
    <w:p w14:paraId="6FEC1929" w14:textId="77777777" w:rsidR="00802A1F" w:rsidRPr="000C0386" w:rsidRDefault="00802A1F" w:rsidP="00A34B7C">
      <w:pPr>
        <w:ind w:firstLine="720"/>
        <w:jc w:val="both"/>
        <w:rPr>
          <w:sz w:val="28"/>
          <w:szCs w:val="28"/>
          <w:lang w:val="vi-VN"/>
        </w:rPr>
      </w:pPr>
      <w:r w:rsidRPr="000C0386">
        <w:rPr>
          <w:sz w:val="28"/>
          <w:szCs w:val="28"/>
          <w:lang w:val="vi-VN"/>
        </w:rPr>
        <w:t>- Chương VI: Tổ chức thiết kế (Điều 58 đến Điều 62);</w:t>
      </w:r>
    </w:p>
    <w:p w14:paraId="4F8E2351" w14:textId="77777777" w:rsidR="00802A1F" w:rsidRPr="000C0386" w:rsidRDefault="00802A1F" w:rsidP="00A34B7C">
      <w:pPr>
        <w:ind w:firstLine="720"/>
        <w:jc w:val="both"/>
        <w:rPr>
          <w:sz w:val="28"/>
          <w:szCs w:val="28"/>
          <w:lang w:val="vi-VN"/>
        </w:rPr>
      </w:pPr>
      <w:r w:rsidRPr="000C0386">
        <w:rPr>
          <w:sz w:val="28"/>
          <w:szCs w:val="28"/>
          <w:lang w:val="vi-VN"/>
        </w:rPr>
        <w:t>- Chương VII: Tổ chức sản xuất (Điều 63 đến Điều 67);</w:t>
      </w:r>
    </w:p>
    <w:p w14:paraId="1AEDCA25" w14:textId="77777777" w:rsidR="00802A1F" w:rsidRPr="000C0386" w:rsidRDefault="00802A1F" w:rsidP="00A34B7C">
      <w:pPr>
        <w:ind w:firstLine="720"/>
        <w:jc w:val="both"/>
        <w:rPr>
          <w:sz w:val="28"/>
          <w:szCs w:val="28"/>
          <w:lang w:val="vi-VN"/>
        </w:rPr>
      </w:pPr>
      <w:r w:rsidRPr="000C0386">
        <w:rPr>
          <w:sz w:val="28"/>
          <w:szCs w:val="28"/>
          <w:lang w:val="vi-VN"/>
        </w:rPr>
        <w:t>- Chương VIII: Bảo vệ môi trường (Điều 68 đến Điều 71);</w:t>
      </w:r>
    </w:p>
    <w:p w14:paraId="2F70C09D" w14:textId="77777777" w:rsidR="00802A1F" w:rsidRPr="000C0386" w:rsidRDefault="00802A1F" w:rsidP="00A34B7C">
      <w:pPr>
        <w:ind w:firstLine="720"/>
        <w:jc w:val="both"/>
        <w:rPr>
          <w:sz w:val="28"/>
          <w:szCs w:val="28"/>
          <w:lang w:val="vi-VN"/>
        </w:rPr>
      </w:pPr>
      <w:r w:rsidRPr="000C0386">
        <w:rPr>
          <w:sz w:val="28"/>
          <w:szCs w:val="28"/>
          <w:lang w:val="vi-VN"/>
        </w:rPr>
        <w:t>- Chương IX: Điều khoản thi hành (Điều 72);</w:t>
      </w:r>
    </w:p>
    <w:p w14:paraId="139A1257" w14:textId="77777777" w:rsidR="00802A1F" w:rsidRPr="000C0386" w:rsidRDefault="00802A1F" w:rsidP="00A34B7C">
      <w:pPr>
        <w:spacing w:line="300" w:lineRule="auto"/>
        <w:jc w:val="both"/>
        <w:rPr>
          <w:bCs/>
          <w:sz w:val="28"/>
          <w:szCs w:val="28"/>
          <w:lang w:val="vi-VN"/>
        </w:rPr>
      </w:pPr>
      <w:r w:rsidRPr="000C0386">
        <w:rPr>
          <w:sz w:val="28"/>
          <w:szCs w:val="28"/>
          <w:lang w:val="vi-VN"/>
        </w:rPr>
        <w:lastRenderedPageBreak/>
        <w:tab/>
        <w:t>- Phụ lục mẫu đơn, tờ khai, giấy chứng nhận, thông báo</w:t>
      </w:r>
      <w:r w:rsidRPr="000C0386">
        <w:rPr>
          <w:bCs/>
          <w:sz w:val="28"/>
          <w:szCs w:val="28"/>
          <w:lang w:val="vi-VN"/>
        </w:rPr>
        <w:t>.</w:t>
      </w:r>
    </w:p>
    <w:p w14:paraId="18BE5C24" w14:textId="77777777" w:rsidR="00802A1F" w:rsidRPr="000C0386" w:rsidRDefault="00802A1F" w:rsidP="00A34B7C">
      <w:pPr>
        <w:ind w:firstLine="720"/>
        <w:jc w:val="both"/>
        <w:rPr>
          <w:b/>
          <w:bCs/>
          <w:sz w:val="28"/>
          <w:szCs w:val="28"/>
          <w:lang w:val="vi-VN"/>
        </w:rPr>
      </w:pPr>
      <w:r w:rsidRPr="000C0386">
        <w:rPr>
          <w:b/>
          <w:bCs/>
          <w:sz w:val="28"/>
          <w:szCs w:val="28"/>
          <w:lang w:val="vi-VN"/>
        </w:rPr>
        <w:t>3</w:t>
      </w:r>
      <w:r w:rsidRPr="000C0386">
        <w:rPr>
          <w:b/>
          <w:bCs/>
          <w:sz w:val="28"/>
          <w:szCs w:val="28"/>
          <w:lang w:val="nl-NL"/>
        </w:rPr>
        <w:t>. Nội dung cơ bản</w:t>
      </w:r>
      <w:r w:rsidRPr="000C0386">
        <w:rPr>
          <w:b/>
          <w:bCs/>
          <w:sz w:val="28"/>
          <w:szCs w:val="28"/>
          <w:lang w:val="vi-VN"/>
        </w:rPr>
        <w:t xml:space="preserve"> của Nghị định</w:t>
      </w:r>
    </w:p>
    <w:p w14:paraId="59E17DF5" w14:textId="77777777" w:rsidR="00802A1F" w:rsidRPr="000C0386" w:rsidRDefault="00802A1F" w:rsidP="00802A1F">
      <w:pPr>
        <w:spacing w:before="120" w:after="120"/>
        <w:ind w:firstLine="720"/>
        <w:jc w:val="both"/>
        <w:rPr>
          <w:sz w:val="28"/>
          <w:szCs w:val="28"/>
          <w:lang w:val="vi-VN"/>
        </w:rPr>
      </w:pPr>
      <w:r w:rsidRPr="000C0386">
        <w:rPr>
          <w:sz w:val="28"/>
          <w:szCs w:val="28"/>
          <w:lang w:val="vi-VN"/>
        </w:rPr>
        <w:t>a) Chương I: quy định về phạm vi điều chỉnh, đối tượng áp dụng, giải thích một số từ ngữ được sử dụng trong Nghị định, quy định về trách nhiệm tuân thủ pháp lý, các quy tắc hành chính chung, quy định về kiểm tra, giám sát, người được uỷ quyền, hệ thống tài liệu, hồ sơ và dữ liệu.</w:t>
      </w:r>
    </w:p>
    <w:p w14:paraId="3AAA18A4" w14:textId="77777777" w:rsidR="00802A1F" w:rsidRPr="000C0386" w:rsidRDefault="00802A1F" w:rsidP="00802A1F">
      <w:pPr>
        <w:spacing w:before="120" w:after="120"/>
        <w:ind w:firstLine="851"/>
        <w:jc w:val="both"/>
        <w:rPr>
          <w:sz w:val="28"/>
          <w:szCs w:val="28"/>
          <w:lang w:val="vi-VN"/>
        </w:rPr>
      </w:pPr>
      <w:r w:rsidRPr="000C0386">
        <w:rPr>
          <w:sz w:val="28"/>
          <w:szCs w:val="28"/>
          <w:lang w:val="vi-VN"/>
        </w:rPr>
        <w:t>b) Chương II: Quy định về cấp, công nhận, đình chỉ, thu hồi, chuyển giao giấy chứng nhận loại, xác nhận kỹ thuật cho tàu bay, động cơ, cánh quạt phục vụ mục đích bay trải nghiệm cá nhân, quy định về sản xuất tàu bay, động cơ, cánh quạt và trang thiết bị tàu bay, quy định về tiêu chuẩn đủ điều kiện bay, duy trì đủ điều kiện bay liên tục.</w:t>
      </w:r>
    </w:p>
    <w:p w14:paraId="2A800FFD" w14:textId="77777777" w:rsidR="00802A1F" w:rsidRPr="000C0386" w:rsidRDefault="00802A1F" w:rsidP="00802A1F">
      <w:pPr>
        <w:spacing w:before="120" w:after="120"/>
        <w:ind w:firstLine="851"/>
        <w:jc w:val="both"/>
        <w:rPr>
          <w:sz w:val="28"/>
          <w:szCs w:val="28"/>
          <w:lang w:val="vi-VN"/>
        </w:rPr>
      </w:pPr>
      <w:r w:rsidRPr="000C0386">
        <w:rPr>
          <w:sz w:val="28"/>
          <w:szCs w:val="28"/>
          <w:lang w:val="vi-VN"/>
        </w:rPr>
        <w:t>c) Chương III: Quy định về đăng ký, đăng ký tạm thời, xoá đăng ký tàu bay, xuất khẩu tàu bay, dấu hiệu quốc tịch và dấu hiệu đăng ký, đăng ký các quyền đối với tàu bay, xoá đăng ký các quyền đối với tàu bay, đăng ký xoá đăng ký IDERA, sổ đăng bạ tàu bay, sửa chữa, bổ sung, điều chỉnh thông tin về về đăng ký quốc tịch tàu bay, đăng ký các quyền đối với tàu bay và đăng ký văn bản IDERA.</w:t>
      </w:r>
    </w:p>
    <w:p w14:paraId="0DF23089" w14:textId="77777777" w:rsidR="00802A1F" w:rsidRPr="000C0386" w:rsidRDefault="00802A1F" w:rsidP="00802A1F">
      <w:pPr>
        <w:spacing w:before="120" w:after="120"/>
        <w:ind w:firstLine="851"/>
        <w:jc w:val="both"/>
        <w:rPr>
          <w:sz w:val="28"/>
          <w:szCs w:val="28"/>
          <w:lang w:val="vi-VN"/>
        </w:rPr>
      </w:pPr>
      <w:r w:rsidRPr="000C0386">
        <w:rPr>
          <w:sz w:val="28"/>
          <w:szCs w:val="28"/>
          <w:lang w:val="vi-VN"/>
        </w:rPr>
        <w:t>d) Chương IV: Quy định chung về khai thác tàu bay, phân loại các hoạt động khai thác, người khai thác tàu bay Việt Nam, người khai thác tàu bay nước ngoài, trách nhiệm của người khai thác tàu bay; hàng hoá nguy hiểm, vận chuyển vũ khí, dụng cụ chiến tranh, vật liệu phóng xạ; tài liệu mang theo chuyến bay; đình chỉ thực hiện chuyến bay, yêu cầu tàu bay hạ cánh, chuyển giao nghĩa vụ giữa quốc gia đăng ký và quốc gia khai thác; quy định về người khai thác tàu bay hàng không thương mại và chuyên dùng; cấp, sửa đổi, gia hạn giấy chứng nhận người khai thác tàu bay.</w:t>
      </w:r>
    </w:p>
    <w:p w14:paraId="1F3CA029" w14:textId="77777777" w:rsidR="00802A1F" w:rsidRPr="000C0386" w:rsidRDefault="00802A1F" w:rsidP="00802A1F">
      <w:pPr>
        <w:spacing w:before="120" w:after="120"/>
        <w:ind w:firstLine="851"/>
        <w:jc w:val="both"/>
        <w:rPr>
          <w:sz w:val="28"/>
          <w:szCs w:val="28"/>
          <w:lang w:val="vi-VN"/>
        </w:rPr>
      </w:pPr>
      <w:r w:rsidRPr="000C0386">
        <w:rPr>
          <w:sz w:val="28"/>
          <w:szCs w:val="28"/>
          <w:lang w:val="vi-VN"/>
        </w:rPr>
        <w:t>e) Chương V: Quy định về điều kiện cung cấp dịch vụ bảo dưỡng tàu bay động cơ tàu bay, cánh quạt tàu bay và trang thiết bị tàu bay; giấy chứng nhận phê chuẩn tổ chức bảo dưỡng; trình tự thủ tục cấp, sửa đổi và gia hạn giấy chứng nhận phê chuẩn tổ chức bảo dưỡng.</w:t>
      </w:r>
    </w:p>
    <w:p w14:paraId="73D8F4B2" w14:textId="77777777" w:rsidR="00802A1F" w:rsidRPr="000C0386" w:rsidRDefault="00802A1F" w:rsidP="00802A1F">
      <w:pPr>
        <w:spacing w:before="120" w:after="120"/>
        <w:ind w:firstLine="851"/>
        <w:jc w:val="both"/>
        <w:rPr>
          <w:sz w:val="28"/>
          <w:szCs w:val="28"/>
          <w:lang w:val="vi-VN"/>
        </w:rPr>
      </w:pPr>
      <w:r w:rsidRPr="000C0386">
        <w:rPr>
          <w:sz w:val="28"/>
          <w:szCs w:val="28"/>
          <w:lang w:val="vi-VN"/>
        </w:rPr>
        <w:t>g) Chương VI: Quy định về điều kiện cung cấp dịch vụ thiết kế tàu bay động cơ tàu bay, cánh quạt tàu bay và trang thiết bị tàu bay; giấy chứng nhận phê chuẩn tổ chức thiết kế; trình tự thủ tục cấp, sửa đổi và gia hạn giấy chứng nhận phê chuẩn tổ chức thiết kế.</w:t>
      </w:r>
    </w:p>
    <w:p w14:paraId="65304C85" w14:textId="77777777" w:rsidR="00802A1F" w:rsidRPr="000C0386" w:rsidRDefault="00802A1F" w:rsidP="00802A1F">
      <w:pPr>
        <w:spacing w:before="120" w:after="120"/>
        <w:ind w:firstLine="851"/>
        <w:jc w:val="both"/>
        <w:rPr>
          <w:sz w:val="28"/>
          <w:szCs w:val="28"/>
          <w:lang w:val="vi-VN"/>
        </w:rPr>
      </w:pPr>
      <w:r w:rsidRPr="000C0386">
        <w:rPr>
          <w:sz w:val="28"/>
          <w:szCs w:val="28"/>
          <w:lang w:val="vi-VN"/>
        </w:rPr>
        <w:t>h) Chương VII: Quy định về điều kiện cung cấp dịch vụ sản xuất tàu bay động cơ tàu bay, cánh quạt tàu bay và trang thiết bị tàu bay; giấy chứng nhận phê chuẩn tổ chức sản xuất; trình tự thủ tục cấp, sửa đổi và gia hạn giấy chứng nhận phê chuẩn tổ chức sản xuất.</w:t>
      </w:r>
    </w:p>
    <w:p w14:paraId="08F46DE6" w14:textId="77777777" w:rsidR="00802A1F" w:rsidRPr="000C0386" w:rsidRDefault="00802A1F" w:rsidP="00802A1F">
      <w:pPr>
        <w:spacing w:before="120" w:after="120"/>
        <w:ind w:firstLine="851"/>
        <w:jc w:val="both"/>
        <w:rPr>
          <w:sz w:val="28"/>
          <w:szCs w:val="28"/>
          <w:lang w:val="vi-VN"/>
        </w:rPr>
      </w:pPr>
      <w:r w:rsidRPr="000C0386">
        <w:rPr>
          <w:sz w:val="28"/>
          <w:szCs w:val="28"/>
          <w:lang w:val="vi-VN"/>
        </w:rPr>
        <w:t>Chương VIII về bảo vệ môi trường quy định nguyên tắc bảo vệ môi trường trong hoạt động hàng không và quy định đối với tàu bay, động cơ, chuyến bay quốc tế.</w:t>
      </w:r>
    </w:p>
    <w:p w14:paraId="2428D365" w14:textId="77777777" w:rsidR="00802A1F" w:rsidRPr="000C0386" w:rsidRDefault="00802A1F" w:rsidP="00802A1F">
      <w:pPr>
        <w:spacing w:before="120" w:after="120"/>
        <w:ind w:firstLine="851"/>
        <w:jc w:val="both"/>
        <w:rPr>
          <w:sz w:val="28"/>
          <w:szCs w:val="28"/>
          <w:lang w:val="vi-VN"/>
        </w:rPr>
      </w:pPr>
      <w:r w:rsidRPr="000C0386">
        <w:rPr>
          <w:sz w:val="28"/>
          <w:szCs w:val="28"/>
          <w:lang w:val="vi-VN"/>
        </w:rPr>
        <w:lastRenderedPageBreak/>
        <w:t>Chương IX về điều khoản thi hành: quy định về các nội dung phân công nhiệm vụ cho các Bộ, ngành để thực hiện các nội dung được quy định trong dự thảo Nghị định.</w:t>
      </w:r>
    </w:p>
    <w:p w14:paraId="4D427E11" w14:textId="77777777" w:rsidR="00802A1F" w:rsidRPr="000C0386" w:rsidRDefault="00802A1F" w:rsidP="00802A1F">
      <w:pPr>
        <w:spacing w:before="120" w:after="120"/>
        <w:ind w:firstLine="851"/>
        <w:jc w:val="both"/>
        <w:rPr>
          <w:b/>
          <w:bCs/>
          <w:sz w:val="28"/>
          <w:szCs w:val="28"/>
          <w:lang w:val="vi-VN"/>
        </w:rPr>
      </w:pPr>
      <w:r w:rsidRPr="000C0386">
        <w:rPr>
          <w:b/>
          <w:bCs/>
          <w:sz w:val="28"/>
          <w:szCs w:val="28"/>
          <w:lang w:val="vi-VN"/>
        </w:rPr>
        <w:t>4. Nội dung phân quyền, phân cấp</w:t>
      </w:r>
    </w:p>
    <w:p w14:paraId="0AEB2ABF" w14:textId="77777777" w:rsidR="00802A1F" w:rsidRPr="000C0386" w:rsidRDefault="00802A1F" w:rsidP="00802A1F">
      <w:pPr>
        <w:spacing w:before="120" w:after="120"/>
        <w:ind w:firstLine="851"/>
        <w:jc w:val="both"/>
        <w:rPr>
          <w:iCs/>
          <w:sz w:val="28"/>
          <w:szCs w:val="28"/>
          <w:lang w:val="vi-VN"/>
        </w:rPr>
      </w:pPr>
      <w:r w:rsidRPr="000C0386">
        <w:rPr>
          <w:sz w:val="28"/>
          <w:szCs w:val="28"/>
          <w:lang w:val="vi-VN"/>
        </w:rPr>
        <w:t xml:space="preserve">- Không đề xuất phân cấp, phân quyền: </w:t>
      </w:r>
      <w:r w:rsidRPr="000C0386">
        <w:rPr>
          <w:iCs/>
          <w:sz w:val="28"/>
          <w:szCs w:val="28"/>
          <w:lang w:val="vi-VN"/>
        </w:rPr>
        <w:t xml:space="preserve">việc </w:t>
      </w:r>
      <w:r w:rsidRPr="000C0386">
        <w:rPr>
          <w:sz w:val="28"/>
          <w:szCs w:val="28"/>
          <w:lang w:val="vi-VN"/>
        </w:rPr>
        <w:t>phê chuẩn, công nhận, cấp, gia hạn, sửa đổi, bổ sung, thu hồi, đình chỉ giấy phép, giấy chứng nhận, năng định, tài liệu chính sách, quy trình hoạt động đối với tàu bay, tổ chức, nhân viên hàng không</w:t>
      </w:r>
      <w:r w:rsidRPr="000C0386">
        <w:rPr>
          <w:iCs/>
          <w:sz w:val="28"/>
          <w:szCs w:val="28"/>
          <w:lang w:val="vi-VN"/>
        </w:rPr>
        <w:t xml:space="preserve"> do Nhà chức trách hàng không Việt Nam thực hiện,</w:t>
      </w:r>
      <w:r w:rsidRPr="000C0386">
        <w:rPr>
          <w:sz w:val="28"/>
          <w:szCs w:val="28"/>
          <w:lang w:val="vi-VN"/>
        </w:rPr>
        <w:t xml:space="preserve"> đây là nhiệm vụ liên quan đến việc tuân thủ điều ước quốc tế (Công ước Chicago 1944). </w:t>
      </w:r>
    </w:p>
    <w:p w14:paraId="7AD38952" w14:textId="77777777" w:rsidR="00802A1F" w:rsidRPr="000C0386" w:rsidRDefault="00802A1F" w:rsidP="00802A1F">
      <w:pPr>
        <w:spacing w:before="120" w:after="120"/>
        <w:ind w:firstLine="851"/>
        <w:jc w:val="both"/>
        <w:rPr>
          <w:iCs/>
          <w:sz w:val="28"/>
          <w:szCs w:val="28"/>
          <w:lang w:val="vi-VN"/>
        </w:rPr>
      </w:pPr>
      <w:r w:rsidRPr="000C0386">
        <w:rPr>
          <w:sz w:val="28"/>
          <w:szCs w:val="28"/>
          <w:lang w:val="vi-VN"/>
        </w:rPr>
        <w:t>- Theo quy định tại Phụ ước 1, 6, 7, 8 của Công ước Chicago 1944, việc thực hiện phê chuẩn, công nhận, cấp, gia hạn, sửa đổi, bổ sung, thu hồi, đình chỉ giấy phép, giấy chứng nhận, năng định, tài liệu chính sách, quy trình hoạt động đối với tàu bay, tổ chức, nhân viên hàng không là trách nhiệm của Nhà chức trách hàng không (Civil Aviation Authority) của các quốc gia thành viên ICAO. Việc kiểm tra, thẩm định hồ sơ đòi hỏi được thực hiện bởi giám sát viên an toàn hàng không có trình độ, năng lực, kinh nghiệm chuyên ngành và được đào tạo, huấn luyện, bổ nhiệm theo yêu cầu của ICAO. Tại các quốc gia trên thế giới việc thực hiện các nhiệm vụ trên cũng được thực hiện bởi Nhà chức trách</w:t>
      </w:r>
      <w:r w:rsidRPr="000C0386">
        <w:rPr>
          <w:iCs/>
          <w:sz w:val="28"/>
          <w:szCs w:val="28"/>
          <w:lang w:val="vi-VN"/>
        </w:rPr>
        <w:t xml:space="preserve"> hàng không của các quốc gia thành viên ICAO như: Cục Hàng không Mỹ (FAA), Cục Hàng không dân dụng Anh (CAA of UK), Tổng cục Hàng không dân dụng Pháp (DGCA), Cục Hàng không dân dụng Trung Quốc (CAAC), Cục Hàng không dân dụng Đức (LBA), Cơ quan an toàn hàng không Úc (CASA), Cục Hàng không dân dụng Singapore (CAAS)...</w:t>
      </w:r>
    </w:p>
    <w:p w14:paraId="204807E0" w14:textId="77777777" w:rsidR="00802A1F" w:rsidRPr="000C0386" w:rsidRDefault="00802A1F" w:rsidP="00802A1F">
      <w:pPr>
        <w:spacing w:before="120" w:after="120"/>
        <w:ind w:firstLine="851"/>
        <w:jc w:val="both"/>
        <w:rPr>
          <w:rFonts w:ascii="Times New Roman Bold" w:hAnsi="Times New Roman Bold"/>
          <w:b/>
          <w:bCs/>
          <w:spacing w:val="-4"/>
          <w:sz w:val="28"/>
          <w:szCs w:val="28"/>
          <w:lang w:val="vi-VN"/>
        </w:rPr>
      </w:pPr>
      <w:r w:rsidRPr="000C0386">
        <w:rPr>
          <w:rFonts w:ascii="Times New Roman Bold" w:hAnsi="Times New Roman Bold"/>
          <w:b/>
          <w:bCs/>
          <w:spacing w:val="-4"/>
          <w:sz w:val="28"/>
          <w:szCs w:val="28"/>
          <w:lang w:val="vi-VN"/>
        </w:rPr>
        <w:t>V. NHỮNG NỘI DUNG BỔ SUNG MỚI SO VỚI DỰ THẢO VĂN BẢN GỬI THẨM ĐỊNH (NẾU CÓ)</w:t>
      </w:r>
    </w:p>
    <w:p w14:paraId="0662E43C" w14:textId="77777777" w:rsidR="00802A1F" w:rsidRPr="000C0386" w:rsidRDefault="00802A1F" w:rsidP="00802A1F">
      <w:pPr>
        <w:spacing w:before="120" w:after="120"/>
        <w:ind w:firstLine="851"/>
        <w:jc w:val="both"/>
        <w:rPr>
          <w:rFonts w:ascii="Times New Roman Bold" w:hAnsi="Times New Roman Bold"/>
          <w:i/>
          <w:iCs/>
          <w:spacing w:val="-4"/>
          <w:sz w:val="28"/>
          <w:szCs w:val="28"/>
          <w:lang w:val="vi-VN"/>
        </w:rPr>
      </w:pPr>
      <w:r w:rsidRPr="000C0386">
        <w:rPr>
          <w:rFonts w:ascii="Times New Roman Bold" w:hAnsi="Times New Roman Bold"/>
          <w:i/>
          <w:iCs/>
          <w:spacing w:val="-4"/>
          <w:sz w:val="28"/>
          <w:szCs w:val="28"/>
          <w:lang w:val="vi-VN"/>
        </w:rPr>
        <w:t>(Cập nhật sau khi có kiến thẩm định của Bộ Tư pháp).</w:t>
      </w:r>
    </w:p>
    <w:p w14:paraId="1ADA8CB1" w14:textId="77777777" w:rsidR="00802A1F" w:rsidRPr="000C0386" w:rsidRDefault="00802A1F" w:rsidP="00802A1F">
      <w:pPr>
        <w:spacing w:before="120" w:after="120"/>
        <w:ind w:firstLine="851"/>
        <w:jc w:val="both"/>
        <w:rPr>
          <w:rFonts w:ascii="Times New Roman Bold" w:hAnsi="Times New Roman Bold"/>
          <w:b/>
          <w:bCs/>
          <w:spacing w:val="-4"/>
          <w:sz w:val="28"/>
          <w:szCs w:val="28"/>
          <w:lang w:val="vi-VN"/>
        </w:rPr>
      </w:pPr>
      <w:r w:rsidRPr="000C0386">
        <w:rPr>
          <w:rFonts w:ascii="Times New Roman Bold" w:hAnsi="Times New Roman Bold"/>
          <w:b/>
          <w:bCs/>
          <w:spacing w:val="-4"/>
          <w:sz w:val="28"/>
          <w:szCs w:val="28"/>
          <w:lang w:val="nl-NL"/>
        </w:rPr>
        <w:t>VI. DỰ KIẾN NGUỒN LỰC, ĐIỀU KIỆN BẢO ĐẢM CHO VIỆC THI HÀNH NGHỊ</w:t>
      </w:r>
      <w:r w:rsidRPr="000C0386">
        <w:rPr>
          <w:rFonts w:ascii="Times New Roman Bold" w:hAnsi="Times New Roman Bold"/>
          <w:b/>
          <w:bCs/>
          <w:spacing w:val="-4"/>
          <w:sz w:val="28"/>
          <w:szCs w:val="28"/>
          <w:lang w:val="vi-VN"/>
        </w:rPr>
        <w:t xml:space="preserve"> ĐỊNH VÀ THỜI GIAN TRÌNH THÔNG QUA BAN HÀNH</w:t>
      </w:r>
    </w:p>
    <w:p w14:paraId="4D54334C" w14:textId="77777777" w:rsidR="00802A1F" w:rsidRPr="000C0386" w:rsidRDefault="00802A1F" w:rsidP="00802A1F">
      <w:pPr>
        <w:spacing w:before="120" w:after="120"/>
        <w:ind w:firstLine="851"/>
        <w:jc w:val="both"/>
        <w:rPr>
          <w:b/>
          <w:bCs/>
          <w:sz w:val="28"/>
          <w:szCs w:val="28"/>
          <w:lang w:val="vi-VN"/>
        </w:rPr>
      </w:pPr>
      <w:r w:rsidRPr="000C0386">
        <w:rPr>
          <w:b/>
          <w:bCs/>
          <w:sz w:val="28"/>
          <w:szCs w:val="28"/>
          <w:lang w:val="vi-VN"/>
        </w:rPr>
        <w:t>1. Dự kiến nguồn lực, điều kiện bảo đảm cho việc thi hành Nghị định</w:t>
      </w:r>
    </w:p>
    <w:p w14:paraId="3240D203" w14:textId="77777777" w:rsidR="00802A1F" w:rsidRPr="000C0386" w:rsidRDefault="00802A1F" w:rsidP="00802A1F">
      <w:pPr>
        <w:spacing w:before="120" w:after="120"/>
        <w:ind w:firstLine="851"/>
        <w:jc w:val="both"/>
        <w:rPr>
          <w:spacing w:val="-4"/>
          <w:sz w:val="28"/>
          <w:szCs w:val="28"/>
          <w:lang w:val="vi-VN"/>
        </w:rPr>
      </w:pPr>
      <w:r w:rsidRPr="000C0386">
        <w:rPr>
          <w:spacing w:val="-4"/>
          <w:sz w:val="28"/>
          <w:szCs w:val="28"/>
          <w:lang w:val="nl-NL"/>
        </w:rPr>
        <w:t>Dự kiến khi Nghị định ban hành, các cơ quan, tổ chức thuộc đối tượng thi hành Nghị định có trách nhiệm thực thi, trong đó Bộ Xây</w:t>
      </w:r>
      <w:r w:rsidRPr="000C0386">
        <w:rPr>
          <w:spacing w:val="-4"/>
          <w:sz w:val="28"/>
          <w:szCs w:val="28"/>
          <w:lang w:val="vi-VN"/>
        </w:rPr>
        <w:t xml:space="preserve"> dựng</w:t>
      </w:r>
      <w:r w:rsidRPr="000C0386">
        <w:rPr>
          <w:spacing w:val="-4"/>
          <w:sz w:val="28"/>
          <w:szCs w:val="28"/>
          <w:lang w:val="nl-NL"/>
        </w:rPr>
        <w:t xml:space="preserve"> chịu trách nhiệm trước Chính phủ về việc tổ chức triển khai thi hành Nghị định.</w:t>
      </w:r>
      <w:r w:rsidRPr="000C0386">
        <w:rPr>
          <w:spacing w:val="-4"/>
          <w:sz w:val="28"/>
          <w:szCs w:val="28"/>
          <w:lang w:val="vi-VN"/>
        </w:rPr>
        <w:t xml:space="preserve"> Bộ Xây dựng đã có đơn vị trực thuộc (Cục Hàng không Việt Nam) để thực thi nhiệm vụ của Nhà chức trách hàng không Việt Nam để thực hiện chức năng quản lý nhà nước về lĩnh vực tàu bay và khai thác tàu bay.</w:t>
      </w:r>
    </w:p>
    <w:p w14:paraId="7BC58A0A" w14:textId="77777777" w:rsidR="00802A1F" w:rsidRPr="000C0386" w:rsidRDefault="00802A1F" w:rsidP="00802A1F">
      <w:pPr>
        <w:spacing w:before="120" w:after="120"/>
        <w:ind w:firstLine="851"/>
        <w:jc w:val="both"/>
        <w:rPr>
          <w:spacing w:val="-4"/>
          <w:sz w:val="28"/>
          <w:szCs w:val="28"/>
          <w:lang w:val="vi-VN"/>
        </w:rPr>
      </w:pPr>
      <w:r w:rsidRPr="000C0386">
        <w:rPr>
          <w:spacing w:val="-4"/>
          <w:sz w:val="28"/>
          <w:szCs w:val="28"/>
          <w:lang w:val="vi-VN"/>
        </w:rPr>
        <w:t>Như vậy Bộ Xây dựng đã có đầy đủ nguồn nhân lực, bộ máy, điều kiện cơ bản cho việc thi hành Nghị định. Đồng thời, các quy định tại Nghị định không làm thay đổi chức năng, nhiệm vụ quản lý nhà nước của các Bộ, ngành khác, do vậy, đối với các Bộ, ngành khác có liên quan vẫn duy trì đội ngũ nhân lực, tổ chức bộ máy sẵn có để cùng phối hợp với Bộ Xây dựng thực hiện các nhiệm vụ được giao tại Nghị định.</w:t>
      </w:r>
    </w:p>
    <w:p w14:paraId="644D9060" w14:textId="77777777" w:rsidR="00802A1F" w:rsidRPr="000C0386" w:rsidRDefault="00802A1F" w:rsidP="00802A1F">
      <w:pPr>
        <w:spacing w:before="120" w:after="120"/>
        <w:ind w:firstLine="851"/>
        <w:jc w:val="both"/>
        <w:rPr>
          <w:b/>
          <w:bCs/>
          <w:spacing w:val="-4"/>
          <w:sz w:val="28"/>
          <w:szCs w:val="28"/>
          <w:lang w:val="vi-VN"/>
        </w:rPr>
      </w:pPr>
      <w:r w:rsidRPr="000C0386">
        <w:rPr>
          <w:b/>
          <w:bCs/>
          <w:spacing w:val="-4"/>
          <w:sz w:val="28"/>
          <w:szCs w:val="28"/>
          <w:lang w:val="vi-VN"/>
        </w:rPr>
        <w:lastRenderedPageBreak/>
        <w:t xml:space="preserve">2. Về kinh phí </w:t>
      </w:r>
    </w:p>
    <w:p w14:paraId="0EA89EB3" w14:textId="77777777" w:rsidR="00802A1F" w:rsidRPr="000C0386" w:rsidRDefault="00802A1F" w:rsidP="00802A1F">
      <w:pPr>
        <w:spacing w:before="120" w:after="120"/>
        <w:ind w:firstLine="851"/>
        <w:jc w:val="both"/>
        <w:rPr>
          <w:spacing w:val="-4"/>
          <w:sz w:val="28"/>
          <w:szCs w:val="28"/>
          <w:lang w:val="vi-VN"/>
        </w:rPr>
      </w:pPr>
      <w:r w:rsidRPr="000C0386">
        <w:rPr>
          <w:spacing w:val="-4"/>
          <w:sz w:val="28"/>
          <w:szCs w:val="28"/>
          <w:lang w:val="vi-VN"/>
        </w:rPr>
        <w:t>Kinh phí bảo đảm tổ chức thi hành Nghị định sau khi được ban hành bao gồm:</w:t>
      </w:r>
    </w:p>
    <w:p w14:paraId="75DCFB1C" w14:textId="77777777" w:rsidR="00802A1F" w:rsidRPr="000C0386" w:rsidRDefault="00802A1F" w:rsidP="00802A1F">
      <w:pPr>
        <w:spacing w:before="120" w:after="120"/>
        <w:ind w:firstLine="851"/>
        <w:jc w:val="both"/>
        <w:rPr>
          <w:spacing w:val="-4"/>
          <w:sz w:val="28"/>
          <w:szCs w:val="28"/>
          <w:lang w:val="vi-VN"/>
        </w:rPr>
      </w:pPr>
      <w:r w:rsidRPr="000C0386">
        <w:rPr>
          <w:spacing w:val="-4"/>
          <w:sz w:val="28"/>
          <w:szCs w:val="28"/>
          <w:lang w:val="vi-VN"/>
        </w:rPr>
        <w:t>(1) Kinh phí xây dựng văn bản quy phạm pháp luật hướng dẫn thi hành Nghị định theo quy định của Pháp luật;</w:t>
      </w:r>
    </w:p>
    <w:p w14:paraId="399A6951" w14:textId="77777777" w:rsidR="00802A1F" w:rsidRPr="000C0386" w:rsidRDefault="00802A1F" w:rsidP="00802A1F">
      <w:pPr>
        <w:spacing w:before="120" w:after="120"/>
        <w:ind w:firstLine="851"/>
        <w:jc w:val="both"/>
        <w:rPr>
          <w:spacing w:val="-4"/>
          <w:sz w:val="28"/>
          <w:szCs w:val="28"/>
          <w:lang w:val="vi-VN"/>
        </w:rPr>
      </w:pPr>
      <w:r w:rsidRPr="000C0386">
        <w:rPr>
          <w:spacing w:val="-4"/>
          <w:sz w:val="28"/>
          <w:szCs w:val="28"/>
          <w:lang w:val="vi-VN"/>
        </w:rPr>
        <w:t>(2) Kinh phí cho tổ chức phổ biến, tuyên truyền Nghị định và các văn bản quy phạm phát luật hướng dẫn thi hành Nghị định;</w:t>
      </w:r>
    </w:p>
    <w:p w14:paraId="73C723E9" w14:textId="77777777" w:rsidR="00802A1F" w:rsidRPr="000C0386" w:rsidRDefault="00802A1F" w:rsidP="00802A1F">
      <w:pPr>
        <w:spacing w:before="120" w:after="120"/>
        <w:ind w:firstLine="851"/>
        <w:jc w:val="both"/>
        <w:rPr>
          <w:spacing w:val="-4"/>
          <w:sz w:val="28"/>
          <w:szCs w:val="28"/>
          <w:lang w:val="vi-VN"/>
        </w:rPr>
      </w:pPr>
      <w:r w:rsidRPr="000C0386">
        <w:rPr>
          <w:spacing w:val="-4"/>
          <w:sz w:val="28"/>
          <w:szCs w:val="28"/>
          <w:lang w:val="vi-VN"/>
        </w:rPr>
        <w:t>(3) Kinh phí tổ chức kiểm tra, giám sát tình hình thi hành Nghị định;</w:t>
      </w:r>
    </w:p>
    <w:p w14:paraId="39B99988" w14:textId="77777777" w:rsidR="00802A1F" w:rsidRPr="000C0386" w:rsidRDefault="00802A1F" w:rsidP="00802A1F">
      <w:pPr>
        <w:spacing w:before="120" w:after="120"/>
        <w:ind w:firstLine="851"/>
        <w:jc w:val="both"/>
        <w:rPr>
          <w:spacing w:val="-4"/>
          <w:sz w:val="28"/>
          <w:szCs w:val="28"/>
          <w:lang w:val="vi-VN"/>
        </w:rPr>
      </w:pPr>
      <w:r w:rsidRPr="000C0386">
        <w:rPr>
          <w:spacing w:val="-4"/>
          <w:sz w:val="28"/>
          <w:szCs w:val="28"/>
          <w:lang w:val="vi-VN"/>
        </w:rPr>
        <w:t>4) Kinh phí phát sinh bảo đảm tổ chức thi hành Nghị định sau khi được ban hành được dự toán và chủ yếu lấy từ nguồn kinh phí chi chi thường xuyên, kinh phí từ nguồn phí chuyên ngành hàng không.</w:t>
      </w:r>
    </w:p>
    <w:p w14:paraId="2043C1DC" w14:textId="77777777" w:rsidR="00802A1F" w:rsidRPr="000C0386" w:rsidRDefault="00802A1F" w:rsidP="00802A1F">
      <w:pPr>
        <w:spacing w:before="120" w:after="120"/>
        <w:ind w:firstLine="851"/>
        <w:jc w:val="both"/>
        <w:rPr>
          <w:b/>
          <w:bCs/>
          <w:sz w:val="28"/>
          <w:szCs w:val="28"/>
          <w:lang w:val="vi-VN"/>
        </w:rPr>
      </w:pPr>
      <w:r w:rsidRPr="000C0386">
        <w:rPr>
          <w:b/>
          <w:bCs/>
          <w:sz w:val="28"/>
          <w:szCs w:val="28"/>
        </w:rPr>
        <w:t>3</w:t>
      </w:r>
      <w:r w:rsidRPr="000C0386">
        <w:rPr>
          <w:b/>
          <w:bCs/>
          <w:sz w:val="28"/>
          <w:szCs w:val="28"/>
          <w:lang w:val="vi-VN"/>
        </w:rPr>
        <w:t>. Dự kiến thời gian ban trình thông qua/ban hành</w:t>
      </w:r>
    </w:p>
    <w:p w14:paraId="6270EB63" w14:textId="77777777" w:rsidR="00802A1F" w:rsidRPr="000C0386" w:rsidRDefault="00802A1F" w:rsidP="00802A1F">
      <w:pPr>
        <w:spacing w:before="120" w:after="120"/>
        <w:ind w:firstLine="851"/>
        <w:jc w:val="both"/>
        <w:rPr>
          <w:sz w:val="28"/>
          <w:szCs w:val="28"/>
        </w:rPr>
      </w:pPr>
      <w:r w:rsidRPr="000C0386">
        <w:rPr>
          <w:sz w:val="28"/>
          <w:szCs w:val="28"/>
          <w:lang w:val="vi-VN"/>
        </w:rPr>
        <w:t>Thời gian trình Chính phủ: tháng 4/2026</w:t>
      </w:r>
      <w:r w:rsidRPr="000C0386">
        <w:rPr>
          <w:sz w:val="28"/>
          <w:szCs w:val="28"/>
        </w:rPr>
        <w:t>.</w:t>
      </w:r>
    </w:p>
    <w:p w14:paraId="21032655" w14:textId="77777777" w:rsidR="00802A1F" w:rsidRPr="000C0386" w:rsidRDefault="00802A1F" w:rsidP="00802A1F">
      <w:pPr>
        <w:spacing w:before="120" w:after="120"/>
        <w:ind w:firstLine="851"/>
        <w:jc w:val="both"/>
        <w:rPr>
          <w:b/>
          <w:bCs/>
          <w:sz w:val="28"/>
          <w:szCs w:val="28"/>
          <w:lang w:val="vi-VN"/>
        </w:rPr>
      </w:pPr>
      <w:r w:rsidRPr="000C0386">
        <w:rPr>
          <w:b/>
          <w:bCs/>
          <w:sz w:val="28"/>
          <w:szCs w:val="28"/>
          <w:lang w:val="nl-NL"/>
        </w:rPr>
        <w:t>VII. NHỮNG VẤN ĐỀ XIN Ý KIẾN</w:t>
      </w:r>
      <w:r w:rsidRPr="000C0386">
        <w:rPr>
          <w:b/>
          <w:bCs/>
          <w:sz w:val="28"/>
          <w:szCs w:val="28"/>
          <w:lang w:val="vi-VN"/>
        </w:rPr>
        <w:t xml:space="preserve"> (NẾU CÓ)</w:t>
      </w:r>
    </w:p>
    <w:p w14:paraId="10E25DE7" w14:textId="77777777" w:rsidR="00802A1F" w:rsidRPr="000C0386" w:rsidRDefault="00802A1F" w:rsidP="00802A1F">
      <w:pPr>
        <w:spacing w:before="120" w:after="120"/>
        <w:ind w:firstLine="851"/>
        <w:jc w:val="both"/>
        <w:rPr>
          <w:spacing w:val="-2"/>
          <w:sz w:val="28"/>
          <w:szCs w:val="28"/>
          <w:lang w:val="nl-NL"/>
        </w:rPr>
      </w:pPr>
      <w:r w:rsidRPr="000C0386">
        <w:rPr>
          <w:spacing w:val="-2"/>
          <w:sz w:val="28"/>
          <w:szCs w:val="28"/>
          <w:lang w:val="nl-NL"/>
        </w:rPr>
        <w:t>Trên đây là Tờ trình về d</w:t>
      </w:r>
      <w:r w:rsidRPr="000C0386">
        <w:rPr>
          <w:spacing w:val="-2"/>
          <w:sz w:val="28"/>
          <w:szCs w:val="28"/>
          <w:lang w:val="vi-VN"/>
        </w:rPr>
        <w:t>ự thảo Nghị định về tàu bay và khai thác tàu bay</w:t>
      </w:r>
      <w:r w:rsidRPr="000C0386">
        <w:rPr>
          <w:spacing w:val="-2"/>
          <w:sz w:val="28"/>
          <w:szCs w:val="28"/>
          <w:lang w:val="nl-NL"/>
        </w:rPr>
        <w:t>, Bộ Xây dựng xin kính</w:t>
      </w:r>
      <w:r w:rsidRPr="000C0386">
        <w:rPr>
          <w:b/>
          <w:bCs/>
          <w:spacing w:val="-2"/>
          <w:sz w:val="28"/>
          <w:szCs w:val="28"/>
          <w:lang w:val="nl-NL"/>
        </w:rPr>
        <w:t xml:space="preserve"> </w:t>
      </w:r>
      <w:r w:rsidRPr="000C0386">
        <w:rPr>
          <w:spacing w:val="-2"/>
          <w:sz w:val="28"/>
          <w:szCs w:val="28"/>
          <w:lang w:val="nl-NL"/>
        </w:rPr>
        <w:t>trình Chính phủ xem xét, quyết định./.</w:t>
      </w:r>
    </w:p>
    <w:p w14:paraId="57392448" w14:textId="77777777" w:rsidR="00802A1F" w:rsidRPr="000C0386" w:rsidRDefault="00802A1F" w:rsidP="00802A1F">
      <w:pPr>
        <w:spacing w:before="120" w:after="120"/>
        <w:ind w:firstLine="851"/>
        <w:jc w:val="both"/>
        <w:rPr>
          <w:i/>
          <w:iCs/>
          <w:sz w:val="28"/>
          <w:szCs w:val="28"/>
          <w:lang w:val="vi-VN"/>
        </w:rPr>
      </w:pPr>
      <w:r w:rsidRPr="000C0386">
        <w:rPr>
          <w:i/>
          <w:iCs/>
          <w:sz w:val="28"/>
          <w:szCs w:val="28"/>
          <w:lang w:val="nl-NL"/>
        </w:rPr>
        <w:t>Xin gửi kèm theo Tờ trình này: (1) Dự thảo Nghị định; (2) Báo cáo thẩm định của Bộ Tư pháp, Báo cáo giải trình, tiếp thu ý kiến thẩm định của Bộ Tư pháp; (</w:t>
      </w:r>
      <w:r w:rsidRPr="000C0386">
        <w:rPr>
          <w:i/>
          <w:sz w:val="28"/>
          <w:szCs w:val="28"/>
          <w:lang w:val="nl-NL"/>
        </w:rPr>
        <w:t>3)</w:t>
      </w:r>
      <w:r w:rsidRPr="000C0386">
        <w:rPr>
          <w:rFonts w:eastAsia="Arial"/>
          <w:bCs/>
          <w:i/>
          <w:sz w:val="28"/>
          <w:szCs w:val="28"/>
          <w:lang w:val="nl-NL"/>
        </w:rPr>
        <w:t xml:space="preserve"> </w:t>
      </w:r>
      <w:r w:rsidRPr="000C0386">
        <w:rPr>
          <w:i/>
          <w:iCs/>
          <w:sz w:val="28"/>
          <w:szCs w:val="28"/>
          <w:lang w:val="nl-NL"/>
        </w:rPr>
        <w:t>Báo cáo rà soát các chủ trương, đường lối của Đảng, văn bản quy phạm pháp luật, điều ước quốc tế có liên quan; (4) Bản đánh giá thủ tục hành chính, việc phân quyền, phân cấp, bảo đảm bình đẳng giới, việc thực hiện chính sách dân tộc trong dự thảo Nghị định</w:t>
      </w:r>
      <w:r w:rsidRPr="000C0386">
        <w:rPr>
          <w:i/>
          <w:iCs/>
          <w:sz w:val="28"/>
          <w:szCs w:val="28"/>
          <w:lang w:val="vi-VN"/>
        </w:rPr>
        <w:t>;</w:t>
      </w:r>
      <w:r w:rsidRPr="000C0386">
        <w:rPr>
          <w:i/>
          <w:iCs/>
          <w:sz w:val="28"/>
          <w:szCs w:val="28"/>
          <w:lang w:val="nl-NL"/>
        </w:rPr>
        <w:t xml:space="preserve"> (</w:t>
      </w:r>
      <w:r w:rsidRPr="000C0386">
        <w:rPr>
          <w:i/>
          <w:iCs/>
          <w:sz w:val="28"/>
          <w:szCs w:val="28"/>
          <w:lang w:val="vi-VN"/>
        </w:rPr>
        <w:t>5</w:t>
      </w:r>
      <w:r w:rsidRPr="000C0386">
        <w:rPr>
          <w:i/>
          <w:iCs/>
          <w:sz w:val="28"/>
          <w:szCs w:val="28"/>
          <w:lang w:val="nl-NL"/>
        </w:rPr>
        <w:t>) Bản tổng hợp ý kiến, tiếp thu, giải trình ý kiến góp ý, phản biện xã hội và bản chụp ý kiến góp ý; (</w:t>
      </w:r>
      <w:r w:rsidRPr="000C0386">
        <w:rPr>
          <w:i/>
          <w:iCs/>
          <w:sz w:val="28"/>
          <w:szCs w:val="28"/>
          <w:lang w:val="vi-VN"/>
        </w:rPr>
        <w:t>6</w:t>
      </w:r>
      <w:r w:rsidRPr="000C0386">
        <w:rPr>
          <w:i/>
          <w:iCs/>
          <w:sz w:val="28"/>
          <w:szCs w:val="28"/>
          <w:lang w:val="nl-NL"/>
        </w:rPr>
        <w:t>) Bản so sánh, thuyết minh nội dung dự thảo Nghị định với quy định pháp luật hiện hành.</w:t>
      </w:r>
    </w:p>
    <w:p w14:paraId="4631D54B" w14:textId="77777777" w:rsidR="00802A1F" w:rsidRPr="000C0386" w:rsidRDefault="00802A1F" w:rsidP="00802A1F">
      <w:pPr>
        <w:spacing w:before="120" w:after="120"/>
        <w:ind w:firstLine="851"/>
        <w:jc w:val="both"/>
        <w:rPr>
          <w:i/>
          <w:iCs/>
          <w:sz w:val="28"/>
          <w:szCs w:val="28"/>
          <w:lang w:val="vi-VN"/>
        </w:rPr>
      </w:pPr>
    </w:p>
    <w:tbl>
      <w:tblPr>
        <w:tblW w:w="9045" w:type="dxa"/>
        <w:tblInd w:w="108" w:type="dxa"/>
        <w:tblLook w:val="0000" w:firstRow="0" w:lastRow="0" w:firstColumn="0" w:lastColumn="0" w:noHBand="0" w:noVBand="0"/>
      </w:tblPr>
      <w:tblGrid>
        <w:gridCol w:w="5107"/>
        <w:gridCol w:w="3938"/>
      </w:tblGrid>
      <w:tr w:rsidR="00802A1F" w:rsidRPr="000C0386" w14:paraId="1A9321AF" w14:textId="77777777" w:rsidTr="00830255">
        <w:trPr>
          <w:trHeight w:val="858"/>
        </w:trPr>
        <w:tc>
          <w:tcPr>
            <w:tcW w:w="5107" w:type="dxa"/>
          </w:tcPr>
          <w:p w14:paraId="00D070BF" w14:textId="77777777" w:rsidR="00802A1F" w:rsidRPr="000C0386" w:rsidRDefault="00802A1F" w:rsidP="00830255">
            <w:pPr>
              <w:jc w:val="both"/>
              <w:rPr>
                <w:b/>
                <w:bCs/>
                <w:i/>
                <w:iCs/>
                <w:lang w:val="nl-NL"/>
              </w:rPr>
            </w:pPr>
            <w:r w:rsidRPr="000C0386">
              <w:rPr>
                <w:b/>
                <w:bCs/>
                <w:i/>
                <w:iCs/>
                <w:lang w:val="nl-NL"/>
              </w:rPr>
              <w:t>Nơi nhận:</w:t>
            </w:r>
          </w:p>
          <w:p w14:paraId="57820256" w14:textId="77777777" w:rsidR="00802A1F" w:rsidRPr="000C0386" w:rsidRDefault="00802A1F" w:rsidP="00830255">
            <w:pPr>
              <w:jc w:val="both"/>
              <w:rPr>
                <w:lang w:val="nl-NL"/>
              </w:rPr>
            </w:pPr>
            <w:r w:rsidRPr="000C0386">
              <w:rPr>
                <w:lang w:val="nl-NL"/>
              </w:rPr>
              <w:t>- Như trên;</w:t>
            </w:r>
          </w:p>
          <w:p w14:paraId="31A08ADD" w14:textId="77777777" w:rsidR="00802A1F" w:rsidRPr="000C0386" w:rsidRDefault="00802A1F" w:rsidP="00830255">
            <w:pPr>
              <w:jc w:val="both"/>
              <w:rPr>
                <w:lang w:val="nl-NL"/>
              </w:rPr>
            </w:pPr>
            <w:r w:rsidRPr="000C0386">
              <w:rPr>
                <w:lang w:val="nl-NL"/>
              </w:rPr>
              <w:t>- Văn phòng Chính phủ;</w:t>
            </w:r>
          </w:p>
          <w:p w14:paraId="76FC1B9F" w14:textId="77777777" w:rsidR="00802A1F" w:rsidRPr="000C0386" w:rsidRDefault="00802A1F" w:rsidP="00830255">
            <w:pPr>
              <w:jc w:val="both"/>
              <w:rPr>
                <w:lang w:val="nl-NL"/>
              </w:rPr>
            </w:pPr>
            <w:r w:rsidRPr="000C0386">
              <w:rPr>
                <w:lang w:val="nl-NL"/>
              </w:rPr>
              <w:t>- Bộ Tư pháp;</w:t>
            </w:r>
          </w:p>
          <w:p w14:paraId="40BC8CB6" w14:textId="77777777" w:rsidR="00802A1F" w:rsidRPr="000C0386" w:rsidRDefault="00802A1F" w:rsidP="00830255">
            <w:pPr>
              <w:jc w:val="both"/>
              <w:rPr>
                <w:lang w:val="nl-NL"/>
              </w:rPr>
            </w:pPr>
            <w:r w:rsidRPr="000C0386">
              <w:rPr>
                <w:lang w:val="nl-NL"/>
              </w:rPr>
              <w:t>- Các Thứ trưởng Bộ Xây dựng;</w:t>
            </w:r>
          </w:p>
          <w:p w14:paraId="1C6EF5F7" w14:textId="77777777" w:rsidR="00802A1F" w:rsidRPr="000C0386" w:rsidRDefault="00802A1F" w:rsidP="00830255">
            <w:pPr>
              <w:jc w:val="both"/>
              <w:rPr>
                <w:lang w:val="nl-NL"/>
              </w:rPr>
            </w:pPr>
            <w:r w:rsidRPr="000C0386">
              <w:rPr>
                <w:lang w:val="nl-NL"/>
              </w:rPr>
              <w:t>- Vụ Pháp chế Bộ Xây dựng;</w:t>
            </w:r>
          </w:p>
          <w:p w14:paraId="67DEC205" w14:textId="77777777" w:rsidR="00802A1F" w:rsidRPr="000C0386" w:rsidRDefault="00802A1F" w:rsidP="00830255">
            <w:pPr>
              <w:jc w:val="both"/>
              <w:rPr>
                <w:lang w:val="nl-NL"/>
              </w:rPr>
            </w:pPr>
            <w:r w:rsidRPr="000C0386">
              <w:rPr>
                <w:lang w:val="nl-NL"/>
              </w:rPr>
              <w:t>- Cục HKVN;</w:t>
            </w:r>
          </w:p>
          <w:p w14:paraId="67C629FB" w14:textId="77777777" w:rsidR="00802A1F" w:rsidRPr="000C0386" w:rsidRDefault="00802A1F" w:rsidP="00830255">
            <w:pPr>
              <w:jc w:val="both"/>
              <w:rPr>
                <w:lang w:val="nl-NL"/>
              </w:rPr>
            </w:pPr>
            <w:r w:rsidRPr="000C0386">
              <w:rPr>
                <w:lang w:val="nl-NL"/>
              </w:rPr>
              <w:t>- Lưu: VT, VT&amp;ATGT.</w:t>
            </w:r>
          </w:p>
        </w:tc>
        <w:tc>
          <w:tcPr>
            <w:tcW w:w="3938" w:type="dxa"/>
          </w:tcPr>
          <w:p w14:paraId="38457F2A" w14:textId="77777777" w:rsidR="00802A1F" w:rsidRPr="000C0386" w:rsidRDefault="00802A1F" w:rsidP="00830255">
            <w:pPr>
              <w:spacing w:before="60" w:after="60" w:line="276" w:lineRule="auto"/>
              <w:jc w:val="center"/>
              <w:rPr>
                <w:b/>
                <w:bCs/>
                <w:sz w:val="28"/>
                <w:szCs w:val="28"/>
              </w:rPr>
            </w:pPr>
            <w:r w:rsidRPr="000C0386">
              <w:rPr>
                <w:b/>
                <w:bCs/>
                <w:sz w:val="28"/>
                <w:szCs w:val="28"/>
              </w:rPr>
              <w:t>BỘ TRƯỞNG</w:t>
            </w:r>
          </w:p>
          <w:p w14:paraId="5D2C4732" w14:textId="77777777" w:rsidR="00802A1F" w:rsidRPr="000C0386" w:rsidRDefault="00802A1F" w:rsidP="00830255">
            <w:pPr>
              <w:spacing w:before="60" w:after="60" w:line="276" w:lineRule="auto"/>
              <w:jc w:val="center"/>
              <w:rPr>
                <w:b/>
                <w:bCs/>
                <w:sz w:val="28"/>
                <w:szCs w:val="28"/>
              </w:rPr>
            </w:pPr>
          </w:p>
          <w:p w14:paraId="06B43A4F" w14:textId="77777777" w:rsidR="00802A1F" w:rsidRPr="000C0386" w:rsidRDefault="00802A1F" w:rsidP="00830255">
            <w:pPr>
              <w:spacing w:before="60" w:after="60" w:line="276" w:lineRule="auto"/>
              <w:jc w:val="center"/>
              <w:rPr>
                <w:b/>
                <w:bCs/>
                <w:sz w:val="28"/>
                <w:szCs w:val="28"/>
              </w:rPr>
            </w:pPr>
          </w:p>
          <w:p w14:paraId="4B2DA6D0" w14:textId="77777777" w:rsidR="00802A1F" w:rsidRPr="000C0386" w:rsidRDefault="00802A1F" w:rsidP="00830255">
            <w:pPr>
              <w:spacing w:before="60" w:after="60" w:line="276" w:lineRule="auto"/>
              <w:jc w:val="center"/>
              <w:rPr>
                <w:b/>
                <w:bCs/>
                <w:sz w:val="28"/>
                <w:szCs w:val="28"/>
              </w:rPr>
            </w:pPr>
          </w:p>
          <w:p w14:paraId="316569A8" w14:textId="77777777" w:rsidR="00802A1F" w:rsidRPr="000C0386" w:rsidRDefault="00802A1F" w:rsidP="00830255">
            <w:pPr>
              <w:spacing w:before="60" w:after="60" w:line="276" w:lineRule="auto"/>
              <w:jc w:val="center"/>
              <w:rPr>
                <w:b/>
                <w:bCs/>
                <w:sz w:val="28"/>
                <w:szCs w:val="28"/>
                <w:lang w:val="vi-VN"/>
              </w:rPr>
            </w:pPr>
            <w:r w:rsidRPr="000C0386">
              <w:rPr>
                <w:b/>
                <w:bCs/>
                <w:sz w:val="28"/>
                <w:szCs w:val="28"/>
              </w:rPr>
              <w:t>Trần Hồng Minh</w:t>
            </w:r>
          </w:p>
        </w:tc>
      </w:tr>
    </w:tbl>
    <w:p w14:paraId="197FED46" w14:textId="77777777" w:rsidR="00802A1F" w:rsidRPr="000C0386" w:rsidRDefault="00802A1F" w:rsidP="00802A1F">
      <w:pPr>
        <w:rPr>
          <w:lang w:val="vi-VN"/>
        </w:rPr>
      </w:pPr>
    </w:p>
    <w:p w14:paraId="2C027CEE" w14:textId="77777777" w:rsidR="00E72E53" w:rsidRPr="00E72E53" w:rsidRDefault="00E72E53" w:rsidP="00B46CBC">
      <w:pPr>
        <w:jc w:val="center"/>
        <w:rPr>
          <w:i/>
          <w:iCs/>
          <w:sz w:val="28"/>
          <w:szCs w:val="28"/>
          <w:lang w:val="vi-VN"/>
        </w:rPr>
      </w:pPr>
      <w:bookmarkStart w:id="1" w:name="bookmark=id.5tbe1zgeplsa" w:colFirst="0" w:colLast="0"/>
      <w:bookmarkStart w:id="2" w:name="_heading=h.jqa6may79pq2" w:colFirst="0" w:colLast="0"/>
      <w:bookmarkEnd w:id="1"/>
      <w:bookmarkEnd w:id="2"/>
    </w:p>
    <w:sectPr w:rsidR="00E72E53" w:rsidRPr="00E72E53" w:rsidSect="00C24074">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CBB87" w14:textId="77777777" w:rsidR="00F23E18" w:rsidRDefault="00F23E18" w:rsidP="006E2E0A">
      <w:r>
        <w:separator/>
      </w:r>
    </w:p>
  </w:endnote>
  <w:endnote w:type="continuationSeparator" w:id="0">
    <w:p w14:paraId="636AF45A" w14:textId="77777777" w:rsidR="00F23E18" w:rsidRDefault="00F23E18" w:rsidP="006E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IDFont+F2">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06D43" w14:textId="77777777" w:rsidR="00F23E18" w:rsidRDefault="00F23E18" w:rsidP="006E2E0A">
      <w:r>
        <w:separator/>
      </w:r>
    </w:p>
  </w:footnote>
  <w:footnote w:type="continuationSeparator" w:id="0">
    <w:p w14:paraId="1357A207" w14:textId="77777777" w:rsidR="00F23E18" w:rsidRDefault="00F23E18" w:rsidP="006E2E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874244"/>
      <w:docPartObj>
        <w:docPartGallery w:val="Page Numbers (Top of Page)"/>
        <w:docPartUnique/>
      </w:docPartObj>
    </w:sdtPr>
    <w:sdtEndPr>
      <w:rPr>
        <w:noProof/>
        <w:sz w:val="28"/>
        <w:szCs w:val="28"/>
      </w:rPr>
    </w:sdtEndPr>
    <w:sdtContent>
      <w:p w14:paraId="32269D06" w14:textId="5C46562A" w:rsidR="00B46CBC" w:rsidRPr="00B46CBC" w:rsidRDefault="00B46CBC">
        <w:pPr>
          <w:pStyle w:val="Header"/>
          <w:jc w:val="center"/>
          <w:rPr>
            <w:sz w:val="28"/>
            <w:szCs w:val="28"/>
          </w:rPr>
        </w:pPr>
        <w:r w:rsidRPr="00B46CBC">
          <w:rPr>
            <w:sz w:val="28"/>
            <w:szCs w:val="28"/>
          </w:rPr>
          <w:fldChar w:fldCharType="begin"/>
        </w:r>
        <w:r w:rsidRPr="00B46CBC">
          <w:rPr>
            <w:sz w:val="28"/>
            <w:szCs w:val="28"/>
          </w:rPr>
          <w:instrText xml:space="preserve"> PAGE   \* MERGEFORMAT </w:instrText>
        </w:r>
        <w:r w:rsidRPr="00B46CBC">
          <w:rPr>
            <w:sz w:val="28"/>
            <w:szCs w:val="28"/>
          </w:rPr>
          <w:fldChar w:fldCharType="separate"/>
        </w:r>
        <w:r w:rsidR="00C24074">
          <w:rPr>
            <w:noProof/>
            <w:sz w:val="28"/>
            <w:szCs w:val="28"/>
          </w:rPr>
          <w:t>6</w:t>
        </w:r>
        <w:r w:rsidRPr="00B46CBC">
          <w:rPr>
            <w:noProof/>
            <w:sz w:val="28"/>
            <w:szCs w:val="28"/>
          </w:rPr>
          <w:fldChar w:fldCharType="end"/>
        </w:r>
      </w:p>
    </w:sdtContent>
  </w:sdt>
  <w:p w14:paraId="568A77AD" w14:textId="77777777" w:rsidR="00B46CBC" w:rsidRDefault="00B46CB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style="width:83.9pt;height:63.25pt;visibility:visible" o:bullet="t">
        <v:imagedata r:id="rId1" o:title=""/>
        <o:lock v:ext="edit" aspectratio="f"/>
      </v:shape>
    </w:pict>
  </w:numPicBullet>
  <w:abstractNum w:abstractNumId="0" w15:restartNumberingAfterBreak="0">
    <w:nsid w:val="D0E036F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B6DA0"/>
    <w:multiLevelType w:val="hybridMultilevel"/>
    <w:tmpl w:val="624C5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417C8"/>
    <w:multiLevelType w:val="multilevel"/>
    <w:tmpl w:val="786E78E4"/>
    <w:lvl w:ilvl="0">
      <w:start w:val="1"/>
      <w:numFmt w:val="decimal"/>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093E312E"/>
    <w:multiLevelType w:val="multilevel"/>
    <w:tmpl w:val="C3F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D1B0A"/>
    <w:multiLevelType w:val="hybridMultilevel"/>
    <w:tmpl w:val="1082D038"/>
    <w:lvl w:ilvl="0" w:tplc="7CD2ECF2">
      <w:start w:val="1"/>
      <w:numFmt w:val="bullet"/>
      <w:lvlText w:val=""/>
      <w:lvlPicBulletId w:val="0"/>
      <w:lvlJc w:val="left"/>
      <w:pPr>
        <w:tabs>
          <w:tab w:val="num" w:pos="720"/>
        </w:tabs>
        <w:ind w:left="720" w:hanging="360"/>
      </w:pPr>
      <w:rPr>
        <w:rFonts w:ascii="Symbol" w:hAnsi="Symbol" w:hint="default"/>
      </w:rPr>
    </w:lvl>
    <w:lvl w:ilvl="1" w:tplc="9286BD94" w:tentative="1">
      <w:start w:val="1"/>
      <w:numFmt w:val="bullet"/>
      <w:lvlText w:val=""/>
      <w:lvlJc w:val="left"/>
      <w:pPr>
        <w:tabs>
          <w:tab w:val="num" w:pos="1440"/>
        </w:tabs>
        <w:ind w:left="1440" w:hanging="360"/>
      </w:pPr>
      <w:rPr>
        <w:rFonts w:ascii="Symbol" w:hAnsi="Symbol" w:hint="default"/>
      </w:rPr>
    </w:lvl>
    <w:lvl w:ilvl="2" w:tplc="62C6B020" w:tentative="1">
      <w:start w:val="1"/>
      <w:numFmt w:val="bullet"/>
      <w:lvlText w:val=""/>
      <w:lvlJc w:val="left"/>
      <w:pPr>
        <w:tabs>
          <w:tab w:val="num" w:pos="2160"/>
        </w:tabs>
        <w:ind w:left="2160" w:hanging="360"/>
      </w:pPr>
      <w:rPr>
        <w:rFonts w:ascii="Symbol" w:hAnsi="Symbol" w:hint="default"/>
      </w:rPr>
    </w:lvl>
    <w:lvl w:ilvl="3" w:tplc="66707090" w:tentative="1">
      <w:start w:val="1"/>
      <w:numFmt w:val="bullet"/>
      <w:lvlText w:val=""/>
      <w:lvlJc w:val="left"/>
      <w:pPr>
        <w:tabs>
          <w:tab w:val="num" w:pos="2880"/>
        </w:tabs>
        <w:ind w:left="2880" w:hanging="360"/>
      </w:pPr>
      <w:rPr>
        <w:rFonts w:ascii="Symbol" w:hAnsi="Symbol" w:hint="default"/>
      </w:rPr>
    </w:lvl>
    <w:lvl w:ilvl="4" w:tplc="A8647EE2" w:tentative="1">
      <w:start w:val="1"/>
      <w:numFmt w:val="bullet"/>
      <w:lvlText w:val=""/>
      <w:lvlJc w:val="left"/>
      <w:pPr>
        <w:tabs>
          <w:tab w:val="num" w:pos="3600"/>
        </w:tabs>
        <w:ind w:left="3600" w:hanging="360"/>
      </w:pPr>
      <w:rPr>
        <w:rFonts w:ascii="Symbol" w:hAnsi="Symbol" w:hint="default"/>
      </w:rPr>
    </w:lvl>
    <w:lvl w:ilvl="5" w:tplc="37729A76" w:tentative="1">
      <w:start w:val="1"/>
      <w:numFmt w:val="bullet"/>
      <w:lvlText w:val=""/>
      <w:lvlJc w:val="left"/>
      <w:pPr>
        <w:tabs>
          <w:tab w:val="num" w:pos="4320"/>
        </w:tabs>
        <w:ind w:left="4320" w:hanging="360"/>
      </w:pPr>
      <w:rPr>
        <w:rFonts w:ascii="Symbol" w:hAnsi="Symbol" w:hint="default"/>
      </w:rPr>
    </w:lvl>
    <w:lvl w:ilvl="6" w:tplc="3E2C9E9E" w:tentative="1">
      <w:start w:val="1"/>
      <w:numFmt w:val="bullet"/>
      <w:lvlText w:val=""/>
      <w:lvlJc w:val="left"/>
      <w:pPr>
        <w:tabs>
          <w:tab w:val="num" w:pos="5040"/>
        </w:tabs>
        <w:ind w:left="5040" w:hanging="360"/>
      </w:pPr>
      <w:rPr>
        <w:rFonts w:ascii="Symbol" w:hAnsi="Symbol" w:hint="default"/>
      </w:rPr>
    </w:lvl>
    <w:lvl w:ilvl="7" w:tplc="7C5E8FBA" w:tentative="1">
      <w:start w:val="1"/>
      <w:numFmt w:val="bullet"/>
      <w:lvlText w:val=""/>
      <w:lvlJc w:val="left"/>
      <w:pPr>
        <w:tabs>
          <w:tab w:val="num" w:pos="5760"/>
        </w:tabs>
        <w:ind w:left="5760" w:hanging="360"/>
      </w:pPr>
      <w:rPr>
        <w:rFonts w:ascii="Symbol" w:hAnsi="Symbol" w:hint="default"/>
      </w:rPr>
    </w:lvl>
    <w:lvl w:ilvl="8" w:tplc="6B32E7E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BB06ADA"/>
    <w:multiLevelType w:val="hybridMultilevel"/>
    <w:tmpl w:val="747C35F8"/>
    <w:lvl w:ilvl="0" w:tplc="FC784C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6510B4"/>
    <w:multiLevelType w:val="hybridMultilevel"/>
    <w:tmpl w:val="E5AEE4C4"/>
    <w:lvl w:ilvl="0" w:tplc="CEE6DD10">
      <w:start w:val="1"/>
      <w:numFmt w:val="bullet"/>
      <w:lvlText w:val=""/>
      <w:lvlPicBulletId w:val="0"/>
      <w:lvlJc w:val="left"/>
      <w:pPr>
        <w:tabs>
          <w:tab w:val="num" w:pos="720"/>
        </w:tabs>
        <w:ind w:left="720" w:hanging="360"/>
      </w:pPr>
      <w:rPr>
        <w:rFonts w:ascii="Symbol" w:hAnsi="Symbol" w:hint="default"/>
      </w:rPr>
    </w:lvl>
    <w:lvl w:ilvl="1" w:tplc="58A8A572" w:tentative="1">
      <w:start w:val="1"/>
      <w:numFmt w:val="bullet"/>
      <w:lvlText w:val=""/>
      <w:lvlJc w:val="left"/>
      <w:pPr>
        <w:tabs>
          <w:tab w:val="num" w:pos="1440"/>
        </w:tabs>
        <w:ind w:left="1440" w:hanging="360"/>
      </w:pPr>
      <w:rPr>
        <w:rFonts w:ascii="Symbol" w:hAnsi="Symbol" w:hint="default"/>
      </w:rPr>
    </w:lvl>
    <w:lvl w:ilvl="2" w:tplc="983A62DA" w:tentative="1">
      <w:start w:val="1"/>
      <w:numFmt w:val="bullet"/>
      <w:lvlText w:val=""/>
      <w:lvlJc w:val="left"/>
      <w:pPr>
        <w:tabs>
          <w:tab w:val="num" w:pos="2160"/>
        </w:tabs>
        <w:ind w:left="2160" w:hanging="360"/>
      </w:pPr>
      <w:rPr>
        <w:rFonts w:ascii="Symbol" w:hAnsi="Symbol" w:hint="default"/>
      </w:rPr>
    </w:lvl>
    <w:lvl w:ilvl="3" w:tplc="DBACD06C" w:tentative="1">
      <w:start w:val="1"/>
      <w:numFmt w:val="bullet"/>
      <w:lvlText w:val=""/>
      <w:lvlJc w:val="left"/>
      <w:pPr>
        <w:tabs>
          <w:tab w:val="num" w:pos="2880"/>
        </w:tabs>
        <w:ind w:left="2880" w:hanging="360"/>
      </w:pPr>
      <w:rPr>
        <w:rFonts w:ascii="Symbol" w:hAnsi="Symbol" w:hint="default"/>
      </w:rPr>
    </w:lvl>
    <w:lvl w:ilvl="4" w:tplc="6D189B8E" w:tentative="1">
      <w:start w:val="1"/>
      <w:numFmt w:val="bullet"/>
      <w:lvlText w:val=""/>
      <w:lvlJc w:val="left"/>
      <w:pPr>
        <w:tabs>
          <w:tab w:val="num" w:pos="3600"/>
        </w:tabs>
        <w:ind w:left="3600" w:hanging="360"/>
      </w:pPr>
      <w:rPr>
        <w:rFonts w:ascii="Symbol" w:hAnsi="Symbol" w:hint="default"/>
      </w:rPr>
    </w:lvl>
    <w:lvl w:ilvl="5" w:tplc="FFD66176" w:tentative="1">
      <w:start w:val="1"/>
      <w:numFmt w:val="bullet"/>
      <w:lvlText w:val=""/>
      <w:lvlJc w:val="left"/>
      <w:pPr>
        <w:tabs>
          <w:tab w:val="num" w:pos="4320"/>
        </w:tabs>
        <w:ind w:left="4320" w:hanging="360"/>
      </w:pPr>
      <w:rPr>
        <w:rFonts w:ascii="Symbol" w:hAnsi="Symbol" w:hint="default"/>
      </w:rPr>
    </w:lvl>
    <w:lvl w:ilvl="6" w:tplc="503C9CE6" w:tentative="1">
      <w:start w:val="1"/>
      <w:numFmt w:val="bullet"/>
      <w:lvlText w:val=""/>
      <w:lvlJc w:val="left"/>
      <w:pPr>
        <w:tabs>
          <w:tab w:val="num" w:pos="5040"/>
        </w:tabs>
        <w:ind w:left="5040" w:hanging="360"/>
      </w:pPr>
      <w:rPr>
        <w:rFonts w:ascii="Symbol" w:hAnsi="Symbol" w:hint="default"/>
      </w:rPr>
    </w:lvl>
    <w:lvl w:ilvl="7" w:tplc="94749F7A" w:tentative="1">
      <w:start w:val="1"/>
      <w:numFmt w:val="bullet"/>
      <w:lvlText w:val=""/>
      <w:lvlJc w:val="left"/>
      <w:pPr>
        <w:tabs>
          <w:tab w:val="num" w:pos="5760"/>
        </w:tabs>
        <w:ind w:left="5760" w:hanging="360"/>
      </w:pPr>
      <w:rPr>
        <w:rFonts w:ascii="Symbol" w:hAnsi="Symbol" w:hint="default"/>
      </w:rPr>
    </w:lvl>
    <w:lvl w:ilvl="8" w:tplc="B53AF25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E2D4A66"/>
    <w:multiLevelType w:val="multilevel"/>
    <w:tmpl w:val="BAD2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7F680C"/>
    <w:multiLevelType w:val="multilevel"/>
    <w:tmpl w:val="F5D0C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807B55"/>
    <w:multiLevelType w:val="hybridMultilevel"/>
    <w:tmpl w:val="B58087E6"/>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22771"/>
    <w:multiLevelType w:val="multilevel"/>
    <w:tmpl w:val="5888EDA0"/>
    <w:styleLink w:val="CurrentList1"/>
    <w:lvl w:ilvl="0">
      <w:start w:val="1"/>
      <w:numFmt w:val="decimal"/>
      <w:lvlText w:val="Điều %1."/>
      <w:lvlJc w:val="lef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FA036D"/>
    <w:multiLevelType w:val="hybridMultilevel"/>
    <w:tmpl w:val="DDF6E9E8"/>
    <w:lvl w:ilvl="0" w:tplc="562405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8D75B1"/>
    <w:multiLevelType w:val="hybridMultilevel"/>
    <w:tmpl w:val="C3F07E32"/>
    <w:lvl w:ilvl="0" w:tplc="CFAED36A">
      <w:start w:val="1"/>
      <w:numFmt w:val="decimal"/>
      <w:suff w:val="space"/>
      <w:lvlText w:val="%1."/>
      <w:lvlJc w:val="left"/>
      <w:pPr>
        <w:ind w:left="360" w:hanging="360"/>
      </w:pPr>
      <w:rPr>
        <w:rFonts w:ascii="Times New Roman" w:hAnsi="Times New Roman" w:cs="Times New Roman" w:hint="default"/>
        <w:b w:val="0"/>
        <w:color w:val="000000"/>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8F7245"/>
    <w:multiLevelType w:val="hybridMultilevel"/>
    <w:tmpl w:val="F578A75E"/>
    <w:lvl w:ilvl="0" w:tplc="AA98F852">
      <w:start w:val="1"/>
      <w:numFmt w:val="lowerLetter"/>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14" w15:restartNumberingAfterBreak="0">
    <w:nsid w:val="3CD91E07"/>
    <w:multiLevelType w:val="multilevel"/>
    <w:tmpl w:val="0E0A0CD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0075C9"/>
    <w:multiLevelType w:val="hybridMultilevel"/>
    <w:tmpl w:val="F828BB26"/>
    <w:lvl w:ilvl="0" w:tplc="3F761AEC">
      <w:start w:val="1"/>
      <w:numFmt w:val="decimal"/>
      <w:lvlText w:val="%1."/>
      <w:lvlJc w:val="left"/>
      <w:pPr>
        <w:ind w:left="251" w:hanging="138"/>
      </w:pPr>
      <w:rPr>
        <w:rFonts w:ascii="Times New Roman" w:eastAsia="Times New Roman" w:hAnsi="Times New Roman" w:cs="Times New Roman" w:hint="default"/>
        <w:b w:val="0"/>
        <w:bCs w:val="0"/>
        <w:i w:val="0"/>
        <w:iCs w:val="0"/>
        <w:spacing w:val="0"/>
        <w:w w:val="100"/>
        <w:sz w:val="16"/>
        <w:szCs w:val="16"/>
        <w:lang w:val="en-US" w:eastAsia="en-US" w:bidi="ar-SA"/>
      </w:rPr>
    </w:lvl>
    <w:lvl w:ilvl="1" w:tplc="52A884B2">
      <w:numFmt w:val="bullet"/>
      <w:lvlText w:val="•"/>
      <w:lvlJc w:val="left"/>
      <w:pPr>
        <w:ind w:left="717" w:hanging="138"/>
      </w:pPr>
      <w:rPr>
        <w:rFonts w:hint="default"/>
        <w:lang w:val="en-US" w:eastAsia="en-US" w:bidi="ar-SA"/>
      </w:rPr>
    </w:lvl>
    <w:lvl w:ilvl="2" w:tplc="1E32CE14">
      <w:numFmt w:val="bullet"/>
      <w:lvlText w:val="•"/>
      <w:lvlJc w:val="left"/>
      <w:pPr>
        <w:ind w:left="1175" w:hanging="138"/>
      </w:pPr>
      <w:rPr>
        <w:rFonts w:hint="default"/>
        <w:lang w:val="en-US" w:eastAsia="en-US" w:bidi="ar-SA"/>
      </w:rPr>
    </w:lvl>
    <w:lvl w:ilvl="3" w:tplc="7876B52E">
      <w:numFmt w:val="bullet"/>
      <w:lvlText w:val="•"/>
      <w:lvlJc w:val="left"/>
      <w:pPr>
        <w:ind w:left="1633" w:hanging="138"/>
      </w:pPr>
      <w:rPr>
        <w:rFonts w:hint="default"/>
        <w:lang w:val="en-US" w:eastAsia="en-US" w:bidi="ar-SA"/>
      </w:rPr>
    </w:lvl>
    <w:lvl w:ilvl="4" w:tplc="2C587FFC">
      <w:numFmt w:val="bullet"/>
      <w:lvlText w:val="•"/>
      <w:lvlJc w:val="left"/>
      <w:pPr>
        <w:ind w:left="2091" w:hanging="138"/>
      </w:pPr>
      <w:rPr>
        <w:rFonts w:hint="default"/>
        <w:lang w:val="en-US" w:eastAsia="en-US" w:bidi="ar-SA"/>
      </w:rPr>
    </w:lvl>
    <w:lvl w:ilvl="5" w:tplc="4CFE0DAA">
      <w:numFmt w:val="bullet"/>
      <w:lvlText w:val="•"/>
      <w:lvlJc w:val="left"/>
      <w:pPr>
        <w:ind w:left="2548" w:hanging="138"/>
      </w:pPr>
      <w:rPr>
        <w:rFonts w:hint="default"/>
        <w:lang w:val="en-US" w:eastAsia="en-US" w:bidi="ar-SA"/>
      </w:rPr>
    </w:lvl>
    <w:lvl w:ilvl="6" w:tplc="76AAE8EE">
      <w:numFmt w:val="bullet"/>
      <w:lvlText w:val="•"/>
      <w:lvlJc w:val="left"/>
      <w:pPr>
        <w:ind w:left="3006" w:hanging="138"/>
      </w:pPr>
      <w:rPr>
        <w:rFonts w:hint="default"/>
        <w:lang w:val="en-US" w:eastAsia="en-US" w:bidi="ar-SA"/>
      </w:rPr>
    </w:lvl>
    <w:lvl w:ilvl="7" w:tplc="9A20673E">
      <w:numFmt w:val="bullet"/>
      <w:lvlText w:val="•"/>
      <w:lvlJc w:val="left"/>
      <w:pPr>
        <w:ind w:left="3464" w:hanging="138"/>
      </w:pPr>
      <w:rPr>
        <w:rFonts w:hint="default"/>
        <w:lang w:val="en-US" w:eastAsia="en-US" w:bidi="ar-SA"/>
      </w:rPr>
    </w:lvl>
    <w:lvl w:ilvl="8" w:tplc="0DE42F0C">
      <w:numFmt w:val="bullet"/>
      <w:lvlText w:val="•"/>
      <w:lvlJc w:val="left"/>
      <w:pPr>
        <w:ind w:left="3922" w:hanging="138"/>
      </w:pPr>
      <w:rPr>
        <w:rFonts w:hint="default"/>
        <w:lang w:val="en-US" w:eastAsia="en-US" w:bidi="ar-SA"/>
      </w:rPr>
    </w:lvl>
  </w:abstractNum>
  <w:abstractNum w:abstractNumId="16" w15:restartNumberingAfterBreak="0">
    <w:nsid w:val="43D86AA3"/>
    <w:multiLevelType w:val="multilevel"/>
    <w:tmpl w:val="2EE09864"/>
    <w:styleLink w:val="CurrentList2"/>
    <w:lvl w:ilvl="0">
      <w:start w:val="1"/>
      <w:numFmt w:val="decimal"/>
      <w:lvlText w:val="Điều %1."/>
      <w:lvlJc w:val="left"/>
      <w:pPr>
        <w:ind w:left="454" w:firstLine="11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E779D1"/>
    <w:multiLevelType w:val="hybridMultilevel"/>
    <w:tmpl w:val="2D0C8DDE"/>
    <w:lvl w:ilvl="0" w:tplc="CFE2C446">
      <w:numFmt w:val="bullet"/>
      <w:lvlText w:val="□"/>
      <w:lvlJc w:val="left"/>
      <w:pPr>
        <w:ind w:left="720" w:hanging="360"/>
      </w:pPr>
      <w:rPr>
        <w:rFonts w:ascii="Verdana" w:eastAsia="Verdana" w:hAnsi="Verdana" w:cs="Verdana" w:hint="default"/>
        <w:b w:val="0"/>
        <w:bCs w:val="0"/>
        <w:i w:val="0"/>
        <w:iCs w:val="0"/>
        <w:spacing w:val="0"/>
        <w:w w:val="98"/>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4759FB"/>
    <w:multiLevelType w:val="hybridMultilevel"/>
    <w:tmpl w:val="5F52436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0A6754"/>
    <w:multiLevelType w:val="hybridMultilevel"/>
    <w:tmpl w:val="3638621C"/>
    <w:lvl w:ilvl="0" w:tplc="9BDA7412">
      <w:start w:val="1"/>
      <w:numFmt w:val="lowerLetter"/>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20" w15:restartNumberingAfterBreak="0">
    <w:nsid w:val="4F39782C"/>
    <w:multiLevelType w:val="hybridMultilevel"/>
    <w:tmpl w:val="08B68A0C"/>
    <w:lvl w:ilvl="0" w:tplc="44DE4CC8">
      <w:start w:val="1"/>
      <w:numFmt w:val="upperRoman"/>
      <w:lvlText w:val="%1."/>
      <w:lvlJc w:val="left"/>
      <w:pPr>
        <w:ind w:left="850" w:hanging="720"/>
      </w:pPr>
      <w:rPr>
        <w:rFonts w:eastAsia="Times New Roman" w:hint="default"/>
        <w:color w:val="auto"/>
        <w:sz w:val="24"/>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21" w15:restartNumberingAfterBreak="0">
    <w:nsid w:val="51D7707B"/>
    <w:multiLevelType w:val="hybridMultilevel"/>
    <w:tmpl w:val="1E086E58"/>
    <w:lvl w:ilvl="0" w:tplc="A46EBA80">
      <w:start w:val="1"/>
      <w:numFmt w:val="decimal"/>
      <w:lvlText w:val="%1."/>
      <w:lvlJc w:val="left"/>
      <w:pPr>
        <w:ind w:left="1570" w:hanging="360"/>
      </w:pPr>
      <w:rPr>
        <w:rFonts w:ascii="Times New Roman" w:eastAsiaTheme="minorHAnsi" w:hAnsi="Times New Roman" w:cs="Times New Roman"/>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22" w15:restartNumberingAfterBreak="0">
    <w:nsid w:val="56CD48A9"/>
    <w:multiLevelType w:val="hybridMultilevel"/>
    <w:tmpl w:val="04860006"/>
    <w:lvl w:ilvl="0" w:tplc="1D42F5B0">
      <w:start w:val="3"/>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3" w15:restartNumberingAfterBreak="0">
    <w:nsid w:val="56E72596"/>
    <w:multiLevelType w:val="multilevel"/>
    <w:tmpl w:val="4E6E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FC4731"/>
    <w:multiLevelType w:val="hybridMultilevel"/>
    <w:tmpl w:val="786E78E4"/>
    <w:lvl w:ilvl="0" w:tplc="4C04C212">
      <w:start w:val="1"/>
      <w:numFmt w:val="decimal"/>
      <w:lvlText w:val="%1."/>
      <w:lvlJc w:val="left"/>
      <w:pPr>
        <w:ind w:left="1068" w:hanging="360"/>
      </w:pPr>
      <w:rPr>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15:restartNumberingAfterBreak="0">
    <w:nsid w:val="581A1C7A"/>
    <w:multiLevelType w:val="hybridMultilevel"/>
    <w:tmpl w:val="38346DE0"/>
    <w:lvl w:ilvl="0" w:tplc="905EEEB6">
      <w:start w:val="1"/>
      <w:numFmt w:val="bullet"/>
      <w:lvlText w:val=""/>
      <w:lvlPicBulletId w:val="0"/>
      <w:lvlJc w:val="left"/>
      <w:pPr>
        <w:tabs>
          <w:tab w:val="num" w:pos="720"/>
        </w:tabs>
        <w:ind w:left="720" w:hanging="360"/>
      </w:pPr>
      <w:rPr>
        <w:rFonts w:ascii="Symbol" w:hAnsi="Symbol" w:hint="default"/>
      </w:rPr>
    </w:lvl>
    <w:lvl w:ilvl="1" w:tplc="714CE022" w:tentative="1">
      <w:start w:val="1"/>
      <w:numFmt w:val="bullet"/>
      <w:lvlText w:val=""/>
      <w:lvlJc w:val="left"/>
      <w:pPr>
        <w:tabs>
          <w:tab w:val="num" w:pos="1440"/>
        </w:tabs>
        <w:ind w:left="1440" w:hanging="360"/>
      </w:pPr>
      <w:rPr>
        <w:rFonts w:ascii="Symbol" w:hAnsi="Symbol" w:hint="default"/>
      </w:rPr>
    </w:lvl>
    <w:lvl w:ilvl="2" w:tplc="10C4A568" w:tentative="1">
      <w:start w:val="1"/>
      <w:numFmt w:val="bullet"/>
      <w:lvlText w:val=""/>
      <w:lvlJc w:val="left"/>
      <w:pPr>
        <w:tabs>
          <w:tab w:val="num" w:pos="2160"/>
        </w:tabs>
        <w:ind w:left="2160" w:hanging="360"/>
      </w:pPr>
      <w:rPr>
        <w:rFonts w:ascii="Symbol" w:hAnsi="Symbol" w:hint="default"/>
      </w:rPr>
    </w:lvl>
    <w:lvl w:ilvl="3" w:tplc="261672F8" w:tentative="1">
      <w:start w:val="1"/>
      <w:numFmt w:val="bullet"/>
      <w:lvlText w:val=""/>
      <w:lvlJc w:val="left"/>
      <w:pPr>
        <w:tabs>
          <w:tab w:val="num" w:pos="2880"/>
        </w:tabs>
        <w:ind w:left="2880" w:hanging="360"/>
      </w:pPr>
      <w:rPr>
        <w:rFonts w:ascii="Symbol" w:hAnsi="Symbol" w:hint="default"/>
      </w:rPr>
    </w:lvl>
    <w:lvl w:ilvl="4" w:tplc="2648F0A2" w:tentative="1">
      <w:start w:val="1"/>
      <w:numFmt w:val="bullet"/>
      <w:lvlText w:val=""/>
      <w:lvlJc w:val="left"/>
      <w:pPr>
        <w:tabs>
          <w:tab w:val="num" w:pos="3600"/>
        </w:tabs>
        <w:ind w:left="3600" w:hanging="360"/>
      </w:pPr>
      <w:rPr>
        <w:rFonts w:ascii="Symbol" w:hAnsi="Symbol" w:hint="default"/>
      </w:rPr>
    </w:lvl>
    <w:lvl w:ilvl="5" w:tplc="3F4EEB46" w:tentative="1">
      <w:start w:val="1"/>
      <w:numFmt w:val="bullet"/>
      <w:lvlText w:val=""/>
      <w:lvlJc w:val="left"/>
      <w:pPr>
        <w:tabs>
          <w:tab w:val="num" w:pos="4320"/>
        </w:tabs>
        <w:ind w:left="4320" w:hanging="360"/>
      </w:pPr>
      <w:rPr>
        <w:rFonts w:ascii="Symbol" w:hAnsi="Symbol" w:hint="default"/>
      </w:rPr>
    </w:lvl>
    <w:lvl w:ilvl="6" w:tplc="A4D291E2" w:tentative="1">
      <w:start w:val="1"/>
      <w:numFmt w:val="bullet"/>
      <w:lvlText w:val=""/>
      <w:lvlJc w:val="left"/>
      <w:pPr>
        <w:tabs>
          <w:tab w:val="num" w:pos="5040"/>
        </w:tabs>
        <w:ind w:left="5040" w:hanging="360"/>
      </w:pPr>
      <w:rPr>
        <w:rFonts w:ascii="Symbol" w:hAnsi="Symbol" w:hint="default"/>
      </w:rPr>
    </w:lvl>
    <w:lvl w:ilvl="7" w:tplc="1C5449FA" w:tentative="1">
      <w:start w:val="1"/>
      <w:numFmt w:val="bullet"/>
      <w:lvlText w:val=""/>
      <w:lvlJc w:val="left"/>
      <w:pPr>
        <w:tabs>
          <w:tab w:val="num" w:pos="5760"/>
        </w:tabs>
        <w:ind w:left="5760" w:hanging="360"/>
      </w:pPr>
      <w:rPr>
        <w:rFonts w:ascii="Symbol" w:hAnsi="Symbol" w:hint="default"/>
      </w:rPr>
    </w:lvl>
    <w:lvl w:ilvl="8" w:tplc="76D4164C"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A7341BB"/>
    <w:multiLevelType w:val="multilevel"/>
    <w:tmpl w:val="EB6C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B01D31"/>
    <w:multiLevelType w:val="multilevel"/>
    <w:tmpl w:val="3480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C2435A"/>
    <w:multiLevelType w:val="hybridMultilevel"/>
    <w:tmpl w:val="4E4E73F0"/>
    <w:lvl w:ilvl="0" w:tplc="A4A0347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F5B439A"/>
    <w:multiLevelType w:val="hybridMultilevel"/>
    <w:tmpl w:val="192C11B6"/>
    <w:lvl w:ilvl="0" w:tplc="F2DA3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24"/>
  </w:num>
  <w:num w:numId="3">
    <w:abstractNumId w:val="2"/>
  </w:num>
  <w:num w:numId="4">
    <w:abstractNumId w:val="22"/>
  </w:num>
  <w:num w:numId="5">
    <w:abstractNumId w:val="29"/>
  </w:num>
  <w:num w:numId="6">
    <w:abstractNumId w:val="4"/>
  </w:num>
  <w:num w:numId="7">
    <w:abstractNumId w:val="6"/>
  </w:num>
  <w:num w:numId="8">
    <w:abstractNumId w:val="25"/>
  </w:num>
  <w:num w:numId="9">
    <w:abstractNumId w:val="17"/>
  </w:num>
  <w:num w:numId="10">
    <w:abstractNumId w:val="0"/>
  </w:num>
  <w:num w:numId="11">
    <w:abstractNumId w:val="12"/>
  </w:num>
  <w:num w:numId="12">
    <w:abstractNumId w:val="10"/>
  </w:num>
  <w:num w:numId="13">
    <w:abstractNumId w:val="16"/>
  </w:num>
  <w:num w:numId="14">
    <w:abstractNumId w:val="15"/>
  </w:num>
  <w:num w:numId="15">
    <w:abstractNumId w:val="14"/>
  </w:num>
  <w:num w:numId="16">
    <w:abstractNumId w:val="9"/>
  </w:num>
  <w:num w:numId="17">
    <w:abstractNumId w:val="1"/>
  </w:num>
  <w:num w:numId="18">
    <w:abstractNumId w:val="8"/>
  </w:num>
  <w:num w:numId="19">
    <w:abstractNumId w:val="19"/>
  </w:num>
  <w:num w:numId="20">
    <w:abstractNumId w:val="13"/>
  </w:num>
  <w:num w:numId="21">
    <w:abstractNumId w:val="21"/>
  </w:num>
  <w:num w:numId="22">
    <w:abstractNumId w:val="5"/>
  </w:num>
  <w:num w:numId="23">
    <w:abstractNumId w:val="11"/>
  </w:num>
  <w:num w:numId="24">
    <w:abstractNumId w:val="23"/>
  </w:num>
  <w:num w:numId="25">
    <w:abstractNumId w:val="27"/>
  </w:num>
  <w:num w:numId="26">
    <w:abstractNumId w:val="7"/>
  </w:num>
  <w:num w:numId="27">
    <w:abstractNumId w:val="26"/>
  </w:num>
  <w:num w:numId="28">
    <w:abstractNumId w:val="3"/>
  </w:num>
  <w:num w:numId="29">
    <w:abstractNumId w:val="2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5C"/>
    <w:rsid w:val="00001803"/>
    <w:rsid w:val="00002C2A"/>
    <w:rsid w:val="00015525"/>
    <w:rsid w:val="0001671C"/>
    <w:rsid w:val="000216A4"/>
    <w:rsid w:val="00027F12"/>
    <w:rsid w:val="00041943"/>
    <w:rsid w:val="00046251"/>
    <w:rsid w:val="0006166F"/>
    <w:rsid w:val="000638CD"/>
    <w:rsid w:val="00066BA7"/>
    <w:rsid w:val="00066D42"/>
    <w:rsid w:val="00070CA3"/>
    <w:rsid w:val="00076BD8"/>
    <w:rsid w:val="000779B1"/>
    <w:rsid w:val="00084921"/>
    <w:rsid w:val="00091228"/>
    <w:rsid w:val="0009464D"/>
    <w:rsid w:val="000A0D15"/>
    <w:rsid w:val="000A2F7A"/>
    <w:rsid w:val="000B0019"/>
    <w:rsid w:val="000C0386"/>
    <w:rsid w:val="000C2486"/>
    <w:rsid w:val="000C3E68"/>
    <w:rsid w:val="000C483D"/>
    <w:rsid w:val="000C4A5B"/>
    <w:rsid w:val="000C5719"/>
    <w:rsid w:val="000D17D9"/>
    <w:rsid w:val="000D2711"/>
    <w:rsid w:val="000D3D5B"/>
    <w:rsid w:val="000D4C80"/>
    <w:rsid w:val="000D509F"/>
    <w:rsid w:val="000E16AA"/>
    <w:rsid w:val="000E25E5"/>
    <w:rsid w:val="000E2F0F"/>
    <w:rsid w:val="000E7177"/>
    <w:rsid w:val="000F060B"/>
    <w:rsid w:val="00104A98"/>
    <w:rsid w:val="0011229B"/>
    <w:rsid w:val="00112AAF"/>
    <w:rsid w:val="00116D63"/>
    <w:rsid w:val="0012528E"/>
    <w:rsid w:val="001269B7"/>
    <w:rsid w:val="00133565"/>
    <w:rsid w:val="00136108"/>
    <w:rsid w:val="00137948"/>
    <w:rsid w:val="0014186F"/>
    <w:rsid w:val="001473C5"/>
    <w:rsid w:val="00151AB1"/>
    <w:rsid w:val="00152AEA"/>
    <w:rsid w:val="00157724"/>
    <w:rsid w:val="00160135"/>
    <w:rsid w:val="001624AD"/>
    <w:rsid w:val="001651E7"/>
    <w:rsid w:val="00166EAD"/>
    <w:rsid w:val="001715A6"/>
    <w:rsid w:val="001725B1"/>
    <w:rsid w:val="00175703"/>
    <w:rsid w:val="00176D1B"/>
    <w:rsid w:val="00177FAE"/>
    <w:rsid w:val="001821C1"/>
    <w:rsid w:val="00186EFE"/>
    <w:rsid w:val="00187528"/>
    <w:rsid w:val="001938C7"/>
    <w:rsid w:val="00196523"/>
    <w:rsid w:val="001A1010"/>
    <w:rsid w:val="001A3CBC"/>
    <w:rsid w:val="001A56AF"/>
    <w:rsid w:val="001A7B23"/>
    <w:rsid w:val="001B22D6"/>
    <w:rsid w:val="001B4390"/>
    <w:rsid w:val="001C2671"/>
    <w:rsid w:val="001C7F64"/>
    <w:rsid w:val="001D0CB4"/>
    <w:rsid w:val="001D6748"/>
    <w:rsid w:val="001E5210"/>
    <w:rsid w:val="001E5EE5"/>
    <w:rsid w:val="001F37C9"/>
    <w:rsid w:val="001F3CE8"/>
    <w:rsid w:val="001F41B9"/>
    <w:rsid w:val="00200A48"/>
    <w:rsid w:val="002032B5"/>
    <w:rsid w:val="00205250"/>
    <w:rsid w:val="00205D99"/>
    <w:rsid w:val="00206E9D"/>
    <w:rsid w:val="00207CC3"/>
    <w:rsid w:val="0021196C"/>
    <w:rsid w:val="00220857"/>
    <w:rsid w:val="00220DAA"/>
    <w:rsid w:val="0022114D"/>
    <w:rsid w:val="00243E48"/>
    <w:rsid w:val="0024536D"/>
    <w:rsid w:val="00245E48"/>
    <w:rsid w:val="00254CBF"/>
    <w:rsid w:val="00256E76"/>
    <w:rsid w:val="00262D96"/>
    <w:rsid w:val="00262E7E"/>
    <w:rsid w:val="002653E7"/>
    <w:rsid w:val="00266F64"/>
    <w:rsid w:val="002673D7"/>
    <w:rsid w:val="00274FF5"/>
    <w:rsid w:val="00275851"/>
    <w:rsid w:val="0029078D"/>
    <w:rsid w:val="0029332B"/>
    <w:rsid w:val="002A2E37"/>
    <w:rsid w:val="002A3E77"/>
    <w:rsid w:val="002A685A"/>
    <w:rsid w:val="002A73CC"/>
    <w:rsid w:val="002B51F8"/>
    <w:rsid w:val="002B6A3C"/>
    <w:rsid w:val="002C6AD2"/>
    <w:rsid w:val="002D035F"/>
    <w:rsid w:val="002D078D"/>
    <w:rsid w:val="002D6B63"/>
    <w:rsid w:val="002E1320"/>
    <w:rsid w:val="002E2563"/>
    <w:rsid w:val="002E2D4C"/>
    <w:rsid w:val="002E4FEC"/>
    <w:rsid w:val="002E5FF8"/>
    <w:rsid w:val="002F0599"/>
    <w:rsid w:val="002F0904"/>
    <w:rsid w:val="002F2C6A"/>
    <w:rsid w:val="002F442C"/>
    <w:rsid w:val="002F4FCA"/>
    <w:rsid w:val="002F5940"/>
    <w:rsid w:val="002F5FF6"/>
    <w:rsid w:val="00300139"/>
    <w:rsid w:val="00316920"/>
    <w:rsid w:val="00317CEC"/>
    <w:rsid w:val="00317FB7"/>
    <w:rsid w:val="0032051A"/>
    <w:rsid w:val="0032224A"/>
    <w:rsid w:val="00324FCD"/>
    <w:rsid w:val="003323ED"/>
    <w:rsid w:val="003330F2"/>
    <w:rsid w:val="0033591E"/>
    <w:rsid w:val="00336D3C"/>
    <w:rsid w:val="003475B1"/>
    <w:rsid w:val="00351FAD"/>
    <w:rsid w:val="0035229C"/>
    <w:rsid w:val="0035397C"/>
    <w:rsid w:val="0036236F"/>
    <w:rsid w:val="00365552"/>
    <w:rsid w:val="00366FF4"/>
    <w:rsid w:val="003670FA"/>
    <w:rsid w:val="0037011B"/>
    <w:rsid w:val="003704F5"/>
    <w:rsid w:val="00370D76"/>
    <w:rsid w:val="003753A7"/>
    <w:rsid w:val="00375751"/>
    <w:rsid w:val="00387FE6"/>
    <w:rsid w:val="00390D92"/>
    <w:rsid w:val="003925D8"/>
    <w:rsid w:val="00396A1E"/>
    <w:rsid w:val="003A1660"/>
    <w:rsid w:val="003A7D2A"/>
    <w:rsid w:val="003B2580"/>
    <w:rsid w:val="003B6F1C"/>
    <w:rsid w:val="003C2030"/>
    <w:rsid w:val="003C248F"/>
    <w:rsid w:val="003F0256"/>
    <w:rsid w:val="003F368F"/>
    <w:rsid w:val="003F5FF7"/>
    <w:rsid w:val="003F600E"/>
    <w:rsid w:val="003F7DA0"/>
    <w:rsid w:val="0040092F"/>
    <w:rsid w:val="00403692"/>
    <w:rsid w:val="00403F55"/>
    <w:rsid w:val="004040F2"/>
    <w:rsid w:val="00405A22"/>
    <w:rsid w:val="004102DB"/>
    <w:rsid w:val="00411588"/>
    <w:rsid w:val="00416518"/>
    <w:rsid w:val="00420683"/>
    <w:rsid w:val="00425636"/>
    <w:rsid w:val="00425CBE"/>
    <w:rsid w:val="00426540"/>
    <w:rsid w:val="004328C1"/>
    <w:rsid w:val="004344D6"/>
    <w:rsid w:val="0043458A"/>
    <w:rsid w:val="004408E7"/>
    <w:rsid w:val="00444086"/>
    <w:rsid w:val="00444163"/>
    <w:rsid w:val="004470EB"/>
    <w:rsid w:val="00455044"/>
    <w:rsid w:val="00456A5C"/>
    <w:rsid w:val="00462A3D"/>
    <w:rsid w:val="00463C75"/>
    <w:rsid w:val="004730F2"/>
    <w:rsid w:val="0048165C"/>
    <w:rsid w:val="00481754"/>
    <w:rsid w:val="00482FB0"/>
    <w:rsid w:val="00483A0F"/>
    <w:rsid w:val="00483F3A"/>
    <w:rsid w:val="00486FC0"/>
    <w:rsid w:val="004912EC"/>
    <w:rsid w:val="004941D0"/>
    <w:rsid w:val="004A1F24"/>
    <w:rsid w:val="004A65E4"/>
    <w:rsid w:val="004B5957"/>
    <w:rsid w:val="004D06C0"/>
    <w:rsid w:val="004D0AC1"/>
    <w:rsid w:val="004D18F1"/>
    <w:rsid w:val="004D748D"/>
    <w:rsid w:val="004D79EE"/>
    <w:rsid w:val="004D7F7D"/>
    <w:rsid w:val="004E0AC2"/>
    <w:rsid w:val="004E32D7"/>
    <w:rsid w:val="004E4456"/>
    <w:rsid w:val="004F01C2"/>
    <w:rsid w:val="004F3E76"/>
    <w:rsid w:val="004F57B1"/>
    <w:rsid w:val="00502039"/>
    <w:rsid w:val="005053D3"/>
    <w:rsid w:val="00510611"/>
    <w:rsid w:val="00514BEB"/>
    <w:rsid w:val="005175CC"/>
    <w:rsid w:val="00521246"/>
    <w:rsid w:val="00521F1A"/>
    <w:rsid w:val="00522349"/>
    <w:rsid w:val="00527516"/>
    <w:rsid w:val="005341ED"/>
    <w:rsid w:val="00534C0D"/>
    <w:rsid w:val="005365AB"/>
    <w:rsid w:val="00545CFC"/>
    <w:rsid w:val="00557D26"/>
    <w:rsid w:val="005615A5"/>
    <w:rsid w:val="00561A5E"/>
    <w:rsid w:val="00561E92"/>
    <w:rsid w:val="0056281C"/>
    <w:rsid w:val="00565142"/>
    <w:rsid w:val="00574146"/>
    <w:rsid w:val="00577E86"/>
    <w:rsid w:val="00581B49"/>
    <w:rsid w:val="00590210"/>
    <w:rsid w:val="00591561"/>
    <w:rsid w:val="00592DA9"/>
    <w:rsid w:val="00593706"/>
    <w:rsid w:val="00594B7C"/>
    <w:rsid w:val="00595604"/>
    <w:rsid w:val="005B0FA0"/>
    <w:rsid w:val="005B1BEE"/>
    <w:rsid w:val="005B1ECE"/>
    <w:rsid w:val="005B3F63"/>
    <w:rsid w:val="005B41B4"/>
    <w:rsid w:val="005C24F6"/>
    <w:rsid w:val="005C4015"/>
    <w:rsid w:val="005D158D"/>
    <w:rsid w:val="005D2A85"/>
    <w:rsid w:val="005D35B8"/>
    <w:rsid w:val="005D4BCC"/>
    <w:rsid w:val="005D676C"/>
    <w:rsid w:val="005E1243"/>
    <w:rsid w:val="005E42F8"/>
    <w:rsid w:val="005E47A4"/>
    <w:rsid w:val="005E5F5B"/>
    <w:rsid w:val="005E7424"/>
    <w:rsid w:val="005F6EB9"/>
    <w:rsid w:val="00601776"/>
    <w:rsid w:val="00603006"/>
    <w:rsid w:val="00613F23"/>
    <w:rsid w:val="00620B15"/>
    <w:rsid w:val="00622CA0"/>
    <w:rsid w:val="00626C3B"/>
    <w:rsid w:val="00627869"/>
    <w:rsid w:val="00630315"/>
    <w:rsid w:val="00630B23"/>
    <w:rsid w:val="006327F8"/>
    <w:rsid w:val="00643C16"/>
    <w:rsid w:val="006469AE"/>
    <w:rsid w:val="00663FE9"/>
    <w:rsid w:val="00665A60"/>
    <w:rsid w:val="0067469B"/>
    <w:rsid w:val="00674F0B"/>
    <w:rsid w:val="00675832"/>
    <w:rsid w:val="00676A9A"/>
    <w:rsid w:val="006772D5"/>
    <w:rsid w:val="0068183D"/>
    <w:rsid w:val="0068316F"/>
    <w:rsid w:val="006843EB"/>
    <w:rsid w:val="00684D7F"/>
    <w:rsid w:val="006850E5"/>
    <w:rsid w:val="00685D98"/>
    <w:rsid w:val="006869B1"/>
    <w:rsid w:val="006907C7"/>
    <w:rsid w:val="00691913"/>
    <w:rsid w:val="00693BBA"/>
    <w:rsid w:val="00694324"/>
    <w:rsid w:val="00695D02"/>
    <w:rsid w:val="00696687"/>
    <w:rsid w:val="006979DC"/>
    <w:rsid w:val="006A1B65"/>
    <w:rsid w:val="006B48FD"/>
    <w:rsid w:val="006B5455"/>
    <w:rsid w:val="006B669F"/>
    <w:rsid w:val="006C3DB3"/>
    <w:rsid w:val="006C4049"/>
    <w:rsid w:val="006C56A6"/>
    <w:rsid w:val="006C5806"/>
    <w:rsid w:val="006D2261"/>
    <w:rsid w:val="006D4C07"/>
    <w:rsid w:val="006D7A1F"/>
    <w:rsid w:val="006E2D7E"/>
    <w:rsid w:val="006E2E0A"/>
    <w:rsid w:val="006F3334"/>
    <w:rsid w:val="006F4C10"/>
    <w:rsid w:val="006F77DF"/>
    <w:rsid w:val="00701A90"/>
    <w:rsid w:val="00714442"/>
    <w:rsid w:val="007164E2"/>
    <w:rsid w:val="007166EF"/>
    <w:rsid w:val="007167B2"/>
    <w:rsid w:val="0072132E"/>
    <w:rsid w:val="007277C3"/>
    <w:rsid w:val="007512BE"/>
    <w:rsid w:val="00752074"/>
    <w:rsid w:val="00754B00"/>
    <w:rsid w:val="00756B02"/>
    <w:rsid w:val="007643D7"/>
    <w:rsid w:val="00765580"/>
    <w:rsid w:val="007700A2"/>
    <w:rsid w:val="00771063"/>
    <w:rsid w:val="00776283"/>
    <w:rsid w:val="00783C52"/>
    <w:rsid w:val="0079441C"/>
    <w:rsid w:val="00796D47"/>
    <w:rsid w:val="007A1C8E"/>
    <w:rsid w:val="007A2C22"/>
    <w:rsid w:val="007A2D3E"/>
    <w:rsid w:val="007A65BD"/>
    <w:rsid w:val="007B1276"/>
    <w:rsid w:val="007B3706"/>
    <w:rsid w:val="007B7ADC"/>
    <w:rsid w:val="007C009B"/>
    <w:rsid w:val="007C05EB"/>
    <w:rsid w:val="007C2B05"/>
    <w:rsid w:val="007D2765"/>
    <w:rsid w:val="007E3080"/>
    <w:rsid w:val="007E3D0E"/>
    <w:rsid w:val="007E520A"/>
    <w:rsid w:val="007E7A41"/>
    <w:rsid w:val="007F17D1"/>
    <w:rsid w:val="007F20D3"/>
    <w:rsid w:val="00800DDA"/>
    <w:rsid w:val="008012B0"/>
    <w:rsid w:val="00802A1F"/>
    <w:rsid w:val="008106B6"/>
    <w:rsid w:val="0081372E"/>
    <w:rsid w:val="0082606D"/>
    <w:rsid w:val="00830F3C"/>
    <w:rsid w:val="00831334"/>
    <w:rsid w:val="0083668D"/>
    <w:rsid w:val="008378A8"/>
    <w:rsid w:val="00840A68"/>
    <w:rsid w:val="00844297"/>
    <w:rsid w:val="00844927"/>
    <w:rsid w:val="008508DE"/>
    <w:rsid w:val="008531C4"/>
    <w:rsid w:val="00860001"/>
    <w:rsid w:val="00860D46"/>
    <w:rsid w:val="0086203F"/>
    <w:rsid w:val="008710C5"/>
    <w:rsid w:val="008750C6"/>
    <w:rsid w:val="008755F0"/>
    <w:rsid w:val="00876672"/>
    <w:rsid w:val="008868FB"/>
    <w:rsid w:val="00896C1C"/>
    <w:rsid w:val="008B3A6E"/>
    <w:rsid w:val="008B5D59"/>
    <w:rsid w:val="008B5DED"/>
    <w:rsid w:val="008B772B"/>
    <w:rsid w:val="008B798A"/>
    <w:rsid w:val="008C4BAA"/>
    <w:rsid w:val="008C50AE"/>
    <w:rsid w:val="008D2E45"/>
    <w:rsid w:val="008D3D98"/>
    <w:rsid w:val="008D3F76"/>
    <w:rsid w:val="008D4171"/>
    <w:rsid w:val="008D60CA"/>
    <w:rsid w:val="008E0FF1"/>
    <w:rsid w:val="008E6013"/>
    <w:rsid w:val="008F7B96"/>
    <w:rsid w:val="00903232"/>
    <w:rsid w:val="0090468A"/>
    <w:rsid w:val="00914752"/>
    <w:rsid w:val="009269AC"/>
    <w:rsid w:val="00927531"/>
    <w:rsid w:val="00934CFF"/>
    <w:rsid w:val="0093737E"/>
    <w:rsid w:val="0094086A"/>
    <w:rsid w:val="00942742"/>
    <w:rsid w:val="00946F8B"/>
    <w:rsid w:val="0095075B"/>
    <w:rsid w:val="00952501"/>
    <w:rsid w:val="00954C7F"/>
    <w:rsid w:val="00963D03"/>
    <w:rsid w:val="00976546"/>
    <w:rsid w:val="00981651"/>
    <w:rsid w:val="009843C9"/>
    <w:rsid w:val="00985041"/>
    <w:rsid w:val="00990ED9"/>
    <w:rsid w:val="0099305A"/>
    <w:rsid w:val="00994616"/>
    <w:rsid w:val="0099631D"/>
    <w:rsid w:val="009A01C8"/>
    <w:rsid w:val="009A35A9"/>
    <w:rsid w:val="009B69ED"/>
    <w:rsid w:val="009C18E4"/>
    <w:rsid w:val="009C6EE7"/>
    <w:rsid w:val="009D1572"/>
    <w:rsid w:val="009D5259"/>
    <w:rsid w:val="009E5670"/>
    <w:rsid w:val="009E7556"/>
    <w:rsid w:val="009F08EF"/>
    <w:rsid w:val="00A007C2"/>
    <w:rsid w:val="00A03C32"/>
    <w:rsid w:val="00A04BD9"/>
    <w:rsid w:val="00A102E6"/>
    <w:rsid w:val="00A1780E"/>
    <w:rsid w:val="00A2029C"/>
    <w:rsid w:val="00A20CCC"/>
    <w:rsid w:val="00A2108E"/>
    <w:rsid w:val="00A24CB6"/>
    <w:rsid w:val="00A25214"/>
    <w:rsid w:val="00A26355"/>
    <w:rsid w:val="00A26C10"/>
    <w:rsid w:val="00A27C9C"/>
    <w:rsid w:val="00A34475"/>
    <w:rsid w:val="00A34B7C"/>
    <w:rsid w:val="00A37EB6"/>
    <w:rsid w:val="00A424BA"/>
    <w:rsid w:val="00A45719"/>
    <w:rsid w:val="00A508EA"/>
    <w:rsid w:val="00A51E8F"/>
    <w:rsid w:val="00A53EBB"/>
    <w:rsid w:val="00A711CD"/>
    <w:rsid w:val="00A74EEB"/>
    <w:rsid w:val="00A81A9E"/>
    <w:rsid w:val="00A86D18"/>
    <w:rsid w:val="00A936E3"/>
    <w:rsid w:val="00A95A17"/>
    <w:rsid w:val="00A97ADE"/>
    <w:rsid w:val="00AA29AD"/>
    <w:rsid w:val="00AA4276"/>
    <w:rsid w:val="00AA4997"/>
    <w:rsid w:val="00AA5BB8"/>
    <w:rsid w:val="00AB03A0"/>
    <w:rsid w:val="00AB11B2"/>
    <w:rsid w:val="00AB3B2F"/>
    <w:rsid w:val="00AB55E7"/>
    <w:rsid w:val="00AB7FDF"/>
    <w:rsid w:val="00AC1040"/>
    <w:rsid w:val="00AC1CB5"/>
    <w:rsid w:val="00AC23B9"/>
    <w:rsid w:val="00AC6DD0"/>
    <w:rsid w:val="00AC7084"/>
    <w:rsid w:val="00AD1EC6"/>
    <w:rsid w:val="00AE04EF"/>
    <w:rsid w:val="00AE4FCC"/>
    <w:rsid w:val="00AE5232"/>
    <w:rsid w:val="00AE5F6C"/>
    <w:rsid w:val="00AE64EC"/>
    <w:rsid w:val="00AF186E"/>
    <w:rsid w:val="00AF19E2"/>
    <w:rsid w:val="00B00010"/>
    <w:rsid w:val="00B03C46"/>
    <w:rsid w:val="00B0470F"/>
    <w:rsid w:val="00B1002C"/>
    <w:rsid w:val="00B12715"/>
    <w:rsid w:val="00B13DFA"/>
    <w:rsid w:val="00B14BB2"/>
    <w:rsid w:val="00B15F96"/>
    <w:rsid w:val="00B17CDD"/>
    <w:rsid w:val="00B17D11"/>
    <w:rsid w:val="00B20B19"/>
    <w:rsid w:val="00B34032"/>
    <w:rsid w:val="00B36E66"/>
    <w:rsid w:val="00B45F1A"/>
    <w:rsid w:val="00B46CBC"/>
    <w:rsid w:val="00B51C5C"/>
    <w:rsid w:val="00B528EA"/>
    <w:rsid w:val="00B54A05"/>
    <w:rsid w:val="00B61D94"/>
    <w:rsid w:val="00B658E7"/>
    <w:rsid w:val="00B70D68"/>
    <w:rsid w:val="00B74BAC"/>
    <w:rsid w:val="00B76526"/>
    <w:rsid w:val="00B87064"/>
    <w:rsid w:val="00B92431"/>
    <w:rsid w:val="00B9758A"/>
    <w:rsid w:val="00BA0510"/>
    <w:rsid w:val="00BA058E"/>
    <w:rsid w:val="00BA0D32"/>
    <w:rsid w:val="00BA5191"/>
    <w:rsid w:val="00BB3D95"/>
    <w:rsid w:val="00BB4216"/>
    <w:rsid w:val="00BD2B75"/>
    <w:rsid w:val="00BD33A9"/>
    <w:rsid w:val="00BD3C16"/>
    <w:rsid w:val="00BE08A8"/>
    <w:rsid w:val="00BE27C2"/>
    <w:rsid w:val="00BE2E68"/>
    <w:rsid w:val="00BE3BC0"/>
    <w:rsid w:val="00BE46EC"/>
    <w:rsid w:val="00BE4D9E"/>
    <w:rsid w:val="00BE652D"/>
    <w:rsid w:val="00BF16EE"/>
    <w:rsid w:val="00BF1A16"/>
    <w:rsid w:val="00BF1C2A"/>
    <w:rsid w:val="00BF3CFB"/>
    <w:rsid w:val="00BF4F8F"/>
    <w:rsid w:val="00BF7C54"/>
    <w:rsid w:val="00C04494"/>
    <w:rsid w:val="00C13F01"/>
    <w:rsid w:val="00C15930"/>
    <w:rsid w:val="00C21163"/>
    <w:rsid w:val="00C224EF"/>
    <w:rsid w:val="00C24074"/>
    <w:rsid w:val="00C240C2"/>
    <w:rsid w:val="00C250C9"/>
    <w:rsid w:val="00C326DE"/>
    <w:rsid w:val="00C32DE4"/>
    <w:rsid w:val="00C33A4B"/>
    <w:rsid w:val="00C358FF"/>
    <w:rsid w:val="00C36AA9"/>
    <w:rsid w:val="00C377E9"/>
    <w:rsid w:val="00C4338C"/>
    <w:rsid w:val="00C44C1B"/>
    <w:rsid w:val="00C471FC"/>
    <w:rsid w:val="00C53BB2"/>
    <w:rsid w:val="00C5613D"/>
    <w:rsid w:val="00C6578D"/>
    <w:rsid w:val="00C672F5"/>
    <w:rsid w:val="00C67782"/>
    <w:rsid w:val="00C67CA2"/>
    <w:rsid w:val="00C73A75"/>
    <w:rsid w:val="00C83CE8"/>
    <w:rsid w:val="00C8744D"/>
    <w:rsid w:val="00C87710"/>
    <w:rsid w:val="00C90020"/>
    <w:rsid w:val="00C907F6"/>
    <w:rsid w:val="00C91524"/>
    <w:rsid w:val="00CA0060"/>
    <w:rsid w:val="00CA0DCD"/>
    <w:rsid w:val="00CA7900"/>
    <w:rsid w:val="00CB3935"/>
    <w:rsid w:val="00CC5992"/>
    <w:rsid w:val="00CC5A39"/>
    <w:rsid w:val="00CC73CC"/>
    <w:rsid w:val="00CD2773"/>
    <w:rsid w:val="00CD36EE"/>
    <w:rsid w:val="00CD6F52"/>
    <w:rsid w:val="00CD7502"/>
    <w:rsid w:val="00CE31BA"/>
    <w:rsid w:val="00CE6B17"/>
    <w:rsid w:val="00CF28E9"/>
    <w:rsid w:val="00CF4227"/>
    <w:rsid w:val="00CF71B3"/>
    <w:rsid w:val="00D0052E"/>
    <w:rsid w:val="00D00DCE"/>
    <w:rsid w:val="00D01E58"/>
    <w:rsid w:val="00D04FB4"/>
    <w:rsid w:val="00D06E3F"/>
    <w:rsid w:val="00D14362"/>
    <w:rsid w:val="00D1665E"/>
    <w:rsid w:val="00D246BE"/>
    <w:rsid w:val="00D24FDF"/>
    <w:rsid w:val="00D33520"/>
    <w:rsid w:val="00D365EE"/>
    <w:rsid w:val="00D44720"/>
    <w:rsid w:val="00D4479E"/>
    <w:rsid w:val="00D4607B"/>
    <w:rsid w:val="00D5594F"/>
    <w:rsid w:val="00D5682F"/>
    <w:rsid w:val="00D656E7"/>
    <w:rsid w:val="00D6725D"/>
    <w:rsid w:val="00D719A2"/>
    <w:rsid w:val="00D763AE"/>
    <w:rsid w:val="00D83635"/>
    <w:rsid w:val="00D86BA7"/>
    <w:rsid w:val="00D96124"/>
    <w:rsid w:val="00DA0CD5"/>
    <w:rsid w:val="00DA5C61"/>
    <w:rsid w:val="00DA713E"/>
    <w:rsid w:val="00DB0575"/>
    <w:rsid w:val="00DB0682"/>
    <w:rsid w:val="00DB1A01"/>
    <w:rsid w:val="00DB1B71"/>
    <w:rsid w:val="00DB2F9C"/>
    <w:rsid w:val="00DB4081"/>
    <w:rsid w:val="00DC18E8"/>
    <w:rsid w:val="00DC5C32"/>
    <w:rsid w:val="00DC7590"/>
    <w:rsid w:val="00DC75D7"/>
    <w:rsid w:val="00DE1ADF"/>
    <w:rsid w:val="00DE444E"/>
    <w:rsid w:val="00DE6808"/>
    <w:rsid w:val="00DE6E49"/>
    <w:rsid w:val="00DE72BD"/>
    <w:rsid w:val="00DF1288"/>
    <w:rsid w:val="00DF6543"/>
    <w:rsid w:val="00DF6BB2"/>
    <w:rsid w:val="00DF6BE8"/>
    <w:rsid w:val="00E14615"/>
    <w:rsid w:val="00E15647"/>
    <w:rsid w:val="00E158C8"/>
    <w:rsid w:val="00E174B5"/>
    <w:rsid w:val="00E309B7"/>
    <w:rsid w:val="00E310E6"/>
    <w:rsid w:val="00E31EB0"/>
    <w:rsid w:val="00E32E26"/>
    <w:rsid w:val="00E34C61"/>
    <w:rsid w:val="00E37879"/>
    <w:rsid w:val="00E414E9"/>
    <w:rsid w:val="00E42C39"/>
    <w:rsid w:val="00E43F80"/>
    <w:rsid w:val="00E46BC0"/>
    <w:rsid w:val="00E50AF8"/>
    <w:rsid w:val="00E5311F"/>
    <w:rsid w:val="00E56CF4"/>
    <w:rsid w:val="00E6308F"/>
    <w:rsid w:val="00E72E53"/>
    <w:rsid w:val="00E73282"/>
    <w:rsid w:val="00E73AD4"/>
    <w:rsid w:val="00E76D9D"/>
    <w:rsid w:val="00E87A05"/>
    <w:rsid w:val="00E87F46"/>
    <w:rsid w:val="00E90141"/>
    <w:rsid w:val="00E90E4A"/>
    <w:rsid w:val="00E9279F"/>
    <w:rsid w:val="00E97F50"/>
    <w:rsid w:val="00EA3CEA"/>
    <w:rsid w:val="00EB3FEC"/>
    <w:rsid w:val="00EB7C24"/>
    <w:rsid w:val="00EC4BF4"/>
    <w:rsid w:val="00EC7AA0"/>
    <w:rsid w:val="00ED0365"/>
    <w:rsid w:val="00ED1348"/>
    <w:rsid w:val="00ED4B63"/>
    <w:rsid w:val="00EE22B2"/>
    <w:rsid w:val="00EE2855"/>
    <w:rsid w:val="00EE3DEE"/>
    <w:rsid w:val="00EF2A2D"/>
    <w:rsid w:val="00EF48E0"/>
    <w:rsid w:val="00EF55F9"/>
    <w:rsid w:val="00F0756B"/>
    <w:rsid w:val="00F07D3C"/>
    <w:rsid w:val="00F1757A"/>
    <w:rsid w:val="00F226FC"/>
    <w:rsid w:val="00F23E18"/>
    <w:rsid w:val="00F24C3D"/>
    <w:rsid w:val="00F26013"/>
    <w:rsid w:val="00F32833"/>
    <w:rsid w:val="00F41A20"/>
    <w:rsid w:val="00F4315D"/>
    <w:rsid w:val="00F47C2C"/>
    <w:rsid w:val="00F52112"/>
    <w:rsid w:val="00F52267"/>
    <w:rsid w:val="00F52494"/>
    <w:rsid w:val="00F54434"/>
    <w:rsid w:val="00F632EA"/>
    <w:rsid w:val="00F6462A"/>
    <w:rsid w:val="00F7665C"/>
    <w:rsid w:val="00F854D3"/>
    <w:rsid w:val="00F879D4"/>
    <w:rsid w:val="00FA2E5C"/>
    <w:rsid w:val="00FA4B18"/>
    <w:rsid w:val="00FB12CD"/>
    <w:rsid w:val="00FC01B1"/>
    <w:rsid w:val="00FC3E4A"/>
    <w:rsid w:val="00FC7652"/>
    <w:rsid w:val="00FD20C5"/>
    <w:rsid w:val="00FE22A3"/>
    <w:rsid w:val="00FE3498"/>
    <w:rsid w:val="00FE51B8"/>
    <w:rsid w:val="00FE6417"/>
    <w:rsid w:val="00FE6554"/>
    <w:rsid w:val="00FE7AD5"/>
    <w:rsid w:val="00FF0A37"/>
    <w:rsid w:val="00FF6333"/>
    <w:rsid w:val="00FF7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98925"/>
  <w15:docId w15:val="{E33EA316-B56E-AC4A-9FD2-AA9CDC3A4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A5C"/>
    <w:pPr>
      <w:spacing w:after="0" w:line="240" w:lineRule="auto"/>
    </w:pPr>
    <w:rPr>
      <w:rFonts w:ascii="Times New Roman" w:eastAsia="Calibri" w:hAnsi="Times New Roman" w:cs="Times New Roman"/>
      <w:sz w:val="24"/>
      <w:szCs w:val="24"/>
      <w:lang w:val="en-US"/>
    </w:rPr>
  </w:style>
  <w:style w:type="paragraph" w:styleId="Heading1">
    <w:name w:val="heading 1"/>
    <w:basedOn w:val="Normal"/>
    <w:next w:val="Normal"/>
    <w:link w:val="Heading1Char"/>
    <w:uiPriority w:val="9"/>
    <w:qFormat/>
    <w:rsid w:val="00B34032"/>
    <w:pPr>
      <w:keepNext/>
      <w:keepLines/>
      <w:spacing w:before="120" w:after="120"/>
      <w:jc w:val="center"/>
      <w:outlineLvl w:val="0"/>
    </w:pPr>
    <w:rPr>
      <w:rFonts w:eastAsiaTheme="majorEastAsia" w:cstheme="majorBidi"/>
      <w:b/>
      <w:kern w:val="2"/>
      <w:sz w:val="28"/>
      <w:szCs w:val="40"/>
      <w14:ligatures w14:val="standardContextual"/>
    </w:rPr>
  </w:style>
  <w:style w:type="paragraph" w:styleId="Heading2">
    <w:name w:val="heading 2"/>
    <w:basedOn w:val="Normal"/>
    <w:next w:val="Normal"/>
    <w:link w:val="Heading2Char"/>
    <w:uiPriority w:val="9"/>
    <w:unhideWhenUsed/>
    <w:qFormat/>
    <w:rsid w:val="00B34032"/>
    <w:pPr>
      <w:keepNext/>
      <w:keepLines/>
      <w:tabs>
        <w:tab w:val="left" w:pos="720"/>
      </w:tabs>
      <w:spacing w:before="120" w:after="120"/>
      <w:outlineLvl w:val="1"/>
    </w:pPr>
    <w:rPr>
      <w:rFonts w:eastAsiaTheme="majorEastAsia" w:cstheme="majorBidi"/>
      <w:b/>
      <w:kern w:val="2"/>
      <w:sz w:val="28"/>
      <w:szCs w:val="32"/>
      <w14:ligatures w14:val="standardContextual"/>
    </w:rPr>
  </w:style>
  <w:style w:type="paragraph" w:styleId="Heading3">
    <w:name w:val="heading 3"/>
    <w:basedOn w:val="Normal"/>
    <w:next w:val="Normal"/>
    <w:link w:val="Heading3Char"/>
    <w:uiPriority w:val="9"/>
    <w:unhideWhenUsed/>
    <w:qFormat/>
    <w:rsid w:val="00B34032"/>
    <w:pPr>
      <w:keepNext/>
      <w:keepLines/>
      <w:spacing w:before="120" w:after="120"/>
      <w:jc w:val="right"/>
      <w:outlineLvl w:val="2"/>
    </w:pPr>
    <w:rPr>
      <w:rFonts w:eastAsiaTheme="majorEastAsia" w:cstheme="majorBidi"/>
      <w:b/>
      <w:kern w:val="2"/>
      <w:sz w:val="28"/>
      <w:szCs w:val="28"/>
      <w14:ligatures w14:val="standardContextual"/>
    </w:rPr>
  </w:style>
  <w:style w:type="paragraph" w:styleId="Heading4">
    <w:name w:val="heading 4"/>
    <w:basedOn w:val="Normal"/>
    <w:next w:val="Normal"/>
    <w:link w:val="Heading4Char"/>
    <w:uiPriority w:val="9"/>
    <w:semiHidden/>
    <w:unhideWhenUsed/>
    <w:qFormat/>
    <w:rsid w:val="00B34032"/>
    <w:pPr>
      <w:keepNext/>
      <w:keepLines/>
      <w:spacing w:before="80" w:after="40"/>
      <w:outlineLvl w:val="3"/>
    </w:pPr>
    <w:rPr>
      <w:rFonts w:asciiTheme="minorHAnsi" w:eastAsiaTheme="majorEastAsia" w:hAnsiTheme="minorHAnsi" w:cstheme="majorBidi"/>
      <w:i/>
      <w:iCs/>
      <w:color w:val="365F9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34032"/>
    <w:pPr>
      <w:keepNext/>
      <w:keepLines/>
      <w:spacing w:before="80" w:after="40"/>
      <w:outlineLvl w:val="4"/>
    </w:pPr>
    <w:rPr>
      <w:rFonts w:asciiTheme="minorHAnsi" w:eastAsiaTheme="majorEastAsia" w:hAnsiTheme="minorHAnsi" w:cstheme="majorBidi"/>
      <w:color w:val="365F9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34032"/>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34032"/>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34032"/>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34032"/>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qFormat/>
    <w:rsid w:val="00456A5C"/>
    <w:pPr>
      <w:spacing w:before="100" w:beforeAutospacing="1" w:after="100" w:afterAutospacing="1"/>
    </w:pPr>
  </w:style>
  <w:style w:type="paragraph" w:styleId="BodyText">
    <w:name w:val="Body Text"/>
    <w:basedOn w:val="Normal"/>
    <w:link w:val="BodyTextChar"/>
    <w:uiPriority w:val="1"/>
    <w:qFormat/>
    <w:rsid w:val="00456A5C"/>
    <w:pPr>
      <w:autoSpaceDE w:val="0"/>
      <w:autoSpaceDN w:val="0"/>
      <w:spacing w:after="120"/>
    </w:pPr>
    <w:rPr>
      <w:rFonts w:eastAsia="Times New Roman"/>
      <w:sz w:val="20"/>
      <w:szCs w:val="20"/>
    </w:rPr>
  </w:style>
  <w:style w:type="character" w:customStyle="1" w:styleId="BodyTextChar">
    <w:name w:val="Body Text Char"/>
    <w:basedOn w:val="DefaultParagraphFont"/>
    <w:link w:val="BodyText"/>
    <w:uiPriority w:val="1"/>
    <w:rsid w:val="00456A5C"/>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qFormat/>
    <w:rsid w:val="006E2E0A"/>
    <w:pPr>
      <w:tabs>
        <w:tab w:val="center" w:pos="4513"/>
        <w:tab w:val="right" w:pos="9026"/>
      </w:tabs>
    </w:pPr>
  </w:style>
  <w:style w:type="character" w:customStyle="1" w:styleId="HeaderChar">
    <w:name w:val="Header Char"/>
    <w:basedOn w:val="DefaultParagraphFont"/>
    <w:link w:val="Header"/>
    <w:uiPriority w:val="99"/>
    <w:rsid w:val="006E2E0A"/>
    <w:rPr>
      <w:rFonts w:ascii="Times New Roman" w:eastAsia="Calibri" w:hAnsi="Times New Roman" w:cs="Times New Roman"/>
      <w:sz w:val="24"/>
      <w:szCs w:val="24"/>
      <w:lang w:val="en-US"/>
    </w:rPr>
  </w:style>
  <w:style w:type="paragraph" w:styleId="Footer">
    <w:name w:val="footer"/>
    <w:basedOn w:val="Normal"/>
    <w:link w:val="FooterChar"/>
    <w:unhideWhenUsed/>
    <w:qFormat/>
    <w:rsid w:val="006E2E0A"/>
    <w:pPr>
      <w:tabs>
        <w:tab w:val="center" w:pos="4513"/>
        <w:tab w:val="right" w:pos="9026"/>
      </w:tabs>
    </w:pPr>
  </w:style>
  <w:style w:type="character" w:customStyle="1" w:styleId="FooterChar">
    <w:name w:val="Footer Char"/>
    <w:basedOn w:val="DefaultParagraphFont"/>
    <w:link w:val="Footer"/>
    <w:rsid w:val="006E2E0A"/>
    <w:rPr>
      <w:rFonts w:ascii="Times New Roman" w:eastAsia="Calibri" w:hAnsi="Times New Roman" w:cs="Times New Roman"/>
      <w:sz w:val="24"/>
      <w:szCs w:val="24"/>
      <w:lang w:val="en-US"/>
    </w:rPr>
  </w:style>
  <w:style w:type="paragraph" w:styleId="ListParagraph">
    <w:name w:val="List Paragraph"/>
    <w:aliases w:val="Thang2,Bullet 1,bullet 2,bullet 1,bullet,List Paragraph12,Heading 1.1,VNA - List Paragraph,1.,Table Sequence,1.1.1.1,Main numbered paragraph,Gach ngang,a.,Steps,L1,Ha,List Paragraph11,List Paragraph2,List Paragraph111,abc"/>
    <w:basedOn w:val="Normal"/>
    <w:link w:val="ListParagraphChar"/>
    <w:uiPriority w:val="34"/>
    <w:qFormat/>
    <w:rsid w:val="002B6A3C"/>
    <w:pPr>
      <w:ind w:left="720"/>
      <w:contextualSpacing/>
    </w:pPr>
  </w:style>
  <w:style w:type="character" w:customStyle="1" w:styleId="fontstyle01">
    <w:name w:val="fontstyle01"/>
    <w:basedOn w:val="DefaultParagraphFont"/>
    <w:rsid w:val="00116D63"/>
    <w:rPr>
      <w:rFonts w:ascii="CIDFont+F2" w:hAnsi="CIDFont+F2" w:hint="default"/>
      <w:b w:val="0"/>
      <w:bCs w:val="0"/>
      <w:i w:val="0"/>
      <w:iCs w:val="0"/>
      <w:color w:val="FF0000"/>
      <w:sz w:val="24"/>
      <w:szCs w:val="24"/>
    </w:rPr>
  </w:style>
  <w:style w:type="paragraph" w:styleId="BalloonText">
    <w:name w:val="Balloon Text"/>
    <w:basedOn w:val="Normal"/>
    <w:link w:val="BalloonTextChar"/>
    <w:uiPriority w:val="99"/>
    <w:semiHidden/>
    <w:unhideWhenUsed/>
    <w:rsid w:val="001821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1C1"/>
    <w:rPr>
      <w:rFonts w:ascii="Segoe UI" w:eastAsia="Calibri" w:hAnsi="Segoe UI" w:cs="Segoe UI"/>
      <w:sz w:val="18"/>
      <w:szCs w:val="18"/>
      <w:lang w:val="en-US"/>
    </w:rPr>
  </w:style>
  <w:style w:type="character" w:styleId="CommentReference">
    <w:name w:val="annotation reference"/>
    <w:uiPriority w:val="99"/>
    <w:semiHidden/>
    <w:unhideWhenUsed/>
    <w:rsid w:val="005341ED"/>
    <w:rPr>
      <w:sz w:val="16"/>
      <w:szCs w:val="16"/>
    </w:rPr>
  </w:style>
  <w:style w:type="paragraph" w:styleId="CommentText">
    <w:name w:val="annotation text"/>
    <w:basedOn w:val="Normal"/>
    <w:link w:val="CommentTextChar"/>
    <w:uiPriority w:val="99"/>
    <w:semiHidden/>
    <w:unhideWhenUsed/>
    <w:rsid w:val="005341ED"/>
    <w:rPr>
      <w:sz w:val="20"/>
      <w:szCs w:val="20"/>
      <w:lang w:val="vi-VN"/>
    </w:rPr>
  </w:style>
  <w:style w:type="character" w:customStyle="1" w:styleId="CommentTextChar">
    <w:name w:val="Comment Text Char"/>
    <w:basedOn w:val="DefaultParagraphFont"/>
    <w:link w:val="CommentText"/>
    <w:uiPriority w:val="99"/>
    <w:semiHidden/>
    <w:rsid w:val="005341ED"/>
    <w:rPr>
      <w:rFonts w:ascii="Times New Roman" w:eastAsia="Calibri" w:hAnsi="Times New Roman" w:cs="Times New Roman"/>
      <w:sz w:val="20"/>
      <w:szCs w:val="20"/>
    </w:rPr>
  </w:style>
  <w:style w:type="character" w:customStyle="1" w:styleId="ListParagraphChar">
    <w:name w:val="List Paragraph Char"/>
    <w:aliases w:val="Thang2 Char,Bullet 1 Char,bullet 2 Char,bullet 1 Char,bullet Char,List Paragraph12 Char,Heading 1.1 Char,VNA - List Paragraph Char,1. Char,Table Sequence Char,1.1.1.1 Char,Main numbered paragraph Char,Gach ngang Char,a. Char,L1 Char"/>
    <w:link w:val="ListParagraph"/>
    <w:uiPriority w:val="34"/>
    <w:qFormat/>
    <w:locked/>
    <w:rsid w:val="00E34C61"/>
    <w:rPr>
      <w:rFonts w:ascii="Times New Roman" w:eastAsia="Calibri" w:hAnsi="Times New Roman" w:cs="Times New Roman"/>
      <w:sz w:val="24"/>
      <w:szCs w:val="24"/>
      <w:lang w:val="en-US"/>
    </w:rPr>
  </w:style>
  <w:style w:type="character" w:customStyle="1" w:styleId="Heading1Char">
    <w:name w:val="Heading 1 Char"/>
    <w:basedOn w:val="DefaultParagraphFont"/>
    <w:link w:val="Heading1"/>
    <w:uiPriority w:val="9"/>
    <w:rsid w:val="00B34032"/>
    <w:rPr>
      <w:rFonts w:ascii="Times New Roman" w:eastAsiaTheme="majorEastAsia" w:hAnsi="Times New Roman" w:cstheme="majorBidi"/>
      <w:b/>
      <w:kern w:val="2"/>
      <w:sz w:val="28"/>
      <w:szCs w:val="40"/>
      <w:lang w:val="en-US"/>
      <w14:ligatures w14:val="standardContextual"/>
    </w:rPr>
  </w:style>
  <w:style w:type="character" w:customStyle="1" w:styleId="Heading2Char">
    <w:name w:val="Heading 2 Char"/>
    <w:basedOn w:val="DefaultParagraphFont"/>
    <w:link w:val="Heading2"/>
    <w:uiPriority w:val="9"/>
    <w:rsid w:val="00B34032"/>
    <w:rPr>
      <w:rFonts w:ascii="Times New Roman" w:eastAsiaTheme="majorEastAsia" w:hAnsi="Times New Roman" w:cstheme="majorBidi"/>
      <w:b/>
      <w:kern w:val="2"/>
      <w:sz w:val="28"/>
      <w:szCs w:val="32"/>
      <w:lang w:val="en-US"/>
      <w14:ligatures w14:val="standardContextual"/>
    </w:rPr>
  </w:style>
  <w:style w:type="character" w:customStyle="1" w:styleId="Heading3Char">
    <w:name w:val="Heading 3 Char"/>
    <w:basedOn w:val="DefaultParagraphFont"/>
    <w:link w:val="Heading3"/>
    <w:uiPriority w:val="9"/>
    <w:rsid w:val="00B34032"/>
    <w:rPr>
      <w:rFonts w:ascii="Times New Roman" w:eastAsiaTheme="majorEastAsia" w:hAnsi="Times New Roman" w:cstheme="majorBidi"/>
      <w:b/>
      <w:kern w:val="2"/>
      <w:sz w:val="28"/>
      <w:szCs w:val="28"/>
      <w:lang w:val="en-US"/>
      <w14:ligatures w14:val="standardContextual"/>
    </w:rPr>
  </w:style>
  <w:style w:type="character" w:customStyle="1" w:styleId="Heading4Char">
    <w:name w:val="Heading 4 Char"/>
    <w:basedOn w:val="DefaultParagraphFont"/>
    <w:link w:val="Heading4"/>
    <w:uiPriority w:val="9"/>
    <w:semiHidden/>
    <w:rsid w:val="00B34032"/>
    <w:rPr>
      <w:rFonts w:eastAsiaTheme="majorEastAsia" w:cstheme="majorBidi"/>
      <w:i/>
      <w:iCs/>
      <w:color w:val="365F91" w:themeColor="accent1" w:themeShade="BF"/>
      <w:kern w:val="2"/>
      <w:sz w:val="24"/>
      <w:szCs w:val="24"/>
      <w:lang w:val="en-US"/>
      <w14:ligatures w14:val="standardContextual"/>
    </w:rPr>
  </w:style>
  <w:style w:type="character" w:customStyle="1" w:styleId="Heading5Char">
    <w:name w:val="Heading 5 Char"/>
    <w:basedOn w:val="DefaultParagraphFont"/>
    <w:link w:val="Heading5"/>
    <w:uiPriority w:val="9"/>
    <w:semiHidden/>
    <w:rsid w:val="00B34032"/>
    <w:rPr>
      <w:rFonts w:eastAsiaTheme="majorEastAsia" w:cstheme="majorBidi"/>
      <w:color w:val="365F91" w:themeColor="accent1" w:themeShade="BF"/>
      <w:kern w:val="2"/>
      <w:sz w:val="24"/>
      <w:szCs w:val="24"/>
      <w:lang w:val="en-US"/>
      <w14:ligatures w14:val="standardContextual"/>
    </w:rPr>
  </w:style>
  <w:style w:type="character" w:customStyle="1" w:styleId="Heading6Char">
    <w:name w:val="Heading 6 Char"/>
    <w:basedOn w:val="DefaultParagraphFont"/>
    <w:link w:val="Heading6"/>
    <w:uiPriority w:val="9"/>
    <w:semiHidden/>
    <w:rsid w:val="00B34032"/>
    <w:rPr>
      <w:rFonts w:eastAsiaTheme="majorEastAsia" w:cstheme="majorBidi"/>
      <w:i/>
      <w:iCs/>
      <w:color w:val="595959" w:themeColor="text1" w:themeTint="A6"/>
      <w:kern w:val="2"/>
      <w:sz w:val="24"/>
      <w:szCs w:val="24"/>
      <w:lang w:val="en-US"/>
      <w14:ligatures w14:val="standardContextual"/>
    </w:rPr>
  </w:style>
  <w:style w:type="character" w:customStyle="1" w:styleId="Heading7Char">
    <w:name w:val="Heading 7 Char"/>
    <w:basedOn w:val="DefaultParagraphFont"/>
    <w:link w:val="Heading7"/>
    <w:uiPriority w:val="9"/>
    <w:semiHidden/>
    <w:rsid w:val="00B34032"/>
    <w:rPr>
      <w:rFonts w:eastAsiaTheme="majorEastAsia" w:cstheme="majorBidi"/>
      <w:color w:val="595959" w:themeColor="text1" w:themeTint="A6"/>
      <w:kern w:val="2"/>
      <w:sz w:val="24"/>
      <w:szCs w:val="24"/>
      <w:lang w:val="en-US"/>
      <w14:ligatures w14:val="standardContextual"/>
    </w:rPr>
  </w:style>
  <w:style w:type="character" w:customStyle="1" w:styleId="Heading8Char">
    <w:name w:val="Heading 8 Char"/>
    <w:basedOn w:val="DefaultParagraphFont"/>
    <w:link w:val="Heading8"/>
    <w:uiPriority w:val="9"/>
    <w:semiHidden/>
    <w:rsid w:val="00B34032"/>
    <w:rPr>
      <w:rFonts w:eastAsiaTheme="majorEastAsia" w:cstheme="majorBidi"/>
      <w:i/>
      <w:iCs/>
      <w:color w:val="272727" w:themeColor="text1" w:themeTint="D8"/>
      <w:kern w:val="2"/>
      <w:sz w:val="24"/>
      <w:szCs w:val="24"/>
      <w:lang w:val="en-US"/>
      <w14:ligatures w14:val="standardContextual"/>
    </w:rPr>
  </w:style>
  <w:style w:type="character" w:customStyle="1" w:styleId="Heading9Char">
    <w:name w:val="Heading 9 Char"/>
    <w:basedOn w:val="DefaultParagraphFont"/>
    <w:link w:val="Heading9"/>
    <w:uiPriority w:val="9"/>
    <w:semiHidden/>
    <w:rsid w:val="00B34032"/>
    <w:rPr>
      <w:rFonts w:eastAsiaTheme="majorEastAsia" w:cstheme="majorBidi"/>
      <w:color w:val="272727" w:themeColor="text1" w:themeTint="D8"/>
      <w:kern w:val="2"/>
      <w:sz w:val="24"/>
      <w:szCs w:val="24"/>
      <w:lang w:val="en-US"/>
      <w14:ligatures w14:val="standardContextual"/>
    </w:rPr>
  </w:style>
  <w:style w:type="paragraph" w:styleId="Title">
    <w:name w:val="Title"/>
    <w:basedOn w:val="Normal"/>
    <w:next w:val="Normal"/>
    <w:link w:val="TitleChar"/>
    <w:uiPriority w:val="10"/>
    <w:qFormat/>
    <w:rsid w:val="00B3403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B34032"/>
    <w:rPr>
      <w:rFonts w:asciiTheme="majorHAnsi" w:eastAsiaTheme="majorEastAsia" w:hAnsiTheme="majorHAnsi" w:cstheme="majorBidi"/>
      <w:spacing w:val="-10"/>
      <w:kern w:val="28"/>
      <w:sz w:val="56"/>
      <w:szCs w:val="56"/>
      <w:lang w:val="en-US"/>
      <w14:ligatures w14:val="standardContextual"/>
    </w:rPr>
  </w:style>
  <w:style w:type="paragraph" w:styleId="Subtitle">
    <w:name w:val="Subtitle"/>
    <w:basedOn w:val="Normal"/>
    <w:next w:val="Normal"/>
    <w:link w:val="SubtitleChar"/>
    <w:uiPriority w:val="11"/>
    <w:qFormat/>
    <w:rsid w:val="00B3403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34032"/>
    <w:rPr>
      <w:rFonts w:eastAsiaTheme="majorEastAsia" w:cstheme="majorBidi"/>
      <w:color w:val="595959" w:themeColor="text1" w:themeTint="A6"/>
      <w:spacing w:val="15"/>
      <w:kern w:val="2"/>
      <w:sz w:val="28"/>
      <w:szCs w:val="28"/>
      <w:lang w:val="en-US"/>
      <w14:ligatures w14:val="standardContextual"/>
    </w:rPr>
  </w:style>
  <w:style w:type="paragraph" w:styleId="Quote">
    <w:name w:val="Quote"/>
    <w:basedOn w:val="Normal"/>
    <w:next w:val="Normal"/>
    <w:link w:val="QuoteChar"/>
    <w:uiPriority w:val="29"/>
    <w:qFormat/>
    <w:rsid w:val="00B34032"/>
    <w:pPr>
      <w:spacing w:before="160" w:after="160"/>
      <w:jc w:val="center"/>
    </w:pPr>
    <w:rPr>
      <w:rFonts w:asciiTheme="minorHAnsi" w:eastAsia="Times New Roman"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34032"/>
    <w:rPr>
      <w:rFonts w:eastAsia="Times New Roman"/>
      <w:i/>
      <w:iCs/>
      <w:color w:val="404040" w:themeColor="text1" w:themeTint="BF"/>
      <w:kern w:val="2"/>
      <w:sz w:val="24"/>
      <w:szCs w:val="24"/>
      <w:lang w:val="en-US"/>
      <w14:ligatures w14:val="standardContextual"/>
    </w:rPr>
  </w:style>
  <w:style w:type="character" w:styleId="IntenseEmphasis">
    <w:name w:val="Intense Emphasis"/>
    <w:basedOn w:val="DefaultParagraphFont"/>
    <w:uiPriority w:val="21"/>
    <w:qFormat/>
    <w:rsid w:val="00B34032"/>
    <w:rPr>
      <w:i/>
      <w:iCs/>
      <w:color w:val="365F91" w:themeColor="accent1" w:themeShade="BF"/>
    </w:rPr>
  </w:style>
  <w:style w:type="paragraph" w:styleId="IntenseQuote">
    <w:name w:val="Intense Quote"/>
    <w:basedOn w:val="Normal"/>
    <w:next w:val="Normal"/>
    <w:link w:val="IntenseQuoteChar"/>
    <w:uiPriority w:val="30"/>
    <w:qFormat/>
    <w:rsid w:val="00B34032"/>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imes New Roman"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B34032"/>
    <w:rPr>
      <w:rFonts w:eastAsia="Times New Roman"/>
      <w:i/>
      <w:iCs/>
      <w:color w:val="365F91" w:themeColor="accent1" w:themeShade="BF"/>
      <w:kern w:val="2"/>
      <w:sz w:val="24"/>
      <w:szCs w:val="24"/>
      <w:lang w:val="en-US"/>
      <w14:ligatures w14:val="standardContextual"/>
    </w:rPr>
  </w:style>
  <w:style w:type="character" w:styleId="IntenseReference">
    <w:name w:val="Intense Reference"/>
    <w:basedOn w:val="DefaultParagraphFont"/>
    <w:uiPriority w:val="32"/>
    <w:qFormat/>
    <w:rsid w:val="00B34032"/>
    <w:rPr>
      <w:b/>
      <w:bCs/>
      <w:smallCaps/>
      <w:color w:val="365F91" w:themeColor="accent1" w:themeShade="BF"/>
      <w:spacing w:val="5"/>
    </w:rPr>
  </w:style>
  <w:style w:type="character" w:styleId="Strong">
    <w:name w:val="Strong"/>
    <w:basedOn w:val="DefaultParagraphFont"/>
    <w:uiPriority w:val="22"/>
    <w:qFormat/>
    <w:rsid w:val="00B34032"/>
    <w:rPr>
      <w:b/>
      <w:bCs/>
    </w:rPr>
  </w:style>
  <w:style w:type="paragraph" w:styleId="FootnoteText">
    <w:name w:val="footnote text"/>
    <w:basedOn w:val="Normal"/>
    <w:link w:val="FootnoteTextChar"/>
    <w:uiPriority w:val="99"/>
    <w:unhideWhenUsed/>
    <w:rsid w:val="00B34032"/>
    <w:rPr>
      <w:rFonts w:asciiTheme="minorHAnsi" w:eastAsia="Times New Roman"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rsid w:val="00B34032"/>
    <w:rPr>
      <w:rFonts w:eastAsia="Times New Roman"/>
      <w:kern w:val="2"/>
      <w:sz w:val="20"/>
      <w:szCs w:val="20"/>
      <w:lang w:val="en-US"/>
      <w14:ligatures w14:val="standardContextual"/>
    </w:rPr>
  </w:style>
  <w:style w:type="character" w:styleId="FootnoteReference">
    <w:name w:val="footnote reference"/>
    <w:basedOn w:val="DefaultParagraphFont"/>
    <w:uiPriority w:val="99"/>
    <w:unhideWhenUsed/>
    <w:qFormat/>
    <w:rsid w:val="00B34032"/>
    <w:rPr>
      <w:vertAlign w:val="superscript"/>
    </w:rPr>
  </w:style>
  <w:style w:type="paragraph" w:styleId="Revision">
    <w:name w:val="Revision"/>
    <w:hidden/>
    <w:uiPriority w:val="99"/>
    <w:semiHidden/>
    <w:rsid w:val="00B34032"/>
    <w:pPr>
      <w:spacing w:after="0" w:line="240" w:lineRule="auto"/>
    </w:pPr>
    <w:rPr>
      <w:rFonts w:eastAsia="Times New Roman"/>
      <w:kern w:val="2"/>
      <w:sz w:val="24"/>
      <w:szCs w:val="24"/>
      <w:lang w:val="en-US"/>
      <w14:ligatures w14:val="standardContextual"/>
    </w:rPr>
  </w:style>
  <w:style w:type="character" w:styleId="Hyperlink">
    <w:name w:val="Hyperlink"/>
    <w:qFormat/>
    <w:rsid w:val="00B34032"/>
    <w:rPr>
      <w:color w:val="0000FF"/>
      <w:u w:val="single"/>
    </w:rPr>
  </w:style>
  <w:style w:type="table" w:customStyle="1" w:styleId="TableNormal1">
    <w:name w:val="Table Normal1"/>
    <w:uiPriority w:val="2"/>
    <w:semiHidden/>
    <w:unhideWhenUsed/>
    <w:qFormat/>
    <w:rsid w:val="00B3403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Listenabsatz">
    <w:name w:val="Listenabsatz"/>
    <w:basedOn w:val="Normal"/>
    <w:uiPriority w:val="1"/>
    <w:qFormat/>
    <w:rsid w:val="00B34032"/>
    <w:pPr>
      <w:widowControl w:val="0"/>
    </w:pPr>
    <w:rPr>
      <w:rFonts w:ascii="Calibri" w:hAnsi="Calibri"/>
      <w:sz w:val="22"/>
      <w:szCs w:val="22"/>
    </w:rPr>
  </w:style>
  <w:style w:type="paragraph" w:customStyle="1" w:styleId="TableParagraph">
    <w:name w:val="Table Paragraph"/>
    <w:basedOn w:val="Normal"/>
    <w:uiPriority w:val="1"/>
    <w:qFormat/>
    <w:rsid w:val="00B34032"/>
    <w:pPr>
      <w:widowControl w:val="0"/>
    </w:pPr>
    <w:rPr>
      <w:rFonts w:ascii="Calibri" w:hAnsi="Calibri"/>
      <w:sz w:val="22"/>
      <w:szCs w:val="22"/>
    </w:rPr>
  </w:style>
  <w:style w:type="character" w:customStyle="1" w:styleId="OnceABox">
    <w:name w:val="OnceABox"/>
    <w:rsid w:val="00B34032"/>
    <w:rPr>
      <w:rFonts w:ascii="Times New Roman" w:eastAsia="Times New Roman" w:hAnsi="Times New Roman"/>
      <w:b/>
      <w:bCs/>
      <w:color w:val="FF0000"/>
      <w:sz w:val="24"/>
      <w:szCs w:val="24"/>
    </w:rPr>
  </w:style>
  <w:style w:type="table" w:styleId="TableGrid">
    <w:name w:val="Table Grid"/>
    <w:basedOn w:val="TableNormal"/>
    <w:uiPriority w:val="39"/>
    <w:rsid w:val="00B34032"/>
    <w:pPr>
      <w:spacing w:after="0" w:line="240" w:lineRule="auto"/>
    </w:pPr>
    <w:rPr>
      <w:rFonts w:ascii="Times New Roman" w:eastAsia="Times New Roma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34032"/>
    <w:pPr>
      <w:tabs>
        <w:tab w:val="left" w:pos="1152"/>
      </w:tabs>
      <w:spacing w:before="120" w:after="120" w:line="312" w:lineRule="auto"/>
    </w:pPr>
    <w:rPr>
      <w:rFonts w:ascii="Arial" w:eastAsia="Times New Roman" w:hAnsi="Arial" w:cs="Arial"/>
      <w:sz w:val="26"/>
      <w:szCs w:val="26"/>
      <w:lang w:val="en-US"/>
    </w:rPr>
  </w:style>
  <w:style w:type="character" w:customStyle="1" w:styleId="apple-converted-space">
    <w:name w:val="apple-converted-space"/>
    <w:basedOn w:val="DefaultParagraphFont"/>
    <w:rsid w:val="00B34032"/>
  </w:style>
  <w:style w:type="character" w:customStyle="1" w:styleId="fontstyle21">
    <w:name w:val="fontstyle21"/>
    <w:rsid w:val="00B34032"/>
    <w:rPr>
      <w:rFonts w:ascii="TimesNewRomanPSMT" w:hAnsi="TimesNewRomanPSMT" w:hint="default"/>
      <w:b w:val="0"/>
      <w:bCs w:val="0"/>
      <w:i w:val="0"/>
      <w:iCs w:val="0"/>
      <w:color w:val="000000"/>
      <w:sz w:val="26"/>
      <w:szCs w:val="26"/>
    </w:rPr>
  </w:style>
  <w:style w:type="numbering" w:customStyle="1" w:styleId="CurrentList1">
    <w:name w:val="Current List1"/>
    <w:uiPriority w:val="99"/>
    <w:rsid w:val="00B34032"/>
    <w:pPr>
      <w:numPr>
        <w:numId w:val="12"/>
      </w:numPr>
    </w:pPr>
  </w:style>
  <w:style w:type="numbering" w:customStyle="1" w:styleId="CurrentList2">
    <w:name w:val="Current List2"/>
    <w:uiPriority w:val="99"/>
    <w:rsid w:val="00B34032"/>
    <w:pPr>
      <w:numPr>
        <w:numId w:val="13"/>
      </w:numPr>
    </w:pPr>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locked/>
    <w:rsid w:val="00502039"/>
    <w:rPr>
      <w:rFonts w:ascii="Times New Roman" w:eastAsia="Calibri" w:hAnsi="Times New Roman" w:cs="Times New Roman"/>
      <w:sz w:val="24"/>
      <w:szCs w:val="24"/>
      <w:lang w:val="en-US"/>
    </w:rPr>
  </w:style>
  <w:style w:type="table" w:customStyle="1" w:styleId="TableNormal0">
    <w:name w:val="TableNormal"/>
    <w:rsid w:val="00FC3E4A"/>
    <w:pPr>
      <w:spacing w:after="160" w:line="259" w:lineRule="auto"/>
    </w:pPr>
    <w:rPr>
      <w:rFonts w:ascii="Calibri" w:eastAsia="Calibri" w:hAnsi="Calibri" w:cs="Calibri"/>
      <w:lang w:val="en"/>
    </w:rPr>
    <w:tblPr>
      <w:tblCellMar>
        <w:top w:w="100" w:type="dxa"/>
        <w:left w:w="100" w:type="dxa"/>
        <w:bottom w:w="100" w:type="dxa"/>
        <w:right w:w="100" w:type="dxa"/>
      </w:tblCellMar>
    </w:tblPr>
  </w:style>
  <w:style w:type="character" w:customStyle="1" w:styleId="UnresolvedMention1">
    <w:name w:val="Unresolved Mention1"/>
    <w:qFormat/>
    <w:rsid w:val="00FC3E4A"/>
    <w:rPr>
      <w:color w:val="605E5C"/>
      <w:w w:val="100"/>
      <w:position w:val="-1"/>
      <w:effect w:val="none"/>
      <w:shd w:val="clear" w:color="auto" w:fill="E1DFDD"/>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798822">
      <w:bodyDiv w:val="1"/>
      <w:marLeft w:val="0"/>
      <w:marRight w:val="0"/>
      <w:marTop w:val="0"/>
      <w:marBottom w:val="0"/>
      <w:divBdr>
        <w:top w:val="none" w:sz="0" w:space="0" w:color="auto"/>
        <w:left w:val="none" w:sz="0" w:space="0" w:color="auto"/>
        <w:bottom w:val="none" w:sz="0" w:space="0" w:color="auto"/>
        <w:right w:val="none" w:sz="0" w:space="0" w:color="auto"/>
      </w:divBdr>
    </w:div>
    <w:div w:id="814566637">
      <w:bodyDiv w:val="1"/>
      <w:marLeft w:val="0"/>
      <w:marRight w:val="0"/>
      <w:marTop w:val="0"/>
      <w:marBottom w:val="0"/>
      <w:divBdr>
        <w:top w:val="none" w:sz="0" w:space="0" w:color="auto"/>
        <w:left w:val="none" w:sz="0" w:space="0" w:color="auto"/>
        <w:bottom w:val="none" w:sz="0" w:space="0" w:color="auto"/>
        <w:right w:val="none" w:sz="0" w:space="0" w:color="auto"/>
      </w:divBdr>
    </w:div>
    <w:div w:id="194630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14</Pages>
  <Words>5634</Words>
  <Characters>32114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2026-01-30T07:26:00Z</cp:lastPrinted>
  <dcterms:created xsi:type="dcterms:W3CDTF">2026-02-03T03:02:00Z</dcterms:created>
  <dcterms:modified xsi:type="dcterms:W3CDTF">2026-02-03T09:02:00Z</dcterms:modified>
</cp:coreProperties>
</file>