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2" w:type="dxa"/>
        <w:tblInd w:w="-431" w:type="dxa"/>
        <w:tblLayout w:type="fixed"/>
        <w:tblLook w:val="0000" w:firstRow="0" w:lastRow="0" w:firstColumn="0" w:lastColumn="0" w:noHBand="0" w:noVBand="0"/>
      </w:tblPr>
      <w:tblGrid>
        <w:gridCol w:w="3692"/>
        <w:gridCol w:w="5670"/>
      </w:tblGrid>
      <w:tr w:rsidR="00502125" w:rsidRPr="00502125" w14:paraId="1B946FD8" w14:textId="77777777" w:rsidTr="00564E8C">
        <w:tc>
          <w:tcPr>
            <w:tcW w:w="3692" w:type="dxa"/>
          </w:tcPr>
          <w:p w14:paraId="0F1C6027" w14:textId="30D34F69" w:rsidR="00564E8C" w:rsidRDefault="00564E8C" w:rsidP="00564E8C">
            <w:pPr>
              <w:pBdr>
                <w:top w:val="nil"/>
                <w:left w:val="nil"/>
                <w:bottom w:val="nil"/>
                <w:right w:val="nil"/>
                <w:between w:val="nil"/>
              </w:pBdr>
              <w:spacing w:before="0"/>
              <w:ind w:firstLine="0"/>
              <w:jc w:val="center"/>
              <w:rPr>
                <w:vertAlign w:val="superscript"/>
              </w:rPr>
            </w:pPr>
            <w:r>
              <w:rPr>
                <w:b/>
              </w:rPr>
              <w:t>BỘ CÔNG THƯƠNG</w:t>
            </w:r>
          </w:p>
          <w:p w14:paraId="0DB313E0" w14:textId="5A1913E0" w:rsidR="0022242E" w:rsidRPr="00502125" w:rsidRDefault="0022242E" w:rsidP="00564E8C">
            <w:pPr>
              <w:pBdr>
                <w:top w:val="nil"/>
                <w:left w:val="nil"/>
                <w:bottom w:val="nil"/>
                <w:right w:val="nil"/>
                <w:between w:val="nil"/>
              </w:pBdr>
              <w:spacing w:before="0"/>
              <w:ind w:firstLine="0"/>
              <w:jc w:val="center"/>
              <w:rPr>
                <w:vertAlign w:val="superscript"/>
              </w:rPr>
            </w:pPr>
            <w:r w:rsidRPr="00502125">
              <w:rPr>
                <w:vertAlign w:val="superscript"/>
              </w:rPr>
              <w:t>_________</w:t>
            </w:r>
          </w:p>
          <w:p w14:paraId="2A0E373E" w14:textId="16E1D947" w:rsidR="00944AFE" w:rsidRPr="00502125" w:rsidRDefault="00585200" w:rsidP="0022242E">
            <w:pPr>
              <w:pBdr>
                <w:top w:val="nil"/>
                <w:left w:val="nil"/>
                <w:bottom w:val="nil"/>
                <w:right w:val="nil"/>
                <w:between w:val="nil"/>
              </w:pBdr>
              <w:spacing w:before="0"/>
              <w:ind w:firstLine="0"/>
              <w:jc w:val="center"/>
              <w:rPr>
                <w:sz w:val="14"/>
                <w:szCs w:val="14"/>
              </w:rPr>
            </w:pPr>
            <w:r w:rsidRPr="00502125">
              <w:rPr>
                <w:noProof/>
              </w:rPr>
              <mc:AlternateContent>
                <mc:Choice Requires="wps">
                  <w:drawing>
                    <wp:anchor distT="0" distB="0" distL="114297" distR="114297" simplePos="0" relativeHeight="251655680" behindDoc="0" locked="0" layoutInCell="1" allowOverlap="1" wp14:anchorId="077C28C5" wp14:editId="7487C01C">
                      <wp:simplePos x="0" y="0"/>
                      <wp:positionH relativeFrom="column">
                        <wp:posOffset>800100</wp:posOffset>
                      </wp:positionH>
                      <wp:positionV relativeFrom="paragraph">
                        <wp:posOffset>50800</wp:posOffset>
                      </wp:positionV>
                      <wp:extent cx="0" cy="12700"/>
                      <wp:effectExtent l="8255" t="7620" r="10795" b="0"/>
                      <wp:wrapNone/>
                      <wp:docPr id="3" name="Hình tự do: Hình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
                              </a:xfrm>
                              <a:custGeom>
                                <a:avLst/>
                                <a:gdLst>
                                  <a:gd name="T0" fmla="*/ 0 w 944880"/>
                                  <a:gd name="T1" fmla="*/ 0 h 1"/>
                                  <a:gd name="T2" fmla="*/ 944880 w 944880"/>
                                  <a:gd name="T3" fmla="*/ 0 h 1"/>
                                </a:gdLst>
                                <a:ahLst/>
                                <a:cxnLst>
                                  <a:cxn ang="0">
                                    <a:pos x="T0" y="T1"/>
                                  </a:cxn>
                                  <a:cxn ang="0">
                                    <a:pos x="T2" y="T3"/>
                                  </a:cxn>
                                </a:cxnLst>
                                <a:rect l="0" t="0" r="r" b="b"/>
                                <a:pathLst>
                                  <a:path w="944880" h="1" extrusionOk="0">
                                    <a:moveTo>
                                      <a:pt x="0" y="0"/>
                                    </a:moveTo>
                                    <a:lnTo>
                                      <a:pt x="944880"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60BDEE" id="Hình tự do: Hình 4" o:spid="_x0000_s1026" style="position:absolute;margin-left:63pt;margin-top:4pt;width:0;height:1pt;z-index:251655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v-text-anchor:middle" coordsize="944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" path="m,l944880,e" strokeweight="1pt">
                      <v:stroke startarrowwidth="narrow" startarrowlength="short" endarrowwidth="narrow" endarrowlength="short"/>
                      <v:path arrowok="t" o:extrusionok="f" o:connecttype="custom" o:connectlocs="0,0;1,0" o:connectangles="0,0"/>
                    </v:shape>
                  </w:pict>
                </mc:Fallback>
              </mc:AlternateContent>
            </w:r>
          </w:p>
          <w:p w14:paraId="7E6A0835" w14:textId="77777777" w:rsidR="008D1AE9" w:rsidRPr="00502125" w:rsidRDefault="008D1AE9" w:rsidP="0022242E">
            <w:pPr>
              <w:pBdr>
                <w:top w:val="nil"/>
                <w:left w:val="nil"/>
                <w:bottom w:val="nil"/>
                <w:right w:val="nil"/>
                <w:between w:val="nil"/>
              </w:pBdr>
              <w:spacing w:before="0"/>
              <w:ind w:firstLine="0"/>
              <w:jc w:val="center"/>
              <w:rPr>
                <w:sz w:val="16"/>
              </w:rPr>
            </w:pPr>
          </w:p>
          <w:p w14:paraId="44C9CC6B" w14:textId="1D217570" w:rsidR="00944AFE" w:rsidRPr="00502125" w:rsidRDefault="003A631E" w:rsidP="00F87A87">
            <w:pPr>
              <w:pBdr>
                <w:top w:val="nil"/>
                <w:left w:val="nil"/>
                <w:bottom w:val="nil"/>
                <w:right w:val="nil"/>
                <w:between w:val="nil"/>
              </w:pBdr>
              <w:spacing w:before="0"/>
              <w:ind w:firstLine="0"/>
              <w:jc w:val="center"/>
            </w:pPr>
            <w:r w:rsidRPr="00502125">
              <w:t xml:space="preserve">Số: </w:t>
            </w:r>
            <w:r w:rsidR="00F87A87">
              <w:t xml:space="preserve">       </w:t>
            </w:r>
            <w:r w:rsidRPr="00502125">
              <w:t>/</w:t>
            </w:r>
            <w:r w:rsidR="00DB0647">
              <w:t>TTr-BCT</w:t>
            </w:r>
          </w:p>
        </w:tc>
        <w:tc>
          <w:tcPr>
            <w:tcW w:w="5670" w:type="dxa"/>
          </w:tcPr>
          <w:p w14:paraId="0CB405C2" w14:textId="77777777" w:rsidR="00944AFE" w:rsidRPr="00502125" w:rsidRDefault="003A631E" w:rsidP="0022242E">
            <w:pPr>
              <w:pStyle w:val="Heading2"/>
              <w:spacing w:before="0"/>
              <w:ind w:firstLine="0"/>
              <w:jc w:val="center"/>
              <w:rPr>
                <w:i w:val="0"/>
                <w:sz w:val="26"/>
                <w:szCs w:val="26"/>
              </w:rPr>
            </w:pPr>
            <w:r w:rsidRPr="00502125">
              <w:rPr>
                <w:b/>
                <w:i w:val="0"/>
                <w:sz w:val="26"/>
                <w:szCs w:val="26"/>
              </w:rPr>
              <w:t>CỘNG HÒA XÃ HỘI CHỦ NGHĨA VIỆT NAM</w:t>
            </w:r>
          </w:p>
          <w:p w14:paraId="714D91A1" w14:textId="77777777" w:rsidR="00944AFE" w:rsidRPr="00502125" w:rsidRDefault="003A631E" w:rsidP="0022242E">
            <w:pPr>
              <w:pStyle w:val="Heading2"/>
              <w:spacing w:before="0"/>
              <w:ind w:firstLine="0"/>
              <w:jc w:val="center"/>
              <w:rPr>
                <w:b/>
                <w:i w:val="0"/>
              </w:rPr>
            </w:pPr>
            <w:r w:rsidRPr="00502125">
              <w:rPr>
                <w:b/>
                <w:i w:val="0"/>
              </w:rPr>
              <w:t>Độc lập - Tự do - Hạnh phúc</w:t>
            </w:r>
          </w:p>
          <w:p w14:paraId="47D8C97F" w14:textId="59D290A8" w:rsidR="0022242E" w:rsidRPr="00502125" w:rsidRDefault="009E4807" w:rsidP="0022242E">
            <w:pPr>
              <w:pStyle w:val="Normal1"/>
              <w:spacing w:before="0"/>
              <w:ind w:firstLine="0"/>
              <w:jc w:val="center"/>
              <w:rPr>
                <w:vertAlign w:val="superscript"/>
              </w:rPr>
            </w:pPr>
            <w:r>
              <w:rPr>
                <w:noProof/>
                <w:vertAlign w:val="superscript"/>
              </w:rPr>
              <mc:AlternateContent>
                <mc:Choice Requires="wps">
                  <w:drawing>
                    <wp:anchor distT="0" distB="0" distL="114300" distR="114300" simplePos="0" relativeHeight="251659264" behindDoc="0" locked="0" layoutInCell="1" allowOverlap="1" wp14:anchorId="7E0463FB" wp14:editId="6F869125">
                      <wp:simplePos x="0" y="0"/>
                      <wp:positionH relativeFrom="column">
                        <wp:posOffset>899325</wp:posOffset>
                      </wp:positionH>
                      <wp:positionV relativeFrom="paragraph">
                        <wp:posOffset>30563</wp:posOffset>
                      </wp:positionV>
                      <wp:extent cx="1677725" cy="7951"/>
                      <wp:effectExtent l="0" t="0" r="36830" b="30480"/>
                      <wp:wrapNone/>
                      <wp:docPr id="4" name="Straight Connector 4"/>
                      <wp:cNvGraphicFramePr/>
                      <a:graphic xmlns:a="http://schemas.openxmlformats.org/drawingml/2006/main">
                        <a:graphicData uri="http://schemas.microsoft.com/office/word/2010/wordprocessingShape">
                          <wps:wsp>
                            <wps:cNvCnPr/>
                            <wps:spPr>
                              <a:xfrm flipV="1">
                                <a:off x="0" y="0"/>
                                <a:ext cx="1677725" cy="7951"/>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5D35EB"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8pt,2.4pt" to="202.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" strokecolor="black [3213]" strokeweight=".5pt">
                      <v:stroke joinstyle="miter"/>
                    </v:line>
                  </w:pict>
                </mc:Fallback>
              </mc:AlternateContent>
            </w:r>
          </w:p>
          <w:p w14:paraId="62B6D84A" w14:textId="713602BB" w:rsidR="00944AFE" w:rsidRPr="00502125" w:rsidRDefault="00585200" w:rsidP="00823804">
            <w:pPr>
              <w:pStyle w:val="Heading3"/>
              <w:tabs>
                <w:tab w:val="left" w:pos="5091"/>
              </w:tabs>
              <w:spacing w:before="0"/>
              <w:ind w:firstLine="0"/>
            </w:pPr>
            <w:r w:rsidRPr="00502125">
              <w:rPr>
                <w:noProof/>
              </w:rPr>
              <mc:AlternateContent>
                <mc:Choice Requires="wps">
                  <w:drawing>
                    <wp:anchor distT="0" distB="0" distL="114297" distR="114297" simplePos="0" relativeHeight="251656704" behindDoc="0" locked="0" layoutInCell="1" allowOverlap="1" wp14:anchorId="4134CB9B" wp14:editId="228BE956">
                      <wp:simplePos x="0" y="0"/>
                      <wp:positionH relativeFrom="column">
                        <wp:posOffset>800100</wp:posOffset>
                      </wp:positionH>
                      <wp:positionV relativeFrom="paragraph">
                        <wp:posOffset>25400</wp:posOffset>
                      </wp:positionV>
                      <wp:extent cx="0" cy="12700"/>
                      <wp:effectExtent l="6985" t="15240" r="12065" b="635"/>
                      <wp:wrapNone/>
                      <wp:docPr id="2" name="Hình tự do: Hình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
                              </a:xfrm>
                              <a:custGeom>
                                <a:avLst/>
                                <a:gdLst>
                                  <a:gd name="T0" fmla="*/ 0 w 2099310"/>
                                  <a:gd name="T1" fmla="*/ 0 h 1"/>
                                  <a:gd name="T2" fmla="*/ 2099310 w 2099310"/>
                                  <a:gd name="T3" fmla="*/ 0 h 1"/>
                                </a:gdLst>
                                <a:ahLst/>
                                <a:cxnLst>
                                  <a:cxn ang="0">
                                    <a:pos x="T0" y="T1"/>
                                  </a:cxn>
                                  <a:cxn ang="0">
                                    <a:pos x="T2" y="T3"/>
                                  </a:cxn>
                                </a:cxnLst>
                                <a:rect l="0" t="0" r="r" b="b"/>
                                <a:pathLst>
                                  <a:path w="2099310" h="1" extrusionOk="0">
                                    <a:moveTo>
                                      <a:pt x="0" y="0"/>
                                    </a:moveTo>
                                    <a:lnTo>
                                      <a:pt x="2099310"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B5F012" id="Hình tự do: Hình 2" o:spid="_x0000_s1026" style="position:absolute;margin-left:63pt;margin-top:2pt;width:0;height:1pt;z-index:251656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v-text-anchor:middle" coordsize="2099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" path="m,l2099310,e" strokeweight="1pt">
                      <v:stroke startarrowwidth="narrow" startarrowlength="short" endarrowwidth="narrow" endarrowlength="short"/>
                      <v:path arrowok="t" o:extrusionok="f" o:connecttype="custom" o:connectlocs="0,0;1,0" o:connectangles="0,0"/>
                    </v:shape>
                  </w:pict>
                </mc:Fallback>
              </mc:AlternateContent>
            </w:r>
            <w:r w:rsidR="003A631E" w:rsidRPr="00502125">
              <w:t xml:space="preserve">Hà Nội, ngày </w:t>
            </w:r>
            <w:r w:rsidR="00F87A87">
              <w:t xml:space="preserve">   </w:t>
            </w:r>
            <w:r w:rsidR="003A631E" w:rsidRPr="00502125">
              <w:t xml:space="preserve"> tháng </w:t>
            </w:r>
            <w:r w:rsidR="00823804">
              <w:t>01</w:t>
            </w:r>
            <w:r w:rsidR="00266FF7" w:rsidRPr="00502125">
              <w:t xml:space="preserve"> </w:t>
            </w:r>
            <w:r w:rsidR="003A631E" w:rsidRPr="00502125">
              <w:t>năm 202</w:t>
            </w:r>
            <w:r w:rsidR="00823804">
              <w:t>6</w:t>
            </w:r>
          </w:p>
        </w:tc>
      </w:tr>
    </w:tbl>
    <w:p w14:paraId="28936698" w14:textId="31519B7A" w:rsidR="00944AFE" w:rsidRPr="00502125" w:rsidRDefault="00944AFE" w:rsidP="0022242E">
      <w:pPr>
        <w:pBdr>
          <w:top w:val="nil"/>
          <w:left w:val="nil"/>
          <w:bottom w:val="nil"/>
          <w:right w:val="nil"/>
          <w:between w:val="nil"/>
        </w:pBdr>
        <w:spacing w:before="0"/>
        <w:ind w:firstLine="0"/>
        <w:jc w:val="center"/>
        <w:rPr>
          <w:sz w:val="14"/>
          <w:szCs w:val="14"/>
        </w:rPr>
      </w:pPr>
    </w:p>
    <w:p w14:paraId="39D3A6BE" w14:textId="77777777" w:rsidR="00944AFE" w:rsidRPr="00502125" w:rsidRDefault="00944AFE" w:rsidP="0022242E">
      <w:pPr>
        <w:pBdr>
          <w:top w:val="nil"/>
          <w:left w:val="nil"/>
          <w:bottom w:val="nil"/>
          <w:right w:val="nil"/>
          <w:between w:val="nil"/>
        </w:pBdr>
        <w:spacing w:before="0"/>
        <w:ind w:firstLine="0"/>
        <w:jc w:val="center"/>
        <w:rPr>
          <w:sz w:val="18"/>
          <w:szCs w:val="14"/>
        </w:rPr>
      </w:pPr>
    </w:p>
    <w:p w14:paraId="07B0927B" w14:textId="77777777" w:rsidR="008B2BD3" w:rsidRPr="00502125" w:rsidRDefault="008B2BD3" w:rsidP="0022242E">
      <w:pPr>
        <w:pBdr>
          <w:top w:val="nil"/>
          <w:left w:val="nil"/>
          <w:bottom w:val="nil"/>
          <w:right w:val="nil"/>
          <w:between w:val="nil"/>
        </w:pBdr>
        <w:spacing w:before="0"/>
        <w:ind w:firstLine="0"/>
        <w:jc w:val="center"/>
        <w:rPr>
          <w:sz w:val="14"/>
          <w:szCs w:val="14"/>
        </w:rPr>
      </w:pPr>
    </w:p>
    <w:p w14:paraId="1BF028CA" w14:textId="42386F0B" w:rsidR="00944AFE" w:rsidRPr="00C33E6D" w:rsidRDefault="003A631E" w:rsidP="0022242E">
      <w:pPr>
        <w:pBdr>
          <w:top w:val="nil"/>
          <w:left w:val="nil"/>
          <w:bottom w:val="nil"/>
          <w:right w:val="nil"/>
          <w:between w:val="nil"/>
        </w:pBdr>
        <w:spacing w:before="0"/>
        <w:ind w:firstLine="0"/>
        <w:jc w:val="center"/>
        <w:rPr>
          <w:b/>
          <w:sz w:val="27"/>
          <w:szCs w:val="27"/>
        </w:rPr>
      </w:pPr>
      <w:r w:rsidRPr="00C33E6D">
        <w:rPr>
          <w:b/>
          <w:sz w:val="27"/>
          <w:szCs w:val="27"/>
        </w:rPr>
        <w:t>TỜ TRÌNH</w:t>
      </w:r>
      <w:r w:rsidR="009E4807" w:rsidRPr="00C33E6D">
        <w:rPr>
          <w:b/>
          <w:sz w:val="27"/>
          <w:szCs w:val="27"/>
        </w:rPr>
        <w:t xml:space="preserve"> </w:t>
      </w:r>
      <w:r w:rsidRPr="00C33E6D">
        <w:rPr>
          <w:b/>
          <w:sz w:val="27"/>
          <w:szCs w:val="27"/>
        </w:rPr>
        <w:br/>
      </w:r>
      <w:r w:rsidR="00F87A87" w:rsidRPr="00C33E6D">
        <w:rPr>
          <w:b/>
          <w:sz w:val="27"/>
          <w:szCs w:val="27"/>
        </w:rPr>
        <w:t>Chính sách của</w:t>
      </w:r>
      <w:r w:rsidR="00D87CBA" w:rsidRPr="00C33E6D">
        <w:rPr>
          <w:b/>
          <w:sz w:val="27"/>
          <w:szCs w:val="27"/>
        </w:rPr>
        <w:t xml:space="preserve"> </w:t>
      </w:r>
      <w:r w:rsidR="00F87A87" w:rsidRPr="00C33E6D">
        <w:rPr>
          <w:b/>
          <w:sz w:val="27"/>
          <w:szCs w:val="27"/>
        </w:rPr>
        <w:t>Dự án Luật Sửa đổi, bổ sung một số điều của Luật Thương mại, Luật Cạnh tranh, Luật Quản lý ngo</w:t>
      </w:r>
      <w:bookmarkStart w:id="0" w:name="_GoBack"/>
      <w:bookmarkEnd w:id="0"/>
      <w:r w:rsidR="00F87A87" w:rsidRPr="00C33E6D">
        <w:rPr>
          <w:b/>
          <w:sz w:val="27"/>
          <w:szCs w:val="27"/>
        </w:rPr>
        <w:t>ại thương, Luật Bảo vệ quyền lợi người tiêu dùng</w:t>
      </w:r>
    </w:p>
    <w:p w14:paraId="67599862" w14:textId="77777777" w:rsidR="0022242E" w:rsidRPr="00C33E6D" w:rsidRDefault="0022242E" w:rsidP="0022242E">
      <w:pPr>
        <w:pBdr>
          <w:top w:val="nil"/>
          <w:left w:val="nil"/>
          <w:bottom w:val="nil"/>
          <w:right w:val="nil"/>
          <w:between w:val="nil"/>
        </w:pBdr>
        <w:spacing w:before="0"/>
        <w:ind w:firstLine="0"/>
        <w:jc w:val="center"/>
        <w:rPr>
          <w:sz w:val="27"/>
          <w:szCs w:val="27"/>
          <w:vertAlign w:val="superscript"/>
        </w:rPr>
      </w:pPr>
      <w:r w:rsidRPr="00C33E6D">
        <w:rPr>
          <w:sz w:val="27"/>
          <w:szCs w:val="27"/>
          <w:vertAlign w:val="superscript"/>
        </w:rPr>
        <w:t>___________</w:t>
      </w:r>
    </w:p>
    <w:p w14:paraId="7337E0FC" w14:textId="77777777" w:rsidR="000407B0" w:rsidRPr="00C33E6D" w:rsidRDefault="000407B0" w:rsidP="0022242E">
      <w:pPr>
        <w:pBdr>
          <w:top w:val="nil"/>
          <w:left w:val="nil"/>
          <w:bottom w:val="nil"/>
          <w:right w:val="nil"/>
          <w:between w:val="nil"/>
        </w:pBdr>
        <w:spacing w:before="0"/>
        <w:ind w:firstLine="0"/>
        <w:jc w:val="center"/>
        <w:rPr>
          <w:sz w:val="27"/>
          <w:szCs w:val="27"/>
          <w:lang w:val="vi-VN"/>
        </w:rPr>
      </w:pPr>
    </w:p>
    <w:p w14:paraId="41BF0747" w14:textId="304EE599" w:rsidR="00944AFE" w:rsidRPr="00C33E6D" w:rsidRDefault="003A631E" w:rsidP="0022242E">
      <w:pPr>
        <w:pBdr>
          <w:top w:val="nil"/>
          <w:left w:val="nil"/>
          <w:bottom w:val="nil"/>
          <w:right w:val="nil"/>
          <w:between w:val="nil"/>
        </w:pBdr>
        <w:spacing w:before="0"/>
        <w:ind w:firstLine="0"/>
        <w:jc w:val="center"/>
        <w:rPr>
          <w:sz w:val="27"/>
          <w:szCs w:val="27"/>
        </w:rPr>
      </w:pPr>
      <w:r w:rsidRPr="00C33E6D">
        <w:rPr>
          <w:sz w:val="27"/>
          <w:szCs w:val="27"/>
        </w:rPr>
        <w:t>Kính gửi:</w:t>
      </w:r>
      <w:r w:rsidR="00F66D3E" w:rsidRPr="00C33E6D">
        <w:rPr>
          <w:sz w:val="27"/>
          <w:szCs w:val="27"/>
        </w:rPr>
        <w:t xml:space="preserve"> Chính phủ</w:t>
      </w:r>
    </w:p>
    <w:p w14:paraId="5886FFA4" w14:textId="77777777" w:rsidR="0077456C" w:rsidRPr="00C33E6D" w:rsidRDefault="0077456C" w:rsidP="00A238FF">
      <w:pPr>
        <w:pBdr>
          <w:top w:val="nil"/>
          <w:left w:val="nil"/>
          <w:bottom w:val="nil"/>
          <w:right w:val="nil"/>
          <w:between w:val="nil"/>
        </w:pBdr>
        <w:spacing w:before="120"/>
        <w:ind w:firstLine="567"/>
        <w:rPr>
          <w:sz w:val="27"/>
          <w:szCs w:val="27"/>
        </w:rPr>
      </w:pPr>
    </w:p>
    <w:p w14:paraId="0328A49D" w14:textId="7160EAA8" w:rsidR="00F87A87" w:rsidRPr="0030361E" w:rsidRDefault="000360A8" w:rsidP="000360A8">
      <w:pPr>
        <w:spacing w:before="0"/>
        <w:ind w:firstLine="567"/>
        <w:rPr>
          <w:sz w:val="27"/>
          <w:szCs w:val="27"/>
          <w:lang w:val="vi-VN"/>
        </w:rPr>
      </w:pPr>
      <w:r w:rsidRPr="0030361E">
        <w:rPr>
          <w:sz w:val="27"/>
          <w:szCs w:val="27"/>
        </w:rPr>
        <w:t>Căn</w:t>
      </w:r>
      <w:r w:rsidRPr="0030361E">
        <w:rPr>
          <w:sz w:val="27"/>
          <w:szCs w:val="27"/>
          <w:lang w:val="vi-VN"/>
        </w:rPr>
        <w:t xml:space="preserve"> cứ </w:t>
      </w:r>
      <w:r w:rsidRPr="0030361E">
        <w:rPr>
          <w:sz w:val="27"/>
          <w:szCs w:val="27"/>
        </w:rPr>
        <w:t>Nghị quyết số 105/2025/UBTVQH15 ngày 26 tháng 9 năm 2025 của Ủy ban Thường vụ Quốc hội về Chương trình lập pháp năm 2026 và Quyết định số 2352/QĐ-TTg ngày 24 tháng 10 năm 2025 của</w:t>
      </w:r>
      <w:r w:rsidRPr="0030361E">
        <w:rPr>
          <w:sz w:val="27"/>
          <w:szCs w:val="27"/>
          <w:lang w:val="vi-VN"/>
        </w:rPr>
        <w:t xml:space="preserve"> </w:t>
      </w:r>
      <w:r w:rsidRPr="0030361E">
        <w:rPr>
          <w:sz w:val="27"/>
          <w:szCs w:val="27"/>
        </w:rPr>
        <w:t>Thủ tướng Chính phủ phân công Bộ Công Thương chủ trì xây dựng và trình dự án Luật Sửa đổi, bổ sung một số điều của Luật Thương mại, Luật Cạnh tranh, Luật Quản lý ngoại thương, Luật Điện lực, Luật Bảo vệ quyền lợi người tiêu dùng, trình Quốc hội thông qua vào Kỳ họp thứ hai Quốc hội khóa XVI</w:t>
      </w:r>
      <w:r w:rsidR="00C33E6D" w:rsidRPr="0030361E">
        <w:rPr>
          <w:sz w:val="27"/>
          <w:szCs w:val="27"/>
          <w:lang w:val="vi-VN"/>
        </w:rPr>
        <w:t>; Tờ trình số</w:t>
      </w:r>
      <w:r w:rsidR="00C33E6D" w:rsidRPr="0030361E">
        <w:rPr>
          <w:sz w:val="27"/>
          <w:szCs w:val="27"/>
        </w:rPr>
        <w:t xml:space="preserve"> 19 ngày 19/01/2026 </w:t>
      </w:r>
      <w:r w:rsidRPr="0030361E">
        <w:rPr>
          <w:sz w:val="27"/>
          <w:szCs w:val="27"/>
          <w:lang w:val="vi-VN"/>
        </w:rPr>
        <w:t xml:space="preserve">của Chính phủ đề nghị điều chỉnh Chương trình lập pháp năm 2026 và </w:t>
      </w:r>
      <w:r w:rsidRPr="0030361E">
        <w:rPr>
          <w:color w:val="000000" w:themeColor="text1"/>
          <w:sz w:val="27"/>
          <w:szCs w:val="27"/>
          <w:lang w:val="vi-VN"/>
        </w:rPr>
        <w:t>Báo cáo số 76-BC/ĐU của Đảng ủy B</w:t>
      </w:r>
      <w:r w:rsidR="00A42AC1" w:rsidRPr="0030361E">
        <w:rPr>
          <w:color w:val="000000" w:themeColor="text1"/>
          <w:sz w:val="27"/>
          <w:szCs w:val="27"/>
          <w:lang w:val="vi-VN"/>
        </w:rPr>
        <w:t>ộ Tư pháp</w:t>
      </w:r>
      <w:r w:rsidRPr="0030361E">
        <w:rPr>
          <w:color w:val="000000" w:themeColor="text1"/>
          <w:sz w:val="27"/>
          <w:szCs w:val="27"/>
          <w:lang w:val="vi-VN"/>
        </w:rPr>
        <w:t>,</w:t>
      </w:r>
      <w:r w:rsidRPr="0030361E">
        <w:rPr>
          <w:sz w:val="27"/>
          <w:szCs w:val="27"/>
          <w:lang w:val="vi-VN"/>
        </w:rPr>
        <w:t xml:space="preserve"> t</w:t>
      </w:r>
      <w:r w:rsidR="00F87A87" w:rsidRPr="0030361E">
        <w:rPr>
          <w:sz w:val="27"/>
          <w:szCs w:val="27"/>
          <w:lang w:val="vi-VN"/>
        </w:rPr>
        <w:t xml:space="preserve">hực hiện quy định của Luật Ban hành văn bản quy phạm pháp luật, </w:t>
      </w:r>
      <w:r w:rsidR="00117F8E" w:rsidRPr="0030361E">
        <w:rPr>
          <w:sz w:val="27"/>
          <w:szCs w:val="27"/>
          <w:lang w:val="vi-VN"/>
        </w:rPr>
        <w:t xml:space="preserve">qua quá trình rà soát các nội dung cần sửa đổi tại Dự án Luật Sửa đổi, bổ sung một số điều của Luật Thương mại, Luật Cạnh tranh, Luật Quản lý ngoại thương, Luật Bảo vệ quyền lợi người tiêu dùng, Bộ Công Thương xác định các chính sách liên quan đến sửa đổi quy định tại Luật Thương mại và Luật Cạnh tranh có liên quan đến hạn chế quyền con người, quyền công dân theo quy định của Hiến pháp. Do đó, </w:t>
      </w:r>
      <w:r w:rsidR="00F87A87" w:rsidRPr="0030361E">
        <w:rPr>
          <w:sz w:val="27"/>
          <w:szCs w:val="27"/>
          <w:lang w:val="vi-VN"/>
        </w:rPr>
        <w:t xml:space="preserve">Bộ Công Thương kính trình Chính phủ chính sách của Dự án Luật Sửa đổi, bổ sung một số điều của Luật Thương mại, Luật Cạnh tranh, Luật Quản lý ngoại thương, Luật Bảo vệ quyền lợi người tiêu dùng </w:t>
      </w:r>
      <w:r w:rsidR="00117F8E" w:rsidRPr="0030361E">
        <w:rPr>
          <w:sz w:val="27"/>
          <w:szCs w:val="27"/>
          <w:lang w:val="vi-VN"/>
        </w:rPr>
        <w:t xml:space="preserve">liên quan đến nội dung hạn chế quyền con người, quyền công dân </w:t>
      </w:r>
      <w:r w:rsidR="00F87A87" w:rsidRPr="0030361E">
        <w:rPr>
          <w:sz w:val="27"/>
          <w:szCs w:val="27"/>
          <w:lang w:val="vi-VN"/>
        </w:rPr>
        <w:t>như sau:</w:t>
      </w:r>
    </w:p>
    <w:p w14:paraId="493FDC26" w14:textId="77777777" w:rsidR="00F87A87" w:rsidRPr="0030361E" w:rsidRDefault="00F87A87" w:rsidP="00A238FF">
      <w:pPr>
        <w:tabs>
          <w:tab w:val="right" w:leader="dot" w:pos="7920"/>
        </w:tabs>
        <w:spacing w:before="120"/>
        <w:ind w:firstLine="567"/>
        <w:rPr>
          <w:b/>
          <w:sz w:val="27"/>
          <w:szCs w:val="27"/>
          <w:lang w:val="vi-VN"/>
        </w:rPr>
      </w:pPr>
      <w:r w:rsidRPr="0030361E">
        <w:rPr>
          <w:b/>
          <w:sz w:val="27"/>
          <w:szCs w:val="27"/>
          <w:lang w:val="vi-VN"/>
        </w:rPr>
        <w:t>I. SỰ CẦN THIẾT XÂY DỰNG CHÍNH SÁCH</w:t>
      </w:r>
    </w:p>
    <w:p w14:paraId="31ED71BA" w14:textId="7EFD1E8C" w:rsidR="00F87A87" w:rsidRPr="0030361E" w:rsidRDefault="00F87A87" w:rsidP="00A238FF">
      <w:pPr>
        <w:tabs>
          <w:tab w:val="right" w:leader="dot" w:pos="7920"/>
        </w:tabs>
        <w:spacing w:before="120"/>
        <w:ind w:firstLine="567"/>
        <w:rPr>
          <w:b/>
          <w:sz w:val="27"/>
          <w:szCs w:val="27"/>
          <w:lang w:val="vi-VN"/>
        </w:rPr>
      </w:pPr>
      <w:r w:rsidRPr="0030361E">
        <w:rPr>
          <w:b/>
          <w:sz w:val="27"/>
          <w:szCs w:val="27"/>
          <w:lang w:val="vi-VN"/>
        </w:rPr>
        <w:t>1. Cơ sở chính trị, pháp lý</w:t>
      </w:r>
    </w:p>
    <w:p w14:paraId="2CF13DE9" w14:textId="423D48BA" w:rsidR="00CC24B6" w:rsidRPr="0030361E" w:rsidRDefault="00CC24B6" w:rsidP="00A238FF">
      <w:pPr>
        <w:widowControl w:val="0"/>
        <w:tabs>
          <w:tab w:val="left" w:pos="1134"/>
        </w:tabs>
        <w:spacing w:before="120"/>
        <w:ind w:firstLine="567"/>
        <w:rPr>
          <w:b/>
          <w:i/>
          <w:sz w:val="27"/>
          <w:szCs w:val="27"/>
          <w:lang w:val="vi-VN"/>
        </w:rPr>
      </w:pPr>
      <w:bookmarkStart w:id="1" w:name="_Toc200984953"/>
      <w:bookmarkStart w:id="2" w:name="_Toc201244871"/>
      <w:bookmarkStart w:id="3" w:name="_Toc201246828"/>
      <w:bookmarkStart w:id="4" w:name="_Toc201247185"/>
      <w:bookmarkStart w:id="5" w:name="_Toc201827013"/>
      <w:r w:rsidRPr="0030361E">
        <w:rPr>
          <w:b/>
          <w:i/>
          <w:sz w:val="27"/>
          <w:szCs w:val="27"/>
          <w:lang w:val="vi-VN"/>
        </w:rPr>
        <w:t>1.1. Cơ sở chính trị</w:t>
      </w:r>
    </w:p>
    <w:p w14:paraId="3E97533C" w14:textId="0D6566F0" w:rsidR="00B757A9" w:rsidRPr="0030361E" w:rsidRDefault="00B757A9" w:rsidP="00A238FF">
      <w:pPr>
        <w:spacing w:before="120"/>
        <w:ind w:firstLine="567"/>
        <w:rPr>
          <w:bCs/>
          <w:noProof/>
          <w:sz w:val="27"/>
          <w:szCs w:val="27"/>
          <w:lang w:val="vi-VN"/>
        </w:rPr>
      </w:pPr>
      <w:bookmarkStart w:id="6" w:name="_Hlk201766555"/>
      <w:bookmarkEnd w:id="1"/>
      <w:bookmarkEnd w:id="2"/>
      <w:bookmarkEnd w:id="3"/>
      <w:bookmarkEnd w:id="4"/>
      <w:bookmarkEnd w:id="5"/>
      <w:r w:rsidRPr="0030361E">
        <w:rPr>
          <w:color w:val="000000"/>
          <w:sz w:val="27"/>
          <w:szCs w:val="27"/>
          <w:lang w:val="en-GB"/>
        </w:rPr>
        <w:t>- Nghị quyết số 60-NQ/TW ngày 12/04/2025 của Ban Chấp hành Trung ương Đảng về Hội nghị lần thứ 11 Ban chấp hành Trung ương Đảng khoá XIII;</w:t>
      </w:r>
    </w:p>
    <w:p w14:paraId="5F7DF3A1" w14:textId="6DE0CB9E" w:rsidR="00E50334" w:rsidRPr="0030361E" w:rsidRDefault="00880F18" w:rsidP="00A238FF">
      <w:pPr>
        <w:spacing w:before="120"/>
        <w:ind w:firstLine="567"/>
        <w:rPr>
          <w:rFonts w:eastAsia="Calibri"/>
          <w:iCs/>
          <w:sz w:val="27"/>
          <w:szCs w:val="27"/>
        </w:rPr>
      </w:pPr>
      <w:r w:rsidRPr="0030361E">
        <w:rPr>
          <w:bCs/>
          <w:noProof/>
          <w:sz w:val="27"/>
          <w:szCs w:val="27"/>
          <w:lang w:val="vi-VN"/>
        </w:rPr>
        <w:t xml:space="preserve">- </w:t>
      </w:r>
      <w:r w:rsidR="00153D36" w:rsidRPr="0030361E">
        <w:rPr>
          <w:rFonts w:eastAsia="Calibri"/>
          <w:iCs/>
          <w:sz w:val="27"/>
          <w:szCs w:val="27"/>
          <w:lang w:val="vi-VN"/>
        </w:rPr>
        <w:t xml:space="preserve">Nghị quyết số 66-NQ/TW </w:t>
      </w:r>
      <w:r w:rsidR="006E65D3" w:rsidRPr="0030361E">
        <w:rPr>
          <w:rFonts w:eastAsia="Calibri"/>
          <w:iCs/>
          <w:sz w:val="27"/>
          <w:szCs w:val="27"/>
          <w:lang w:val="vi-VN"/>
        </w:rPr>
        <w:t xml:space="preserve">ngày 30 tháng 4 năm 2025 </w:t>
      </w:r>
      <w:r w:rsidR="00153D36" w:rsidRPr="0030361E">
        <w:rPr>
          <w:rFonts w:eastAsia="Calibri"/>
          <w:iCs/>
          <w:sz w:val="27"/>
          <w:szCs w:val="27"/>
          <w:lang w:val="vi-VN"/>
        </w:rPr>
        <w:t>của Bộ Chính trị về đổi mới công tác xây dựng và thi hành pháp luật đáp ứng yêu cầu phát triển đất nước trong kỷ nguyên mới</w:t>
      </w:r>
      <w:r w:rsidR="00B757A9" w:rsidRPr="0030361E">
        <w:rPr>
          <w:rFonts w:eastAsia="Calibri"/>
          <w:iCs/>
          <w:sz w:val="27"/>
          <w:szCs w:val="27"/>
        </w:rPr>
        <w:t>;</w:t>
      </w:r>
    </w:p>
    <w:bookmarkEnd w:id="6"/>
    <w:p w14:paraId="7E40FF32" w14:textId="11AB464C" w:rsidR="00536B76" w:rsidRPr="0030361E" w:rsidRDefault="00BC7D80" w:rsidP="00A238FF">
      <w:pPr>
        <w:tabs>
          <w:tab w:val="right" w:leader="dot" w:pos="7920"/>
        </w:tabs>
        <w:spacing w:before="120"/>
        <w:ind w:firstLine="567"/>
        <w:rPr>
          <w:bCs/>
          <w:noProof/>
          <w:sz w:val="27"/>
          <w:szCs w:val="27"/>
        </w:rPr>
      </w:pPr>
      <w:r w:rsidRPr="0030361E">
        <w:rPr>
          <w:bCs/>
          <w:noProof/>
          <w:sz w:val="27"/>
          <w:szCs w:val="27"/>
          <w:lang w:val="vi-VN"/>
        </w:rPr>
        <w:t xml:space="preserve">- </w:t>
      </w:r>
      <w:r w:rsidR="00536B76" w:rsidRPr="0030361E">
        <w:rPr>
          <w:bCs/>
          <w:noProof/>
          <w:sz w:val="27"/>
          <w:szCs w:val="27"/>
          <w:lang w:val="vi-VN"/>
        </w:rPr>
        <w:t>Nghị quyết số 23-NQ/TW ngày 22/3/2018 của Bộ Chính trị về định hướng xây dựng chính sách phát triển công nghiệp quốc gia đến năm 2030, tầm nhìn đến năm 2045</w:t>
      </w:r>
      <w:r w:rsidR="00B757A9" w:rsidRPr="0030361E">
        <w:rPr>
          <w:bCs/>
          <w:noProof/>
          <w:sz w:val="27"/>
          <w:szCs w:val="27"/>
        </w:rPr>
        <w:t>;</w:t>
      </w:r>
    </w:p>
    <w:p w14:paraId="457298B7" w14:textId="72028408" w:rsidR="00536B76" w:rsidRPr="0030361E" w:rsidRDefault="00BC7D80" w:rsidP="00A238FF">
      <w:pPr>
        <w:tabs>
          <w:tab w:val="right" w:leader="dot" w:pos="7920"/>
        </w:tabs>
        <w:spacing w:before="120"/>
        <w:ind w:firstLine="567"/>
        <w:rPr>
          <w:bCs/>
          <w:noProof/>
          <w:sz w:val="27"/>
          <w:szCs w:val="27"/>
        </w:rPr>
      </w:pPr>
      <w:r w:rsidRPr="0030361E">
        <w:rPr>
          <w:bCs/>
          <w:noProof/>
          <w:sz w:val="27"/>
          <w:szCs w:val="27"/>
          <w:lang w:val="vi-VN"/>
        </w:rPr>
        <w:lastRenderedPageBreak/>
        <w:t xml:space="preserve">- </w:t>
      </w:r>
      <w:r w:rsidR="00536B76" w:rsidRPr="0030361E">
        <w:rPr>
          <w:bCs/>
          <w:noProof/>
          <w:sz w:val="27"/>
          <w:szCs w:val="27"/>
          <w:lang w:val="vi-VN"/>
        </w:rPr>
        <w:t xml:space="preserve">Nghị quyết số 68-NQ/TW </w:t>
      </w:r>
      <w:r w:rsidR="00B757A9" w:rsidRPr="0030361E">
        <w:rPr>
          <w:bCs/>
          <w:noProof/>
          <w:sz w:val="27"/>
          <w:szCs w:val="27"/>
        </w:rPr>
        <w:t xml:space="preserve">ngày 04 tháng 5 năm 2025 </w:t>
      </w:r>
      <w:r w:rsidR="00B757A9" w:rsidRPr="0030361E">
        <w:rPr>
          <w:bCs/>
          <w:noProof/>
          <w:sz w:val="27"/>
          <w:szCs w:val="27"/>
          <w:lang w:val="vi-VN"/>
        </w:rPr>
        <w:t>của Bộ Chính trị về phát triển kinh tế tư nhân</w:t>
      </w:r>
      <w:r w:rsidR="00B757A9" w:rsidRPr="0030361E">
        <w:rPr>
          <w:bCs/>
          <w:noProof/>
          <w:sz w:val="27"/>
          <w:szCs w:val="27"/>
        </w:rPr>
        <w:t>;</w:t>
      </w:r>
    </w:p>
    <w:p w14:paraId="131AA362" w14:textId="0EEE9C27" w:rsidR="007C3E4C" w:rsidRPr="0030361E" w:rsidRDefault="00117F8E" w:rsidP="007C3E4C">
      <w:pPr>
        <w:tabs>
          <w:tab w:val="right" w:leader="dot" w:pos="7920"/>
        </w:tabs>
        <w:spacing w:before="120" w:after="120"/>
        <w:ind w:firstLine="567"/>
        <w:rPr>
          <w:bCs/>
          <w:noProof/>
          <w:sz w:val="27"/>
          <w:szCs w:val="27"/>
        </w:rPr>
      </w:pPr>
      <w:r w:rsidRPr="0030361E">
        <w:rPr>
          <w:bCs/>
          <w:noProof/>
          <w:sz w:val="27"/>
          <w:szCs w:val="27"/>
          <w:lang w:val="vi-VN"/>
        </w:rPr>
        <w:t xml:space="preserve">- </w:t>
      </w:r>
      <w:r w:rsidR="007C3E4C" w:rsidRPr="0030361E">
        <w:rPr>
          <w:bCs/>
          <w:noProof/>
          <w:sz w:val="27"/>
          <w:szCs w:val="27"/>
          <w:lang w:val="vi-VN"/>
        </w:rPr>
        <w:t>Kết luận số 207-KL/TW ngày 10 tháng 11 năm 2025 của Ban Bí thư về tiếp tục thực hiện Chỉ thị số 30-CT/TW về tăng cường sự lãnh đạo của Đảng và trách nhiệm quản lý của Nhà nước đối với công tác bảo vệ quyền lợi người tiêu dùng</w:t>
      </w:r>
      <w:r w:rsidR="00B757A9" w:rsidRPr="0030361E">
        <w:rPr>
          <w:bCs/>
          <w:noProof/>
          <w:sz w:val="27"/>
          <w:szCs w:val="27"/>
        </w:rPr>
        <w:t>;</w:t>
      </w:r>
    </w:p>
    <w:p w14:paraId="7FFAACA8" w14:textId="343ED019" w:rsidR="007C3E4C" w:rsidRPr="0030361E" w:rsidRDefault="007C3E4C" w:rsidP="007C3E4C">
      <w:pPr>
        <w:tabs>
          <w:tab w:val="right" w:leader="dot" w:pos="7920"/>
        </w:tabs>
        <w:spacing w:before="120" w:after="120"/>
        <w:ind w:firstLine="567"/>
        <w:rPr>
          <w:bCs/>
          <w:noProof/>
          <w:sz w:val="27"/>
          <w:szCs w:val="27"/>
        </w:rPr>
      </w:pPr>
      <w:r w:rsidRPr="0030361E">
        <w:rPr>
          <w:bCs/>
          <w:noProof/>
          <w:sz w:val="27"/>
          <w:szCs w:val="27"/>
          <w:lang w:val="vi-VN"/>
        </w:rPr>
        <w:t>- Nghị quyết số 57-NQ/TW ngày 22/12/2024 của Bộ Chính trị về đột phá phát triển khoa học, công nghệ, đổi mới sáng tạo và chuyển đổi số quốc gia</w:t>
      </w:r>
      <w:r w:rsidR="00B757A9" w:rsidRPr="0030361E">
        <w:rPr>
          <w:bCs/>
          <w:noProof/>
          <w:sz w:val="27"/>
          <w:szCs w:val="27"/>
        </w:rPr>
        <w:t>;</w:t>
      </w:r>
    </w:p>
    <w:p w14:paraId="10B94E23" w14:textId="63C25E8F" w:rsidR="00536B76" w:rsidRPr="0030361E" w:rsidRDefault="007C3E4C" w:rsidP="007C3E4C">
      <w:pPr>
        <w:tabs>
          <w:tab w:val="right" w:leader="dot" w:pos="7920"/>
        </w:tabs>
        <w:spacing w:before="120" w:after="120"/>
        <w:ind w:firstLine="567"/>
        <w:rPr>
          <w:bCs/>
          <w:noProof/>
          <w:sz w:val="27"/>
          <w:szCs w:val="27"/>
        </w:rPr>
      </w:pPr>
      <w:r w:rsidRPr="0030361E">
        <w:rPr>
          <w:bCs/>
          <w:noProof/>
          <w:sz w:val="27"/>
          <w:szCs w:val="27"/>
          <w:lang w:val="vi-VN"/>
        </w:rPr>
        <w:t>- Nghị quyết số 79-NQ/TW ngày 06/01/2026 của Bộ Chính trị về phát triển kinh tế nhà nước đặt ra nhiệm vụ và giải pháp để phát triển kinh tế nhà nước</w:t>
      </w:r>
      <w:r w:rsidR="00DC414E" w:rsidRPr="0030361E">
        <w:rPr>
          <w:bCs/>
          <w:noProof/>
          <w:sz w:val="27"/>
          <w:szCs w:val="27"/>
        </w:rPr>
        <w:t>.</w:t>
      </w:r>
    </w:p>
    <w:p w14:paraId="63312889" w14:textId="2884FBB6" w:rsidR="00880F18" w:rsidRPr="0030361E" w:rsidRDefault="00880F18" w:rsidP="00A238FF">
      <w:pPr>
        <w:tabs>
          <w:tab w:val="right" w:leader="dot" w:pos="7920"/>
        </w:tabs>
        <w:spacing w:before="120"/>
        <w:ind w:firstLine="567"/>
        <w:rPr>
          <w:i/>
          <w:sz w:val="27"/>
          <w:szCs w:val="27"/>
          <w:lang w:val="vi-VN"/>
        </w:rPr>
      </w:pPr>
      <w:r w:rsidRPr="0030361E">
        <w:rPr>
          <w:i/>
          <w:sz w:val="27"/>
          <w:szCs w:val="27"/>
          <w:lang w:val="vi-VN"/>
        </w:rPr>
        <w:t>1.2. Cơ sở pháp lý</w:t>
      </w:r>
    </w:p>
    <w:p w14:paraId="264A3492" w14:textId="2A123ADD" w:rsidR="00E50334" w:rsidRPr="0030361E" w:rsidRDefault="00E50334" w:rsidP="00117F8E">
      <w:pPr>
        <w:pStyle w:val="NormalWeb"/>
        <w:shd w:val="clear" w:color="auto" w:fill="FFFFFF"/>
        <w:spacing w:before="120" w:beforeAutospacing="0" w:after="0" w:afterAutospacing="0"/>
        <w:ind w:firstLine="567"/>
        <w:jc w:val="both"/>
        <w:rPr>
          <w:color w:val="000000"/>
          <w:sz w:val="27"/>
          <w:szCs w:val="27"/>
          <w:lang w:val="vi-VN"/>
        </w:rPr>
      </w:pPr>
      <w:r w:rsidRPr="0030361E">
        <w:rPr>
          <w:color w:val="000000"/>
          <w:sz w:val="27"/>
          <w:szCs w:val="27"/>
          <w:lang w:val="vi-VN"/>
        </w:rPr>
        <w:t>- Khoản 2 Điều 14</w:t>
      </w:r>
      <w:r w:rsidR="00DC414E" w:rsidRPr="0030361E">
        <w:rPr>
          <w:color w:val="000000"/>
          <w:sz w:val="27"/>
          <w:szCs w:val="27"/>
        </w:rPr>
        <w:t>, khoản 4 Điều 15, khoản 1 Điều 20, khoản 2 Điều 51</w:t>
      </w:r>
      <w:r w:rsidRPr="0030361E">
        <w:rPr>
          <w:color w:val="000000"/>
          <w:sz w:val="27"/>
          <w:szCs w:val="27"/>
          <w:lang w:val="vi-VN"/>
        </w:rPr>
        <w:t xml:space="preserve"> Hiến pháp</w:t>
      </w:r>
      <w:r w:rsidR="00B757A9" w:rsidRPr="0030361E">
        <w:rPr>
          <w:color w:val="000000"/>
          <w:sz w:val="27"/>
          <w:szCs w:val="27"/>
        </w:rPr>
        <w:t>;</w:t>
      </w:r>
    </w:p>
    <w:p w14:paraId="2856136D" w14:textId="53B9FECA" w:rsidR="00E50334" w:rsidRPr="0030361E" w:rsidRDefault="00E50334" w:rsidP="00A238FF">
      <w:pPr>
        <w:pStyle w:val="NormalWeb"/>
        <w:shd w:val="clear" w:color="auto" w:fill="FFFFFF"/>
        <w:spacing w:before="120" w:beforeAutospacing="0" w:after="0" w:afterAutospacing="0"/>
        <w:ind w:firstLine="567"/>
        <w:jc w:val="both"/>
        <w:rPr>
          <w:color w:val="000000"/>
          <w:sz w:val="27"/>
          <w:szCs w:val="27"/>
        </w:rPr>
      </w:pPr>
      <w:r w:rsidRPr="0030361E">
        <w:rPr>
          <w:color w:val="000000"/>
          <w:sz w:val="27"/>
          <w:szCs w:val="27"/>
          <w:lang w:val="vi-VN"/>
        </w:rPr>
        <w:t xml:space="preserve">- </w:t>
      </w:r>
      <w:r w:rsidRPr="0030361E">
        <w:rPr>
          <w:color w:val="000000"/>
          <w:sz w:val="27"/>
          <w:szCs w:val="27"/>
          <w:lang w:val="af-ZA"/>
        </w:rPr>
        <w:t>Nghị</w:t>
      </w:r>
      <w:r w:rsidRPr="0030361E">
        <w:rPr>
          <w:color w:val="000000"/>
          <w:sz w:val="27"/>
          <w:szCs w:val="27"/>
          <w:lang w:val="vi-VN"/>
        </w:rPr>
        <w:t xml:space="preserve"> quyết  số 197/2025/QH15 </w:t>
      </w:r>
      <w:r w:rsidR="00B757A9" w:rsidRPr="0030361E">
        <w:rPr>
          <w:color w:val="000000"/>
          <w:sz w:val="27"/>
          <w:szCs w:val="27"/>
          <w:lang w:val="vi-VN"/>
        </w:rPr>
        <w:t xml:space="preserve">của Quốc hội </w:t>
      </w:r>
      <w:r w:rsidRPr="0030361E">
        <w:rPr>
          <w:color w:val="000000"/>
          <w:sz w:val="27"/>
          <w:szCs w:val="27"/>
          <w:lang w:val="vi-VN"/>
        </w:rPr>
        <w:t>về một số cơ chế, chính sách đặc biệt tạo đột phá trong xây dựng và tổ chức thi hành pháp luật</w:t>
      </w:r>
      <w:r w:rsidR="00B757A9" w:rsidRPr="0030361E">
        <w:rPr>
          <w:color w:val="000000"/>
          <w:sz w:val="27"/>
          <w:szCs w:val="27"/>
        </w:rPr>
        <w:t>;</w:t>
      </w:r>
    </w:p>
    <w:p w14:paraId="41688777" w14:textId="1F170FC4" w:rsidR="00BC7D80" w:rsidRPr="0030361E" w:rsidRDefault="00DC414E" w:rsidP="00A238FF">
      <w:pPr>
        <w:spacing w:before="120"/>
        <w:rPr>
          <w:color w:val="000000"/>
          <w:sz w:val="27"/>
          <w:szCs w:val="27"/>
        </w:rPr>
      </w:pPr>
      <w:r w:rsidRPr="0030361E">
        <w:rPr>
          <w:color w:val="000000"/>
          <w:sz w:val="27"/>
          <w:szCs w:val="27"/>
          <w:lang w:val="vi-VN"/>
        </w:rPr>
        <w:t>- Điều 76 Bộ Luật Hình sự 2015</w:t>
      </w:r>
      <w:r w:rsidRPr="0030361E">
        <w:rPr>
          <w:color w:val="000000"/>
          <w:sz w:val="27"/>
          <w:szCs w:val="27"/>
        </w:rPr>
        <w:t>.</w:t>
      </w:r>
    </w:p>
    <w:p w14:paraId="7D30C7D4" w14:textId="1EAEA71E" w:rsidR="00F87A87" w:rsidRPr="0030361E" w:rsidRDefault="00F87A87" w:rsidP="00A238FF">
      <w:pPr>
        <w:tabs>
          <w:tab w:val="right" w:leader="dot" w:pos="7920"/>
        </w:tabs>
        <w:spacing w:before="120"/>
        <w:ind w:firstLine="567"/>
        <w:rPr>
          <w:b/>
          <w:sz w:val="27"/>
          <w:szCs w:val="27"/>
          <w:lang w:val="vi-VN"/>
        </w:rPr>
      </w:pPr>
      <w:r w:rsidRPr="0030361E">
        <w:rPr>
          <w:b/>
          <w:sz w:val="27"/>
          <w:szCs w:val="27"/>
          <w:lang w:val="vi-VN"/>
        </w:rPr>
        <w:t>2. Cơ sở thực tiễn</w:t>
      </w:r>
    </w:p>
    <w:p w14:paraId="3C5C46BC" w14:textId="6570FC47" w:rsidR="00953002" w:rsidRPr="0030361E" w:rsidRDefault="00953002" w:rsidP="00953002">
      <w:pPr>
        <w:ind w:firstLine="604"/>
        <w:rPr>
          <w:sz w:val="27"/>
          <w:szCs w:val="27"/>
        </w:rPr>
      </w:pPr>
      <w:r w:rsidRPr="0030361E">
        <w:rPr>
          <w:b/>
          <w:sz w:val="27"/>
          <w:szCs w:val="27"/>
        </w:rPr>
        <w:t>2.1. Chính sách về đẩy mạnh phân cấp, phân quyền kết hợp nội dung cải cách thủ tục hành chính, điều kiện đầu tư kinh doanh</w:t>
      </w:r>
      <w:r w:rsidRPr="0030361E">
        <w:rPr>
          <w:sz w:val="27"/>
          <w:szCs w:val="27"/>
        </w:rPr>
        <w:t xml:space="preserve">: </w:t>
      </w:r>
    </w:p>
    <w:p w14:paraId="3B12702A" w14:textId="77777777" w:rsidR="00953002" w:rsidRPr="0030361E" w:rsidRDefault="00953002" w:rsidP="00953002">
      <w:pPr>
        <w:ind w:firstLine="604"/>
        <w:rPr>
          <w:sz w:val="27"/>
          <w:szCs w:val="27"/>
        </w:rPr>
      </w:pPr>
      <w:r w:rsidRPr="0030361E">
        <w:rPr>
          <w:sz w:val="27"/>
          <w:szCs w:val="27"/>
        </w:rPr>
        <w:t>Trong chính sách này, dự kiến có 02 nội dung gồm:</w:t>
      </w:r>
    </w:p>
    <w:p w14:paraId="4D65DB3E" w14:textId="77777777" w:rsidR="00953002" w:rsidRPr="0030361E" w:rsidRDefault="00953002" w:rsidP="00953002">
      <w:pPr>
        <w:ind w:firstLine="604"/>
        <w:rPr>
          <w:sz w:val="27"/>
          <w:szCs w:val="27"/>
        </w:rPr>
      </w:pPr>
      <w:r w:rsidRPr="0030361E">
        <w:rPr>
          <w:sz w:val="27"/>
          <w:szCs w:val="27"/>
        </w:rPr>
        <w:t>(1) Hiện thực hóa các nội dung đã phân cấp, phân quyền, phân định thẩm quyền theo Nghị định số 139/2025/NĐ-CP và Nghị định số 146/2025/NĐ-CP;</w:t>
      </w:r>
    </w:p>
    <w:p w14:paraId="5413BDB2" w14:textId="01A13C00" w:rsidR="00004670" w:rsidRPr="0030361E" w:rsidRDefault="00953002" w:rsidP="00004670">
      <w:pPr>
        <w:ind w:firstLine="604"/>
        <w:rPr>
          <w:sz w:val="27"/>
          <w:szCs w:val="27"/>
        </w:rPr>
      </w:pPr>
      <w:r w:rsidRPr="0030361E">
        <w:rPr>
          <w:sz w:val="27"/>
          <w:szCs w:val="27"/>
        </w:rPr>
        <w:t xml:space="preserve">(2) Đề xuất một số nội dung phân cấp, phân quyền, phân định thẩm quyền bổ sung trong Luật Quản lý ngoại thương </w:t>
      </w:r>
      <w:r w:rsidR="00004670" w:rsidRPr="0030361E">
        <w:rPr>
          <w:sz w:val="27"/>
          <w:szCs w:val="27"/>
        </w:rPr>
        <w:t>liên quan đến cấp phép gia công hàng hóa thuộc diện xuất khẩu, nhập khẩu theo giấy phép từ Bộ Công Thương sang Ủy ban nhân dân cấp tỉnh tại khoản 2 Điều 51 Luật Quản lý ngoại thương (nội dung này chưa được quy định tại Nghị định số 146/2025/NĐ-CP). Các nội dung phân quyền này không có nội dung hạn chế quyền con người, quyền công dân theo quy định của Hiến pháp, do đó, không thực hiện đánh giá tác động chính sách tại điểm b khoản 1 Điều 27 Luật Ban hành văn bản quy phạm pháp luật năm 2025.</w:t>
      </w:r>
    </w:p>
    <w:p w14:paraId="45B29DB7" w14:textId="59CC04AA" w:rsidR="00953002" w:rsidRPr="0030361E" w:rsidRDefault="00953002" w:rsidP="00953002">
      <w:pPr>
        <w:ind w:firstLine="604"/>
        <w:rPr>
          <w:b/>
          <w:sz w:val="27"/>
          <w:szCs w:val="27"/>
        </w:rPr>
      </w:pPr>
      <w:r w:rsidRPr="0030361E">
        <w:rPr>
          <w:b/>
          <w:sz w:val="27"/>
          <w:szCs w:val="27"/>
        </w:rPr>
        <w:t>2.2. Chính sách về tháo gỡ các khó khăn, vướng mắc có nguyên nhân từ pháp luật</w:t>
      </w:r>
    </w:p>
    <w:p w14:paraId="15217284" w14:textId="60BA1BB8" w:rsidR="00953002" w:rsidRPr="0030361E" w:rsidRDefault="00953002" w:rsidP="00953002">
      <w:pPr>
        <w:tabs>
          <w:tab w:val="right" w:leader="dot" w:pos="7920"/>
        </w:tabs>
        <w:spacing w:before="120"/>
        <w:ind w:firstLine="567"/>
        <w:rPr>
          <w:color w:val="000000" w:themeColor="text1"/>
          <w:sz w:val="27"/>
          <w:szCs w:val="27"/>
        </w:rPr>
      </w:pPr>
      <w:r w:rsidRPr="0030361E">
        <w:rPr>
          <w:b/>
          <w:sz w:val="27"/>
          <w:szCs w:val="27"/>
        </w:rPr>
        <w:t>2.2.1.</w:t>
      </w:r>
      <w:r w:rsidRPr="0030361E">
        <w:rPr>
          <w:sz w:val="27"/>
          <w:szCs w:val="27"/>
        </w:rPr>
        <w:t xml:space="preserve"> </w:t>
      </w:r>
      <w:r w:rsidRPr="0030361E">
        <w:rPr>
          <w:color w:val="000000" w:themeColor="text1"/>
          <w:sz w:val="27"/>
          <w:szCs w:val="27"/>
        </w:rPr>
        <w:t xml:space="preserve">Căn cứ Báo cáo số 76-BC/ĐU ngày 02 tháng 8 năm 2025 của Đảng ủy Bộ Tư pháp về kết quả rà soát, đề xuất giải pháp tháo gỡ khó khăn, vướng mắc do quy định pháp luật, trong đó đối với lĩnh vực thuộc phạm vi phụ trách của Bộ Công Thương, </w:t>
      </w:r>
      <w:r w:rsidR="000F3B77" w:rsidRPr="0030361E">
        <w:rPr>
          <w:color w:val="000000" w:themeColor="text1"/>
          <w:sz w:val="27"/>
          <w:szCs w:val="27"/>
        </w:rPr>
        <w:t>Ban Chỉ đạo Trung ương về hoàn thiện thể chế, pháp luật đã có ý ki</w:t>
      </w:r>
      <w:r w:rsidR="00D20A98" w:rsidRPr="0030361E">
        <w:rPr>
          <w:color w:val="000000" w:themeColor="text1"/>
          <w:sz w:val="27"/>
          <w:szCs w:val="27"/>
        </w:rPr>
        <w:t>ến</w:t>
      </w:r>
      <w:r w:rsidR="000F3B77" w:rsidRPr="0030361E">
        <w:rPr>
          <w:color w:val="000000" w:themeColor="text1"/>
          <w:sz w:val="27"/>
          <w:szCs w:val="27"/>
        </w:rPr>
        <w:t xml:space="preserve"> đồng tình với kiến nghị của Cơ quan thường trực Ban Chỉ đạo và các cơ quan có liên quan về quan điểm, phương án xử lý khó khăn, vướng mắc do quy định pháp luật đã được xác định theo</w:t>
      </w:r>
      <w:r w:rsidRPr="0030361E">
        <w:rPr>
          <w:color w:val="000000" w:themeColor="text1"/>
          <w:sz w:val="27"/>
          <w:szCs w:val="27"/>
        </w:rPr>
        <w:t xml:space="preserve"> Thông báo 08-TB/BCĐTW </w:t>
      </w:r>
      <w:r w:rsidR="000F3B77" w:rsidRPr="0030361E">
        <w:rPr>
          <w:color w:val="000000" w:themeColor="text1"/>
          <w:sz w:val="27"/>
          <w:szCs w:val="27"/>
        </w:rPr>
        <w:t xml:space="preserve">ngày 5/8/2025 về </w:t>
      </w:r>
      <w:r w:rsidRPr="0030361E">
        <w:rPr>
          <w:color w:val="000000" w:themeColor="text1"/>
          <w:sz w:val="27"/>
          <w:szCs w:val="27"/>
        </w:rPr>
        <w:t>kết luận của Tổng Bí thư Tô Lâm, Trưởng Ban Chỉ đạo Trung ương về hoàn thiện thể chế, pháp luật</w:t>
      </w:r>
      <w:r w:rsidR="000F3B77" w:rsidRPr="0030361E">
        <w:rPr>
          <w:color w:val="000000" w:themeColor="text1"/>
          <w:sz w:val="27"/>
          <w:szCs w:val="27"/>
        </w:rPr>
        <w:t>.</w:t>
      </w:r>
    </w:p>
    <w:p w14:paraId="02B99713" w14:textId="51818E53" w:rsidR="000F3B77" w:rsidRPr="0030361E" w:rsidRDefault="00953002" w:rsidP="00953002">
      <w:pPr>
        <w:ind w:firstLine="604"/>
        <w:rPr>
          <w:b/>
          <w:sz w:val="27"/>
          <w:szCs w:val="27"/>
        </w:rPr>
      </w:pPr>
      <w:r w:rsidRPr="0030361E">
        <w:rPr>
          <w:b/>
          <w:sz w:val="27"/>
          <w:szCs w:val="27"/>
        </w:rPr>
        <w:t>2.2.2.</w:t>
      </w:r>
      <w:r w:rsidRPr="0030361E">
        <w:rPr>
          <w:sz w:val="27"/>
          <w:szCs w:val="27"/>
        </w:rPr>
        <w:t xml:space="preserve"> </w:t>
      </w:r>
      <w:r w:rsidR="00D20A98" w:rsidRPr="0030361E">
        <w:rPr>
          <w:b/>
          <w:sz w:val="27"/>
          <w:szCs w:val="27"/>
        </w:rPr>
        <w:t>Thực tiễn từ các khó khăn, vướng mắc trong quy định của Luật Thương mại, Luật Cạnh tranh, Luật Quản lý ngoại thương, Luật Bảo vệ quyền lợi người tiêu dùng</w:t>
      </w:r>
    </w:p>
    <w:p w14:paraId="0C7F6403" w14:textId="77777777" w:rsidR="00185284" w:rsidRPr="0030361E" w:rsidRDefault="005E0424" w:rsidP="0018528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ind w:firstLine="567"/>
        <w:rPr>
          <w:sz w:val="27"/>
          <w:szCs w:val="27"/>
          <w:lang w:val="nl-NL"/>
        </w:rPr>
      </w:pPr>
      <w:r w:rsidRPr="0030361E">
        <w:rPr>
          <w:sz w:val="27"/>
          <w:szCs w:val="27"/>
          <w:lang w:val="nl-NL"/>
        </w:rPr>
        <w:lastRenderedPageBreak/>
        <w:t xml:space="preserve">Qua rà soát, đánh giá quá trình thực thi Luật Thương mại, Luật Cạnh tranh, Luật Quản lý ngoại thương, Luật Bảo vệ quyền lợi người tiêu dùng, Bộ Công </w:t>
      </w:r>
      <w:r w:rsidR="004E6739" w:rsidRPr="0030361E">
        <w:rPr>
          <w:sz w:val="27"/>
          <w:szCs w:val="27"/>
          <w:lang w:val="nl-NL"/>
        </w:rPr>
        <w:t>nhận thấy có một số tồn tại, hạn chế</w:t>
      </w:r>
      <w:r w:rsidR="00DC414E" w:rsidRPr="0030361E">
        <w:rPr>
          <w:sz w:val="27"/>
          <w:szCs w:val="27"/>
          <w:lang w:val="nl-NL"/>
        </w:rPr>
        <w:t>, cụ thể:</w:t>
      </w:r>
    </w:p>
    <w:p w14:paraId="7065C2FD" w14:textId="70E496F0" w:rsidR="00185284" w:rsidRPr="0030361E" w:rsidRDefault="00185284" w:rsidP="0018528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ind w:firstLine="567"/>
        <w:rPr>
          <w:sz w:val="27"/>
          <w:szCs w:val="27"/>
          <w:lang w:val="nl-NL"/>
        </w:rPr>
      </w:pPr>
      <w:r w:rsidRPr="0030361E">
        <w:rPr>
          <w:sz w:val="27"/>
          <w:szCs w:val="27"/>
          <w:lang w:val="nl-NL"/>
        </w:rPr>
        <w:t>- Qua thực tiến triển khai Luật Thương mại Bộ Công Thương nhận thấy có những có những khó khăn, vướng mắc như sau: (i) Chồng chéo trong quy định của Luật Thương mại và Luật Đầu tư về hàng hóa, dịch vụ cấm kinh doanh, hạn chế kinh doanh và kinh doanh có điều kiện; (ii) Quy định về điều kiện kinh  doanh dịch vụ giám định thương mại khi Luật Đầu tư 2025 đã bãi bỏ ngành nghề kinh doanh giám định thương mại ra khỏi danh mục Ngành nghề đầu tư, kinh doanh có điều kiện; (iii) Quy định về độc quyền nhà nước; (iv) Các quy định về hợp đồng và giải quyết tranh chấp có sự chồng chéo với quy định tại Bộ Luật Dân sự; (v) Các khó khăn, vướng mắc về quy định hàng giả.</w:t>
      </w:r>
    </w:p>
    <w:p w14:paraId="2EA78559" w14:textId="62415402" w:rsidR="00185284" w:rsidRPr="0030361E" w:rsidRDefault="00185284" w:rsidP="00185284">
      <w:pPr>
        <w:rPr>
          <w:sz w:val="27"/>
          <w:szCs w:val="27"/>
          <w:lang w:val="nl-NL"/>
        </w:rPr>
      </w:pPr>
      <w:r w:rsidRPr="0030361E">
        <w:rPr>
          <w:sz w:val="27"/>
          <w:szCs w:val="27"/>
          <w:lang w:val="nl-NL"/>
        </w:rPr>
        <w:t>Các nội dung đề xuất sửa đổi, bổ sung nhằm tháo gỡ khó khăn, vướng mắc trong thực tiễn, trong đó có nội dung đề xuất bổ sung khái niệm “hàng giả” có nội dung hạn chế quyền con người, quyền công dân theo quy định của Hiến pháp phải thực hiện đánh giá tác động chính sách tại điểm b khoản 1 Điều 27 Luật Ban hành văn bản quy phạm pháp luật năm 2025.</w:t>
      </w:r>
    </w:p>
    <w:p w14:paraId="479C1164" w14:textId="22C3051A" w:rsidR="00004670" w:rsidRPr="0030361E" w:rsidRDefault="00004670" w:rsidP="00004670">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ind w:firstLine="567"/>
        <w:rPr>
          <w:sz w:val="27"/>
          <w:szCs w:val="27"/>
          <w:lang w:val="nl-NL"/>
        </w:rPr>
      </w:pPr>
      <w:r w:rsidRPr="0030361E">
        <w:rPr>
          <w:sz w:val="27"/>
          <w:szCs w:val="27"/>
          <w:lang w:val="nl-NL"/>
        </w:rPr>
        <w:t xml:space="preserve">- Bộ Công Thương đề xuất các nội dung cần sửa đổi, bổ sung tại Luật Quản lý ngoại thương để tháo gỡ khó khăn, vướng mắc trong thực tiễn như sau: </w:t>
      </w:r>
      <w:r w:rsidRPr="0030361E">
        <w:rPr>
          <w:b/>
          <w:sz w:val="27"/>
          <w:szCs w:val="27"/>
          <w:lang w:val="nl-NL"/>
        </w:rPr>
        <w:t>(i)</w:t>
      </w:r>
      <w:r w:rsidRPr="0030361E">
        <w:rPr>
          <w:sz w:val="27"/>
          <w:szCs w:val="27"/>
          <w:lang w:val="nl-NL"/>
        </w:rPr>
        <w:t xml:space="preserve"> Sửa đổi Điều 10 Luật Quản lý ngoại thương theo hướng quy định trường hợp ngoại lệ cho phép doanh nghiệp nhập khẩu lại hàng hóa (bao gồm cả hàng cấm nhập khẩu) do chính doanh nghiệp sản xuất đã xuất khẩu về để sửa chữa, bảo hành hoặc mục đích khác sau đó xuất khẩu sang thị trường nước khác hoặc trả lại cho khách hàng; </w:t>
      </w:r>
      <w:r w:rsidRPr="0030361E">
        <w:rPr>
          <w:b/>
          <w:sz w:val="27"/>
          <w:szCs w:val="27"/>
          <w:lang w:val="nl-NL"/>
        </w:rPr>
        <w:t>(ii)</w:t>
      </w:r>
      <w:r w:rsidRPr="0030361E">
        <w:rPr>
          <w:sz w:val="27"/>
          <w:szCs w:val="27"/>
        </w:rPr>
        <w:t xml:space="preserve"> </w:t>
      </w:r>
      <w:r w:rsidRPr="0030361E">
        <w:rPr>
          <w:sz w:val="27"/>
          <w:szCs w:val="27"/>
          <w:lang w:val="nl-NL"/>
        </w:rPr>
        <w:t xml:space="preserve">Bổ sung nội dung tại Điều 34 Luật Quản lý ngoại thương giao Bộ Công Thương quy định các tiêu chí cho cơ quan, tổ chức cấp Giấy chứng nhận xuất xứ hàng hóa và Văn bản chấp thuận cho thương nhân tự chứng nhận xuất xứ hàng hóa xuất khẩu tại để tránh gián đoạn trong công tác cấp C/O và Văn bản chấp thuận cho thương nhân tự chứng nhận xuất xứ hàng hóa xuất khẩu, tạo điều kiện thuận lợi cho thương nhân, Bộ Công Thương và UBND cấp tỉnh cần đáp ứng tiêu chí chung như nhau, bảo đảm sự thống nhất về hệ thống cơ quan có thẩm quyền chứng nhận xuất xứ hàng hóa trên cả nước và uy tín tổ chức cấp C/O của Việt Nam đối với các nước đối tác FTA; </w:t>
      </w:r>
      <w:r w:rsidRPr="0030361E">
        <w:rPr>
          <w:b/>
          <w:sz w:val="27"/>
          <w:szCs w:val="27"/>
          <w:lang w:val="nl-NL"/>
        </w:rPr>
        <w:t>(iii)</w:t>
      </w:r>
      <w:r w:rsidRPr="0030361E">
        <w:rPr>
          <w:sz w:val="27"/>
          <w:szCs w:val="27"/>
          <w:lang w:val="nl-NL"/>
        </w:rPr>
        <w:t xml:space="preserve"> Bổ sung nội dung phân quyền và giao Bộ Tài chính quy định về cơ chế nhà nhập khẩu đủ điều kiện tự chứng nhận xuất xứ hàng hóa nhập khẩu tại Điều 34 Luật Quản lý ngoại thương để thực hiện cam kết tại Hiệp định CPTPP và chỉ đạo của Phó Thủ tướng Bùi Thanh Sơn tại Thông báo số 707/TB-VPCP ngày 18/12/2025 của Văn phòng Chính phủ; </w:t>
      </w:r>
      <w:r w:rsidRPr="0030361E">
        <w:rPr>
          <w:b/>
          <w:sz w:val="27"/>
          <w:szCs w:val="27"/>
          <w:lang w:val="nl-NL"/>
        </w:rPr>
        <w:t>(iv)</w:t>
      </w:r>
      <w:r w:rsidRPr="0030361E">
        <w:rPr>
          <w:sz w:val="27"/>
          <w:szCs w:val="27"/>
          <w:lang w:val="nl-NL"/>
        </w:rPr>
        <w:t xml:space="preserve"> Sửa đổi khoản 2 Điều 32 Luật Quản lý ngoại thương cho thống nhất với Điều 34 sau khi Điều này đã được sửa đổi, bổ sung (bổ sung cơ chế nhà nhập khẩu đủ điều kiện tự chứng nhận xuất xứ hàng hóa nhập khẩu); </w:t>
      </w:r>
      <w:r w:rsidRPr="0030361E">
        <w:rPr>
          <w:b/>
          <w:sz w:val="27"/>
          <w:szCs w:val="27"/>
          <w:lang w:val="nl-NL"/>
        </w:rPr>
        <w:t>(v)</w:t>
      </w:r>
      <w:r w:rsidRPr="0030361E">
        <w:rPr>
          <w:sz w:val="27"/>
          <w:szCs w:val="27"/>
          <w:lang w:val="nl-NL"/>
        </w:rPr>
        <w:t xml:space="preserve"> Mở rộng thẩm quyền cấp giấy chứng nhận lưu hành tự do tại Luật Quản lý ngoại thương tại khoản 1 Điều 36 Luật Quản lý ngoại thương theo hướng bỏ cụm từ “nhà nước” sẽ tạo thuận lợi cho thương nhân khi thực hiện các quy định quản lý chuyên ngành đối với hàng nhập khẩu và thực tiễn quy định tại một số nước nhập khẩu.</w:t>
      </w:r>
    </w:p>
    <w:p w14:paraId="33ABF681" w14:textId="1B50B90B" w:rsidR="00B27C5C" w:rsidRPr="0030361E" w:rsidRDefault="000F3B77" w:rsidP="00004670">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ind w:firstLine="0"/>
        <w:rPr>
          <w:sz w:val="27"/>
          <w:szCs w:val="27"/>
          <w:lang w:val="nl-NL"/>
        </w:rPr>
      </w:pPr>
      <w:r w:rsidRPr="0030361E">
        <w:rPr>
          <w:sz w:val="27"/>
          <w:szCs w:val="27"/>
          <w:lang w:val="nl-NL"/>
        </w:rPr>
        <w:tab/>
      </w:r>
    </w:p>
    <w:p w14:paraId="4B484522" w14:textId="77777777" w:rsidR="00B27C5C" w:rsidRPr="0030361E" w:rsidRDefault="00B27C5C" w:rsidP="00DC414E">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ind w:firstLine="567"/>
        <w:rPr>
          <w:sz w:val="27"/>
          <w:szCs w:val="27"/>
          <w:lang w:val="nl-NL"/>
        </w:rPr>
      </w:pPr>
    </w:p>
    <w:p w14:paraId="716A62D0" w14:textId="088E0451" w:rsidR="000F3B77" w:rsidRPr="0030361E" w:rsidRDefault="00DC414E" w:rsidP="00DC414E">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ind w:firstLine="567"/>
        <w:rPr>
          <w:sz w:val="27"/>
          <w:szCs w:val="27"/>
          <w:lang w:val="nl-NL"/>
        </w:rPr>
      </w:pPr>
      <w:r w:rsidRPr="0030361E">
        <w:rPr>
          <w:sz w:val="27"/>
          <w:szCs w:val="27"/>
          <w:lang w:val="nl-NL"/>
        </w:rPr>
        <w:t>- M</w:t>
      </w:r>
      <w:r w:rsidR="000F3B77" w:rsidRPr="0030361E">
        <w:rPr>
          <w:sz w:val="27"/>
          <w:szCs w:val="27"/>
          <w:lang w:val="nl-NL"/>
        </w:rPr>
        <w:t xml:space="preserve">ột số quy định của Luật Cạnh tranh năm 2018 và các văn bản hướng dẫn thi hành còn bộc lộ những hạn chế nhất định về tính rõ ràng và tính khả thi, đặc biệt trong việc bảo đảm môi trường cạnh tranh bình đẳng giữa các thành phần kinh tế, nhất là khu vực kinh tế tư nhân. </w:t>
      </w:r>
      <w:r w:rsidRPr="0030361E">
        <w:rPr>
          <w:sz w:val="27"/>
          <w:szCs w:val="27"/>
          <w:lang w:val="nl-NL"/>
        </w:rPr>
        <w:t xml:space="preserve">Trong đó, Bộ Công Thương </w:t>
      </w:r>
      <w:r w:rsidR="00D20A98" w:rsidRPr="0030361E">
        <w:rPr>
          <w:sz w:val="27"/>
          <w:szCs w:val="27"/>
          <w:lang w:val="nl-NL"/>
        </w:rPr>
        <w:t xml:space="preserve">tập trung rà soát, đánh giá </w:t>
      </w:r>
      <w:r w:rsidRPr="0030361E">
        <w:rPr>
          <w:sz w:val="27"/>
          <w:szCs w:val="27"/>
          <w:lang w:val="nl-NL"/>
        </w:rPr>
        <w:t xml:space="preserve">để hoàn thiện </w:t>
      </w:r>
      <w:r w:rsidR="00D20A98" w:rsidRPr="0030361E">
        <w:rPr>
          <w:sz w:val="27"/>
          <w:szCs w:val="27"/>
          <w:lang w:val="nl-NL"/>
        </w:rPr>
        <w:t>các nhóm quy định trọng tâm của Luật Cạnh tranh, bao gồm: (i) Các quy định về hành vi bị cấm có liên quan đến cạnh tranh, trong đó còn khoảng trống pháp lý đối với các hành vi giúp sức, hỗ trợ, tạo điều kiện cho doanh nghiệp khác thực hiện hành vi hạn chế cạnh tranh hoặc cạnh tranh không lành mạnh; (ii) Các quy định về xác định thị trường liên quan, thị phần, thị phần kết hợp và sức mạnh thị trường đáng kể, chưa phản ánh đầy đủ đặc thù của các mô hình kinh doanh dựa trên nền tảng số; (iii) Các quy định về hành vi lạm dụng vị trí thống lĩnh thị trường, vị trí độc quyền và các hành vi cạnh tranh không lành mạnh mới phát sinh trong thực tiễn, đặc biệt đối với các nền tảng số trung gian; (iv) Các quy định về kiểm soát tập trung kinh tế, bao gồm hình thức tập trung kinh tế, tiêu chí đánh giá, ngưỡng thông báo, hồ sơ thông báo, hiệu lực kết quả thẩm định và hành vi vi phạm liên quan; (v) Sửa đổi, bổ sung quy định để đảm bảo tách bạch quy trình xử lý vụ việc cạnh tranh theo quy định của pháp luật về cạnh tranh đối với các hành vi hạn chế cạnh tranh, cạnh tranh không lành mạnh, hành vi vi phạm quy định về tập trung kinh tế với quy trình xử phạt vi phạm hành chính đối với các hành vi vi phạm quy định pháp luật về cạnh tranh khác theo quy định của pháp luật về xử lý vi phạm hành chính.</w:t>
      </w:r>
    </w:p>
    <w:p w14:paraId="2F73713B" w14:textId="31019500" w:rsidR="00DC414E" w:rsidRPr="0030361E" w:rsidRDefault="00DC414E" w:rsidP="00DC414E">
      <w:pPr>
        <w:spacing w:before="120" w:after="120"/>
        <w:rPr>
          <w:sz w:val="27"/>
          <w:szCs w:val="27"/>
        </w:rPr>
      </w:pPr>
      <w:r w:rsidRPr="0030361E">
        <w:rPr>
          <w:sz w:val="27"/>
          <w:szCs w:val="27"/>
        </w:rPr>
        <w:t xml:space="preserve">- Việc thu thập và sử dụng thông tin của người tiêu dùng trong các giao dịch số đang ngày càng trở thành một vấn đề nhạy cảm, khi người tiêu dùng chưa hoàn toàn kiểm soát được các mục đích và phạm vi sử dụng thông tin của người tiêu dùng của mình. Thêm vào đó, các hành vi gian lận, lừa đảo trong môi trường thương mại điện tử cũng làm gia tăng các khiếu nại liên quan đến quyền lợi người tiêu dùng. Các vấn đề này đòi hỏi sự điều chỉnh kịp thời trong các quy định pháp lý để phù hợp với xu thế phát triển của công nghệ, phù hợp với yêu cầu của thực tiễn đối với việc truy xuất nguồn gốc sản phẩm, hàng hóa, phòng chống, đấu tranh với vấn nạn hàng gian, hàng giả, hàng không rõ nguồn gốc, xuất xứ. Cùng với đó, trước thực tế quyền lợi của nhóm người tiêu dùng dễ bị tổn thương hoặc quyền lợi của số đông người tiêu dùng cần được bảo vệ nhanh, gọn đã đặt ra yêu cầu cần có các chế tài xử lý phù hợp, mang yếu tố đặc thù. </w:t>
      </w:r>
      <w:r w:rsidR="00B27C5C" w:rsidRPr="0030361E">
        <w:rPr>
          <w:sz w:val="27"/>
          <w:szCs w:val="27"/>
        </w:rPr>
        <w:t xml:space="preserve">Điều này dẫ đến cần thiết sửa đối các quy định có liên quan tại </w:t>
      </w:r>
      <w:r w:rsidRPr="0030361E">
        <w:rPr>
          <w:sz w:val="27"/>
          <w:szCs w:val="27"/>
        </w:rPr>
        <w:t>Luật Bảo vệ quyền lợi người tiêu dùng năm 2023</w:t>
      </w:r>
      <w:r w:rsidR="00B27C5C" w:rsidRPr="0030361E">
        <w:rPr>
          <w:sz w:val="27"/>
          <w:szCs w:val="27"/>
        </w:rPr>
        <w:t>.</w:t>
      </w:r>
    </w:p>
    <w:p w14:paraId="7059535D" w14:textId="5311EAD2" w:rsidR="00953002" w:rsidRPr="0030361E" w:rsidRDefault="00953002" w:rsidP="00953002">
      <w:pPr>
        <w:ind w:firstLine="604"/>
        <w:rPr>
          <w:sz w:val="27"/>
          <w:szCs w:val="27"/>
        </w:rPr>
      </w:pPr>
      <w:r w:rsidRPr="0030361E">
        <w:rPr>
          <w:sz w:val="27"/>
          <w:szCs w:val="27"/>
        </w:rPr>
        <w:t xml:space="preserve">Trên cơ sở rà soát, đánh giá, Bộ Công Thương xác định </w:t>
      </w:r>
      <w:r w:rsidRPr="0030361E">
        <w:rPr>
          <w:b/>
          <w:i/>
          <w:sz w:val="27"/>
          <w:szCs w:val="27"/>
        </w:rPr>
        <w:t>có 2 nội dung liên quan đến sửa đổi, bổ sung Luật Thương mại và Luật Cạnh tranh cần đánh giá chính sách</w:t>
      </w:r>
      <w:r w:rsidRPr="0030361E">
        <w:rPr>
          <w:sz w:val="27"/>
          <w:szCs w:val="27"/>
        </w:rPr>
        <w:t>, cụ thể:</w:t>
      </w:r>
    </w:p>
    <w:p w14:paraId="18157F50" w14:textId="0E7BB07F" w:rsidR="00034563" w:rsidRPr="0030361E" w:rsidRDefault="00953002" w:rsidP="00A238FF">
      <w:pPr>
        <w:tabs>
          <w:tab w:val="right" w:leader="dot" w:pos="7920"/>
        </w:tabs>
        <w:spacing w:before="120"/>
        <w:ind w:firstLine="567"/>
        <w:rPr>
          <w:sz w:val="27"/>
          <w:szCs w:val="27"/>
          <w:lang w:val="vi-VN"/>
        </w:rPr>
      </w:pPr>
      <w:r w:rsidRPr="0030361E">
        <w:rPr>
          <w:b/>
          <w:sz w:val="27"/>
          <w:szCs w:val="27"/>
        </w:rPr>
        <w:t>a</w:t>
      </w:r>
      <w:r w:rsidRPr="0030361E">
        <w:rPr>
          <w:b/>
          <w:bCs/>
          <w:sz w:val="27"/>
          <w:szCs w:val="27"/>
          <w:lang w:val="en-GB"/>
        </w:rPr>
        <w:t>)</w:t>
      </w:r>
      <w:r w:rsidR="00034563" w:rsidRPr="0030361E">
        <w:rPr>
          <w:b/>
          <w:bCs/>
          <w:sz w:val="27"/>
          <w:szCs w:val="27"/>
          <w:lang w:val="vi-VN"/>
        </w:rPr>
        <w:t xml:space="preserve"> Về</w:t>
      </w:r>
      <w:r w:rsidR="00034563" w:rsidRPr="0030361E">
        <w:rPr>
          <w:sz w:val="27"/>
          <w:szCs w:val="27"/>
          <w:lang w:val="vi-VN"/>
        </w:rPr>
        <w:t xml:space="preserve"> </w:t>
      </w:r>
      <w:r w:rsidR="00034563" w:rsidRPr="0030361E">
        <w:rPr>
          <w:b/>
          <w:bCs/>
          <w:sz w:val="27"/>
          <w:szCs w:val="27"/>
          <w:lang w:val="vi-VN"/>
        </w:rPr>
        <w:t>chính sách tháo</w:t>
      </w:r>
      <w:r w:rsidR="00034563" w:rsidRPr="0030361E">
        <w:rPr>
          <w:b/>
          <w:sz w:val="27"/>
          <w:szCs w:val="27"/>
          <w:lang w:val="vi-VN"/>
        </w:rPr>
        <w:t xml:space="preserve"> gỡ khó khăn, điểm nghẽn </w:t>
      </w:r>
      <w:r w:rsidR="00BC7D80" w:rsidRPr="0030361E">
        <w:rPr>
          <w:b/>
          <w:sz w:val="27"/>
          <w:szCs w:val="27"/>
          <w:lang w:val="vi-VN"/>
        </w:rPr>
        <w:t xml:space="preserve">trong quy định </w:t>
      </w:r>
      <w:r w:rsidR="00034563" w:rsidRPr="0030361E">
        <w:rPr>
          <w:b/>
          <w:sz w:val="27"/>
          <w:szCs w:val="27"/>
          <w:lang w:val="vi-VN"/>
        </w:rPr>
        <w:t>về hàng giả</w:t>
      </w:r>
      <w:r w:rsidR="00D60144" w:rsidRPr="0030361E">
        <w:rPr>
          <w:b/>
          <w:sz w:val="27"/>
          <w:szCs w:val="27"/>
          <w:lang w:val="vi-VN"/>
        </w:rPr>
        <w:t xml:space="preserve"> </w:t>
      </w:r>
      <w:r w:rsidR="00034563" w:rsidRPr="0030361E">
        <w:rPr>
          <w:b/>
          <w:sz w:val="27"/>
          <w:szCs w:val="27"/>
          <w:lang w:val="vi-VN"/>
        </w:rPr>
        <w:t>trong Luật Thương mại</w:t>
      </w:r>
    </w:p>
    <w:p w14:paraId="01E535CF" w14:textId="128B89CF" w:rsidR="000360A8" w:rsidRPr="0030361E" w:rsidRDefault="00D60144" w:rsidP="000360A8">
      <w:pPr>
        <w:spacing w:before="120"/>
        <w:rPr>
          <w:color w:val="000000"/>
          <w:sz w:val="27"/>
          <w:szCs w:val="27"/>
          <w:lang w:val="en-GB"/>
        </w:rPr>
      </w:pPr>
      <w:r w:rsidRPr="0030361E">
        <w:rPr>
          <w:sz w:val="27"/>
          <w:szCs w:val="27"/>
          <w:lang w:val="vi-VN"/>
        </w:rPr>
        <w:t xml:space="preserve">Khái niệm hàng giả </w:t>
      </w:r>
      <w:r w:rsidR="00034563" w:rsidRPr="0030361E">
        <w:rPr>
          <w:sz w:val="27"/>
          <w:szCs w:val="27"/>
          <w:lang w:val="vi-VN"/>
        </w:rPr>
        <w:t xml:space="preserve">hiện nay được quy định tại </w:t>
      </w:r>
      <w:r w:rsidR="00E41762" w:rsidRPr="0030361E">
        <w:rPr>
          <w:sz w:val="27"/>
          <w:szCs w:val="27"/>
          <w:lang w:val="en-GB"/>
        </w:rPr>
        <w:t xml:space="preserve">khoản 7 Điều 3 </w:t>
      </w:r>
      <w:r w:rsidR="00034563" w:rsidRPr="0030361E">
        <w:rPr>
          <w:sz w:val="27"/>
          <w:szCs w:val="27"/>
          <w:lang w:val="vi-VN"/>
        </w:rPr>
        <w:t xml:space="preserve">Nghị định số 98/2020/NĐ-CP ngày 26/8/2020 của Chính phủ quy định xử phạt vi phạm hành chính trong hoạt động thương mại, sản xuất, buôn bán hàng giả, hàng cấm và bảo vệ quyền </w:t>
      </w:r>
      <w:r w:rsidR="00034563" w:rsidRPr="0030361E">
        <w:rPr>
          <w:sz w:val="27"/>
          <w:szCs w:val="27"/>
          <w:lang w:val="vi-VN"/>
        </w:rPr>
        <w:lastRenderedPageBreak/>
        <w:t>lợi người tiêu dùng được sửa đổi, bổ sung bởi Nghị định số 17/2022/NĐ-CP và Nghị định số 24/2025/NĐ-CP</w:t>
      </w:r>
      <w:r w:rsidR="00E41762" w:rsidRPr="0030361E">
        <w:rPr>
          <w:sz w:val="27"/>
          <w:szCs w:val="27"/>
          <w:lang w:val="en-GB"/>
        </w:rPr>
        <w:t>.</w:t>
      </w:r>
    </w:p>
    <w:p w14:paraId="7106E6C9" w14:textId="1BFBB809" w:rsidR="00034563" w:rsidRPr="0030361E" w:rsidRDefault="00034563" w:rsidP="00A238FF">
      <w:pPr>
        <w:pStyle w:val="BodyTextIndent"/>
        <w:spacing w:after="0"/>
        <w:ind w:firstLine="720"/>
        <w:rPr>
          <w:sz w:val="27"/>
          <w:szCs w:val="27"/>
        </w:rPr>
      </w:pPr>
      <w:r w:rsidRPr="0030361E">
        <w:rPr>
          <w:sz w:val="27"/>
          <w:szCs w:val="27"/>
        </w:rPr>
        <w:t>Trong quá trình triển khai xây dựng Nghị định thay thế Nghị định số 98/2020/NĐ-CP nêu trên, Bộ Công Thương đã thực hiện tổng kết thi hành Nghị định số 98/2020/NĐ-CP, trên cơ sở báo cáo tổng kết của các Bộ, ngành, Ủy ban nhân dân các tỉnh, thành phố trực thuộc, Bộ Công Thương đã tổng hợp và xây dựng Báo cáo số 387/BC-BCT ngày 05/11/2025 tổng kết việc thi hành Nghị định số 98/2020/NĐ-CP trong đó có nội dung liên quan đến khái niệm hàng giả, hàng cấm và các hành vi vi phạm hành chính liên quan đến sản xuất, buôn bán hàng giả, hàng cấm</w:t>
      </w:r>
    </w:p>
    <w:p w14:paraId="39C5EF7F" w14:textId="10E303FD" w:rsidR="00034563" w:rsidRPr="0030361E" w:rsidRDefault="00034563" w:rsidP="00A238FF">
      <w:pPr>
        <w:pStyle w:val="NormalWeb"/>
        <w:shd w:val="clear" w:color="auto" w:fill="FFFFFF"/>
        <w:spacing w:before="120" w:beforeAutospacing="0" w:after="0" w:afterAutospacing="0"/>
        <w:ind w:firstLine="720"/>
        <w:jc w:val="both"/>
        <w:rPr>
          <w:sz w:val="27"/>
          <w:szCs w:val="27"/>
        </w:rPr>
      </w:pPr>
      <w:r w:rsidRPr="0030361E">
        <w:rPr>
          <w:sz w:val="27"/>
          <w:szCs w:val="27"/>
        </w:rPr>
        <w:t xml:space="preserve">Tại Báo cáo số 499/BCTĐ-BTP ngày 29/9/2025 của Bộ Tư pháp thẩm định dự thảo Nghị định thay thế Nghị định số 98/2020/NĐ-CP, Bộ Tư pháp đã có ý kiến: </w:t>
      </w:r>
      <w:r w:rsidRPr="0030361E">
        <w:rPr>
          <w:i/>
          <w:sz w:val="27"/>
          <w:szCs w:val="27"/>
        </w:rPr>
        <w:t>“Tại Chỉ thị số 13/CT-TTg ngày 17/5/2025 của Thủ tướng Chính phủ về tăng cường công tác chống buôn lậu, gian lận thương mại và hàng giả trong tình hình mới, Thủ tướng Chính phủ giao Bộ Công Thương chủ trì, phối hợp với các Bộ, ngành, địa phương nghiên cứu, rà soát Luật Thương mại, Luật Thương mại điện tử và các quy định có liên quan, sớm kiến nghị cấp có thẩm quyền sửa đổi, bổ sung và ban hành trong năm 2025. Vì vậy, để bảo đảm hiệu lực pháp lý, hiệu quả trong quản lý nhà nước, bảo đảm tính đồng bộ, tương thích với các văn bản Luật liên quan, đề nghị cơ quan chủ trì soạn thảo tiếp tục nghiên cứu để đề xuất quy định khái niệm “hàng giả” trong Luật thay vì quy định trong dự thảo Nghị định này”.</w:t>
      </w:r>
    </w:p>
    <w:p w14:paraId="7981B69F" w14:textId="77777777" w:rsidR="00034563" w:rsidRPr="0030361E" w:rsidRDefault="00034563" w:rsidP="00A238FF">
      <w:pPr>
        <w:pStyle w:val="NormalWeb"/>
        <w:shd w:val="clear" w:color="auto" w:fill="FFFFFF"/>
        <w:spacing w:before="120" w:beforeAutospacing="0" w:after="0" w:afterAutospacing="0"/>
        <w:ind w:firstLine="720"/>
        <w:jc w:val="both"/>
        <w:rPr>
          <w:sz w:val="27"/>
          <w:szCs w:val="27"/>
          <w:lang w:val="pt-BR"/>
        </w:rPr>
      </w:pPr>
      <w:r w:rsidRPr="0030361E">
        <w:rPr>
          <w:sz w:val="27"/>
          <w:szCs w:val="27"/>
        </w:rPr>
        <w:t xml:space="preserve">- Tại </w:t>
      </w:r>
      <w:r w:rsidRPr="0030361E">
        <w:rPr>
          <w:noProof/>
          <w:sz w:val="27"/>
          <w:szCs w:val="27"/>
        </w:rPr>
        <w:t xml:space="preserve">văn bản số 13062/VPCP-V.I ngày 31/12/2025 của Văn phòng Chính phủ về việc báo cáo tình hình, kết quả xử lý thông tin báo chí liên quan đến hàng giả, Thủ tướng Chính phủ giao Bộ Công Thương </w:t>
      </w:r>
      <w:r w:rsidRPr="0030361E">
        <w:rPr>
          <w:sz w:val="27"/>
          <w:szCs w:val="27"/>
        </w:rPr>
        <w:t>chủ trì, phối hợp với các bộ, cơ quan liên quan, các địa phương xem xét, xử lý theo quy định</w:t>
      </w:r>
      <w:r w:rsidRPr="0030361E">
        <w:rPr>
          <w:sz w:val="27"/>
          <w:szCs w:val="27"/>
          <w:lang w:val="pt-BR"/>
        </w:rPr>
        <w:t xml:space="preserve"> đối với nội dung phản ánh, kiến nghị trên báo Diễn đàn Doanh nghiệp ngày 29/12/2025 liên quan đến hàng giả. Theo đó, báo nêu: </w:t>
      </w:r>
      <w:r w:rsidRPr="0030361E">
        <w:rPr>
          <w:i/>
          <w:sz w:val="27"/>
          <w:szCs w:val="27"/>
          <w:lang w:val="pt-BR"/>
        </w:rPr>
        <w:t xml:space="preserve">“Tình hình sản xuất buôn bán hàng giả hiện nay không chỉ gây thiệt hại trực tiếp cho người tiêu dùng mà còn để lại hệ lụy cho nền kinh tế, suy giảm niềm tin của thị trường, ảnh hưởng tiêu cực đến môi trường kinh doanh. Hàng giả xuất hiện ở hầu hết các lĩnh vực từ tiêu dùng, thực phẩm, dược phẩm, vật tư nông nghiệp, thiết bị điện tử, vật liệu xây dựng đến pháo hoa. Đặc biệt với sự phát triển nhanh của thương mại điện tử và mạng xã hội, hành vi xâm phạm quyền sở hữu trí tuệ ngày càng phổ biến. Mặc dù cơ quan chức năng đã từng bước hoàn thiện khung pháp lý, tăng mức xử phạt, song nhiều ý kiến cho rằng vẫn chưa đủ răn đe. </w:t>
      </w:r>
      <w:r w:rsidRPr="0030361E">
        <w:rPr>
          <w:b/>
          <w:i/>
          <w:sz w:val="27"/>
          <w:szCs w:val="27"/>
          <w:lang w:val="pt-BR"/>
        </w:rPr>
        <w:t>Do đó, cần tiếp tục hoàn thiện pháp luật theo hướng xử phạt gắn với giá trị hàng hóa vi phạm, tăng mạnh chế tài hình sự với hành vi có tổ chức, tái phạm; đồng thời, thống nhất và luật hóa khái niệm “hàng giả” để làm căn cứ thống nhất trong kiểm tra, xử lý, tránh bất cập như hiện nay</w:t>
      </w:r>
      <w:r w:rsidRPr="0030361E">
        <w:rPr>
          <w:i/>
          <w:sz w:val="27"/>
          <w:szCs w:val="27"/>
          <w:lang w:val="pt-BR"/>
        </w:rPr>
        <w:t>”</w:t>
      </w:r>
      <w:r w:rsidRPr="0030361E">
        <w:rPr>
          <w:sz w:val="27"/>
          <w:szCs w:val="27"/>
          <w:lang w:val="pt-BR"/>
        </w:rPr>
        <w:t>.</w:t>
      </w:r>
    </w:p>
    <w:p w14:paraId="15911C54" w14:textId="186020B8" w:rsidR="00034563" w:rsidRPr="0030361E" w:rsidRDefault="00953002" w:rsidP="00C44320">
      <w:pPr>
        <w:tabs>
          <w:tab w:val="right" w:leader="dot" w:pos="7920"/>
        </w:tabs>
        <w:spacing w:before="120"/>
        <w:ind w:firstLine="567"/>
        <w:rPr>
          <w:b/>
          <w:bCs/>
          <w:sz w:val="27"/>
          <w:szCs w:val="27"/>
          <w:lang w:val="vi-VN"/>
        </w:rPr>
      </w:pPr>
      <w:r w:rsidRPr="0030361E">
        <w:rPr>
          <w:b/>
          <w:bCs/>
          <w:sz w:val="27"/>
          <w:szCs w:val="27"/>
        </w:rPr>
        <w:t>b)</w:t>
      </w:r>
      <w:r w:rsidR="00034563" w:rsidRPr="0030361E">
        <w:rPr>
          <w:b/>
          <w:bCs/>
          <w:sz w:val="27"/>
          <w:szCs w:val="27"/>
          <w:lang w:val="vi-VN"/>
        </w:rPr>
        <w:t xml:space="preserve"> Về chính sách </w:t>
      </w:r>
      <w:r w:rsidR="00C44320" w:rsidRPr="0030361E">
        <w:rPr>
          <w:b/>
          <w:bCs/>
          <w:sz w:val="27"/>
          <w:szCs w:val="27"/>
          <w:lang w:val="pt-BR"/>
        </w:rPr>
        <w:t>t</w:t>
      </w:r>
      <w:r w:rsidR="00C44320" w:rsidRPr="0030361E">
        <w:rPr>
          <w:b/>
          <w:bCs/>
          <w:sz w:val="27"/>
          <w:szCs w:val="27"/>
          <w:lang w:val="vi-VN"/>
        </w:rPr>
        <w:t>háo gỡ khó khăn, vướng mắc các quy định của Luật Cạnh tranh</w:t>
      </w:r>
    </w:p>
    <w:p w14:paraId="38E86A23" w14:textId="4A544D3E" w:rsidR="007C3E4C" w:rsidRPr="0030361E" w:rsidRDefault="00953002" w:rsidP="007C3E4C">
      <w:pPr>
        <w:pStyle w:val="Heading4"/>
        <w:spacing w:before="120" w:after="120"/>
        <w:rPr>
          <w:i/>
          <w:sz w:val="27"/>
          <w:szCs w:val="27"/>
          <w:lang w:val="pt-BR"/>
        </w:rPr>
      </w:pPr>
      <w:r w:rsidRPr="0030361E">
        <w:rPr>
          <w:i/>
          <w:sz w:val="27"/>
          <w:szCs w:val="27"/>
          <w:lang w:val="pt-BR"/>
        </w:rPr>
        <w:t>b</w:t>
      </w:r>
      <w:r w:rsidR="007C3E4C" w:rsidRPr="0030361E">
        <w:rPr>
          <w:i/>
          <w:sz w:val="27"/>
          <w:szCs w:val="27"/>
          <w:lang w:val="pt-BR"/>
        </w:rPr>
        <w:t>1</w:t>
      </w:r>
      <w:r w:rsidRPr="0030361E">
        <w:rPr>
          <w:i/>
          <w:sz w:val="27"/>
          <w:szCs w:val="27"/>
          <w:lang w:val="pt-BR"/>
        </w:rPr>
        <w:t>)</w:t>
      </w:r>
      <w:r w:rsidR="007C3E4C" w:rsidRPr="0030361E">
        <w:rPr>
          <w:i/>
          <w:sz w:val="27"/>
          <w:szCs w:val="27"/>
          <w:lang w:val="pt-BR"/>
        </w:rPr>
        <w:t>. Hành vi bị nghiêm cấm có liên quan đến cạnh tranh</w:t>
      </w:r>
    </w:p>
    <w:p w14:paraId="5D4A762D" w14:textId="7AE0012F" w:rsidR="002E593F" w:rsidRPr="0030361E" w:rsidRDefault="002E593F" w:rsidP="00201914">
      <w:pPr>
        <w:pStyle w:val="Normal1"/>
        <w:rPr>
          <w:i/>
          <w:sz w:val="27"/>
          <w:szCs w:val="27"/>
          <w:lang w:val="pt-BR"/>
        </w:rPr>
      </w:pPr>
      <w:r w:rsidRPr="0030361E">
        <w:rPr>
          <w:i/>
          <w:sz w:val="27"/>
          <w:szCs w:val="27"/>
          <w:lang w:val="pt-BR"/>
        </w:rPr>
        <w:t xml:space="preserve">- </w:t>
      </w:r>
      <w:r w:rsidR="00317946" w:rsidRPr="0030361E">
        <w:rPr>
          <w:i/>
          <w:sz w:val="27"/>
          <w:szCs w:val="27"/>
          <w:lang w:val="pt-BR"/>
        </w:rPr>
        <w:t>Về</w:t>
      </w:r>
      <w:r w:rsidRPr="0030361E">
        <w:rPr>
          <w:i/>
          <w:sz w:val="27"/>
          <w:szCs w:val="27"/>
          <w:lang w:val="pt-BR"/>
        </w:rPr>
        <w:t xml:space="preserve"> hành vi “giúp sức”</w:t>
      </w:r>
    </w:p>
    <w:p w14:paraId="7A8F106D" w14:textId="41941EEB" w:rsidR="007C3E4C" w:rsidRPr="0030361E" w:rsidRDefault="007C3E4C" w:rsidP="00317946">
      <w:pPr>
        <w:pStyle w:val="Normal1"/>
        <w:rPr>
          <w:sz w:val="27"/>
          <w:szCs w:val="27"/>
          <w:lang w:val="pt-BR"/>
        </w:rPr>
      </w:pPr>
      <w:r w:rsidRPr="0030361E">
        <w:rPr>
          <w:sz w:val="27"/>
          <w:szCs w:val="27"/>
          <w:lang w:val="pt-BR"/>
        </w:rPr>
        <w:t xml:space="preserve">Nhiều hành vi vi phạm được thực hiện thông qua vai trò trung gian, giúp sức, tạo điều kiện của các tổ chức, cá nhân khác thực hiện hành vi hạn chế cạnh tranh </w:t>
      </w:r>
      <w:r w:rsidRPr="0030361E">
        <w:rPr>
          <w:sz w:val="27"/>
          <w:szCs w:val="27"/>
          <w:lang w:val="pt-BR"/>
        </w:rPr>
        <w:lastRenderedPageBreak/>
        <w:t>hoặc cạnh tranh không lành mạnh</w:t>
      </w:r>
      <w:r w:rsidR="00C8707F" w:rsidRPr="0030361E">
        <w:rPr>
          <w:rStyle w:val="FootnoteReference"/>
          <w:sz w:val="27"/>
          <w:szCs w:val="27"/>
          <w:lang w:val="pt-BR"/>
        </w:rPr>
        <w:footnoteReference w:id="1"/>
      </w:r>
      <w:r w:rsidRPr="0030361E">
        <w:rPr>
          <w:sz w:val="27"/>
          <w:szCs w:val="27"/>
          <w:lang w:val="pt-BR"/>
        </w:rPr>
        <w:t>. Tuy nhiên, quy định hiện hành mới chỉ điều chỉnh hành vi của tổ chức, cá nhân trong việc tác động trực tiếp (cung cấp thông tin, vận động, kêu gọi, ép buộc hoặc tổ chức) để doanh nghiệp thực hiện hành vi hạn chế cạnh tranh, cạnh tranh không lành mạnh, chưa bao quát đầy đủ các trường hợp tổ chức, cá nhân giúp sức, hỗ trợ cho doanh nghiệp khác thực hiện hành vi vi phạm.</w:t>
      </w:r>
    </w:p>
    <w:p w14:paraId="5D7630BD" w14:textId="77777777" w:rsidR="007C3E4C" w:rsidRPr="0030361E" w:rsidRDefault="007C3E4C" w:rsidP="007C3E4C">
      <w:pPr>
        <w:spacing w:before="120" w:after="120"/>
        <w:ind w:firstLine="709"/>
        <w:rPr>
          <w:sz w:val="27"/>
          <w:szCs w:val="27"/>
          <w:lang w:val="pt-BR"/>
        </w:rPr>
      </w:pPr>
      <w:r w:rsidRPr="0030361E">
        <w:rPr>
          <w:sz w:val="27"/>
          <w:szCs w:val="27"/>
          <w:lang w:val="pt-BR"/>
        </w:rPr>
        <w:t>Trong thực tiễn thi hành pháp luật cạnh tranh, các hành vi vi phạm thường được thực hiện thông qua sự tham gia, hỗ trợ hoặc giúp sức gián tiếp của các tổ chức, cá nhân không trực tiếp kinh doanh hoặc không trực tiếp thực hiện hành vi hạn chế cạnh tranh, nhưng có vai trò quan trọng trong việc tạo điều kiện, thúc đẩy hành vi vi phạm xảy ra.</w:t>
      </w:r>
    </w:p>
    <w:p w14:paraId="1A38A857" w14:textId="77777777" w:rsidR="007C3E4C" w:rsidRPr="0030361E" w:rsidRDefault="007C3E4C" w:rsidP="007C3E4C">
      <w:pPr>
        <w:spacing w:before="120" w:after="120"/>
        <w:ind w:firstLine="709"/>
        <w:rPr>
          <w:sz w:val="27"/>
          <w:szCs w:val="27"/>
          <w:lang w:val="pt-BR"/>
        </w:rPr>
      </w:pPr>
      <w:r w:rsidRPr="0030361E">
        <w:rPr>
          <w:sz w:val="27"/>
          <w:szCs w:val="27"/>
          <w:lang w:val="pt-BR"/>
        </w:rPr>
        <w:tab/>
        <w:t>Người giúp sức là chủ thể không trực tiếp thực hiện hành vi vi phạm nhưng bằng hành vi của mình đã tạo điều kiện vật chất hoặc tinh thần để chủ thể chính thực hiện hành vi vi phạm pháp luật. Thông qua việc cung cấp thông tin, phương tiện, hỗ trợ kỹ thuật, tài chính hoặc tư vấn, người giúp sức tham gia vào quá trình thực hiện hành vi vi phạm dù không phải là người trực tiếp thực hiện.</w:t>
      </w:r>
    </w:p>
    <w:p w14:paraId="0A9ED7BE" w14:textId="77777777" w:rsidR="007C3E4C" w:rsidRPr="0030361E" w:rsidRDefault="007C3E4C" w:rsidP="007C3E4C">
      <w:pPr>
        <w:spacing w:before="120" w:after="120"/>
        <w:ind w:firstLine="709"/>
        <w:rPr>
          <w:sz w:val="27"/>
          <w:szCs w:val="27"/>
          <w:lang w:val="pt-BR"/>
        </w:rPr>
      </w:pPr>
      <w:r w:rsidRPr="0030361E">
        <w:rPr>
          <w:sz w:val="27"/>
          <w:szCs w:val="27"/>
          <w:lang w:val="pt-BR"/>
        </w:rPr>
        <w:tab/>
        <w:t>Hành vi giúp sức góp phần làm cho hành vi vi phạm xảy ra hoặc diễn ra thuận lợi hơn và trong nhiều trường hợp là điều kiện quan trọng để hành vi vi phạm được thực hiện. Đồng thời, sự giúp sức có thể củng cố ý chí, quyết tâm vi phạm và làm gia tăng mức độ nguy hiểm cho xã hội của hành vi vi phạm do tính chất có tổ chức, phạm vi tác động và mức độ tinh vi cao hơn.</w:t>
      </w:r>
    </w:p>
    <w:p w14:paraId="0AC7481A" w14:textId="77777777" w:rsidR="007C3E4C" w:rsidRPr="0030361E" w:rsidRDefault="007C3E4C" w:rsidP="007C3E4C">
      <w:pPr>
        <w:spacing w:before="120" w:after="120"/>
        <w:ind w:firstLine="709"/>
        <w:rPr>
          <w:sz w:val="27"/>
          <w:szCs w:val="27"/>
          <w:lang w:val="pt-BR"/>
        </w:rPr>
      </w:pPr>
      <w:r w:rsidRPr="0030361E">
        <w:rPr>
          <w:sz w:val="27"/>
          <w:szCs w:val="27"/>
          <w:lang w:val="pt-BR"/>
        </w:rPr>
        <w:tab/>
        <w:t>Người giúp sức phải chịu trách nhiệm pháp lý tương xứng với tính chất, mức độ tham gia của mình và mối quan hệ nhân quả giữa hành vi giúp sức với hành vi vi phạm chính. Việc pháp luật ghi nhận vai trò của người giúp sức có ý nghĩa quan trọng trong việc hoàn thiện khung pháp lý, bảo đảm xử lý toàn diện và hiệu quả các hành vi vi phạm pháp luật.</w:t>
      </w:r>
    </w:p>
    <w:p w14:paraId="298208EF" w14:textId="77777777" w:rsidR="004538BB" w:rsidRPr="0030361E" w:rsidRDefault="007C3E4C" w:rsidP="004538BB">
      <w:pPr>
        <w:spacing w:before="120" w:after="120"/>
        <w:ind w:firstLine="709"/>
        <w:rPr>
          <w:sz w:val="27"/>
          <w:szCs w:val="27"/>
          <w:lang w:val="pt-BR"/>
        </w:rPr>
      </w:pPr>
      <w:r w:rsidRPr="0030361E">
        <w:rPr>
          <w:sz w:val="27"/>
          <w:szCs w:val="27"/>
          <w:lang w:val="pt-BR"/>
        </w:rPr>
        <w:tab/>
        <w:t>Do vậy, việc chưa quy định rõ hành vi “giúp sức” có thể dẫn đến khoảng trống pháp lý, gây khó khăn cho công tác phát hiện, xử lý vi phạm và chưa bảo đảm tính đồng bộ, đầy đủ của hệ thống pháp luật cạnh tranh.</w:t>
      </w:r>
    </w:p>
    <w:p w14:paraId="0E4E255B" w14:textId="2C08C891" w:rsidR="007C3E4C" w:rsidRPr="0030361E" w:rsidRDefault="002E593F" w:rsidP="002E593F">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bCs/>
          <w:i/>
          <w:sz w:val="27"/>
          <w:szCs w:val="27"/>
          <w:lang w:val="af-ZA"/>
        </w:rPr>
      </w:pPr>
      <w:r w:rsidRPr="0030361E">
        <w:rPr>
          <w:i/>
          <w:sz w:val="27"/>
          <w:szCs w:val="27"/>
          <w:lang w:val="af-ZA"/>
        </w:rPr>
        <w:t xml:space="preserve">- </w:t>
      </w:r>
      <w:r w:rsidR="00317946" w:rsidRPr="0030361E">
        <w:rPr>
          <w:bCs/>
          <w:i/>
          <w:sz w:val="27"/>
          <w:szCs w:val="27"/>
          <w:lang w:val="af-ZA"/>
        </w:rPr>
        <w:t>Về</w:t>
      </w:r>
      <w:r w:rsidRPr="0030361E">
        <w:rPr>
          <w:bCs/>
          <w:i/>
          <w:sz w:val="27"/>
          <w:szCs w:val="27"/>
          <w:lang w:val="af-ZA"/>
        </w:rPr>
        <w:t xml:space="preserve"> hành </w:t>
      </w:r>
      <w:r w:rsidR="007C3E4C" w:rsidRPr="0030361E">
        <w:rPr>
          <w:bCs/>
          <w:i/>
          <w:sz w:val="27"/>
          <w:szCs w:val="27"/>
          <w:lang w:val="af-ZA"/>
        </w:rPr>
        <w:t>vi lạm dụng vị trí thống lĩnh thị trường, vị trí độc quyền của nền tảng số</w:t>
      </w:r>
    </w:p>
    <w:p w14:paraId="621D3BB8" w14:textId="4BB5E832" w:rsidR="007C3E4C" w:rsidRPr="0030361E" w:rsidRDefault="00FD3336" w:rsidP="007C3E4C">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iCs/>
          <w:sz w:val="27"/>
          <w:szCs w:val="27"/>
          <w:lang w:val="vi-VN"/>
        </w:rPr>
      </w:pPr>
      <w:r w:rsidRPr="0030361E">
        <w:rPr>
          <w:iCs/>
          <w:sz w:val="27"/>
          <w:szCs w:val="27"/>
          <w:lang w:val="af-ZA"/>
        </w:rPr>
        <w:t>Thực tiễn</w:t>
      </w:r>
      <w:r w:rsidR="007C3E4C" w:rsidRPr="0030361E">
        <w:rPr>
          <w:iCs/>
          <w:sz w:val="27"/>
          <w:szCs w:val="27"/>
          <w:lang w:val="vi-VN"/>
        </w:rPr>
        <w:t xml:space="preserve"> giám sát thị trường </w:t>
      </w:r>
      <w:r w:rsidRPr="0030361E">
        <w:rPr>
          <w:iCs/>
          <w:sz w:val="27"/>
          <w:szCs w:val="27"/>
          <w:lang w:val="af-ZA"/>
        </w:rPr>
        <w:t>thời gian qua cho thấy</w:t>
      </w:r>
      <w:r w:rsidR="007C3E4C" w:rsidRPr="0030361E">
        <w:rPr>
          <w:iCs/>
          <w:sz w:val="27"/>
          <w:szCs w:val="27"/>
          <w:lang w:val="vi-VN"/>
        </w:rPr>
        <w:t xml:space="preserve">, các nền tảng số có sức mạnh thị trường đáng kể thường có khả năng chi phối hoạt động của người sử dụng và người dùng kinh doanh thông qua cơ chế vận hành của nền tảng và các điều kiện, nghĩa vụ áp đặt trong quá trình sử dụng nền tảng. Các hành vi lạm dụng trong môi trường nền tảng số có thể được khái quát thành hai nhóm chính: (i) nhóm hành vi </w:t>
      </w:r>
      <w:r w:rsidR="007C3E4C" w:rsidRPr="0030361E">
        <w:rPr>
          <w:iCs/>
          <w:sz w:val="27"/>
          <w:szCs w:val="27"/>
          <w:lang w:val="vi-VN"/>
        </w:rPr>
        <w:lastRenderedPageBreak/>
        <w:t>phát sinh từ cơ chế vận hành, thiết kế và kiểm soát nền tảng tác động trực tiếp đến hoạt động của người sử dụng, người dùng kinh doanh và (ii) nhóm hành vi yêu cầu, áp đặt nghĩa vụ hoặc điều kiện đối với người sử dụng, người dùng kinh doanh trong quá trình sử dụng nền tảng.</w:t>
      </w:r>
    </w:p>
    <w:p w14:paraId="1688E820" w14:textId="77777777" w:rsidR="007C3E4C" w:rsidRPr="0030361E" w:rsidRDefault="007C3E4C" w:rsidP="007C3E4C">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iCs/>
          <w:sz w:val="27"/>
          <w:szCs w:val="27"/>
          <w:lang w:val="vi-VN"/>
        </w:rPr>
      </w:pPr>
      <w:r w:rsidRPr="0030361E">
        <w:rPr>
          <w:iCs/>
          <w:sz w:val="27"/>
          <w:szCs w:val="27"/>
          <w:lang w:val="vi-VN"/>
        </w:rPr>
        <w:t>Mặc dù, Điều 27 Luật Cạnh tranh đã bao trùm các dạng hành vi lạm dụng vị trí thống lĩnh thị trường, vị trí độc quyền trong mọi lĩnh vực, ngành nghề. Tuy nhiên, Luật Cạnh tranh chưa quy định cụ thể dạng hành vi này trong lĩnh vực kinh tế số liên quan đến các vấn đề như tự ưu tiên và phân biệt đối xử; áp đặt điều kiện giao dịch không công bằng; ràng buộc sử dụng dịch vụ; cản trở dịch vụ thay thế; can thiệp cơ chế đánh giá, xếp hạng; lạm dụng dữ liệu của người dùng kinh doanh.</w:t>
      </w:r>
    </w:p>
    <w:p w14:paraId="1D3DC4C8" w14:textId="554B40DF" w:rsidR="007C3E4C" w:rsidRPr="0030361E" w:rsidRDefault="00DA2769" w:rsidP="007C3E4C">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iCs/>
          <w:sz w:val="27"/>
          <w:szCs w:val="27"/>
          <w:lang w:val="vi-VN"/>
        </w:rPr>
      </w:pPr>
      <w:r w:rsidRPr="0030361E">
        <w:rPr>
          <w:rFonts w:eastAsiaTheme="minorHAnsi"/>
          <w:iCs/>
          <w:sz w:val="27"/>
          <w:szCs w:val="27"/>
          <w:lang w:val="vi-VN"/>
        </w:rPr>
        <w:t>T</w:t>
      </w:r>
      <w:r w:rsidR="007C3E4C" w:rsidRPr="0030361E">
        <w:rPr>
          <w:rFonts w:eastAsiaTheme="minorHAnsi"/>
          <w:iCs/>
          <w:sz w:val="27"/>
          <w:szCs w:val="27"/>
          <w:lang w:val="vi-VN"/>
        </w:rPr>
        <w:t xml:space="preserve">ại Nghị quyết số 57-NQ/TW yêu cầu </w:t>
      </w:r>
      <w:r w:rsidR="007C3E4C" w:rsidRPr="0030361E">
        <w:rPr>
          <w:iCs/>
          <w:sz w:val="27"/>
          <w:szCs w:val="27"/>
          <w:lang w:val="vi-VN"/>
        </w:rPr>
        <w:t>hoàn thiện thể chế, pháp luật để tạo điều kiện cho chuyển đổi số, phát triển các mô hình kinh tế mới dựa trên nền tảng số, đồng thời kịp thời ngăn chặn các tác động tiêu cực về kinh tế và bảo đảm môi trường cạnh tranh lành mạnh</w:t>
      </w:r>
      <w:r w:rsidR="007C3E4C" w:rsidRPr="0030361E">
        <w:rPr>
          <w:rFonts w:eastAsiaTheme="minorHAnsi"/>
          <w:iCs/>
          <w:sz w:val="27"/>
          <w:szCs w:val="27"/>
          <w:lang w:val="vi-VN"/>
        </w:rPr>
        <w:t xml:space="preserve"> trong không gian số.</w:t>
      </w:r>
      <w:r w:rsidR="007C3E4C" w:rsidRPr="0030361E">
        <w:rPr>
          <w:iCs/>
          <w:sz w:val="27"/>
          <w:szCs w:val="27"/>
          <w:lang w:val="vi-VN"/>
        </w:rPr>
        <w:t xml:space="preserve"> </w:t>
      </w:r>
      <w:r w:rsidR="007C3E4C" w:rsidRPr="0030361E">
        <w:rPr>
          <w:rFonts w:eastAsiaTheme="minorHAnsi"/>
          <w:iCs/>
          <w:sz w:val="27"/>
          <w:szCs w:val="27"/>
          <w:lang w:val="vi-VN"/>
        </w:rPr>
        <w:t xml:space="preserve">Bên cạnh đó, các quy định đề xuất cũng gắn chặt với tinh thần của </w:t>
      </w:r>
      <w:r w:rsidR="007C3E4C" w:rsidRPr="0030361E">
        <w:rPr>
          <w:iCs/>
          <w:sz w:val="27"/>
          <w:szCs w:val="27"/>
          <w:lang w:val="vi-VN"/>
        </w:rPr>
        <w:t>Nghị quyết số 68-NQ/TW về phát triển kinh tế tư nhân</w:t>
      </w:r>
      <w:r w:rsidR="007C3E4C" w:rsidRPr="0030361E">
        <w:rPr>
          <w:rFonts w:eastAsiaTheme="minorHAnsi"/>
          <w:iCs/>
          <w:sz w:val="27"/>
          <w:szCs w:val="27"/>
          <w:lang w:val="vi-VN"/>
        </w:rPr>
        <w:t xml:space="preserve">, trong đó xác định nhiệm vụ bảo vệ quyền và lợi ích hợp pháp của doanh nghiệp, bảo đảm môi trường kinh doanh công bằng, minh bạch, không bị chi phối bởi các hành vi lạm dụng vị trí thị trường hoặc áp đặt điều kiện bất lợi. Trong bối cảnh các nền tảng số lớn có khả năng chi phối quyền tiếp cận thị trường, dữ liệu và người tiêu dùng, việc kiểm soát các hành vi tự ưu tiên, ràng buộc dịch vụ, lạm dụng dữ liệu hay can thiệp cơ chế xếp hạng là cần thiết nhằm </w:t>
      </w:r>
      <w:r w:rsidR="007C3E4C" w:rsidRPr="0030361E">
        <w:rPr>
          <w:iCs/>
          <w:sz w:val="27"/>
          <w:szCs w:val="27"/>
          <w:lang w:val="vi-VN"/>
        </w:rPr>
        <w:t>tạo dư địa cho doanh nghiệp tư nhân, đặc biệt là doanh nghiệp nhỏ và vừa, khởi nghiệp sáng tạo, tham gia và phát triển trong hệ sinh thái số.</w:t>
      </w:r>
    </w:p>
    <w:p w14:paraId="27332DB1" w14:textId="77777777" w:rsidR="00317946" w:rsidRPr="0030361E" w:rsidRDefault="007C3E4C" w:rsidP="00317946">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rFonts w:eastAsiaTheme="minorHAnsi"/>
          <w:iCs/>
          <w:sz w:val="27"/>
          <w:szCs w:val="27"/>
          <w:lang w:val="vi-VN"/>
        </w:rPr>
      </w:pPr>
      <w:r w:rsidRPr="0030361E">
        <w:rPr>
          <w:iCs/>
          <w:sz w:val="27"/>
          <w:szCs w:val="27"/>
          <w:lang w:val="vi-VN"/>
        </w:rPr>
        <w:t>Như vậy, việc hoàn thiện khung pháp lý đối với các hành vi lạm dụng của nền tảng số có vị trí thống lĩnh vừa góp phần nâng cao hiệu quả thực thi Luật Cạnh tranh 2018</w:t>
      </w:r>
      <w:r w:rsidRPr="0030361E">
        <w:rPr>
          <w:rFonts w:eastAsiaTheme="minorHAnsi"/>
          <w:iCs/>
          <w:sz w:val="27"/>
          <w:szCs w:val="27"/>
          <w:lang w:val="vi-VN"/>
        </w:rPr>
        <w:t xml:space="preserve">, vừa bảo đảm sự </w:t>
      </w:r>
      <w:r w:rsidRPr="0030361E">
        <w:rPr>
          <w:iCs/>
          <w:sz w:val="27"/>
          <w:szCs w:val="27"/>
          <w:lang w:val="vi-VN"/>
        </w:rPr>
        <w:t>thống nhất, đồng bộ với các chủ trương lớn của Đảng về phát triển kinh tế số và kinh tế tư nhân</w:t>
      </w:r>
      <w:r w:rsidRPr="0030361E">
        <w:rPr>
          <w:rFonts w:eastAsiaTheme="minorHAnsi"/>
          <w:iCs/>
          <w:sz w:val="27"/>
          <w:szCs w:val="27"/>
          <w:lang w:val="vi-VN"/>
        </w:rPr>
        <w:t>, qua đó thúc đẩy đổi mới sáng tạo, cạnh tranh công bằng và phát triển bền vững của nền kinh tế.</w:t>
      </w:r>
    </w:p>
    <w:p w14:paraId="64D87C6E" w14:textId="4652D826" w:rsidR="007C3E4C" w:rsidRPr="0030361E" w:rsidRDefault="00317946" w:rsidP="00317946">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rFonts w:eastAsiaTheme="minorHAnsi"/>
          <w:iCs/>
          <w:sz w:val="27"/>
          <w:szCs w:val="27"/>
          <w:lang w:val="vi-VN"/>
        </w:rPr>
      </w:pPr>
      <w:r w:rsidRPr="0030361E">
        <w:rPr>
          <w:rFonts w:eastAsiaTheme="minorHAnsi"/>
          <w:iCs/>
          <w:sz w:val="27"/>
          <w:szCs w:val="27"/>
        </w:rPr>
        <w:t>-</w:t>
      </w:r>
      <w:r w:rsidRPr="0030361E">
        <w:rPr>
          <w:rFonts w:eastAsiaTheme="minorHAnsi"/>
          <w:i/>
          <w:iCs/>
          <w:sz w:val="27"/>
          <w:szCs w:val="27"/>
        </w:rPr>
        <w:t xml:space="preserve"> Quy định về h</w:t>
      </w:r>
      <w:r w:rsidR="007C3E4C" w:rsidRPr="0030361E">
        <w:rPr>
          <w:bCs/>
          <w:i/>
          <w:sz w:val="27"/>
          <w:szCs w:val="27"/>
          <w:lang w:val="nl-NL"/>
        </w:rPr>
        <w:t>ành vi cạnh tranh không lành mạnh</w:t>
      </w:r>
    </w:p>
    <w:p w14:paraId="62D1648E" w14:textId="77777777" w:rsidR="00D513A4" w:rsidRPr="0030361E" w:rsidRDefault="007C3E4C" w:rsidP="00D513A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sz w:val="27"/>
          <w:szCs w:val="27"/>
          <w:lang w:val="nl-NL"/>
        </w:rPr>
      </w:pPr>
      <w:r w:rsidRPr="0030361E">
        <w:rPr>
          <w:sz w:val="27"/>
          <w:szCs w:val="27"/>
          <w:lang w:val="nl-NL"/>
        </w:rPr>
        <w:t>Qua công tác giám sát, theo dõi thị trường và tiếp nhận phản ánh, khiếu nại, Ủy ban Cạnh tranh Quốc gia (UBCTGQ) nhận thấy thời gian qua xuất hiện ngày càng nhiều hành vi cạnh tranh không lành mạnh diễn ra dưới các hình thức tinh vi, đa dạng, gây cản trở hoạt động kinh doanh hợp pháp của doanh nghiệp khác và làm méo mó môi trường cạnh tranh. Các hành vi này bao gồm việc lạm dụng quyền cấp giấy phép bán hàng để gây khó khăn cho đối tác hoặc đối thủ cạnh tranh; tạo lập, phát tán các đánh giá, phản hồi giả mạo và thao túng các chỉ số tương tác trên nền tảng số nhằm gây nhầm lẫn cho người tiêu dùng; cũng như việc sử dụng các chỉ dẫn thương mại, dấu hiệu nhận diện kinh doanh gây nhầm lẫn nhưng chưa đủ điều kiện xử lý theo pháp luật về sở hữu trí tuệ. Những hành vi nêu trên không chỉ xâm phạm quyền tự do kinh doanh hợp pháp của doanh nghiệp, gây thiệt hại cho người tiêu dùng, mà còn làm suy giảm tính minh bạch, lành mạnh của thị trường, đặt ra yêu cầu cần thiết phải bổ sung, hoàn thiện các quy định của Luật Cạnh tranh để kịp thời nhận diện, kiểm soát và xử lý hiệu quả trong bối cảnh kinh tế số và thương mại điện tử phát triển mạnh mẽ.</w:t>
      </w:r>
    </w:p>
    <w:p w14:paraId="33E897D0" w14:textId="7E56D920" w:rsidR="00D513A4" w:rsidRPr="0030361E" w:rsidRDefault="00953002" w:rsidP="00D513A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b/>
          <w:bCs/>
          <w:i/>
          <w:iCs/>
          <w:sz w:val="27"/>
          <w:szCs w:val="27"/>
          <w:lang w:val="nl-NL"/>
        </w:rPr>
      </w:pPr>
      <w:r w:rsidRPr="0030361E">
        <w:rPr>
          <w:b/>
          <w:bCs/>
          <w:i/>
          <w:iCs/>
          <w:sz w:val="27"/>
          <w:szCs w:val="27"/>
          <w:lang w:val="nl-NL"/>
        </w:rPr>
        <w:lastRenderedPageBreak/>
        <w:t>b</w:t>
      </w:r>
      <w:r w:rsidR="002E593F" w:rsidRPr="0030361E">
        <w:rPr>
          <w:b/>
          <w:bCs/>
          <w:i/>
          <w:iCs/>
          <w:sz w:val="27"/>
          <w:szCs w:val="27"/>
          <w:lang w:val="nl-NL"/>
        </w:rPr>
        <w:t>2</w:t>
      </w:r>
      <w:r w:rsidRPr="0030361E">
        <w:rPr>
          <w:b/>
          <w:bCs/>
          <w:i/>
          <w:iCs/>
          <w:sz w:val="27"/>
          <w:szCs w:val="27"/>
          <w:lang w:val="nl-NL"/>
        </w:rPr>
        <w:t>)</w:t>
      </w:r>
      <w:r w:rsidR="007C3E4C" w:rsidRPr="0030361E">
        <w:rPr>
          <w:b/>
          <w:bCs/>
          <w:i/>
          <w:iCs/>
          <w:sz w:val="27"/>
          <w:szCs w:val="27"/>
          <w:lang w:val="nl-NL"/>
        </w:rPr>
        <w:t xml:space="preserve"> </w:t>
      </w:r>
      <w:bookmarkStart w:id="7" w:name="_Hlk219301737"/>
      <w:r w:rsidR="007C3E4C" w:rsidRPr="0030361E">
        <w:rPr>
          <w:b/>
          <w:bCs/>
          <w:i/>
          <w:iCs/>
          <w:sz w:val="27"/>
          <w:szCs w:val="27"/>
          <w:lang w:val="nl-NL"/>
        </w:rPr>
        <w:t>Quy định về xử lý vi phạm pháp luật về cạnh tranh</w:t>
      </w:r>
      <w:bookmarkEnd w:id="7"/>
    </w:p>
    <w:p w14:paraId="45F2307A" w14:textId="77777777" w:rsidR="00D513A4" w:rsidRPr="0030361E" w:rsidRDefault="007C3E4C" w:rsidP="00D513A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bCs/>
          <w:sz w:val="27"/>
          <w:szCs w:val="27"/>
          <w:lang w:val="nl-NL"/>
        </w:rPr>
      </w:pPr>
      <w:r w:rsidRPr="0030361E">
        <w:rPr>
          <w:sz w:val="27"/>
          <w:szCs w:val="27"/>
          <w:lang w:val="nl-NL"/>
        </w:rPr>
        <w:t>Trong quá trình xây dựng dự thảo sửa đổi một số quy định tại Nghị định 75/2019/NĐ-CP về quy định về xử phạt vi phạm hành chính trong lĩnh vực cạnh tranh, Bộ Tư pháp đã có ý kiến đề nghị tách</w:t>
      </w:r>
      <w:r w:rsidRPr="0030361E">
        <w:rPr>
          <w:sz w:val="27"/>
          <w:szCs w:val="27"/>
          <w:lang w:val="vi-VN"/>
        </w:rPr>
        <w:t xml:space="preserve"> bạch </w:t>
      </w:r>
      <w:r w:rsidRPr="0030361E">
        <w:rPr>
          <w:bCs/>
          <w:sz w:val="27"/>
          <w:szCs w:val="27"/>
          <w:lang w:val="vi-VN"/>
        </w:rPr>
        <w:t>hai quy trình xử lý vi phạm pháp luật về cạnh tranh theo pháp luật xử lý vi phạm hành chính và pháp luật cạnh tranh tại Báo cáo thẩm định số 531/BCTĐ-BTP ngày 04 tháng 11 năm 2025 của Bộ Tư pháp</w:t>
      </w:r>
      <w:r w:rsidRPr="0030361E">
        <w:rPr>
          <w:bCs/>
          <w:sz w:val="27"/>
          <w:szCs w:val="27"/>
          <w:lang w:val="nl-NL"/>
        </w:rPr>
        <w:t xml:space="preserve">. </w:t>
      </w:r>
      <w:r w:rsidRPr="0030361E">
        <w:rPr>
          <w:bCs/>
          <w:sz w:val="27"/>
          <w:szCs w:val="27"/>
          <w:lang w:val="vi-VN"/>
        </w:rPr>
        <w:t xml:space="preserve">Bộ Tư pháp </w:t>
      </w:r>
      <w:r w:rsidRPr="0030361E">
        <w:rPr>
          <w:bCs/>
          <w:sz w:val="27"/>
          <w:szCs w:val="27"/>
          <w:lang w:val="nl-NL"/>
        </w:rPr>
        <w:t xml:space="preserve">và Bộ Công Thương </w:t>
      </w:r>
      <w:r w:rsidRPr="0030361E">
        <w:rPr>
          <w:bCs/>
          <w:sz w:val="27"/>
          <w:szCs w:val="27"/>
          <w:lang w:val="vi-VN"/>
        </w:rPr>
        <w:t xml:space="preserve">đã thống nhất việc </w:t>
      </w:r>
      <w:r w:rsidRPr="0030361E">
        <w:rPr>
          <w:sz w:val="27"/>
          <w:szCs w:val="27"/>
          <w:lang w:val="vi-VN"/>
        </w:rPr>
        <w:t xml:space="preserve">tách bạch </w:t>
      </w:r>
      <w:r w:rsidRPr="0030361E">
        <w:rPr>
          <w:bCs/>
          <w:sz w:val="27"/>
          <w:szCs w:val="27"/>
          <w:lang w:val="vi-VN"/>
        </w:rPr>
        <w:t>hai quy trình theo pháp luật xử lý vi phạm hành chính và pháp luật cạnh tranh sẽ được xử lý sau khi hoàn thành việc sửa đổi, bổ sung một số điều của Luật Cạnh tranh năm 2018 (việc sửa đổi, bổ sung một số điều của Luật Cạnh tranh năm 2018 đã được đưa vào Chương trình lập pháp năm 2026, dự kiến trình Chính phủ tháng 6/2026 và trình Quốc hội tháng 8/2026).</w:t>
      </w:r>
    </w:p>
    <w:p w14:paraId="6E981548" w14:textId="77777777" w:rsidR="00D513A4" w:rsidRPr="0030361E" w:rsidRDefault="007C3E4C" w:rsidP="00D513A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bCs/>
          <w:sz w:val="27"/>
          <w:szCs w:val="27"/>
          <w:lang w:val="nl-NL"/>
        </w:rPr>
      </w:pPr>
      <w:r w:rsidRPr="0030361E">
        <w:rPr>
          <w:bCs/>
          <w:sz w:val="27"/>
          <w:szCs w:val="27"/>
          <w:lang w:val="vi-VN"/>
        </w:rPr>
        <w:t>Thực tiễn xây dựng và hoàn thiện pháp luật trong các lĩnh vực quản lý nhà nước chuyên ngành cho thấy yêu cầu cần phân định rõ giữa quy trình xác định, đánh giá hành vi vi phạm theo pháp luật chuyên ngành và quy trình xử lý vi phạm hành chính theo pháp luật về xử lý vi phạm hành chính, nhằm nâng cao hiệu lực, hiệu quả thực thi pháp luật, bảo đảm quyền, lợi ích hợp pháp của tổ chức, cá nhân và phù hợp với tính chất, đặc thù của từng loại quan hệ pháp luật.</w:t>
      </w:r>
    </w:p>
    <w:p w14:paraId="6E769C53" w14:textId="77777777" w:rsidR="00D513A4" w:rsidRPr="0030361E" w:rsidRDefault="007C3E4C" w:rsidP="00D513A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bCs/>
          <w:sz w:val="27"/>
          <w:szCs w:val="27"/>
          <w:lang w:val="vi-VN"/>
        </w:rPr>
      </w:pPr>
      <w:r w:rsidRPr="0030361E">
        <w:rPr>
          <w:bCs/>
          <w:sz w:val="27"/>
          <w:szCs w:val="27"/>
          <w:lang w:val="vi-VN"/>
        </w:rPr>
        <w:t>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đã sửa đổi nội dung liên quan đến nguyên tắc xử phạt vi phạm hành chính về quản lý thuế. Theo đó, Luật Quản lý thuế phân định rõ việc xử lý hành vi vi phạm theo bản chất và hậu quả của hành vi, theo đó các hành vi vi phạm gắn trực tiếp với nghĩa vụ thuế (như khai sai, trốn thuế, thiếu thuế) được xử lý thống nhất theo pháp luật về quản lý thuế, trong khi trình tự, thủ tục và thẩm quyền xử phạt được áp dụng theo pháp luật về xử lý vi phạm hành chính; đối với cùng một hành vi thì chỉ áp dụng một cơ chế xử lý, không xử phạt trùng lặp, và trường hợp đủ yếu tố cấu thành tội phạm thì chuyển xử lý theo pháp luật hình sự.</w:t>
      </w:r>
    </w:p>
    <w:p w14:paraId="27379C72" w14:textId="40BEB01A" w:rsidR="00536B76" w:rsidRPr="0030361E" w:rsidRDefault="007C3E4C" w:rsidP="00D513A4">
      <w:pPr>
        <w:widowControl w:val="0"/>
        <w:pBdr>
          <w:top w:val="dotted" w:sz="4" w:space="0" w:color="FFFFFF"/>
          <w:left w:val="dotted" w:sz="4" w:space="0" w:color="FFFFFF"/>
          <w:bottom w:val="dotted" w:sz="4" w:space="15" w:color="FFFFFF"/>
          <w:right w:val="dotted" w:sz="4" w:space="29" w:color="FFFFFF"/>
        </w:pBdr>
        <w:shd w:val="clear" w:color="auto" w:fill="FFFFFF"/>
        <w:tabs>
          <w:tab w:val="left" w:pos="709"/>
          <w:tab w:val="left" w:pos="3765"/>
          <w:tab w:val="left" w:pos="6405"/>
        </w:tabs>
        <w:spacing w:before="120" w:after="120"/>
        <w:ind w:firstLine="567"/>
        <w:rPr>
          <w:bCs/>
          <w:sz w:val="27"/>
          <w:szCs w:val="27"/>
          <w:lang w:val="vi-VN"/>
        </w:rPr>
      </w:pPr>
      <w:r w:rsidRPr="0030361E">
        <w:rPr>
          <w:bCs/>
          <w:sz w:val="27"/>
          <w:szCs w:val="27"/>
          <w:lang w:val="vi-VN"/>
        </w:rPr>
        <w:t>Từ những phân tích nêu trên có thể thấy, việc tách bạch quy trình giải quyết vụ việc cạnh tranh theo pháp luật cạnh tranh với quy trình xử lý vi phạm hành chính theo pháp luật về xử lý vi phạm hành chính là yêu cầu khách quan, phù hợp với xu hướng hoàn thiện pháp luật trong các lĩnh vực quản lý nhà nước chuyên ngành và bảo đảm tính thống nhất của hệ thống pháp luật. Ngoài ra, việc tách bạch tố tụng cạnh tranh theo hướng nêu trên sẽ tạo cơ sở pháp lý rõ ràng, phản ánh đúng bản chất của tố tụng cạnh tranh là quá trình điều tra, phân tích và xử lý các hành vi có khả năng gây tác động hạn chế cạnh tranh đáng kể trên thị trường; đồng thời làm rõ thẩm quyền, trình tự, thủ tục trong quá trình điều tra, xử lý các vụ việc có tính chất phức tạp, nghiêm trọng, mức độ ảnh hưởng lớn và mức xử phạt cao, qua đó bảo đảm tính minh bạch, thống nhất và hiệu quả trong thực thi pháp luật cạnh tranh.</w:t>
      </w:r>
      <w:r w:rsidR="00536B76" w:rsidRPr="0030361E">
        <w:rPr>
          <w:color w:val="000000" w:themeColor="text1"/>
          <w:sz w:val="27"/>
          <w:szCs w:val="27"/>
          <w:lang w:val="vi-VN"/>
        </w:rPr>
        <w:t xml:space="preserve"> </w:t>
      </w:r>
    </w:p>
    <w:p w14:paraId="536F195C" w14:textId="4602BCAD" w:rsidR="00F87A87" w:rsidRPr="0030361E" w:rsidRDefault="00F87A87" w:rsidP="00A238FF">
      <w:pPr>
        <w:tabs>
          <w:tab w:val="right" w:leader="dot" w:pos="7920"/>
        </w:tabs>
        <w:spacing w:before="120"/>
        <w:ind w:firstLine="567"/>
        <w:rPr>
          <w:b/>
          <w:sz w:val="27"/>
          <w:szCs w:val="27"/>
          <w:lang w:val="vi-VN"/>
        </w:rPr>
      </w:pPr>
      <w:r w:rsidRPr="0030361E">
        <w:rPr>
          <w:b/>
          <w:sz w:val="27"/>
          <w:szCs w:val="27"/>
          <w:lang w:val="vi-VN"/>
        </w:rPr>
        <w:t>II. MỤC ĐÍCH, QUAN ĐIỂM XÂY DỰNG</w:t>
      </w:r>
      <w:r w:rsidRPr="0030361E">
        <w:rPr>
          <w:b/>
          <w:i/>
          <w:sz w:val="27"/>
          <w:szCs w:val="27"/>
          <w:lang w:val="vi-VN"/>
        </w:rPr>
        <w:t xml:space="preserve"> </w:t>
      </w:r>
      <w:r w:rsidRPr="0030361E">
        <w:rPr>
          <w:b/>
          <w:sz w:val="27"/>
          <w:szCs w:val="27"/>
          <w:lang w:val="vi-VN"/>
        </w:rPr>
        <w:t>CHÍNH SÁCH</w:t>
      </w:r>
    </w:p>
    <w:p w14:paraId="46EC728D" w14:textId="77777777" w:rsidR="00880F18" w:rsidRPr="0030361E" w:rsidRDefault="00880F18" w:rsidP="00A238FF">
      <w:pPr>
        <w:pStyle w:val="NormalWeb"/>
        <w:shd w:val="clear" w:color="auto" w:fill="FFFFFF"/>
        <w:spacing w:before="120" w:beforeAutospacing="0" w:after="0" w:afterAutospacing="0"/>
        <w:ind w:firstLine="567"/>
        <w:jc w:val="both"/>
        <w:rPr>
          <w:color w:val="333333"/>
          <w:sz w:val="27"/>
          <w:szCs w:val="27"/>
          <w:lang w:val="vi-VN"/>
        </w:rPr>
      </w:pPr>
      <w:r w:rsidRPr="0030361E">
        <w:rPr>
          <w:rStyle w:val="Strong"/>
          <w:color w:val="000000"/>
          <w:sz w:val="27"/>
          <w:szCs w:val="27"/>
          <w:lang w:val="vi-VN"/>
        </w:rPr>
        <w:t>1. Mục đích </w:t>
      </w:r>
    </w:p>
    <w:p w14:paraId="45C39CB6" w14:textId="1755E26C" w:rsidR="00E41762" w:rsidRPr="0030361E" w:rsidRDefault="00880F18" w:rsidP="00E41762">
      <w:pPr>
        <w:pStyle w:val="NormalWeb"/>
        <w:shd w:val="clear" w:color="auto" w:fill="FFFFFF"/>
        <w:spacing w:before="120" w:beforeAutospacing="0" w:after="0" w:afterAutospacing="0"/>
        <w:ind w:firstLine="567"/>
        <w:jc w:val="both"/>
        <w:rPr>
          <w:color w:val="000000"/>
          <w:sz w:val="27"/>
          <w:szCs w:val="27"/>
          <w:lang w:val="en-GB"/>
        </w:rPr>
      </w:pPr>
      <w:r w:rsidRPr="0030361E">
        <w:rPr>
          <w:color w:val="000000"/>
          <w:sz w:val="27"/>
          <w:szCs w:val="27"/>
          <w:lang w:val="vi-VN"/>
        </w:rPr>
        <w:lastRenderedPageBreak/>
        <w:t>1.1.</w:t>
      </w:r>
      <w:r w:rsidR="00B757A9" w:rsidRPr="0030361E">
        <w:rPr>
          <w:color w:val="000000"/>
          <w:sz w:val="27"/>
          <w:szCs w:val="27"/>
          <w:lang w:val="en-GB"/>
        </w:rPr>
        <w:t xml:space="preserve"> Thực hiện đầy đủ chủ trương, </w:t>
      </w:r>
      <w:r w:rsidR="00E41762" w:rsidRPr="0030361E">
        <w:rPr>
          <w:color w:val="000000"/>
          <w:sz w:val="27"/>
          <w:szCs w:val="27"/>
          <w:lang w:val="en-GB"/>
        </w:rPr>
        <w:t xml:space="preserve">chính sách tại </w:t>
      </w:r>
      <w:r w:rsidR="00B757A9" w:rsidRPr="0030361E">
        <w:rPr>
          <w:color w:val="000000"/>
          <w:sz w:val="27"/>
          <w:szCs w:val="27"/>
          <w:lang w:val="en-GB"/>
        </w:rPr>
        <w:t>Nghị quyết số 60-NQ/TW ngày 12/04/2025 của Ban Chấp hành Trung ương Đảng về Hội nghị lần thứ 11 Ban chấp hành Trung ương Đảng khoá XIII; Nghị quyết số 66-NQ/TW ngày 30 tháng 4 năm 2025 của Bộ Chính trị về đổi mới công tác xây dựng và thi hành pháp luật đáp ứng yêu cầu phát triển đất nước trong kỷ nguyên mới và Nghị quyết số 68-NQ/TW ngày 04 tháng 5 năm 2025 của Bộ Chính trị về phát triển kinh tế tư nhân.</w:t>
      </w:r>
    </w:p>
    <w:p w14:paraId="7E290C45" w14:textId="3A2FD0FA" w:rsidR="007C3E4C" w:rsidRPr="0030361E" w:rsidRDefault="007C3E4C" w:rsidP="001162B2">
      <w:pPr>
        <w:pStyle w:val="NormalWeb"/>
        <w:shd w:val="clear" w:color="auto" w:fill="FFFFFF"/>
        <w:spacing w:before="120" w:beforeAutospacing="0" w:after="120" w:afterAutospacing="0"/>
        <w:ind w:firstLine="567"/>
        <w:jc w:val="both"/>
        <w:rPr>
          <w:spacing w:val="-4"/>
          <w:sz w:val="27"/>
          <w:szCs w:val="27"/>
          <w:lang w:val="pt-BR"/>
        </w:rPr>
      </w:pPr>
      <w:r w:rsidRPr="0030361E">
        <w:rPr>
          <w:sz w:val="27"/>
          <w:szCs w:val="27"/>
          <w:lang w:val="vi-VN"/>
        </w:rPr>
        <w:t>1.</w:t>
      </w:r>
      <w:r w:rsidR="00E41762" w:rsidRPr="0030361E">
        <w:rPr>
          <w:sz w:val="27"/>
          <w:szCs w:val="27"/>
          <w:lang w:val="en-GB"/>
        </w:rPr>
        <w:t>2</w:t>
      </w:r>
      <w:r w:rsidRPr="0030361E">
        <w:rPr>
          <w:sz w:val="27"/>
          <w:szCs w:val="27"/>
          <w:lang w:val="vi-VN"/>
        </w:rPr>
        <w:t xml:space="preserve">. </w:t>
      </w:r>
      <w:r w:rsidRPr="0030361E">
        <w:rPr>
          <w:spacing w:val="-4"/>
          <w:sz w:val="27"/>
          <w:szCs w:val="27"/>
          <w:lang w:val="pt-BR"/>
        </w:rPr>
        <w:t>Tiếp tục cải cách thủ tục hành chính, tạo</w:t>
      </w:r>
      <w:r w:rsidRPr="0030361E">
        <w:rPr>
          <w:spacing w:val="-4"/>
          <w:sz w:val="27"/>
          <w:szCs w:val="27"/>
          <w:lang w:val="vi-VN"/>
        </w:rPr>
        <w:t xml:space="preserve"> môi trường kinh doanh thông thoáng</w:t>
      </w:r>
      <w:r w:rsidRPr="0030361E">
        <w:rPr>
          <w:spacing w:val="-4"/>
          <w:sz w:val="27"/>
          <w:szCs w:val="27"/>
          <w:lang w:val="pt-BR"/>
        </w:rPr>
        <w:t>, bảo đảm quyền lợi của người tiêu dùng, tạo thuận lợi cho người dân, doanh nghiệp.</w:t>
      </w:r>
    </w:p>
    <w:p w14:paraId="5FB6C481" w14:textId="26C9DE87" w:rsidR="00E41762" w:rsidRPr="0030361E" w:rsidRDefault="00E41762" w:rsidP="001162B2">
      <w:pPr>
        <w:pStyle w:val="NormalWeb"/>
        <w:shd w:val="clear" w:color="auto" w:fill="FFFFFF"/>
        <w:spacing w:before="120" w:beforeAutospacing="0" w:after="120" w:afterAutospacing="0"/>
        <w:ind w:firstLine="567"/>
        <w:jc w:val="both"/>
        <w:rPr>
          <w:sz w:val="27"/>
          <w:szCs w:val="27"/>
          <w:lang w:val="vi-VN"/>
        </w:rPr>
      </w:pPr>
      <w:r w:rsidRPr="0030361E">
        <w:rPr>
          <w:spacing w:val="-4"/>
          <w:sz w:val="27"/>
          <w:szCs w:val="27"/>
          <w:lang w:val="pt-BR"/>
        </w:rPr>
        <w:t>1.3. Nâng cao hiệu lực, hiệu quả</w:t>
      </w:r>
      <w:r w:rsidR="00B757A9" w:rsidRPr="0030361E">
        <w:rPr>
          <w:spacing w:val="-4"/>
          <w:sz w:val="27"/>
          <w:szCs w:val="27"/>
          <w:lang w:val="pt-BR"/>
        </w:rPr>
        <w:t xml:space="preserve"> trong công tác quản lý nhà nước trong các lĩnh vực thuộc phạm vi quản lý của Bộ Công Thương.</w:t>
      </w:r>
    </w:p>
    <w:p w14:paraId="3B71E07C" w14:textId="77777777" w:rsidR="00880F18" w:rsidRPr="0030361E" w:rsidRDefault="00880F18" w:rsidP="00A238FF">
      <w:pPr>
        <w:pStyle w:val="NormalWeb"/>
        <w:shd w:val="clear" w:color="auto" w:fill="FFFFFF"/>
        <w:spacing w:before="120" w:beforeAutospacing="0" w:after="0" w:afterAutospacing="0"/>
        <w:ind w:firstLine="567"/>
        <w:jc w:val="both"/>
        <w:rPr>
          <w:color w:val="333333"/>
          <w:sz w:val="27"/>
          <w:szCs w:val="27"/>
          <w:lang w:val="vi-VN"/>
        </w:rPr>
      </w:pPr>
      <w:r w:rsidRPr="0030361E">
        <w:rPr>
          <w:rStyle w:val="Strong"/>
          <w:color w:val="000000"/>
          <w:sz w:val="27"/>
          <w:szCs w:val="27"/>
          <w:lang w:val="vi-VN"/>
        </w:rPr>
        <w:t>2. Quan điểm xây dựng</w:t>
      </w:r>
    </w:p>
    <w:p w14:paraId="073C6E5D" w14:textId="77777777" w:rsidR="00B757A9" w:rsidRPr="0030361E" w:rsidRDefault="00880F18" w:rsidP="00B757A9">
      <w:pPr>
        <w:pStyle w:val="NormalWeb"/>
        <w:shd w:val="clear" w:color="auto" w:fill="FFFFFF"/>
        <w:spacing w:before="120"/>
        <w:ind w:firstLine="567"/>
        <w:jc w:val="both"/>
        <w:rPr>
          <w:color w:val="000000"/>
          <w:spacing w:val="-2"/>
          <w:sz w:val="27"/>
          <w:szCs w:val="27"/>
          <w:lang w:val="en-GB"/>
        </w:rPr>
      </w:pPr>
      <w:r w:rsidRPr="0030361E">
        <w:rPr>
          <w:color w:val="000000"/>
          <w:spacing w:val="-2"/>
          <w:sz w:val="27"/>
          <w:szCs w:val="27"/>
          <w:lang w:val="vi-VN"/>
        </w:rPr>
        <w:t>2.1. Thể chế hóa đầy đủ quan điểm, chủ trương, đư</w:t>
      </w:r>
      <w:r w:rsidR="009A385D" w:rsidRPr="0030361E">
        <w:rPr>
          <w:color w:val="000000"/>
          <w:spacing w:val="-2"/>
          <w:sz w:val="27"/>
          <w:szCs w:val="27"/>
          <w:lang w:val="vi-VN"/>
        </w:rPr>
        <w:t>ờng lối của Đảng và pháp luật</w:t>
      </w:r>
      <w:r w:rsidR="005F320E" w:rsidRPr="0030361E">
        <w:rPr>
          <w:color w:val="000000"/>
          <w:spacing w:val="-2"/>
          <w:sz w:val="27"/>
          <w:szCs w:val="27"/>
          <w:lang w:val="en-GB"/>
        </w:rPr>
        <w:t xml:space="preserve"> về phân cấp, phân quyền theo </w:t>
      </w:r>
      <w:r w:rsidR="00B757A9" w:rsidRPr="0030361E">
        <w:rPr>
          <w:color w:val="000000"/>
          <w:spacing w:val="-2"/>
          <w:sz w:val="27"/>
          <w:szCs w:val="27"/>
          <w:lang w:val="en-GB"/>
        </w:rPr>
        <w:t xml:space="preserve">Nghị quyết số 60-NQ/TW ngày 12/04/2025 của Ban Chấp hành Trung ương Đảng về Hội nghị lần thứ 11 Ban chấp hành Trung ương Đảng khoá XIII </w:t>
      </w:r>
      <w:r w:rsidR="005F320E" w:rsidRPr="0030361E">
        <w:rPr>
          <w:color w:val="000000"/>
          <w:spacing w:val="-2"/>
          <w:sz w:val="27"/>
          <w:szCs w:val="27"/>
          <w:lang w:val="en-GB"/>
        </w:rPr>
        <w:t>và tháo gỡ khó khăn, vướng mắc</w:t>
      </w:r>
      <w:r w:rsidR="00B757A9" w:rsidRPr="0030361E">
        <w:rPr>
          <w:color w:val="000000"/>
          <w:spacing w:val="-2"/>
          <w:sz w:val="27"/>
          <w:szCs w:val="27"/>
          <w:lang w:val="en-GB"/>
        </w:rPr>
        <w:t>, điểm nghẽn do quy định của pháp luật t</w:t>
      </w:r>
      <w:r w:rsidR="005F320E" w:rsidRPr="0030361E">
        <w:rPr>
          <w:color w:val="000000"/>
          <w:spacing w:val="-2"/>
          <w:sz w:val="27"/>
          <w:szCs w:val="27"/>
          <w:lang w:val="en-GB"/>
        </w:rPr>
        <w:t xml:space="preserve">ại </w:t>
      </w:r>
      <w:r w:rsidR="00B757A9" w:rsidRPr="0030361E">
        <w:rPr>
          <w:color w:val="000000"/>
          <w:spacing w:val="-2"/>
          <w:sz w:val="27"/>
          <w:szCs w:val="27"/>
          <w:lang w:val="en-GB"/>
        </w:rPr>
        <w:t>Nghị quyết số 66-NQ/TW ngày 30 tháng 4 năm 2025 của Bộ Chính trị về đổi mới công tác xây dựng và thi hành pháp luật đáp ứng yêu cầu phát triển đất nước trong kỷ nguyên mới và Nghị quyết số 68-NQ/TW ngày 04 tháng 5 năm 2025 của Bộ Chính trị về phát triển kinh tế tư nhân.</w:t>
      </w:r>
    </w:p>
    <w:p w14:paraId="3CA05946" w14:textId="77777777" w:rsidR="00B757A9" w:rsidRPr="0030361E" w:rsidRDefault="00880F18" w:rsidP="00B757A9">
      <w:pPr>
        <w:pStyle w:val="NormalWeb"/>
        <w:shd w:val="clear" w:color="auto" w:fill="FFFFFF"/>
        <w:spacing w:before="120"/>
        <w:ind w:firstLine="567"/>
        <w:jc w:val="both"/>
        <w:rPr>
          <w:color w:val="000000"/>
          <w:spacing w:val="-2"/>
          <w:sz w:val="27"/>
          <w:szCs w:val="27"/>
          <w:lang w:val="en-GB"/>
        </w:rPr>
      </w:pPr>
      <w:r w:rsidRPr="0030361E">
        <w:rPr>
          <w:color w:val="000000"/>
          <w:spacing w:val="2"/>
          <w:sz w:val="27"/>
          <w:szCs w:val="27"/>
          <w:lang w:val="vi-VN"/>
        </w:rPr>
        <w:t xml:space="preserve">2.2. </w:t>
      </w:r>
      <w:r w:rsidR="00E41762" w:rsidRPr="0030361E">
        <w:rPr>
          <w:color w:val="000000"/>
          <w:spacing w:val="2"/>
          <w:sz w:val="27"/>
          <w:szCs w:val="27"/>
          <w:lang w:val="en-GB"/>
        </w:rPr>
        <w:t>B</w:t>
      </w:r>
      <w:r w:rsidRPr="0030361E">
        <w:rPr>
          <w:color w:val="000000"/>
          <w:spacing w:val="2"/>
          <w:sz w:val="27"/>
          <w:szCs w:val="27"/>
          <w:lang w:val="vi-VN"/>
        </w:rPr>
        <w:t>ảo đảm tính hợp hiến, hợp pháp, tính đồng bộ, thống nhất và tính khả thi của hệ thống pháp luật;</w:t>
      </w:r>
      <w:r w:rsidRPr="0030361E">
        <w:rPr>
          <w:color w:val="000000"/>
          <w:sz w:val="27"/>
          <w:szCs w:val="27"/>
          <w:lang w:val="vi-VN"/>
        </w:rPr>
        <w:t xml:space="preserve"> phù hợp với các điều ước quốc tế mà Việt Nam là thành viên.</w:t>
      </w:r>
    </w:p>
    <w:p w14:paraId="0BE4542C" w14:textId="4BB0119C" w:rsidR="00880F18" w:rsidRPr="0030361E" w:rsidRDefault="00880F18" w:rsidP="00B757A9">
      <w:pPr>
        <w:pStyle w:val="NormalWeb"/>
        <w:shd w:val="clear" w:color="auto" w:fill="FFFFFF"/>
        <w:spacing w:before="120"/>
        <w:ind w:firstLine="567"/>
        <w:jc w:val="both"/>
        <w:rPr>
          <w:color w:val="000000"/>
          <w:spacing w:val="-2"/>
          <w:sz w:val="27"/>
          <w:szCs w:val="27"/>
          <w:lang w:val="en-GB"/>
        </w:rPr>
      </w:pPr>
      <w:r w:rsidRPr="0030361E">
        <w:rPr>
          <w:color w:val="000000"/>
          <w:sz w:val="27"/>
          <w:szCs w:val="27"/>
          <w:lang w:val="vi-VN"/>
        </w:rPr>
        <w:t>2.</w:t>
      </w:r>
      <w:r w:rsidR="004E4174" w:rsidRPr="0030361E">
        <w:rPr>
          <w:color w:val="000000"/>
          <w:sz w:val="27"/>
          <w:szCs w:val="27"/>
          <w:lang w:val="vi-VN"/>
        </w:rPr>
        <w:t>3</w:t>
      </w:r>
      <w:r w:rsidRPr="0030361E">
        <w:rPr>
          <w:color w:val="000000"/>
          <w:sz w:val="27"/>
          <w:szCs w:val="27"/>
          <w:lang w:val="vi-VN"/>
        </w:rPr>
        <w:t>. Đổi mới mạnh mẽ quy trình, thủ tục hành chính theo hướng cắt giảm tối đa thủ tục hành chính cho người dân và doanh nghiệp; đẩy mạnh phân cấp, phân quyền gắn với tăng cường trách nhiệm của các cấp, các ngành, các đơn vị.</w:t>
      </w:r>
    </w:p>
    <w:p w14:paraId="682CB650" w14:textId="4E7F3DBA" w:rsidR="00F87A87" w:rsidRPr="0030361E" w:rsidRDefault="00F87A87" w:rsidP="00A238FF">
      <w:pPr>
        <w:tabs>
          <w:tab w:val="right" w:leader="dot" w:pos="7920"/>
        </w:tabs>
        <w:spacing w:before="120"/>
        <w:ind w:firstLine="567"/>
        <w:rPr>
          <w:b/>
          <w:spacing w:val="6"/>
          <w:sz w:val="27"/>
          <w:szCs w:val="27"/>
          <w:lang w:val="vi-VN"/>
        </w:rPr>
      </w:pPr>
      <w:r w:rsidRPr="0030361E">
        <w:rPr>
          <w:b/>
          <w:spacing w:val="6"/>
          <w:sz w:val="27"/>
          <w:szCs w:val="27"/>
          <w:lang w:val="vi-VN"/>
        </w:rPr>
        <w:t>III. PHẠM VI, ĐỐI TƯỢNG ÁP DỤNG CỦA CHÍNH SÁCH</w:t>
      </w:r>
    </w:p>
    <w:p w14:paraId="35ECD703" w14:textId="3E6CF412" w:rsidR="003840D6" w:rsidRPr="0030361E" w:rsidRDefault="003840D6" w:rsidP="00A238FF">
      <w:pPr>
        <w:tabs>
          <w:tab w:val="left" w:pos="2780"/>
          <w:tab w:val="center" w:pos="4631"/>
        </w:tabs>
        <w:autoSpaceDE w:val="0"/>
        <w:autoSpaceDN w:val="0"/>
        <w:adjustRightInd w:val="0"/>
        <w:spacing w:before="120"/>
        <w:rPr>
          <w:b/>
          <w:bCs/>
          <w:sz w:val="27"/>
          <w:szCs w:val="27"/>
          <w:lang w:val="vi-VN"/>
        </w:rPr>
      </w:pPr>
      <w:r w:rsidRPr="0030361E">
        <w:rPr>
          <w:b/>
          <w:bCs/>
          <w:sz w:val="27"/>
          <w:szCs w:val="27"/>
          <w:lang w:val="vi-VN"/>
        </w:rPr>
        <w:t>1. Phạm vi áp dụng</w:t>
      </w:r>
    </w:p>
    <w:p w14:paraId="5B88DE95" w14:textId="70EBB6B6" w:rsidR="000924AC" w:rsidRPr="0030361E" w:rsidRDefault="000924AC" w:rsidP="00A83B70">
      <w:pPr>
        <w:pStyle w:val="Heading4"/>
        <w:spacing w:before="120" w:after="120"/>
        <w:rPr>
          <w:b w:val="0"/>
          <w:color w:val="000000"/>
          <w:sz w:val="27"/>
          <w:szCs w:val="27"/>
          <w:lang w:val="vi-VN"/>
        </w:rPr>
      </w:pPr>
      <w:r w:rsidRPr="0030361E">
        <w:rPr>
          <w:b w:val="0"/>
          <w:color w:val="000000"/>
          <w:sz w:val="27"/>
          <w:szCs w:val="27"/>
          <w:lang w:val="vi-VN"/>
        </w:rPr>
        <w:t xml:space="preserve">Phạm vi điều chỉnh của chính sách đến các quy định về hành vi bị cấm, hành vi cạnh tranh không lành mạnh trên nền tảng số; hành vi cản trở hoạt động kinh doanh của doanh nghiệp khác theo Luật Cạnh tranh năm 2018; </w:t>
      </w:r>
      <w:r w:rsidR="00A83B70" w:rsidRPr="0030361E">
        <w:rPr>
          <w:b w:val="0"/>
          <w:color w:val="000000"/>
          <w:sz w:val="27"/>
          <w:szCs w:val="27"/>
          <w:lang w:val="vi-VN"/>
        </w:rPr>
        <w:t xml:space="preserve">Quy định về xử lý vi phạm pháp luật về cạnh tranh; </w:t>
      </w:r>
      <w:r w:rsidRPr="0030361E">
        <w:rPr>
          <w:b w:val="0"/>
          <w:color w:val="000000"/>
          <w:sz w:val="27"/>
          <w:szCs w:val="27"/>
          <w:lang w:val="vi-VN"/>
        </w:rPr>
        <w:t>đồng thời liên quan đến các quy định về hàng giả</w:t>
      </w:r>
      <w:r w:rsidR="00A83B70" w:rsidRPr="0030361E">
        <w:rPr>
          <w:b w:val="0"/>
          <w:color w:val="000000"/>
          <w:sz w:val="27"/>
          <w:szCs w:val="27"/>
          <w:lang w:val="vi-VN"/>
        </w:rPr>
        <w:t xml:space="preserve"> </w:t>
      </w:r>
      <w:r w:rsidRPr="0030361E">
        <w:rPr>
          <w:b w:val="0"/>
          <w:color w:val="000000"/>
          <w:sz w:val="27"/>
          <w:szCs w:val="27"/>
          <w:lang w:val="vi-VN"/>
        </w:rPr>
        <w:t>và trách nhiệm của thương nhân trong hoạt động thương mại theo Luật Thương mại năm 2005.</w:t>
      </w:r>
    </w:p>
    <w:p w14:paraId="694A3D11" w14:textId="23465072" w:rsidR="003840D6" w:rsidRPr="0030361E" w:rsidRDefault="003840D6" w:rsidP="00A238FF">
      <w:pPr>
        <w:tabs>
          <w:tab w:val="left" w:pos="2780"/>
          <w:tab w:val="center" w:pos="4631"/>
        </w:tabs>
        <w:autoSpaceDE w:val="0"/>
        <w:autoSpaceDN w:val="0"/>
        <w:adjustRightInd w:val="0"/>
        <w:spacing w:before="120"/>
        <w:rPr>
          <w:b/>
          <w:bCs/>
          <w:sz w:val="27"/>
          <w:szCs w:val="27"/>
          <w:lang w:val="vi-VN"/>
        </w:rPr>
      </w:pPr>
      <w:r w:rsidRPr="0030361E">
        <w:rPr>
          <w:b/>
          <w:bCs/>
          <w:sz w:val="27"/>
          <w:szCs w:val="27"/>
          <w:lang w:val="vi-VN"/>
        </w:rPr>
        <w:t>2. Đối tượng áp dụng</w:t>
      </w:r>
    </w:p>
    <w:p w14:paraId="60159A8D" w14:textId="3F3E4341" w:rsidR="003840D6" w:rsidRPr="0030361E" w:rsidRDefault="003840D6" w:rsidP="00A238FF">
      <w:pPr>
        <w:widowControl w:val="0"/>
        <w:tabs>
          <w:tab w:val="left" w:pos="2780"/>
          <w:tab w:val="center" w:pos="4631"/>
        </w:tabs>
        <w:autoSpaceDE w:val="0"/>
        <w:autoSpaceDN w:val="0"/>
        <w:adjustRightInd w:val="0"/>
        <w:spacing w:before="120"/>
        <w:rPr>
          <w:sz w:val="27"/>
          <w:szCs w:val="27"/>
          <w:lang w:val="vi-VN"/>
        </w:rPr>
      </w:pPr>
      <w:r w:rsidRPr="0030361E">
        <w:rPr>
          <w:sz w:val="27"/>
          <w:szCs w:val="27"/>
          <w:lang w:val="vi-VN"/>
        </w:rPr>
        <w:t>Đối tượng áp dụng của chính sách là: tổ chức, cá nhân, cơ quan quản lý nhà nước có liên quan theo quy định tại Luật Thương mại</w:t>
      </w:r>
      <w:r w:rsidR="001918BD" w:rsidRPr="0030361E">
        <w:rPr>
          <w:sz w:val="27"/>
          <w:szCs w:val="27"/>
          <w:lang w:val="vi-VN"/>
        </w:rPr>
        <w:t xml:space="preserve"> và</w:t>
      </w:r>
      <w:r w:rsidRPr="0030361E">
        <w:rPr>
          <w:sz w:val="27"/>
          <w:szCs w:val="27"/>
          <w:lang w:val="vi-VN"/>
        </w:rPr>
        <w:t xml:space="preserve"> Luật Cạnh tranh</w:t>
      </w:r>
      <w:r w:rsidR="001918BD" w:rsidRPr="0030361E">
        <w:rPr>
          <w:sz w:val="27"/>
          <w:szCs w:val="27"/>
          <w:lang w:val="vi-VN"/>
        </w:rPr>
        <w:t>.</w:t>
      </w:r>
    </w:p>
    <w:p w14:paraId="7CCE43BD" w14:textId="7263CE08" w:rsidR="007154C7" w:rsidRPr="0030361E" w:rsidRDefault="007154C7" w:rsidP="00A238FF">
      <w:pPr>
        <w:tabs>
          <w:tab w:val="right" w:leader="dot" w:pos="7920"/>
        </w:tabs>
        <w:spacing w:before="120"/>
        <w:ind w:firstLine="567"/>
        <w:rPr>
          <w:b/>
          <w:sz w:val="27"/>
          <w:szCs w:val="27"/>
          <w:lang w:val="vi-VN"/>
        </w:rPr>
      </w:pPr>
      <w:r w:rsidRPr="0030361E">
        <w:rPr>
          <w:b/>
          <w:sz w:val="27"/>
          <w:szCs w:val="27"/>
          <w:lang w:val="vi-VN"/>
        </w:rPr>
        <w:t>IV. QUÁ TRÌNH XÂY DỰNG CHÍNH SÁCH</w:t>
      </w:r>
    </w:p>
    <w:p w14:paraId="79E3F03B" w14:textId="5A20C55B" w:rsidR="007154C7" w:rsidRPr="0030361E" w:rsidRDefault="00E5042D" w:rsidP="00A238FF">
      <w:pPr>
        <w:tabs>
          <w:tab w:val="right" w:leader="dot" w:pos="7920"/>
        </w:tabs>
        <w:spacing w:before="120"/>
        <w:ind w:firstLine="567"/>
        <w:rPr>
          <w:sz w:val="27"/>
          <w:szCs w:val="27"/>
          <w:lang w:val="vi-VN"/>
        </w:rPr>
      </w:pPr>
      <w:r w:rsidRPr="0030361E">
        <w:rPr>
          <w:sz w:val="27"/>
          <w:szCs w:val="27"/>
          <w:lang w:val="vi-VN"/>
        </w:rPr>
        <w:t xml:space="preserve">Thực hiện phân công của Chính phủ, Bộ </w:t>
      </w:r>
      <w:r w:rsidR="00550856" w:rsidRPr="0030361E">
        <w:rPr>
          <w:sz w:val="27"/>
          <w:szCs w:val="27"/>
          <w:lang w:val="vi-VN"/>
        </w:rPr>
        <w:t>Công Thương</w:t>
      </w:r>
      <w:r w:rsidRPr="0030361E">
        <w:rPr>
          <w:sz w:val="27"/>
          <w:szCs w:val="27"/>
          <w:lang w:val="vi-VN"/>
        </w:rPr>
        <w:t xml:space="preserve"> đã thực hiện các trình tự, thủ tục theo quy định của Luật Ban hành văn bản quy phạm pháp luật như sau:</w:t>
      </w:r>
    </w:p>
    <w:p w14:paraId="453437A1" w14:textId="17B0FB5F" w:rsidR="00E5042D" w:rsidRPr="0030361E" w:rsidRDefault="00E5042D" w:rsidP="00A238FF">
      <w:pPr>
        <w:tabs>
          <w:tab w:val="right" w:leader="dot" w:pos="7920"/>
        </w:tabs>
        <w:spacing w:before="120"/>
        <w:ind w:firstLine="567"/>
        <w:rPr>
          <w:sz w:val="27"/>
          <w:szCs w:val="27"/>
          <w:lang w:val="vi-VN"/>
        </w:rPr>
      </w:pPr>
      <w:r w:rsidRPr="0030361E">
        <w:rPr>
          <w:sz w:val="27"/>
          <w:szCs w:val="27"/>
          <w:lang w:val="vi-VN"/>
        </w:rPr>
        <w:lastRenderedPageBreak/>
        <w:t>1. Thành lập Tổ soạn thảo xây dựng dự án Luật, phân công xây dựng chính sách.</w:t>
      </w:r>
    </w:p>
    <w:p w14:paraId="7BA82128" w14:textId="5CA6F7F7" w:rsidR="00E5042D" w:rsidRPr="0030361E" w:rsidRDefault="00E5042D" w:rsidP="00A238FF">
      <w:pPr>
        <w:tabs>
          <w:tab w:val="right" w:leader="dot" w:pos="7920"/>
        </w:tabs>
        <w:spacing w:before="120"/>
        <w:ind w:firstLine="567"/>
        <w:rPr>
          <w:sz w:val="27"/>
          <w:szCs w:val="27"/>
          <w:lang w:val="vi-VN"/>
        </w:rPr>
      </w:pPr>
      <w:r w:rsidRPr="0030361E">
        <w:rPr>
          <w:sz w:val="27"/>
          <w:szCs w:val="27"/>
          <w:lang w:val="vi-VN"/>
        </w:rPr>
        <w:t>2. Xây dựng hồ sơ chính sách theo quy định của Luật Ban hành văn bản quy phạm pháp luật; tổ chức họp Tổ soạn thảo.</w:t>
      </w:r>
    </w:p>
    <w:p w14:paraId="0C83AAC8" w14:textId="17B31578" w:rsidR="00E5042D" w:rsidRPr="0030361E" w:rsidRDefault="00E5042D" w:rsidP="00A238FF">
      <w:pPr>
        <w:tabs>
          <w:tab w:val="right" w:leader="dot" w:pos="7920"/>
        </w:tabs>
        <w:spacing w:before="120"/>
        <w:ind w:firstLine="567"/>
        <w:rPr>
          <w:sz w:val="27"/>
          <w:szCs w:val="27"/>
          <w:lang w:val="vi-VN"/>
        </w:rPr>
      </w:pPr>
      <w:r w:rsidRPr="0030361E">
        <w:rPr>
          <w:sz w:val="27"/>
          <w:szCs w:val="27"/>
          <w:lang w:val="vi-VN"/>
        </w:rPr>
        <w:t>3. Tổ chức lấy ý kiến các bộ, ngành, cơ quan có liên quan, các chuyên gia, nhà khoa học đối với hồ sơ chính sách.</w:t>
      </w:r>
    </w:p>
    <w:p w14:paraId="4C4B4F9F" w14:textId="713C6929" w:rsidR="00E5042D" w:rsidRPr="0030361E" w:rsidRDefault="00E5042D" w:rsidP="00A238FF">
      <w:pPr>
        <w:tabs>
          <w:tab w:val="right" w:leader="dot" w:pos="7920"/>
        </w:tabs>
        <w:spacing w:before="120"/>
        <w:ind w:firstLine="567"/>
        <w:rPr>
          <w:sz w:val="27"/>
          <w:szCs w:val="27"/>
          <w:lang w:val="vi-VN"/>
        </w:rPr>
      </w:pPr>
      <w:r w:rsidRPr="0030361E">
        <w:rPr>
          <w:sz w:val="27"/>
          <w:szCs w:val="27"/>
          <w:lang w:val="vi-VN"/>
        </w:rPr>
        <w:t>4. Tổ chức hội nghị tham vấn chính sách đối với chính sách dự án Luật.</w:t>
      </w:r>
    </w:p>
    <w:p w14:paraId="359B2B61" w14:textId="0C8DC47F" w:rsidR="00E5042D" w:rsidRPr="0030361E" w:rsidRDefault="00E5042D" w:rsidP="00A238FF">
      <w:pPr>
        <w:tabs>
          <w:tab w:val="right" w:leader="dot" w:pos="7920"/>
        </w:tabs>
        <w:spacing w:before="120"/>
        <w:ind w:firstLine="567"/>
        <w:rPr>
          <w:sz w:val="27"/>
          <w:szCs w:val="27"/>
          <w:lang w:val="vi-VN"/>
        </w:rPr>
      </w:pPr>
      <w:r w:rsidRPr="0030361E">
        <w:rPr>
          <w:sz w:val="27"/>
          <w:szCs w:val="27"/>
          <w:lang w:val="vi-VN"/>
        </w:rPr>
        <w:t>5. Bộ Tư pháp đã tổ chức thẩm định hồ sơ chính sách.</w:t>
      </w:r>
    </w:p>
    <w:p w14:paraId="35B7EC78" w14:textId="7C10D9AC" w:rsidR="00E5042D" w:rsidRPr="0030361E" w:rsidRDefault="00E5042D" w:rsidP="00A238FF">
      <w:pPr>
        <w:tabs>
          <w:tab w:val="right" w:leader="dot" w:pos="7920"/>
        </w:tabs>
        <w:spacing w:before="120"/>
        <w:ind w:firstLine="567"/>
        <w:rPr>
          <w:sz w:val="27"/>
          <w:szCs w:val="27"/>
          <w:lang w:val="vi-VN"/>
        </w:rPr>
      </w:pPr>
      <w:r w:rsidRPr="0030361E">
        <w:rPr>
          <w:sz w:val="27"/>
          <w:szCs w:val="27"/>
          <w:lang w:val="vi-VN"/>
        </w:rPr>
        <w:t>6.</w:t>
      </w:r>
      <w:r w:rsidR="00817E92" w:rsidRPr="0030361E">
        <w:rPr>
          <w:sz w:val="27"/>
          <w:szCs w:val="27"/>
          <w:lang w:val="vi-VN"/>
        </w:rPr>
        <w:t xml:space="preserve"> Bộ Công Thương đã nghiên cứu, tiếp thu, giải trình ý kiến thẩm định và hoàn thiện hồ sơ chính sách để trình Chính phủ.</w:t>
      </w:r>
    </w:p>
    <w:p w14:paraId="3AD0EF53" w14:textId="77777777" w:rsidR="00F87A87" w:rsidRPr="0030361E" w:rsidRDefault="00F87A87" w:rsidP="00A238FF">
      <w:pPr>
        <w:tabs>
          <w:tab w:val="right" w:leader="dot" w:pos="7920"/>
        </w:tabs>
        <w:spacing w:before="120"/>
        <w:ind w:firstLine="567"/>
        <w:rPr>
          <w:b/>
          <w:sz w:val="27"/>
          <w:szCs w:val="27"/>
          <w:lang w:val="vi-VN"/>
        </w:rPr>
      </w:pPr>
      <w:r w:rsidRPr="0030361E">
        <w:rPr>
          <w:b/>
          <w:sz w:val="27"/>
          <w:szCs w:val="27"/>
          <w:lang w:val="vi-VN"/>
        </w:rPr>
        <w:t>V</w:t>
      </w:r>
      <w:r w:rsidRPr="0030361E">
        <w:rPr>
          <w:b/>
          <w:i/>
          <w:sz w:val="27"/>
          <w:szCs w:val="27"/>
          <w:lang w:val="vi-VN"/>
        </w:rPr>
        <w:t>.</w:t>
      </w:r>
      <w:r w:rsidRPr="0030361E">
        <w:rPr>
          <w:b/>
          <w:sz w:val="27"/>
          <w:szCs w:val="27"/>
          <w:lang w:val="vi-VN"/>
        </w:rPr>
        <w:t xml:space="preserve"> MỤC TIÊU, NỘI DUNG CỦA CHÍNH SÁCH  </w:t>
      </w:r>
    </w:p>
    <w:p w14:paraId="5712A5DC" w14:textId="46266361" w:rsidR="00034563" w:rsidRPr="0030361E" w:rsidRDefault="00034563" w:rsidP="008C6128">
      <w:pPr>
        <w:tabs>
          <w:tab w:val="right" w:leader="dot" w:pos="7920"/>
        </w:tabs>
        <w:spacing w:before="120"/>
        <w:ind w:firstLine="567"/>
        <w:rPr>
          <w:b/>
          <w:sz w:val="27"/>
          <w:szCs w:val="27"/>
          <w:lang w:val="vi-VN"/>
        </w:rPr>
      </w:pPr>
      <w:r w:rsidRPr="0030361E">
        <w:rPr>
          <w:b/>
          <w:bCs/>
          <w:sz w:val="27"/>
          <w:szCs w:val="27"/>
          <w:lang w:val="vi-VN"/>
        </w:rPr>
        <w:t>1. Chính sách 1</w:t>
      </w:r>
      <w:r w:rsidRPr="0030361E">
        <w:rPr>
          <w:sz w:val="27"/>
          <w:szCs w:val="27"/>
          <w:lang w:val="vi-VN"/>
        </w:rPr>
        <w:t xml:space="preserve">: </w:t>
      </w:r>
      <w:r w:rsidR="00A83B70" w:rsidRPr="0030361E">
        <w:rPr>
          <w:b/>
          <w:bCs/>
          <w:sz w:val="27"/>
          <w:szCs w:val="27"/>
          <w:lang w:val="vi-VN"/>
        </w:rPr>
        <w:t>Tháo</w:t>
      </w:r>
      <w:r w:rsidR="00A83B70" w:rsidRPr="0030361E">
        <w:rPr>
          <w:b/>
          <w:sz w:val="27"/>
          <w:szCs w:val="27"/>
          <w:lang w:val="vi-VN"/>
        </w:rPr>
        <w:t xml:space="preserve"> gỡ khó khăn, điểm nghẽn trong quy định về hàng giả trong Luật Thương mại</w:t>
      </w:r>
    </w:p>
    <w:p w14:paraId="0171D952" w14:textId="35126B28" w:rsidR="00034563" w:rsidRPr="0030361E" w:rsidRDefault="00A83B70" w:rsidP="00A238FF">
      <w:pPr>
        <w:tabs>
          <w:tab w:val="right" w:leader="dot" w:pos="7920"/>
        </w:tabs>
        <w:spacing w:before="120"/>
        <w:ind w:firstLine="567"/>
        <w:rPr>
          <w:b/>
          <w:bCs/>
          <w:i/>
          <w:iCs/>
          <w:sz w:val="27"/>
          <w:szCs w:val="27"/>
          <w:lang w:val="vi-VN"/>
        </w:rPr>
      </w:pPr>
      <w:r w:rsidRPr="0030361E">
        <w:rPr>
          <w:b/>
          <w:bCs/>
          <w:i/>
          <w:iCs/>
          <w:sz w:val="27"/>
          <w:szCs w:val="27"/>
          <w:lang w:val="vi-VN"/>
        </w:rPr>
        <w:t>1.</w:t>
      </w:r>
      <w:r w:rsidR="00034563" w:rsidRPr="0030361E">
        <w:rPr>
          <w:b/>
          <w:bCs/>
          <w:i/>
          <w:iCs/>
          <w:sz w:val="27"/>
          <w:szCs w:val="27"/>
          <w:lang w:val="vi-VN"/>
        </w:rPr>
        <w:t>1. Mục tiêu của chính sách</w:t>
      </w:r>
    </w:p>
    <w:p w14:paraId="77FB724C" w14:textId="1125AABC" w:rsidR="0010533A" w:rsidRPr="0030361E" w:rsidRDefault="0010533A" w:rsidP="00A238FF">
      <w:pPr>
        <w:tabs>
          <w:tab w:val="right" w:leader="dot" w:pos="7920"/>
        </w:tabs>
        <w:spacing w:before="120"/>
        <w:ind w:firstLine="567"/>
        <w:rPr>
          <w:sz w:val="27"/>
          <w:szCs w:val="27"/>
          <w:lang w:val="vi-VN"/>
        </w:rPr>
      </w:pPr>
      <w:r w:rsidRPr="0030361E">
        <w:rPr>
          <w:sz w:val="27"/>
          <w:szCs w:val="27"/>
          <w:lang w:val="vi-VN"/>
        </w:rPr>
        <w:t>Việc quy định khái niệm “hàng giả” ở cấp Luật giúp củng cố cơ sở pháp lý, hiệu lực của khái niệm “hàng giả” từ đó áp dụng thống nhất, không chỉ giới hạn trong xử lý các hành vi vi phạm mà còn tạo cơ sở thúc đẩy biện pháp quản lý, khoa học và công nghệ, đổi mới sáng tạo trong phát hiện “hàng giả”, từ đó nâng cao hiệu quả của công cuộc đấu tranh, phòng, chống sản xuất, buôn bán hàng giả, bảo vệ quyền, lợi ích hợp pháp, chính đáng của Nhân dân, doanh nghiệp, bảo vệ an ninh, an toàn sức khỏe cho Nhân dân, góp phần phục vụ đất nước phát triển nhanh, bền vững.</w:t>
      </w:r>
    </w:p>
    <w:p w14:paraId="07AABD97" w14:textId="5575D4D2" w:rsidR="00034563" w:rsidRPr="0030361E" w:rsidRDefault="00A83B70" w:rsidP="00A238FF">
      <w:pPr>
        <w:tabs>
          <w:tab w:val="right" w:leader="dot" w:pos="7920"/>
        </w:tabs>
        <w:spacing w:before="120"/>
        <w:ind w:firstLine="567"/>
        <w:rPr>
          <w:b/>
          <w:bCs/>
          <w:i/>
          <w:iCs/>
          <w:sz w:val="27"/>
          <w:szCs w:val="27"/>
          <w:lang w:val="vi-VN"/>
        </w:rPr>
      </w:pPr>
      <w:r w:rsidRPr="0030361E">
        <w:rPr>
          <w:b/>
          <w:bCs/>
          <w:i/>
          <w:iCs/>
          <w:sz w:val="27"/>
          <w:szCs w:val="27"/>
          <w:lang w:val="vi-VN"/>
        </w:rPr>
        <w:t>1</w:t>
      </w:r>
      <w:r w:rsidR="00034563" w:rsidRPr="0030361E">
        <w:rPr>
          <w:b/>
          <w:bCs/>
          <w:i/>
          <w:iCs/>
          <w:sz w:val="27"/>
          <w:szCs w:val="27"/>
          <w:lang w:val="vi-VN"/>
        </w:rPr>
        <w:t>.2. Nội dung của chính sách</w:t>
      </w:r>
    </w:p>
    <w:p w14:paraId="44242D29" w14:textId="5F25B887" w:rsidR="00BC7312" w:rsidRPr="0030361E" w:rsidRDefault="00BC7312" w:rsidP="00BC7312">
      <w:pPr>
        <w:tabs>
          <w:tab w:val="right" w:leader="dot" w:pos="7920"/>
        </w:tabs>
        <w:spacing w:before="120"/>
        <w:ind w:firstLine="567"/>
        <w:rPr>
          <w:sz w:val="27"/>
          <w:szCs w:val="27"/>
          <w:lang w:val="vi-VN"/>
        </w:rPr>
      </w:pPr>
      <w:r w:rsidRPr="0030361E">
        <w:rPr>
          <w:sz w:val="27"/>
          <w:szCs w:val="27"/>
          <w:lang w:val="vi-VN"/>
        </w:rPr>
        <w:t>Bổ sung thêm 1 khoản tại Điều 3 của Luật Thương mại về giải thích từ ngữ liên quan đến hàng giả, cụ thể:</w:t>
      </w:r>
    </w:p>
    <w:p w14:paraId="5D5107FF" w14:textId="03C20A10" w:rsidR="00C44320" w:rsidRPr="0030361E" w:rsidRDefault="00C44320" w:rsidP="00C44320">
      <w:pPr>
        <w:tabs>
          <w:tab w:val="right" w:leader="dot" w:pos="7920"/>
        </w:tabs>
        <w:spacing w:before="120"/>
        <w:ind w:firstLine="567"/>
        <w:rPr>
          <w:i/>
          <w:sz w:val="27"/>
          <w:szCs w:val="27"/>
          <w:lang w:val="vi-VN"/>
        </w:rPr>
      </w:pPr>
      <w:r w:rsidRPr="0030361E">
        <w:rPr>
          <w:i/>
          <w:sz w:val="27"/>
          <w:szCs w:val="27"/>
          <w:lang w:val="vi-VN"/>
        </w:rPr>
        <w:t>““Hàng giả” bao gồm:</w:t>
      </w:r>
    </w:p>
    <w:p w14:paraId="08AC9C61" w14:textId="77777777" w:rsidR="00C44320" w:rsidRPr="0030361E" w:rsidRDefault="00C44320" w:rsidP="00C44320">
      <w:pPr>
        <w:tabs>
          <w:tab w:val="right" w:leader="dot" w:pos="7920"/>
        </w:tabs>
        <w:spacing w:before="120"/>
        <w:ind w:firstLine="567"/>
        <w:rPr>
          <w:i/>
          <w:sz w:val="27"/>
          <w:szCs w:val="27"/>
          <w:lang w:val="vi-VN"/>
        </w:rPr>
      </w:pPr>
      <w:r w:rsidRPr="0030361E">
        <w:rPr>
          <w:i/>
          <w:sz w:val="27"/>
          <w:szCs w:val="27"/>
          <w:lang w:val="vi-VN"/>
        </w:rPr>
        <w:t>a) Hàng hóa có giá trị sử dụng, công dụng không đúng với nguồn gốc bản chất tự nhiên, tên gọi hoặc giá trị sử dụng, công dụng dự định của hàng hóa; hàng hóa không có giá trị sử dụng, công dụng hoặc có giá trị sử dụng, công dụng không đúng so với giá trị sử dụng, công dụng đã công bố hoặc đăng ký;</w:t>
      </w:r>
    </w:p>
    <w:p w14:paraId="60F7E770" w14:textId="77777777" w:rsidR="00C44320" w:rsidRPr="0030361E" w:rsidRDefault="00C44320" w:rsidP="00C44320">
      <w:pPr>
        <w:tabs>
          <w:tab w:val="right" w:leader="dot" w:pos="7920"/>
        </w:tabs>
        <w:spacing w:before="120"/>
        <w:ind w:firstLine="567"/>
        <w:rPr>
          <w:i/>
          <w:sz w:val="27"/>
          <w:szCs w:val="27"/>
          <w:lang w:val="vi-VN"/>
        </w:rPr>
      </w:pPr>
      <w:r w:rsidRPr="0030361E">
        <w:rPr>
          <w:i/>
          <w:sz w:val="27"/>
          <w:szCs w:val="27"/>
          <w:lang w:val="vi-VN"/>
        </w:rPr>
        <w:t>b) Hàng hóa có ít nhất một trong các chỉ tiêu chất lượng hoặc đặc tính kỹ thuật cơ bản hoặc định lượng chất chính tạo nên giá trị sử dụng, công dụng của hàng hóa đạt tỷ lệ dưới mức do Chính phủ quy định so với mức tối thiểu quy định tại quy chuẩn kỹ thuật hoặc tiêu chuẩn chất lượng đã đăng ký, công bố áp dụng hoặc ghi trên nhãn, bao bì hàng hóa;</w:t>
      </w:r>
    </w:p>
    <w:p w14:paraId="2176A85A" w14:textId="77777777" w:rsidR="00C44320" w:rsidRPr="0030361E" w:rsidRDefault="00C44320" w:rsidP="00C44320">
      <w:pPr>
        <w:tabs>
          <w:tab w:val="right" w:leader="dot" w:pos="7920"/>
        </w:tabs>
        <w:spacing w:before="120"/>
        <w:ind w:firstLine="567"/>
        <w:rPr>
          <w:i/>
          <w:sz w:val="27"/>
          <w:szCs w:val="27"/>
          <w:lang w:val="vi-VN"/>
        </w:rPr>
      </w:pPr>
      <w:r w:rsidRPr="0030361E">
        <w:rPr>
          <w:i/>
          <w:sz w:val="27"/>
          <w:szCs w:val="27"/>
          <w:lang w:val="vi-VN"/>
        </w:rPr>
        <w:t>d) Thuốc thú y, thuốc bảo vệ thực vật không có hoạt chất; không có đủ loại hoạt chất đã đăng ký; có hoạt chất khác với hoạt chất ghi trên nhãn, bao bì hàng hóa; có ít nhất một trong các hàm lượng hoạt chất chỉ đạt từ 70% trở xuống so với mức tối thiểu quy định tại quy chuẩn kỹ thuật hoặc tiêu chuẩn chất lượng đã đăng ký, công bố áp dụng;</w:t>
      </w:r>
    </w:p>
    <w:p w14:paraId="6025576A" w14:textId="77777777" w:rsidR="00C44320" w:rsidRPr="0030361E" w:rsidRDefault="00C44320" w:rsidP="00C44320">
      <w:pPr>
        <w:tabs>
          <w:tab w:val="right" w:leader="dot" w:pos="7920"/>
        </w:tabs>
        <w:spacing w:before="120"/>
        <w:ind w:firstLine="567"/>
        <w:rPr>
          <w:i/>
          <w:sz w:val="27"/>
          <w:szCs w:val="27"/>
          <w:lang w:val="vi-VN"/>
        </w:rPr>
      </w:pPr>
      <w:r w:rsidRPr="0030361E">
        <w:rPr>
          <w:i/>
          <w:sz w:val="27"/>
          <w:szCs w:val="27"/>
          <w:lang w:val="vi-VN"/>
        </w:rPr>
        <w:lastRenderedPageBreak/>
        <w:t>đ) 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w:t>
      </w:r>
    </w:p>
    <w:p w14:paraId="13976BBB" w14:textId="77777777" w:rsidR="00C44320" w:rsidRPr="0030361E" w:rsidRDefault="00C44320" w:rsidP="00C44320">
      <w:pPr>
        <w:tabs>
          <w:tab w:val="right" w:leader="dot" w:pos="7920"/>
        </w:tabs>
        <w:spacing w:before="120"/>
        <w:ind w:firstLine="567"/>
        <w:rPr>
          <w:i/>
          <w:sz w:val="27"/>
          <w:szCs w:val="27"/>
          <w:lang w:val="vi-VN"/>
        </w:rPr>
      </w:pPr>
      <w:r w:rsidRPr="0030361E">
        <w:rPr>
          <w:i/>
          <w:sz w:val="27"/>
          <w:szCs w:val="27"/>
          <w:lang w:val="vi-VN"/>
        </w:rPr>
        <w:t>e) Tem, nhãn hàng hóa, bao bì hàng hóa giả bao gồm: đề can, nhãn hàng hóa (bao gồm cả nhãn điện tử, hộ chiếu số của sản phẩm, hàng hóa), bao bì hàng hóa, các loại tem chất lượng, dấu chất lượng, tem truy xuất nguồn gốc, phiếu bảo hành, niêm màng co hàng hóa hoặc vật phẩm khác của tổ chức, cá nhân kinh doanh có chỉ dẫn giả mạo tên, địa chỉ của tổ chức, cá nhân khác; giả mạo tên thương mại, tên thương phẩm, mã số mã vạch, mã số đăng ký lưu hành, mã số công bố của hàng hóa hoặc bao bì hàng hóa của tổ chức, cá nhân khác.</w:t>
      </w:r>
    </w:p>
    <w:p w14:paraId="41D6A279" w14:textId="6BE23AB1" w:rsidR="0010533A" w:rsidRPr="0030361E" w:rsidRDefault="00C44320" w:rsidP="00C44320">
      <w:pPr>
        <w:tabs>
          <w:tab w:val="right" w:leader="dot" w:pos="7920"/>
        </w:tabs>
        <w:spacing w:before="120"/>
        <w:ind w:firstLine="567"/>
        <w:rPr>
          <w:sz w:val="27"/>
          <w:szCs w:val="27"/>
          <w:lang w:val="vi-VN"/>
        </w:rPr>
      </w:pPr>
      <w:r w:rsidRPr="0030361E">
        <w:rPr>
          <w:i/>
          <w:sz w:val="27"/>
          <w:szCs w:val="27"/>
          <w:lang w:val="vi-VN"/>
        </w:rPr>
        <w:t>g) Hàng hóa khác mà Luật, Nghị quyết của Quốc hội, Pháp lệnh của Ủy ban Thường vụ Quốc hội có quy định là hàng giả</w:t>
      </w:r>
      <w:r w:rsidRPr="0030361E">
        <w:rPr>
          <w:sz w:val="27"/>
          <w:szCs w:val="27"/>
          <w:lang w:val="vi-VN"/>
        </w:rPr>
        <w:t>”</w:t>
      </w:r>
      <w:r w:rsidR="00BC7312" w:rsidRPr="0030361E">
        <w:rPr>
          <w:sz w:val="27"/>
          <w:szCs w:val="27"/>
          <w:lang w:val="vi-VN"/>
        </w:rPr>
        <w:t>.</w:t>
      </w:r>
    </w:p>
    <w:p w14:paraId="3C37F012" w14:textId="5524D635" w:rsidR="00034563" w:rsidRPr="0030361E" w:rsidRDefault="00A83B70" w:rsidP="00A238FF">
      <w:pPr>
        <w:tabs>
          <w:tab w:val="right" w:leader="dot" w:pos="7920"/>
        </w:tabs>
        <w:spacing w:before="120"/>
        <w:ind w:firstLine="567"/>
        <w:rPr>
          <w:b/>
          <w:bCs/>
          <w:i/>
          <w:iCs/>
          <w:sz w:val="27"/>
          <w:szCs w:val="27"/>
          <w:lang w:val="vi-VN"/>
        </w:rPr>
      </w:pPr>
      <w:r w:rsidRPr="0030361E">
        <w:rPr>
          <w:b/>
          <w:bCs/>
          <w:i/>
          <w:iCs/>
          <w:sz w:val="27"/>
          <w:szCs w:val="27"/>
          <w:lang w:val="vi-VN"/>
        </w:rPr>
        <w:t>1</w:t>
      </w:r>
      <w:r w:rsidR="00034563" w:rsidRPr="0030361E">
        <w:rPr>
          <w:b/>
          <w:bCs/>
          <w:i/>
          <w:iCs/>
          <w:sz w:val="27"/>
          <w:szCs w:val="27"/>
          <w:lang w:val="vi-VN"/>
        </w:rPr>
        <w:t>.3. Các giải pháp thực hiện chính sách</w:t>
      </w:r>
    </w:p>
    <w:p w14:paraId="616E1183" w14:textId="0992593E" w:rsidR="00DD4073" w:rsidRPr="0030361E" w:rsidRDefault="00DD4073" w:rsidP="00A238FF">
      <w:pPr>
        <w:tabs>
          <w:tab w:val="right" w:leader="dot" w:pos="7920"/>
        </w:tabs>
        <w:spacing w:before="120"/>
        <w:ind w:firstLine="567"/>
        <w:rPr>
          <w:bCs/>
          <w:iCs/>
          <w:sz w:val="27"/>
          <w:szCs w:val="27"/>
          <w:lang w:val="vi-VN"/>
        </w:rPr>
      </w:pPr>
      <w:r w:rsidRPr="0030361E">
        <w:rPr>
          <w:bCs/>
          <w:iCs/>
          <w:sz w:val="27"/>
          <w:szCs w:val="27"/>
          <w:lang w:val="vi-VN"/>
        </w:rPr>
        <w:t>- Giải pháp 1: Quy định các trường hợp được xác định là “hàng giả” trong Luật Thương mại</w:t>
      </w:r>
      <w:r w:rsidR="00EC6979" w:rsidRPr="0030361E">
        <w:rPr>
          <w:bCs/>
          <w:iCs/>
          <w:sz w:val="27"/>
          <w:szCs w:val="27"/>
          <w:lang w:val="vi-VN"/>
        </w:rPr>
        <w:t>.</w:t>
      </w:r>
    </w:p>
    <w:p w14:paraId="06D6D1F8" w14:textId="52FD49C0" w:rsidR="00EC6979" w:rsidRPr="0030361E" w:rsidRDefault="0030361E" w:rsidP="00A238FF">
      <w:pPr>
        <w:tabs>
          <w:tab w:val="right" w:leader="dot" w:pos="7920"/>
        </w:tabs>
        <w:spacing w:before="120"/>
        <w:ind w:firstLine="567"/>
        <w:rPr>
          <w:bCs/>
          <w:iCs/>
          <w:sz w:val="27"/>
          <w:szCs w:val="27"/>
          <w:lang w:val="vi-VN"/>
        </w:rPr>
      </w:pPr>
      <w:r w:rsidRPr="0030361E">
        <w:rPr>
          <w:bCs/>
          <w:iCs/>
          <w:sz w:val="27"/>
          <w:szCs w:val="27"/>
        </w:rPr>
        <w:t xml:space="preserve">- </w:t>
      </w:r>
      <w:r w:rsidR="00EC6979" w:rsidRPr="0030361E">
        <w:rPr>
          <w:bCs/>
          <w:iCs/>
          <w:sz w:val="27"/>
          <w:szCs w:val="27"/>
          <w:lang w:val="vi-VN"/>
        </w:rPr>
        <w:t>Giải pháp 2: Giữ nguyên việc quy định trường hợp được xác định là “hàng giả” ở Nghị định số 98/2020/NĐ-CP.</w:t>
      </w:r>
    </w:p>
    <w:p w14:paraId="61B51085" w14:textId="3D0EF660" w:rsidR="00034563" w:rsidRPr="0030361E" w:rsidRDefault="00A83B70" w:rsidP="00A238FF">
      <w:pPr>
        <w:tabs>
          <w:tab w:val="right" w:leader="dot" w:pos="7920"/>
        </w:tabs>
        <w:spacing w:before="120"/>
        <w:ind w:firstLine="567"/>
        <w:rPr>
          <w:b/>
          <w:bCs/>
          <w:i/>
          <w:iCs/>
          <w:sz w:val="27"/>
          <w:szCs w:val="27"/>
          <w:lang w:val="vi-VN"/>
        </w:rPr>
      </w:pPr>
      <w:r w:rsidRPr="0030361E">
        <w:rPr>
          <w:b/>
          <w:bCs/>
          <w:i/>
          <w:iCs/>
          <w:sz w:val="27"/>
          <w:szCs w:val="27"/>
          <w:lang w:val="vi-VN"/>
        </w:rPr>
        <w:t>1</w:t>
      </w:r>
      <w:r w:rsidR="00034563" w:rsidRPr="0030361E">
        <w:rPr>
          <w:b/>
          <w:bCs/>
          <w:i/>
          <w:iCs/>
          <w:sz w:val="27"/>
          <w:szCs w:val="27"/>
          <w:lang w:val="vi-VN"/>
        </w:rPr>
        <w:t>.4. Giải pháp tối ưu được lựa chọn và lý do lựa chọn</w:t>
      </w:r>
    </w:p>
    <w:p w14:paraId="659FD219" w14:textId="0F2DB324" w:rsidR="00CC46C6" w:rsidRPr="0030361E" w:rsidRDefault="00C44320" w:rsidP="00A238FF">
      <w:pPr>
        <w:tabs>
          <w:tab w:val="right" w:leader="dot" w:pos="7920"/>
        </w:tabs>
        <w:spacing w:before="120"/>
        <w:ind w:firstLine="567"/>
        <w:rPr>
          <w:sz w:val="27"/>
          <w:szCs w:val="27"/>
          <w:lang w:val="vi-VN"/>
        </w:rPr>
      </w:pPr>
      <w:r w:rsidRPr="0030361E">
        <w:rPr>
          <w:sz w:val="27"/>
          <w:szCs w:val="27"/>
          <w:lang w:val="vi-VN"/>
        </w:rPr>
        <w:t>Bộ Công Thương kiến nghị lựa chọn “Giải pháp 1: Quy định khái niệm “hàng giả” trong Luật Thương mại” nhằm củng cố cơ sở pháp lý, hiệu lực của khái niệm “hàng giả” từ đó áp dụng thống nhất, không chỉ giới hạn trong xử lý các hành vi vi phạm mà còn tạo cơ sở thúc đẩy biện pháp quản lý, khoa học và công nghệ, đổi mới sáng tạo trong phát hiện “hàng giả”, từ đó nâng cao hiệu quả của công cuộc đấu tranh, phòng, chống sản xuất, buôn bán hàng giả, bảo vệ quyền, lợi ích hợp pháp, chính đáng của Nhân dân, doanh nghiệp, bảo vệ an ninh, an toàn sức khỏe cho Nhân dân, góp phần phục vụ đất nước phát triển nhanh, bền vững.</w:t>
      </w:r>
    </w:p>
    <w:p w14:paraId="508AB93F" w14:textId="6F0FDE2D" w:rsidR="004E5DBD" w:rsidRPr="0030361E" w:rsidRDefault="00034563" w:rsidP="00C44320">
      <w:pPr>
        <w:tabs>
          <w:tab w:val="right" w:leader="dot" w:pos="7920"/>
        </w:tabs>
        <w:spacing w:before="120"/>
        <w:ind w:firstLine="567"/>
        <w:rPr>
          <w:b/>
          <w:bCs/>
          <w:sz w:val="27"/>
          <w:szCs w:val="27"/>
          <w:lang w:val="vi-VN"/>
        </w:rPr>
      </w:pPr>
      <w:r w:rsidRPr="0030361E">
        <w:rPr>
          <w:b/>
          <w:bCs/>
          <w:sz w:val="27"/>
          <w:szCs w:val="27"/>
          <w:lang w:val="vi-VN"/>
        </w:rPr>
        <w:t>2</w:t>
      </w:r>
      <w:r w:rsidR="004E5DBD" w:rsidRPr="0030361E">
        <w:rPr>
          <w:b/>
          <w:bCs/>
          <w:sz w:val="27"/>
          <w:szCs w:val="27"/>
          <w:lang w:val="vi-VN"/>
        </w:rPr>
        <w:t xml:space="preserve">. Chính sách </w:t>
      </w:r>
      <w:r w:rsidRPr="0030361E">
        <w:rPr>
          <w:b/>
          <w:bCs/>
          <w:sz w:val="27"/>
          <w:szCs w:val="27"/>
          <w:lang w:val="vi-VN"/>
        </w:rPr>
        <w:t>2</w:t>
      </w:r>
      <w:r w:rsidR="004E5DBD" w:rsidRPr="0030361E">
        <w:rPr>
          <w:b/>
          <w:bCs/>
          <w:sz w:val="27"/>
          <w:szCs w:val="27"/>
          <w:lang w:val="vi-VN"/>
        </w:rPr>
        <w:t xml:space="preserve">: </w:t>
      </w:r>
      <w:r w:rsidR="00C44320" w:rsidRPr="0030361E">
        <w:rPr>
          <w:b/>
          <w:bCs/>
          <w:sz w:val="27"/>
          <w:szCs w:val="27"/>
          <w:lang w:val="vi-VN"/>
        </w:rPr>
        <w:t>Tháo gỡ khó khăn, vướng mắc các quy định của Luật Cạnh tranh</w:t>
      </w:r>
    </w:p>
    <w:p w14:paraId="376574BB" w14:textId="77777777" w:rsidR="00A83B70" w:rsidRPr="0030361E" w:rsidRDefault="00A83B70" w:rsidP="00A83B70">
      <w:pPr>
        <w:pStyle w:val="Heading3"/>
        <w:spacing w:before="120" w:after="120"/>
        <w:ind w:firstLine="709"/>
        <w:jc w:val="both"/>
        <w:rPr>
          <w:b/>
          <w:sz w:val="27"/>
          <w:szCs w:val="27"/>
          <w:lang w:val="vi-VN"/>
        </w:rPr>
      </w:pPr>
      <w:r w:rsidRPr="0030361E">
        <w:rPr>
          <w:b/>
          <w:sz w:val="27"/>
          <w:szCs w:val="27"/>
          <w:lang w:val="vi-VN"/>
        </w:rPr>
        <w:t>2.1. Mục tiêu của chính sách</w:t>
      </w:r>
    </w:p>
    <w:p w14:paraId="4A3BE846" w14:textId="77777777" w:rsidR="00A83B70" w:rsidRPr="0030361E" w:rsidRDefault="00A83B70" w:rsidP="00A83B70">
      <w:pPr>
        <w:spacing w:before="120" w:after="120"/>
        <w:rPr>
          <w:sz w:val="27"/>
          <w:szCs w:val="27"/>
          <w:lang w:val="vi-VN"/>
        </w:rPr>
      </w:pPr>
      <w:r w:rsidRPr="0030361E">
        <w:rPr>
          <w:sz w:val="27"/>
          <w:szCs w:val="27"/>
          <w:lang w:val="vi-VN"/>
        </w:rPr>
        <w:t>- Hoàn thiện và nâng cao hiệu lực, hiệu quả thực thi Luật Cạnh tranh, bảo đảm xử lý kịp thời, toàn diện và phù hợp thực tiễn đối với hoạt động kinh doanh của doanh nghiệp, đáp ứng yêu cầu thực tiễn và bám sát chủ trương, đường lối của Đảng, Nhà nước.</w:t>
      </w:r>
    </w:p>
    <w:p w14:paraId="774AA410" w14:textId="77777777" w:rsidR="00A83B70" w:rsidRPr="0030361E" w:rsidRDefault="00A83B70" w:rsidP="00A83B70">
      <w:pPr>
        <w:spacing w:before="120" w:after="120"/>
        <w:rPr>
          <w:sz w:val="27"/>
          <w:szCs w:val="27"/>
          <w:lang w:val="vi-VN"/>
        </w:rPr>
      </w:pPr>
      <w:r w:rsidRPr="0030361E">
        <w:rPr>
          <w:sz w:val="27"/>
          <w:szCs w:val="27"/>
          <w:lang w:val="vi-VN"/>
        </w:rPr>
        <w:t>- Thúc đẩy cạnh tranh, bảo đảm quyền tự do cạnh tranh trong kinh doanh của doanh nghiệp theo quy định của pháp luật; tăng cường khả năng tiếp cận thị trường, nâng cao hiệu quả kinh tế, phúc lợi xã hội và bảo vệ quyền lợi người tiêu dùng.</w:t>
      </w:r>
    </w:p>
    <w:p w14:paraId="0584E377" w14:textId="77777777" w:rsidR="00A83B70" w:rsidRPr="0030361E" w:rsidRDefault="00A83B70" w:rsidP="00A83B70">
      <w:pPr>
        <w:spacing w:before="120" w:after="120"/>
        <w:rPr>
          <w:sz w:val="27"/>
          <w:szCs w:val="27"/>
          <w:lang w:val="vi-VN"/>
        </w:rPr>
      </w:pPr>
      <w:r w:rsidRPr="0030361E">
        <w:rPr>
          <w:sz w:val="27"/>
          <w:szCs w:val="27"/>
          <w:lang w:val="vi-VN"/>
        </w:rPr>
        <w:t>- Góp phần thể chế hóa chủ trương của Đảng và Nhà nước về đẩy mạnh cải cách, hoàn thiện, nâng cao chất lượng thể chế  thông qua xử lý nghiêm các hành vi làm hạn chế cạnh tranh, lạm dụng vị trí thống lĩnh, vị trí độc quyền và cạnh tranh không lành mạnh.</w:t>
      </w:r>
    </w:p>
    <w:p w14:paraId="56170433" w14:textId="77777777" w:rsidR="00A83B70" w:rsidRPr="0030361E" w:rsidRDefault="00A83B70" w:rsidP="00A83B70">
      <w:pPr>
        <w:pStyle w:val="Heading3"/>
        <w:spacing w:before="120" w:after="120"/>
        <w:ind w:firstLine="709"/>
        <w:jc w:val="both"/>
        <w:rPr>
          <w:b/>
          <w:sz w:val="27"/>
          <w:szCs w:val="27"/>
          <w:lang w:val="vi-VN"/>
        </w:rPr>
      </w:pPr>
      <w:r w:rsidRPr="0030361E">
        <w:rPr>
          <w:b/>
          <w:sz w:val="27"/>
          <w:szCs w:val="27"/>
          <w:lang w:val="vi-VN"/>
        </w:rPr>
        <w:lastRenderedPageBreak/>
        <w:t>2.2. Nội dung của chính sách</w:t>
      </w:r>
    </w:p>
    <w:p w14:paraId="4C090CAA" w14:textId="7258F1BC" w:rsidR="00A83B70" w:rsidRPr="0030361E" w:rsidRDefault="00416F58" w:rsidP="00A83B70">
      <w:pPr>
        <w:tabs>
          <w:tab w:val="right" w:leader="dot" w:pos="7920"/>
        </w:tabs>
        <w:spacing w:before="120" w:after="120"/>
        <w:ind w:firstLine="709"/>
        <w:rPr>
          <w:sz w:val="27"/>
          <w:szCs w:val="27"/>
          <w:lang w:val="vi-VN"/>
        </w:rPr>
      </w:pPr>
      <w:r w:rsidRPr="0030361E">
        <w:rPr>
          <w:sz w:val="27"/>
          <w:szCs w:val="27"/>
          <w:lang w:val="vi-VN"/>
        </w:rPr>
        <w:t xml:space="preserve"> Việc tháo gỡ khó khăn, vướng mắc các quy định</w:t>
      </w:r>
      <w:r w:rsidRPr="0030361E">
        <w:rPr>
          <w:b/>
          <w:bCs/>
          <w:sz w:val="27"/>
          <w:szCs w:val="27"/>
          <w:lang w:val="vi-VN"/>
        </w:rPr>
        <w:t xml:space="preserve"> </w:t>
      </w:r>
      <w:r w:rsidRPr="0030361E">
        <w:rPr>
          <w:sz w:val="27"/>
          <w:szCs w:val="27"/>
          <w:lang w:val="vi-VN"/>
        </w:rPr>
        <w:t>tại</w:t>
      </w:r>
      <w:r w:rsidRPr="0030361E">
        <w:rPr>
          <w:b/>
          <w:bCs/>
          <w:sz w:val="27"/>
          <w:szCs w:val="27"/>
          <w:lang w:val="vi-VN"/>
        </w:rPr>
        <w:t xml:space="preserve"> </w:t>
      </w:r>
      <w:r w:rsidR="00A83B70" w:rsidRPr="0030361E">
        <w:rPr>
          <w:sz w:val="27"/>
          <w:szCs w:val="27"/>
          <w:lang w:val="vi-VN"/>
        </w:rPr>
        <w:t>Luật Cạnh tranh nhằm nâng cao hiệu lực, hiệu quả thực thi pháp luật cạnh tranh, bảo đảm môi trường cạnh tranh công bằng, lành mạnh, đặc biệt trong bối cảnh kinh tế số và các mô hình kinh doanh mới phát triển bao gồm:</w:t>
      </w:r>
    </w:p>
    <w:p w14:paraId="1237C46E" w14:textId="08F79365" w:rsidR="00A83B70" w:rsidRPr="0030361E" w:rsidRDefault="00F1689C" w:rsidP="00A83B70">
      <w:pPr>
        <w:tabs>
          <w:tab w:val="right" w:leader="dot" w:pos="7920"/>
        </w:tabs>
        <w:spacing w:before="120" w:after="120"/>
        <w:ind w:firstLine="709"/>
        <w:rPr>
          <w:sz w:val="27"/>
          <w:szCs w:val="27"/>
          <w:lang w:val="vi-VN"/>
        </w:rPr>
      </w:pPr>
      <w:r w:rsidRPr="0030361E">
        <w:rPr>
          <w:b/>
          <w:i/>
          <w:sz w:val="27"/>
          <w:szCs w:val="27"/>
          <w:lang w:val="vi-VN"/>
        </w:rPr>
        <w:t>Nội dung</w:t>
      </w:r>
      <w:r w:rsidR="00A83B70" w:rsidRPr="0030361E">
        <w:rPr>
          <w:b/>
          <w:i/>
          <w:sz w:val="27"/>
          <w:szCs w:val="27"/>
          <w:lang w:val="vi-VN"/>
        </w:rPr>
        <w:t xml:space="preserve"> 1</w:t>
      </w:r>
      <w:r w:rsidR="00A83B70" w:rsidRPr="0030361E">
        <w:rPr>
          <w:sz w:val="27"/>
          <w:szCs w:val="27"/>
          <w:lang w:val="vi-VN"/>
        </w:rPr>
        <w:t xml:space="preserve">, nâng cao hiệu lực, hiệu quả phát hiện, điều tra và xử lý vụ việc cạnh tranh nhằm xử lý nghiêm các hành vi hạn chế cạnh tranh, hành vi cạnh tranh không lành mạnh phù hợp với thực tiễn cạnh tranh trên thị trường, sự phát triển của nền kinh tế, đặc biệt là kinh tế số, thông qua các giải pháp: </w:t>
      </w:r>
    </w:p>
    <w:p w14:paraId="6436455A" w14:textId="14AF7BBF" w:rsidR="00F728E1" w:rsidRPr="0030361E" w:rsidRDefault="00A83B70" w:rsidP="00F728E1">
      <w:pPr>
        <w:spacing w:before="120" w:after="120" w:line="252" w:lineRule="auto"/>
        <w:ind w:firstLine="709"/>
        <w:rPr>
          <w:sz w:val="27"/>
          <w:szCs w:val="27"/>
          <w:lang w:val="vi-VN"/>
        </w:rPr>
      </w:pPr>
      <w:r w:rsidRPr="0030361E">
        <w:rPr>
          <w:rStyle w:val="Strong"/>
          <w:b w:val="0"/>
          <w:sz w:val="27"/>
          <w:szCs w:val="27"/>
          <w:lang w:val="vi-VN"/>
        </w:rPr>
        <w:t xml:space="preserve">- </w:t>
      </w:r>
      <w:r w:rsidR="00F728E1" w:rsidRPr="0030361E">
        <w:rPr>
          <w:sz w:val="27"/>
          <w:szCs w:val="27"/>
          <w:lang w:val="vi-VN"/>
        </w:rPr>
        <w:t xml:space="preserve">Hoàn thiện quy định về hành vi bị cấm theo hướng bổ sung, làm rõ trách nhiệm của chủ thể giúp sức, hỗ trợ thực hiện hành vi hạn chế cạnh tranh, hành vi cạnh tranh không lành mạnh; </w:t>
      </w:r>
      <w:r w:rsidR="00F728E1" w:rsidRPr="0030361E">
        <w:rPr>
          <w:rStyle w:val="Strong"/>
          <w:b w:val="0"/>
          <w:sz w:val="27"/>
          <w:szCs w:val="27"/>
          <w:lang w:val="vi-VN"/>
        </w:rPr>
        <w:t>bổ sung hành vi lạm dụng vị trí thống lĩnh thị trường, lạm dụng vị trí độc quyền, hành vi cạnh tranh không lành mạnh bị cấm.</w:t>
      </w:r>
    </w:p>
    <w:p w14:paraId="31BB25B0" w14:textId="77777777" w:rsidR="00A83B70" w:rsidRPr="0030361E" w:rsidRDefault="00A83B70" w:rsidP="00A83B70">
      <w:pPr>
        <w:spacing w:before="120" w:after="120"/>
        <w:ind w:firstLine="709"/>
        <w:rPr>
          <w:sz w:val="27"/>
          <w:szCs w:val="27"/>
          <w:lang w:val="vi-VN"/>
        </w:rPr>
      </w:pPr>
      <w:r w:rsidRPr="0030361E">
        <w:rPr>
          <w:rStyle w:val="Strong"/>
          <w:b w:val="0"/>
          <w:sz w:val="27"/>
          <w:szCs w:val="27"/>
          <w:lang w:val="vi-VN"/>
        </w:rPr>
        <w:t>- Cụ thể hóa và tăng cường kiểm soát hành vi lạm dụng vị trí thống lĩnh, vị trí độc quyền trong môi trường nền tảng số theo hướng b</w:t>
      </w:r>
      <w:r w:rsidRPr="0030361E">
        <w:rPr>
          <w:sz w:val="27"/>
          <w:szCs w:val="27"/>
          <w:lang w:val="vi-VN"/>
        </w:rPr>
        <w:t>ổ sung, làm rõ các hành vi như tự ưu tiên, phân biệt đối xử, áp đặt điều kiện giao dịch không công bằng, ràng buộc dịch vụ, cản trở dịch vụ thay thế, can thiệp cơ chế xếp hạng, lạm dụng dữ liệu,..</w:t>
      </w:r>
    </w:p>
    <w:p w14:paraId="412D60F2" w14:textId="6191E7F9" w:rsidR="006846B0" w:rsidRPr="0030361E" w:rsidRDefault="00F1689C" w:rsidP="006846B0">
      <w:pPr>
        <w:pStyle w:val="Heading4"/>
        <w:spacing w:before="120" w:after="120" w:line="252" w:lineRule="auto"/>
        <w:ind w:firstLine="709"/>
        <w:rPr>
          <w:sz w:val="27"/>
          <w:szCs w:val="27"/>
          <w:lang w:val="vi-VN"/>
        </w:rPr>
      </w:pPr>
      <w:r w:rsidRPr="0030361E">
        <w:rPr>
          <w:rStyle w:val="Strong"/>
          <w:b/>
          <w:bCs w:val="0"/>
          <w:i/>
          <w:sz w:val="27"/>
          <w:szCs w:val="27"/>
          <w:lang w:val="vi-VN"/>
        </w:rPr>
        <w:t>Nội dung</w:t>
      </w:r>
      <w:r w:rsidR="00A83B70" w:rsidRPr="0030361E">
        <w:rPr>
          <w:rStyle w:val="Strong"/>
          <w:b/>
          <w:bCs w:val="0"/>
          <w:i/>
          <w:sz w:val="27"/>
          <w:szCs w:val="27"/>
          <w:lang w:val="vi-VN"/>
        </w:rPr>
        <w:t xml:space="preserve"> </w:t>
      </w:r>
      <w:r w:rsidR="00416F58" w:rsidRPr="0030361E">
        <w:rPr>
          <w:rStyle w:val="Strong"/>
          <w:b/>
          <w:bCs w:val="0"/>
          <w:i/>
          <w:sz w:val="27"/>
          <w:szCs w:val="27"/>
          <w:lang w:val="vi-VN"/>
        </w:rPr>
        <w:t>2</w:t>
      </w:r>
      <w:r w:rsidR="00A83B70" w:rsidRPr="0030361E">
        <w:rPr>
          <w:rStyle w:val="Strong"/>
          <w:b/>
          <w:bCs w:val="0"/>
          <w:sz w:val="27"/>
          <w:szCs w:val="27"/>
          <w:lang w:val="vi-VN"/>
        </w:rPr>
        <w:t>,</w:t>
      </w:r>
      <w:r w:rsidR="00A83B70" w:rsidRPr="0030361E">
        <w:rPr>
          <w:rStyle w:val="Strong"/>
          <w:sz w:val="27"/>
          <w:szCs w:val="27"/>
          <w:lang w:val="vi-VN"/>
        </w:rPr>
        <w:t xml:space="preserve"> </w:t>
      </w:r>
      <w:r w:rsidR="001269B0" w:rsidRPr="0030361E">
        <w:rPr>
          <w:b w:val="0"/>
          <w:sz w:val="27"/>
          <w:szCs w:val="27"/>
          <w:lang w:val="vi-VN"/>
        </w:rPr>
        <w:t xml:space="preserve">hoàn thiện quy định về xử lý vi phạm pháp luật về cạnh tranh theo hướng </w:t>
      </w:r>
      <w:r w:rsidR="006846B0" w:rsidRPr="0030361E">
        <w:rPr>
          <w:b w:val="0"/>
          <w:sz w:val="27"/>
          <w:szCs w:val="27"/>
          <w:lang w:val="vi-VN"/>
        </w:rPr>
        <w:t>quy định mang tính nguyên tắc chung về các nguyên tắc, nội dung liên quan đến xử lý vi phạm hành chính về cạnh tranh tại Luật sửa đổi, bổ sung một số điều của Luật Thương mại, Luật Cạnh tranh, Luật Quản lý ngoại thương, Luật Bảo vệ quyền lợi người tiêu dùng và giao Chính phủ quy định chi tiết để đảm bảo linh hoạt</w:t>
      </w:r>
    </w:p>
    <w:p w14:paraId="5C9DAED8" w14:textId="77777777" w:rsidR="00AF7A56" w:rsidRPr="0030361E" w:rsidRDefault="00AF7A56" w:rsidP="00AF7A56">
      <w:pPr>
        <w:rPr>
          <w:color w:val="000000" w:themeColor="text1"/>
          <w:sz w:val="27"/>
          <w:szCs w:val="27"/>
          <w:lang w:val="vi-VN"/>
        </w:rPr>
      </w:pPr>
      <w:r w:rsidRPr="0030361E">
        <w:rPr>
          <w:color w:val="000000" w:themeColor="text1"/>
          <w:sz w:val="27"/>
          <w:szCs w:val="27"/>
          <w:lang w:val="vi-VN"/>
        </w:rPr>
        <w:t>Quy định này làm rõ hai quy trình xử lý như sau: (i) Quy trình xử phạt đối với các hành vi vi phạm hành chính về thỏa thuận hạn chế cạnh tranh, lạm dụng vị trí thống lĩnh thị trường, lạm dụng vị trí độc quyền,</w:t>
      </w:r>
      <w:r w:rsidRPr="0030361E">
        <w:rPr>
          <w:color w:val="000000" w:themeColor="text1"/>
          <w:sz w:val="27"/>
          <w:szCs w:val="27"/>
          <w:shd w:val="clear" w:color="auto" w:fill="FFFFFF"/>
          <w:lang w:val="vi-VN"/>
        </w:rPr>
        <w:t xml:space="preserve"> quy định về </w:t>
      </w:r>
      <w:r w:rsidRPr="0030361E">
        <w:rPr>
          <w:color w:val="000000" w:themeColor="text1"/>
          <w:sz w:val="27"/>
          <w:szCs w:val="27"/>
          <w:lang w:val="vi-VN"/>
        </w:rPr>
        <w:t>tập trung kinh tế, cạnh tranh không lành mạnh thực hiện theo quy trình tố tụng cạnh tranh quy định tại Chương VIII của Luật Cạnh tranh. Quyết định xử lý vụ việc cạnh tranh có giá trị và hiệu lực pháp lý như Quyết định xử phạt vi phạm hành chính; (ii) Quy trình xử lý các hành vi vi phạm hành chính về cạnh tranh khác thực hiện quy trình, thủ tục xử phạt vi phạm hành chính theo quy định của Luật Xử lý vi phạm hành chính.</w:t>
      </w:r>
    </w:p>
    <w:p w14:paraId="28497700" w14:textId="77777777" w:rsidR="00AF7A56" w:rsidRPr="0030361E" w:rsidRDefault="00AF7A56" w:rsidP="00AF7A56">
      <w:pPr>
        <w:rPr>
          <w:rStyle w:val="Strong"/>
          <w:b w:val="0"/>
          <w:color w:val="000000" w:themeColor="text1"/>
          <w:sz w:val="27"/>
          <w:szCs w:val="27"/>
          <w:lang w:val="vi-VN"/>
        </w:rPr>
      </w:pPr>
      <w:r w:rsidRPr="0030361E">
        <w:rPr>
          <w:color w:val="000000" w:themeColor="text1"/>
          <w:sz w:val="27"/>
          <w:szCs w:val="27"/>
          <w:lang w:val="vi-VN"/>
        </w:rPr>
        <w:t>Việc hoàn thiện các quy định về tố tụng cạnh tranh theo hướng minh bạch, thuận lợi và đảm bảo việc doanh nghiệp tránh rủi ro pháp lý bị xử lý trùng lặp về tố tụng cạnh tranh và xử phạt hành chính.</w:t>
      </w:r>
    </w:p>
    <w:p w14:paraId="7EA6C775" w14:textId="77777777" w:rsidR="00A83B70" w:rsidRPr="0030361E" w:rsidRDefault="00A83B70" w:rsidP="00A83B70">
      <w:pPr>
        <w:pStyle w:val="Heading3"/>
        <w:spacing w:before="120" w:after="120"/>
        <w:ind w:firstLine="709"/>
        <w:jc w:val="both"/>
        <w:rPr>
          <w:b/>
          <w:sz w:val="27"/>
          <w:szCs w:val="27"/>
          <w:lang w:val="vi-VN"/>
        </w:rPr>
      </w:pPr>
      <w:r w:rsidRPr="0030361E">
        <w:rPr>
          <w:b/>
          <w:sz w:val="27"/>
          <w:szCs w:val="27"/>
          <w:lang w:val="vi-VN"/>
        </w:rPr>
        <w:t>2.3. Các giải pháp thực hiện chính sách</w:t>
      </w:r>
    </w:p>
    <w:p w14:paraId="5F3ECA0A" w14:textId="689D466D" w:rsidR="00A83B70" w:rsidRPr="0030361E" w:rsidRDefault="00A83B70" w:rsidP="00A83B70">
      <w:pPr>
        <w:tabs>
          <w:tab w:val="right" w:leader="dot" w:pos="7920"/>
        </w:tabs>
        <w:spacing w:before="120" w:after="120"/>
        <w:ind w:firstLine="709"/>
        <w:rPr>
          <w:rStyle w:val="Strong"/>
          <w:sz w:val="27"/>
          <w:szCs w:val="27"/>
          <w:lang w:val="vi-VN"/>
        </w:rPr>
      </w:pPr>
      <w:r w:rsidRPr="0030361E">
        <w:rPr>
          <w:rStyle w:val="Strong"/>
          <w:sz w:val="27"/>
          <w:szCs w:val="27"/>
          <w:lang w:val="vi-VN"/>
        </w:rPr>
        <w:t xml:space="preserve">Giải pháp 1: </w:t>
      </w:r>
      <w:r w:rsidRPr="0030361E">
        <w:rPr>
          <w:rStyle w:val="Strong"/>
          <w:b w:val="0"/>
          <w:sz w:val="27"/>
          <w:szCs w:val="27"/>
          <w:lang w:val="vi-VN"/>
        </w:rPr>
        <w:t>Sửa đổi, bổ sung theo hướng (i) bổ sung hành vi bị nghiêm cấm có liên quan đến cạnh tranh, hành vi cạnh tranh không lành mạnh</w:t>
      </w:r>
      <w:r w:rsidR="00317946" w:rsidRPr="0030361E">
        <w:rPr>
          <w:rStyle w:val="Strong"/>
          <w:b w:val="0"/>
          <w:sz w:val="27"/>
          <w:szCs w:val="27"/>
        </w:rPr>
        <w:t>;</w:t>
      </w:r>
      <w:r w:rsidRPr="0030361E">
        <w:rPr>
          <w:rStyle w:val="Strong"/>
          <w:b w:val="0"/>
          <w:sz w:val="27"/>
          <w:szCs w:val="27"/>
          <w:lang w:val="vi-VN"/>
        </w:rPr>
        <w:t xml:space="preserve"> hành vi lạm dụng vị trí thống lĩnh, vị trí độc quyền trong môi trường nền tảng số, cũng như quy định xử lý hành vi vi phạm về cạnh tranh và giao Chính phủ quy định chi tiết các nội dung nêu trên; (iii) quy định mang tính nguyên tắc chung về các nguyên tắc, nội dung liên quan đến xử lý vi phạm hành chính về cạnh tranh tại Luật sửa đổi, bổ sung một số điều của Luật Thương mại, Luật Cạnh tranh, Luật Quản lý ngoại thương, Luật Bảo vệ quyền lợi người tiêu dùng và giao Chính phủ quy định chi tiết để đảm bảo linh hoạt.</w:t>
      </w:r>
    </w:p>
    <w:p w14:paraId="06D9C943" w14:textId="77777777" w:rsidR="00A83B70" w:rsidRPr="0030361E" w:rsidRDefault="00A83B70" w:rsidP="00A83B70">
      <w:pPr>
        <w:tabs>
          <w:tab w:val="right" w:leader="dot" w:pos="7920"/>
        </w:tabs>
        <w:spacing w:before="120" w:after="120"/>
        <w:ind w:firstLine="709"/>
        <w:rPr>
          <w:sz w:val="27"/>
          <w:szCs w:val="27"/>
          <w:lang w:val="vi-VN"/>
        </w:rPr>
      </w:pPr>
      <w:r w:rsidRPr="0030361E">
        <w:rPr>
          <w:rStyle w:val="Strong"/>
          <w:sz w:val="27"/>
          <w:szCs w:val="27"/>
          <w:lang w:val="vi-VN"/>
        </w:rPr>
        <w:lastRenderedPageBreak/>
        <w:t xml:space="preserve">Giải pháp 2: </w:t>
      </w:r>
      <w:r w:rsidRPr="0030361E">
        <w:rPr>
          <w:rStyle w:val="Strong"/>
          <w:b w:val="0"/>
          <w:sz w:val="27"/>
          <w:szCs w:val="27"/>
          <w:lang w:val="vi-VN"/>
        </w:rPr>
        <w:t xml:space="preserve">Giữ nguyên quy định hiện hành, tiếp tục áp dụng các quy định hiện hành của Luật Cạnh tranh năm 2018 và các văn bản hướng dẫn thi hành. </w:t>
      </w:r>
    </w:p>
    <w:p w14:paraId="6C0ACAD5" w14:textId="77777777" w:rsidR="00A83B70" w:rsidRPr="0030361E" w:rsidRDefault="00A83B70" w:rsidP="00A83B70">
      <w:pPr>
        <w:pStyle w:val="Heading3"/>
        <w:spacing w:before="120" w:after="120"/>
        <w:ind w:firstLine="709"/>
        <w:jc w:val="both"/>
        <w:rPr>
          <w:b/>
          <w:sz w:val="27"/>
          <w:szCs w:val="27"/>
          <w:lang w:val="vi-VN"/>
        </w:rPr>
      </w:pPr>
      <w:r w:rsidRPr="0030361E">
        <w:rPr>
          <w:b/>
          <w:sz w:val="27"/>
          <w:szCs w:val="27"/>
          <w:lang w:val="vi-VN"/>
        </w:rPr>
        <w:t>2.4. Giải pháp tối ưu được lựa chọn và lý do lựa chọn</w:t>
      </w:r>
    </w:p>
    <w:p w14:paraId="75142FC2" w14:textId="77777777" w:rsidR="00A83B70" w:rsidRPr="0030361E" w:rsidRDefault="00A83B70" w:rsidP="00A83B70">
      <w:pPr>
        <w:spacing w:before="120" w:after="120"/>
        <w:rPr>
          <w:sz w:val="27"/>
          <w:szCs w:val="27"/>
          <w:lang w:val="vi-VN"/>
        </w:rPr>
      </w:pPr>
      <w:r w:rsidRPr="0030361E">
        <w:rPr>
          <w:sz w:val="27"/>
          <w:szCs w:val="27"/>
          <w:lang w:val="vi-VN"/>
        </w:rPr>
        <w:t>Giải pháp 1 có những ưu điểm như sau:</w:t>
      </w:r>
    </w:p>
    <w:p w14:paraId="22791259" w14:textId="77777777" w:rsidR="00A83B70" w:rsidRPr="0030361E" w:rsidRDefault="00A83B70" w:rsidP="00A83B70">
      <w:pPr>
        <w:spacing w:before="120" w:after="120"/>
        <w:rPr>
          <w:sz w:val="27"/>
          <w:szCs w:val="27"/>
          <w:lang w:val="vi-VN"/>
        </w:rPr>
      </w:pPr>
      <w:r w:rsidRPr="0030361E">
        <w:rPr>
          <w:b/>
          <w:sz w:val="27"/>
          <w:szCs w:val="27"/>
          <w:lang w:val="vi-VN"/>
        </w:rPr>
        <w:t>Thứ nhất</w:t>
      </w:r>
      <w:r w:rsidRPr="0030361E">
        <w:rPr>
          <w:sz w:val="27"/>
          <w:szCs w:val="27"/>
          <w:lang w:val="vi-VN"/>
        </w:rPr>
        <w:t>, giải pháp 1 bảo đảm vai trò định hướng, ổn định của Luật, đồng thời tăng tính linh hoạt trong tổ chức thực thi. Việc quy định các nguyên tắc, tiêu chí và khung pháp lý chung ngay trong Luật Cạnh tranh giúp xác lập rõ ràng phạm vi điều chỉnh, định hướng quản lý của nhà nước về cạnh tranh, trong khi việc giao Chính phủ quy định chi tiết cho phép kịp thời điều chỉnh các nội dung có tính kỹ thuật cao, biến động nhanh theo thực tiễn thị trường, đặc biệt trong lĩnh vực kinh tế số và nền tảng số.</w:t>
      </w:r>
    </w:p>
    <w:p w14:paraId="19C1B754" w14:textId="77777777" w:rsidR="00A83B70" w:rsidRPr="0030361E" w:rsidRDefault="00A83B70" w:rsidP="00A83B70">
      <w:pPr>
        <w:spacing w:before="120" w:after="120"/>
        <w:rPr>
          <w:sz w:val="27"/>
          <w:szCs w:val="27"/>
          <w:lang w:val="vi-VN"/>
        </w:rPr>
      </w:pPr>
      <w:r w:rsidRPr="0030361E">
        <w:rPr>
          <w:b/>
          <w:sz w:val="27"/>
          <w:szCs w:val="27"/>
          <w:lang w:val="vi-VN"/>
        </w:rPr>
        <w:t>Thứ hai</w:t>
      </w:r>
      <w:r w:rsidRPr="0030361E">
        <w:rPr>
          <w:sz w:val="27"/>
          <w:szCs w:val="27"/>
          <w:lang w:val="vi-VN"/>
        </w:rPr>
        <w:t>, giải pháp 1 phù hợp với tính chất phức tạp, đa dạng và động của các quan hệ cạnh tranh, nhất là đối với việc xác định thị trường liên quan, thị phần, thị phần kết hợp, sức mạnh thị trường đáng kể và các dạng hành vi lạm dụng trong môi trường nền tảng số. Các nội dung này đòi hỏi phương pháp tiếp cận linh hoạt, dựa trên phân tích kinh tế, dữ liệu và đặc thù từng ngành, lĩnh vực, do đó cần được cụ thể hóa thông qua văn bản dưới luật để bảo đảm khả năng cập nhật, điều chỉnh kịp thời.</w:t>
      </w:r>
    </w:p>
    <w:p w14:paraId="37A2C092" w14:textId="77777777" w:rsidR="00A83B70" w:rsidRPr="0030361E" w:rsidRDefault="00A83B70" w:rsidP="00A83B70">
      <w:pPr>
        <w:spacing w:before="120" w:after="120"/>
        <w:rPr>
          <w:sz w:val="27"/>
          <w:szCs w:val="27"/>
          <w:lang w:val="vi-VN"/>
        </w:rPr>
      </w:pPr>
      <w:r w:rsidRPr="0030361E">
        <w:rPr>
          <w:b/>
          <w:sz w:val="27"/>
          <w:szCs w:val="27"/>
          <w:lang w:val="vi-VN"/>
        </w:rPr>
        <w:t>Thứ ba</w:t>
      </w:r>
      <w:r w:rsidRPr="0030361E">
        <w:rPr>
          <w:sz w:val="27"/>
          <w:szCs w:val="27"/>
          <w:lang w:val="vi-VN"/>
        </w:rPr>
        <w:t>, giải pháp 1 bảo đảm tính thống nhất, đồng bộ của hệ thống pháp luật, phù hợp với xu hướng hoàn thiện pháp luật trong các lĩnh vực quản lý nhà nước chuyên ngành và kinh nghiệm lập pháp hiện hành, đồng thời tránh tình trạng Luật quy định quá chi tiết dẫn đến khó sửa đổi, bổ sung khi thực tiễn thay đổi.</w:t>
      </w:r>
    </w:p>
    <w:p w14:paraId="79C27D93" w14:textId="77777777" w:rsidR="00A83B70" w:rsidRPr="0030361E" w:rsidRDefault="00A83B70" w:rsidP="00A83B70">
      <w:pPr>
        <w:spacing w:before="120" w:after="120"/>
        <w:rPr>
          <w:sz w:val="27"/>
          <w:szCs w:val="27"/>
          <w:lang w:val="vi-VN"/>
        </w:rPr>
      </w:pPr>
      <w:r w:rsidRPr="0030361E">
        <w:rPr>
          <w:b/>
          <w:sz w:val="27"/>
          <w:szCs w:val="27"/>
          <w:lang w:val="vi-VN"/>
        </w:rPr>
        <w:t>Thứ tư</w:t>
      </w:r>
      <w:r w:rsidRPr="0030361E">
        <w:rPr>
          <w:sz w:val="27"/>
          <w:szCs w:val="27"/>
          <w:lang w:val="vi-VN"/>
        </w:rPr>
        <w:t>, giải pháp 1 đáp ứng yêu cầu nâng cao hiệu quả thực thi pháp luật cạnh tranh, tạo điều kiện để cơ quan cạnh tranh chủ động áp dụng các công cụ pháp lý phù hợp trong điều tra, xử lý các vụ việc có tính chất phức tạp, nghiêm trọng, mức độ ảnh hưởng lớn, qua đó bảo đảm môi trường cạnh tranh công bằng, minh bạch và lành mạnh.</w:t>
      </w:r>
    </w:p>
    <w:p w14:paraId="355856C1" w14:textId="77777777" w:rsidR="00A83B70" w:rsidRPr="0030361E" w:rsidRDefault="00A83B70" w:rsidP="00A83B70">
      <w:pPr>
        <w:spacing w:before="120" w:after="120"/>
        <w:rPr>
          <w:sz w:val="27"/>
          <w:szCs w:val="27"/>
          <w:lang w:val="vi-VN"/>
        </w:rPr>
      </w:pPr>
      <w:r w:rsidRPr="0030361E">
        <w:rPr>
          <w:sz w:val="27"/>
          <w:szCs w:val="27"/>
          <w:lang w:val="vi-VN"/>
        </w:rPr>
        <w:t xml:space="preserve">Trong khi đó, yêu cầu đặt ra là phải bảo đảm đồng thời tính ổn định, minh bạch của Luật và tính linh hoạt trong tổ chức thực thi, phù hợp với đặc thù của các quan hệ cạnh tranh ngày càng phức tạp, đặc biệt trong bối cảnh kinh tế số. </w:t>
      </w:r>
    </w:p>
    <w:p w14:paraId="190508C0" w14:textId="77777777" w:rsidR="00A83B70" w:rsidRPr="00C33E6D" w:rsidRDefault="00A83B70" w:rsidP="00A83B70">
      <w:pPr>
        <w:spacing w:before="120" w:after="120"/>
        <w:rPr>
          <w:sz w:val="27"/>
          <w:szCs w:val="27"/>
          <w:lang w:val="vi-VN"/>
        </w:rPr>
      </w:pPr>
      <w:r w:rsidRPr="0030361E">
        <w:rPr>
          <w:sz w:val="27"/>
          <w:szCs w:val="27"/>
          <w:lang w:val="vi-VN"/>
        </w:rPr>
        <w:t>Tuy nhiên, việc giữ nguyên các quy định hiện hành của Luật Cạnh tranh năm 2018 không giải quyết được những bất cập, khoảng trống pháp lý đã được nhận diện trong quá trình thực thi, đặc biệt là đối với các vấn đề mới phát sinh trong nền kinh tế số và hoạt động của các nền tảng số. Việc tiếp tục áp dụng khuôn khổ pháp luật hiện hành có thể dẫn đến khó khăn trong công tác điều tra, xử lý các vụ việc cạnh tranh có tính chất phức tạp, mức độ ảnh hưởng lớn, làm hạn chế hiệu quả bảo đảm</w:t>
      </w:r>
      <w:r w:rsidRPr="00C33E6D">
        <w:rPr>
          <w:sz w:val="27"/>
          <w:szCs w:val="27"/>
          <w:lang w:val="vi-VN"/>
        </w:rPr>
        <w:t xml:space="preserve"> môi trường cạnh tranh công bằng, lành mạnh.</w:t>
      </w:r>
    </w:p>
    <w:p w14:paraId="2B365A6A" w14:textId="12BC6C77" w:rsidR="004E5DBD" w:rsidRPr="00C33E6D" w:rsidRDefault="00A83B70" w:rsidP="00A83B70">
      <w:pPr>
        <w:spacing w:before="120" w:after="120"/>
        <w:rPr>
          <w:sz w:val="27"/>
          <w:szCs w:val="27"/>
          <w:lang w:val="vi-VN"/>
        </w:rPr>
      </w:pPr>
      <w:r w:rsidRPr="00C33E6D">
        <w:rPr>
          <w:sz w:val="27"/>
          <w:szCs w:val="27"/>
          <w:lang w:val="vi-VN"/>
        </w:rPr>
        <w:t>Trên cơ sở đó, Bộ Công Thương kiến nghị áp dụng Giải pháp 1 để sửa đổi Luật Cạnh tranh.</w:t>
      </w:r>
    </w:p>
    <w:p w14:paraId="2A7A876F" w14:textId="77777777" w:rsidR="00F87A87" w:rsidRPr="00C33E6D" w:rsidRDefault="00F87A87" w:rsidP="00A238FF">
      <w:pPr>
        <w:tabs>
          <w:tab w:val="right" w:leader="dot" w:pos="7920"/>
        </w:tabs>
        <w:spacing w:before="120"/>
        <w:ind w:firstLine="567"/>
        <w:rPr>
          <w:b/>
          <w:sz w:val="27"/>
          <w:szCs w:val="27"/>
          <w:lang w:val="vi-VN"/>
        </w:rPr>
      </w:pPr>
      <w:r w:rsidRPr="00C33E6D">
        <w:rPr>
          <w:b/>
          <w:sz w:val="27"/>
          <w:szCs w:val="27"/>
          <w:lang w:val="vi-VN"/>
        </w:rPr>
        <w:t xml:space="preserve">VI. NHỮNG NỘI DUNG BỔ SUNG MỚI SO VỚI HỒ SƠ CHÍNH SÁCH GỬI THẨM ĐỊNH (NẾU CÓ)* </w:t>
      </w:r>
    </w:p>
    <w:p w14:paraId="39AA7ED9" w14:textId="63A0FC18" w:rsidR="00F87A87" w:rsidRPr="00C33E6D" w:rsidRDefault="00F87A87" w:rsidP="00A238FF">
      <w:pPr>
        <w:tabs>
          <w:tab w:val="right" w:leader="dot" w:pos="7920"/>
        </w:tabs>
        <w:spacing w:before="120"/>
        <w:ind w:firstLine="567"/>
        <w:rPr>
          <w:b/>
          <w:sz w:val="27"/>
          <w:szCs w:val="27"/>
          <w:lang w:val="vi-VN"/>
        </w:rPr>
      </w:pPr>
      <w:r w:rsidRPr="00C33E6D">
        <w:rPr>
          <w:b/>
          <w:sz w:val="27"/>
          <w:szCs w:val="27"/>
          <w:lang w:val="vi-VN"/>
        </w:rPr>
        <w:t>VII. DỰ KIẾN NGUỒN LỰC, ĐIỀU KIỆN BẢO ĐẢM CHO VIỆC THỰC HIỆN CHÍNH SÁCH</w:t>
      </w:r>
    </w:p>
    <w:p w14:paraId="31F41D6E" w14:textId="6637E2F5" w:rsidR="007154C7" w:rsidRPr="00C33E6D" w:rsidRDefault="007154C7" w:rsidP="00A238FF">
      <w:pPr>
        <w:tabs>
          <w:tab w:val="right" w:leader="dot" w:pos="7920"/>
        </w:tabs>
        <w:spacing w:before="120"/>
        <w:ind w:firstLine="567"/>
        <w:rPr>
          <w:b/>
          <w:sz w:val="27"/>
          <w:szCs w:val="27"/>
          <w:lang w:val="vi-VN"/>
        </w:rPr>
      </w:pPr>
      <w:r w:rsidRPr="00C33E6D">
        <w:rPr>
          <w:color w:val="000000"/>
          <w:sz w:val="27"/>
          <w:szCs w:val="27"/>
          <w:lang w:val="vi-VN"/>
        </w:rPr>
        <w:lastRenderedPageBreak/>
        <w:t xml:space="preserve">Việc triển khai thi hành Luật này trên cơ sở nguồn lực, điều kiện bảo đảm hiện có của Bộ Công Thương và các cơ quan, đơn vị, tổ chức có liên quan, không phát sinh biên chế, tổ chức bộ máy. </w:t>
      </w:r>
      <w:r w:rsidRPr="00C33E6D">
        <w:rPr>
          <w:color w:val="000000"/>
          <w:sz w:val="27"/>
          <w:szCs w:val="27"/>
          <w:shd w:val="clear" w:color="auto" w:fill="FFFFFF"/>
          <w:lang w:val="vi-VN"/>
        </w:rPr>
        <w:t>Kinh phí tổ chức tuyên truyền, phổ biến, tập huấn, tổ chức thi hành Luật sau khi được Quốc hội thông qua sẽ được sử dụng đúng mục đích, nội dung, chế độ, định mức chi theo quy định của pháp luật về quản lý, sử dụng ngân sách nhà nước.</w:t>
      </w:r>
      <w:r w:rsidRPr="00C33E6D">
        <w:rPr>
          <w:color w:val="000000"/>
          <w:sz w:val="27"/>
          <w:szCs w:val="27"/>
          <w:lang w:val="vi-VN"/>
        </w:rPr>
        <w:t xml:space="preserve"> Do vậy, việc bảo đảm nguồn lực, điều kiện cho việc thi hành Luật là hoàn toàn khả thi.</w:t>
      </w:r>
    </w:p>
    <w:p w14:paraId="5CD11649" w14:textId="77777777" w:rsidR="00F87A87" w:rsidRPr="00C33E6D" w:rsidRDefault="00F87A87" w:rsidP="00A238FF">
      <w:pPr>
        <w:tabs>
          <w:tab w:val="right" w:leader="dot" w:pos="7920"/>
        </w:tabs>
        <w:spacing w:before="120"/>
        <w:ind w:firstLine="567"/>
        <w:rPr>
          <w:b/>
          <w:sz w:val="27"/>
          <w:szCs w:val="27"/>
          <w:lang w:val="vi-VN"/>
        </w:rPr>
      </w:pPr>
      <w:r w:rsidRPr="00C33E6D">
        <w:rPr>
          <w:b/>
          <w:sz w:val="27"/>
          <w:szCs w:val="27"/>
          <w:lang w:val="vi-VN"/>
        </w:rPr>
        <w:t>VIII. THỜI GIAN DỰ KIẾN TRÌNH QUỐC HỘI DỰ ÁN, DỰ THẢO VĂN BẢN (nếu có)</w:t>
      </w:r>
    </w:p>
    <w:p w14:paraId="383C2285" w14:textId="3733401C" w:rsidR="007154C7" w:rsidRPr="00C33E6D" w:rsidRDefault="007154C7" w:rsidP="00A238FF">
      <w:pPr>
        <w:tabs>
          <w:tab w:val="right" w:leader="dot" w:pos="7920"/>
        </w:tabs>
        <w:spacing w:before="120"/>
        <w:ind w:firstLine="567"/>
        <w:rPr>
          <w:sz w:val="27"/>
          <w:szCs w:val="27"/>
          <w:lang w:val="vi-VN"/>
        </w:rPr>
      </w:pPr>
      <w:r w:rsidRPr="00C33E6D">
        <w:rPr>
          <w:color w:val="000000"/>
          <w:sz w:val="27"/>
          <w:szCs w:val="27"/>
          <w:lang w:val="vi-VN"/>
        </w:rPr>
        <w:t xml:space="preserve">Bộ Công Thương </w:t>
      </w:r>
      <w:r w:rsidRPr="00C33E6D">
        <w:rPr>
          <w:color w:val="000000"/>
          <w:sz w:val="27"/>
          <w:szCs w:val="27"/>
          <w:shd w:val="clear" w:color="auto" w:fill="FFFFFF"/>
          <w:lang w:val="vi-VN"/>
        </w:rPr>
        <w:t>đề xuất Chính phủ đồng ý về việc trình Quốc hội khóa XVI cho ý kiến và thông qua dự án Luật này tại Kỳ họp thứ 2.</w:t>
      </w:r>
    </w:p>
    <w:p w14:paraId="5C50C4FC" w14:textId="6FE2A646" w:rsidR="00F87A87" w:rsidRPr="00C33E6D" w:rsidRDefault="00F87A87" w:rsidP="00A238FF">
      <w:pPr>
        <w:tabs>
          <w:tab w:val="right" w:leader="dot" w:pos="7920"/>
        </w:tabs>
        <w:spacing w:before="120"/>
        <w:ind w:firstLine="567"/>
        <w:rPr>
          <w:sz w:val="27"/>
          <w:szCs w:val="27"/>
          <w:lang w:val="vi-VN"/>
        </w:rPr>
      </w:pPr>
      <w:r w:rsidRPr="00C33E6D">
        <w:rPr>
          <w:sz w:val="27"/>
          <w:szCs w:val="27"/>
          <w:lang w:val="vi-VN"/>
        </w:rPr>
        <w:t>Trên đây là Tờ trình chính sách</w:t>
      </w:r>
      <w:r w:rsidR="007154C7" w:rsidRPr="00C33E6D">
        <w:rPr>
          <w:sz w:val="27"/>
          <w:szCs w:val="27"/>
          <w:lang w:val="vi-VN"/>
        </w:rPr>
        <w:t xml:space="preserve"> của Dự án Luật Sửa đổi, bổ sung một số điều của Luật Thương mại, Luật Cạnh tranh, Luật Quản lý ngoại thương, Luật Bảo vệ quyền lợi người tiêu dùng</w:t>
      </w:r>
      <w:r w:rsidRPr="00C33E6D">
        <w:rPr>
          <w:sz w:val="27"/>
          <w:szCs w:val="27"/>
          <w:lang w:val="vi-VN"/>
        </w:rPr>
        <w:t>,</w:t>
      </w:r>
      <w:r w:rsidR="007154C7" w:rsidRPr="00C33E6D">
        <w:rPr>
          <w:sz w:val="27"/>
          <w:szCs w:val="27"/>
          <w:lang w:val="vi-VN"/>
        </w:rPr>
        <w:t xml:space="preserve"> Bộ Công Thương </w:t>
      </w:r>
      <w:r w:rsidRPr="00C33E6D">
        <w:rPr>
          <w:sz w:val="27"/>
          <w:szCs w:val="27"/>
          <w:lang w:val="vi-VN"/>
        </w:rPr>
        <w:t>xin kính trình</w:t>
      </w:r>
      <w:r w:rsidR="007154C7" w:rsidRPr="00C33E6D">
        <w:rPr>
          <w:sz w:val="27"/>
          <w:szCs w:val="27"/>
          <w:lang w:val="vi-VN"/>
        </w:rPr>
        <w:t xml:space="preserve"> Chính phủ</w:t>
      </w:r>
      <w:r w:rsidRPr="00C33E6D">
        <w:rPr>
          <w:sz w:val="27"/>
          <w:szCs w:val="27"/>
          <w:lang w:val="vi-VN"/>
        </w:rPr>
        <w:t xml:space="preserve"> xem xét, quyết định.</w:t>
      </w:r>
    </w:p>
    <w:p w14:paraId="21A1E8EA" w14:textId="66151519" w:rsidR="00F87A87" w:rsidRPr="00C33E6D" w:rsidRDefault="00F87A87" w:rsidP="00A238FF">
      <w:pPr>
        <w:tabs>
          <w:tab w:val="right" w:leader="dot" w:pos="7920"/>
        </w:tabs>
        <w:spacing w:before="120"/>
        <w:ind w:firstLine="567"/>
        <w:rPr>
          <w:sz w:val="27"/>
          <w:szCs w:val="27"/>
          <w:lang w:val="vi-VN"/>
        </w:rPr>
      </w:pPr>
      <w:r w:rsidRPr="00C33E6D">
        <w:rPr>
          <w:sz w:val="27"/>
          <w:szCs w:val="27"/>
          <w:lang w:val="vi-VN"/>
        </w:rPr>
        <w:t>(</w:t>
      </w:r>
      <w:r w:rsidRPr="00C33E6D">
        <w:rPr>
          <w:i/>
          <w:sz w:val="27"/>
          <w:szCs w:val="27"/>
          <w:lang w:val="vi-VN"/>
        </w:rPr>
        <w:t>Xin gửi kèm theo</w:t>
      </w:r>
      <w:r w:rsidR="007154C7" w:rsidRPr="00C33E6D">
        <w:rPr>
          <w:sz w:val="27"/>
          <w:szCs w:val="27"/>
          <w:lang w:val="vi-VN"/>
        </w:rPr>
        <w:t xml:space="preserve">: </w:t>
      </w:r>
      <w:r w:rsidR="007154C7" w:rsidRPr="00C33E6D">
        <w:rPr>
          <w:i/>
          <w:sz w:val="27"/>
          <w:szCs w:val="27"/>
          <w:lang w:val="vi-VN"/>
        </w:rPr>
        <w:t>(1) Báo cáo đánh giá tác động của chính sách; (2) Báo cáo rà soát các chủ trương, đường lối của Đảng, văn bản quy phạm pháp luật, điều ước quốc tế có liên quan đến chính sách; (3) Báo cáo tổng kết việc thi hành pháp luật liên quan đến chính sách; (4) Bản thuyết minh quy phạm hóa chính sách; (5) Bản tổng hợp ý kiến, tiếp thu, giải trình ý kiến góp ý, tham vấn; (6) Báo cáo thẩm định của Bộ Tư pháp; báo cáo tiếp thu, giải trình ý kiến thẩm định của Bộ Tư pháp</w:t>
      </w:r>
      <w:r w:rsidRPr="00C33E6D">
        <w:rPr>
          <w:sz w:val="27"/>
          <w:szCs w:val="27"/>
          <w:lang w:val="vi-VN"/>
        </w:rPr>
        <w:t>).</w:t>
      </w:r>
      <w:r w:rsidR="003C5A2D" w:rsidRPr="00C33E6D">
        <w:rPr>
          <w:sz w:val="27"/>
          <w:szCs w:val="27"/>
          <w:lang w:val="vi-VN"/>
        </w:rPr>
        <w:t>/.</w:t>
      </w:r>
    </w:p>
    <w:p w14:paraId="05200AF5" w14:textId="77777777" w:rsidR="00DC22F0" w:rsidRPr="00C33E6D" w:rsidRDefault="00DC22F0" w:rsidP="00B70281">
      <w:pPr>
        <w:pBdr>
          <w:top w:val="nil"/>
          <w:left w:val="nil"/>
          <w:bottom w:val="nil"/>
          <w:right w:val="nil"/>
          <w:between w:val="nil"/>
        </w:pBdr>
        <w:spacing w:before="120" w:line="360" w:lineRule="exact"/>
        <w:ind w:firstLine="567"/>
        <w:rPr>
          <w:sz w:val="27"/>
          <w:szCs w:val="27"/>
          <w:lang w:val="vi-VN"/>
        </w:rPr>
      </w:pPr>
    </w:p>
    <w:tbl>
      <w:tblPr>
        <w:tblW w:w="9322" w:type="dxa"/>
        <w:tblLayout w:type="fixed"/>
        <w:tblLook w:val="01E0" w:firstRow="1" w:lastRow="1" w:firstColumn="1" w:lastColumn="1" w:noHBand="0" w:noVBand="0"/>
      </w:tblPr>
      <w:tblGrid>
        <w:gridCol w:w="4786"/>
        <w:gridCol w:w="4536"/>
      </w:tblGrid>
      <w:tr w:rsidR="0022242E" w:rsidRPr="00502125" w14:paraId="107A5598" w14:textId="77777777" w:rsidTr="0022242E">
        <w:trPr>
          <w:trHeight w:val="1666"/>
        </w:trPr>
        <w:tc>
          <w:tcPr>
            <w:tcW w:w="4786" w:type="dxa"/>
          </w:tcPr>
          <w:p w14:paraId="1C692A60" w14:textId="77777777" w:rsidR="0022242E" w:rsidRPr="00BE1F59" w:rsidRDefault="0022242E" w:rsidP="0022242E">
            <w:pPr>
              <w:pBdr>
                <w:top w:val="nil"/>
                <w:left w:val="nil"/>
                <w:bottom w:val="nil"/>
                <w:right w:val="nil"/>
                <w:between w:val="nil"/>
              </w:pBdr>
              <w:spacing w:before="0"/>
              <w:ind w:firstLine="0"/>
              <w:jc w:val="left"/>
              <w:rPr>
                <w:sz w:val="24"/>
                <w:szCs w:val="24"/>
                <w:lang w:val="vi-VN"/>
              </w:rPr>
            </w:pPr>
            <w:r w:rsidRPr="00BE1F59">
              <w:rPr>
                <w:b/>
                <w:i/>
                <w:sz w:val="24"/>
                <w:szCs w:val="24"/>
                <w:lang w:val="vi-VN"/>
              </w:rPr>
              <w:t>Nơi nhận:</w:t>
            </w:r>
          </w:p>
          <w:p w14:paraId="098B5655" w14:textId="77777777" w:rsidR="0022242E" w:rsidRPr="00BE1F59" w:rsidRDefault="0022242E" w:rsidP="0022242E">
            <w:pPr>
              <w:pBdr>
                <w:top w:val="nil"/>
                <w:left w:val="nil"/>
                <w:bottom w:val="nil"/>
                <w:right w:val="nil"/>
                <w:between w:val="nil"/>
              </w:pBdr>
              <w:spacing w:before="0"/>
              <w:ind w:firstLine="0"/>
              <w:jc w:val="left"/>
              <w:rPr>
                <w:sz w:val="22"/>
                <w:szCs w:val="22"/>
                <w:lang w:val="vi-VN"/>
              </w:rPr>
            </w:pPr>
            <w:r w:rsidRPr="00BE1F59">
              <w:rPr>
                <w:sz w:val="22"/>
                <w:szCs w:val="22"/>
                <w:lang w:val="vi-VN"/>
              </w:rPr>
              <w:t>- Như trên;</w:t>
            </w:r>
          </w:p>
          <w:p w14:paraId="75C984F0" w14:textId="5A73740E" w:rsidR="0022242E" w:rsidRPr="00BE1F59" w:rsidRDefault="0022242E" w:rsidP="0022242E">
            <w:pPr>
              <w:pBdr>
                <w:top w:val="nil"/>
                <w:left w:val="nil"/>
                <w:bottom w:val="nil"/>
                <w:right w:val="nil"/>
                <w:between w:val="nil"/>
              </w:pBdr>
              <w:spacing w:before="0"/>
              <w:ind w:firstLine="0"/>
              <w:jc w:val="left"/>
              <w:rPr>
                <w:sz w:val="22"/>
                <w:szCs w:val="22"/>
                <w:lang w:val="vi-VN"/>
              </w:rPr>
            </w:pPr>
            <w:r w:rsidRPr="00BE1F59">
              <w:rPr>
                <w:sz w:val="22"/>
                <w:szCs w:val="22"/>
                <w:lang w:val="vi-VN"/>
              </w:rPr>
              <w:t xml:space="preserve">- </w:t>
            </w:r>
            <w:r w:rsidR="00F66D3E" w:rsidRPr="00BE1F59">
              <w:rPr>
                <w:sz w:val="22"/>
                <w:szCs w:val="22"/>
                <w:lang w:val="vi-VN"/>
              </w:rPr>
              <w:t>Văn phòng Chính phủ</w:t>
            </w:r>
            <w:r w:rsidR="003C5A2D" w:rsidRPr="00BE1F59">
              <w:rPr>
                <w:sz w:val="22"/>
                <w:szCs w:val="22"/>
                <w:lang w:val="vi-VN"/>
              </w:rPr>
              <w:t xml:space="preserve"> (để p/h)</w:t>
            </w:r>
            <w:r w:rsidR="00F66D3E" w:rsidRPr="00BE1F59">
              <w:rPr>
                <w:sz w:val="22"/>
                <w:szCs w:val="22"/>
                <w:lang w:val="vi-VN"/>
              </w:rPr>
              <w:t>;</w:t>
            </w:r>
          </w:p>
          <w:p w14:paraId="2B50A15F" w14:textId="6F3D9ACD" w:rsidR="003C5A2D" w:rsidRPr="003C5A2D" w:rsidRDefault="003C5A2D" w:rsidP="003C5A2D">
            <w:pPr>
              <w:spacing w:before="0"/>
              <w:ind w:firstLine="0"/>
              <w:rPr>
                <w:sz w:val="22"/>
                <w:szCs w:val="22"/>
                <w:lang w:val="zu-ZA"/>
              </w:rPr>
            </w:pPr>
            <w:r w:rsidRPr="003C5A2D">
              <w:rPr>
                <w:sz w:val="22"/>
                <w:szCs w:val="22"/>
                <w:lang w:val="zu-ZA"/>
              </w:rPr>
              <w:t>- Thủ tướng Chính phủ (để b/c);</w:t>
            </w:r>
          </w:p>
          <w:p w14:paraId="3D3FDF70" w14:textId="7EE59111" w:rsidR="003C5A2D" w:rsidRPr="00BE1F59" w:rsidRDefault="003C5A2D" w:rsidP="003C5A2D">
            <w:pPr>
              <w:spacing w:before="0"/>
              <w:ind w:firstLine="0"/>
              <w:rPr>
                <w:sz w:val="22"/>
                <w:szCs w:val="22"/>
                <w:lang w:val="zu-ZA"/>
              </w:rPr>
            </w:pPr>
            <w:r w:rsidRPr="003C5A2D">
              <w:rPr>
                <w:sz w:val="22"/>
                <w:szCs w:val="22"/>
                <w:lang w:val="zu-ZA"/>
              </w:rPr>
              <w:t xml:space="preserve">- </w:t>
            </w:r>
            <w:r w:rsidRPr="00BE1F59">
              <w:rPr>
                <w:sz w:val="22"/>
                <w:szCs w:val="22"/>
                <w:lang w:val="zu-ZA"/>
              </w:rPr>
              <w:t>Các Phó Thủ tướng Chính phủ (để b/c);</w:t>
            </w:r>
          </w:p>
          <w:p w14:paraId="4BCA877C" w14:textId="0DB736CC" w:rsidR="006265AB" w:rsidRDefault="0022242E" w:rsidP="005F320E">
            <w:pPr>
              <w:pBdr>
                <w:top w:val="nil"/>
                <w:left w:val="nil"/>
                <w:bottom w:val="nil"/>
                <w:right w:val="nil"/>
                <w:between w:val="nil"/>
              </w:pBdr>
              <w:spacing w:before="0"/>
              <w:ind w:firstLine="0"/>
              <w:jc w:val="left"/>
              <w:rPr>
                <w:sz w:val="22"/>
                <w:szCs w:val="22"/>
              </w:rPr>
            </w:pPr>
            <w:r w:rsidRPr="00BE1F59">
              <w:rPr>
                <w:sz w:val="22"/>
                <w:szCs w:val="22"/>
                <w:lang w:val="zu-ZA"/>
              </w:rPr>
              <w:t xml:space="preserve">- </w:t>
            </w:r>
            <w:r w:rsidR="005F320E">
              <w:rPr>
                <w:sz w:val="22"/>
                <w:szCs w:val="22"/>
                <w:lang w:val="zu-ZA"/>
              </w:rPr>
              <w:t>Các Bộ, cơ quan ngang Bộ;</w:t>
            </w:r>
          </w:p>
          <w:p w14:paraId="1B656284" w14:textId="3E19290F" w:rsidR="00DB065F" w:rsidRPr="003C5A2D" w:rsidRDefault="00DB065F" w:rsidP="0022242E">
            <w:pPr>
              <w:pBdr>
                <w:top w:val="nil"/>
                <w:left w:val="nil"/>
                <w:bottom w:val="nil"/>
                <w:right w:val="nil"/>
                <w:between w:val="nil"/>
              </w:pBdr>
              <w:spacing w:before="0"/>
              <w:ind w:firstLine="0"/>
              <w:jc w:val="left"/>
              <w:rPr>
                <w:sz w:val="22"/>
                <w:szCs w:val="22"/>
              </w:rPr>
            </w:pPr>
            <w:r w:rsidRPr="003C5A2D">
              <w:rPr>
                <w:sz w:val="22"/>
                <w:szCs w:val="22"/>
              </w:rPr>
              <w:t xml:space="preserve">- </w:t>
            </w:r>
            <w:r w:rsidR="005F320E">
              <w:rPr>
                <w:sz w:val="22"/>
                <w:szCs w:val="22"/>
              </w:rPr>
              <w:t xml:space="preserve">Các </w:t>
            </w:r>
            <w:r w:rsidRPr="003C5A2D">
              <w:rPr>
                <w:sz w:val="22"/>
                <w:szCs w:val="22"/>
              </w:rPr>
              <w:t>Th</w:t>
            </w:r>
            <w:r w:rsidR="00317946">
              <w:rPr>
                <w:sz w:val="22"/>
                <w:szCs w:val="22"/>
              </w:rPr>
              <w:t>ứ trưởng</w:t>
            </w:r>
            <w:r w:rsidR="005F320E">
              <w:rPr>
                <w:sz w:val="22"/>
                <w:szCs w:val="22"/>
              </w:rPr>
              <w:t xml:space="preserve"> </w:t>
            </w:r>
            <w:r w:rsidRPr="003C5A2D">
              <w:rPr>
                <w:sz w:val="22"/>
                <w:szCs w:val="22"/>
              </w:rPr>
              <w:t>(để biết);</w:t>
            </w:r>
          </w:p>
          <w:p w14:paraId="29753FB2" w14:textId="2F76FF30" w:rsidR="00DB065F" w:rsidRPr="003C5A2D" w:rsidRDefault="00DB065F" w:rsidP="0022242E">
            <w:pPr>
              <w:pBdr>
                <w:top w:val="nil"/>
                <w:left w:val="nil"/>
                <w:bottom w:val="nil"/>
                <w:right w:val="nil"/>
                <w:between w:val="nil"/>
              </w:pBdr>
              <w:spacing w:before="0"/>
              <w:ind w:firstLine="0"/>
              <w:jc w:val="left"/>
              <w:rPr>
                <w:sz w:val="22"/>
                <w:szCs w:val="22"/>
              </w:rPr>
            </w:pPr>
            <w:r w:rsidRPr="003C5A2D">
              <w:rPr>
                <w:sz w:val="22"/>
                <w:szCs w:val="22"/>
              </w:rPr>
              <w:t xml:space="preserve">- </w:t>
            </w:r>
            <w:r w:rsidR="00F87A87" w:rsidRPr="003C5A2D">
              <w:rPr>
                <w:sz w:val="22"/>
                <w:szCs w:val="22"/>
              </w:rPr>
              <w:t xml:space="preserve">UBCTQG; </w:t>
            </w:r>
            <w:r w:rsidRPr="003C5A2D">
              <w:rPr>
                <w:sz w:val="22"/>
                <w:szCs w:val="22"/>
              </w:rPr>
              <w:t xml:space="preserve">Các Cục: TTTN, </w:t>
            </w:r>
            <w:r w:rsidR="00F87A87" w:rsidRPr="003C5A2D">
              <w:rPr>
                <w:sz w:val="22"/>
                <w:szCs w:val="22"/>
              </w:rPr>
              <w:t>XNK, XTTM</w:t>
            </w:r>
            <w:r w:rsidRPr="003C5A2D">
              <w:rPr>
                <w:sz w:val="22"/>
                <w:szCs w:val="22"/>
              </w:rPr>
              <w:t xml:space="preserve"> (để thực hiện);</w:t>
            </w:r>
          </w:p>
          <w:p w14:paraId="17DB3DE3" w14:textId="088C961F" w:rsidR="0022242E" w:rsidRPr="00502125" w:rsidRDefault="0022242E" w:rsidP="00F66D3E">
            <w:pPr>
              <w:spacing w:before="0"/>
              <w:ind w:firstLine="0"/>
              <w:jc w:val="left"/>
            </w:pPr>
            <w:r w:rsidRPr="003C5A2D">
              <w:rPr>
                <w:sz w:val="22"/>
                <w:szCs w:val="22"/>
              </w:rPr>
              <w:t xml:space="preserve">- Lưu: </w:t>
            </w:r>
            <w:r w:rsidR="0082526F" w:rsidRPr="003C5A2D">
              <w:rPr>
                <w:sz w:val="22"/>
                <w:szCs w:val="22"/>
              </w:rPr>
              <w:t xml:space="preserve">VT, </w:t>
            </w:r>
            <w:r w:rsidR="00F66D3E" w:rsidRPr="003C5A2D">
              <w:rPr>
                <w:sz w:val="22"/>
                <w:szCs w:val="22"/>
              </w:rPr>
              <w:t>PC</w:t>
            </w:r>
            <w:r w:rsidR="0082526F" w:rsidRPr="003C5A2D">
              <w:rPr>
                <w:sz w:val="22"/>
                <w:szCs w:val="22"/>
              </w:rPr>
              <w:t xml:space="preserve"> (02)</w:t>
            </w:r>
            <w:r w:rsidRPr="003C5A2D">
              <w:rPr>
                <w:sz w:val="22"/>
                <w:szCs w:val="22"/>
              </w:rPr>
              <w:t>.</w:t>
            </w:r>
          </w:p>
        </w:tc>
        <w:tc>
          <w:tcPr>
            <w:tcW w:w="4536" w:type="dxa"/>
          </w:tcPr>
          <w:p w14:paraId="51CC7E97" w14:textId="76DFDFB4" w:rsidR="0022242E" w:rsidRPr="00C33E6D" w:rsidRDefault="008A1A98" w:rsidP="00296121">
            <w:pPr>
              <w:spacing w:before="0"/>
              <w:ind w:firstLine="0"/>
              <w:jc w:val="center"/>
              <w:rPr>
                <w:b/>
                <w:spacing w:val="-6"/>
                <w:sz w:val="27"/>
                <w:szCs w:val="27"/>
              </w:rPr>
            </w:pPr>
            <w:r w:rsidRPr="00C33E6D">
              <w:rPr>
                <w:b/>
                <w:spacing w:val="-6"/>
                <w:sz w:val="27"/>
                <w:szCs w:val="27"/>
              </w:rPr>
              <w:t xml:space="preserve">Q. </w:t>
            </w:r>
            <w:r w:rsidR="0022242E" w:rsidRPr="00C33E6D">
              <w:rPr>
                <w:b/>
                <w:spacing w:val="-6"/>
                <w:sz w:val="27"/>
                <w:szCs w:val="27"/>
              </w:rPr>
              <w:t xml:space="preserve">BỘ TRƯỞNG </w:t>
            </w:r>
          </w:p>
          <w:p w14:paraId="2D2150E1" w14:textId="77777777" w:rsidR="0022242E" w:rsidRPr="00C33E6D" w:rsidRDefault="0022242E" w:rsidP="00296121">
            <w:pPr>
              <w:widowControl w:val="0"/>
              <w:autoSpaceDE w:val="0"/>
              <w:autoSpaceDN w:val="0"/>
              <w:adjustRightInd w:val="0"/>
              <w:spacing w:before="0"/>
              <w:ind w:firstLine="0"/>
              <w:jc w:val="center"/>
              <w:textAlignment w:val="center"/>
              <w:rPr>
                <w:b/>
                <w:sz w:val="27"/>
                <w:szCs w:val="27"/>
              </w:rPr>
            </w:pPr>
          </w:p>
          <w:p w14:paraId="1BEB1B04" w14:textId="30C2142E" w:rsidR="0022242E" w:rsidRPr="00C33E6D" w:rsidRDefault="0022242E" w:rsidP="00296121">
            <w:pPr>
              <w:widowControl w:val="0"/>
              <w:autoSpaceDE w:val="0"/>
              <w:autoSpaceDN w:val="0"/>
              <w:adjustRightInd w:val="0"/>
              <w:spacing w:before="0"/>
              <w:ind w:firstLine="0"/>
              <w:jc w:val="center"/>
              <w:textAlignment w:val="center"/>
              <w:rPr>
                <w:b/>
                <w:sz w:val="27"/>
                <w:szCs w:val="27"/>
              </w:rPr>
            </w:pPr>
          </w:p>
          <w:p w14:paraId="3C5B5608" w14:textId="38DFCB73" w:rsidR="00502125" w:rsidRPr="00C33E6D" w:rsidRDefault="00502125" w:rsidP="00296121">
            <w:pPr>
              <w:widowControl w:val="0"/>
              <w:autoSpaceDE w:val="0"/>
              <w:autoSpaceDN w:val="0"/>
              <w:adjustRightInd w:val="0"/>
              <w:spacing w:before="0"/>
              <w:ind w:firstLine="0"/>
              <w:jc w:val="center"/>
              <w:textAlignment w:val="center"/>
              <w:rPr>
                <w:b/>
                <w:sz w:val="27"/>
                <w:szCs w:val="27"/>
              </w:rPr>
            </w:pPr>
          </w:p>
          <w:p w14:paraId="7C8CDC41" w14:textId="11D553A3" w:rsidR="00434AEF" w:rsidRPr="00C33E6D" w:rsidRDefault="00434AEF" w:rsidP="00296121">
            <w:pPr>
              <w:widowControl w:val="0"/>
              <w:autoSpaceDE w:val="0"/>
              <w:autoSpaceDN w:val="0"/>
              <w:adjustRightInd w:val="0"/>
              <w:spacing w:before="0"/>
              <w:ind w:firstLine="0"/>
              <w:jc w:val="center"/>
              <w:textAlignment w:val="center"/>
              <w:rPr>
                <w:b/>
                <w:sz w:val="27"/>
                <w:szCs w:val="27"/>
              </w:rPr>
            </w:pPr>
          </w:p>
          <w:p w14:paraId="3FF6521B" w14:textId="495D19AA" w:rsidR="00434AEF" w:rsidRPr="00C33E6D" w:rsidRDefault="00434AEF" w:rsidP="00296121">
            <w:pPr>
              <w:widowControl w:val="0"/>
              <w:autoSpaceDE w:val="0"/>
              <w:autoSpaceDN w:val="0"/>
              <w:adjustRightInd w:val="0"/>
              <w:spacing w:before="0"/>
              <w:ind w:firstLine="0"/>
              <w:jc w:val="center"/>
              <w:textAlignment w:val="center"/>
              <w:rPr>
                <w:b/>
                <w:sz w:val="27"/>
                <w:szCs w:val="27"/>
              </w:rPr>
            </w:pPr>
          </w:p>
          <w:p w14:paraId="13AE73FD" w14:textId="77777777" w:rsidR="00434AEF" w:rsidRPr="00C33E6D" w:rsidRDefault="00434AEF" w:rsidP="00296121">
            <w:pPr>
              <w:widowControl w:val="0"/>
              <w:autoSpaceDE w:val="0"/>
              <w:autoSpaceDN w:val="0"/>
              <w:adjustRightInd w:val="0"/>
              <w:spacing w:before="0"/>
              <w:ind w:firstLine="0"/>
              <w:jc w:val="center"/>
              <w:textAlignment w:val="center"/>
              <w:rPr>
                <w:b/>
                <w:sz w:val="27"/>
                <w:szCs w:val="27"/>
              </w:rPr>
            </w:pPr>
          </w:p>
          <w:p w14:paraId="1824D837" w14:textId="77777777" w:rsidR="00502125" w:rsidRPr="00C33E6D" w:rsidRDefault="00502125" w:rsidP="00296121">
            <w:pPr>
              <w:widowControl w:val="0"/>
              <w:autoSpaceDE w:val="0"/>
              <w:autoSpaceDN w:val="0"/>
              <w:adjustRightInd w:val="0"/>
              <w:spacing w:before="0"/>
              <w:ind w:firstLine="0"/>
              <w:jc w:val="center"/>
              <w:textAlignment w:val="center"/>
              <w:rPr>
                <w:b/>
                <w:bCs/>
                <w:sz w:val="27"/>
                <w:szCs w:val="27"/>
              </w:rPr>
            </w:pPr>
          </w:p>
          <w:p w14:paraId="25783AF3" w14:textId="0AEC74EE" w:rsidR="0022242E" w:rsidRPr="00502125" w:rsidRDefault="008A1A98" w:rsidP="00296121">
            <w:pPr>
              <w:spacing w:before="0"/>
              <w:ind w:firstLine="0"/>
              <w:jc w:val="center"/>
              <w:rPr>
                <w:b/>
                <w:sz w:val="28"/>
                <w:szCs w:val="28"/>
              </w:rPr>
            </w:pPr>
            <w:r w:rsidRPr="00C33E6D">
              <w:rPr>
                <w:b/>
                <w:sz w:val="27"/>
                <w:szCs w:val="27"/>
              </w:rPr>
              <w:t>Lê Mạnh Hùng</w:t>
            </w:r>
          </w:p>
        </w:tc>
      </w:tr>
    </w:tbl>
    <w:p w14:paraId="40326F7A" w14:textId="77777777" w:rsidR="00944AFE" w:rsidRPr="00502125" w:rsidRDefault="00944AFE" w:rsidP="000407B0">
      <w:pPr>
        <w:pBdr>
          <w:top w:val="nil"/>
          <w:left w:val="nil"/>
          <w:bottom w:val="nil"/>
          <w:right w:val="nil"/>
          <w:between w:val="nil"/>
        </w:pBdr>
        <w:spacing w:before="120" w:after="120"/>
        <w:rPr>
          <w:sz w:val="2"/>
          <w:szCs w:val="2"/>
        </w:rPr>
      </w:pPr>
    </w:p>
    <w:p w14:paraId="69EB6B31" w14:textId="77777777" w:rsidR="00944AFE" w:rsidRPr="00502125" w:rsidRDefault="00944AFE">
      <w:pPr>
        <w:pBdr>
          <w:top w:val="nil"/>
          <w:left w:val="nil"/>
          <w:bottom w:val="nil"/>
          <w:right w:val="nil"/>
          <w:between w:val="nil"/>
        </w:pBdr>
        <w:spacing w:before="120" w:after="120"/>
        <w:ind w:firstLine="0"/>
        <w:rPr>
          <w:sz w:val="28"/>
          <w:szCs w:val="28"/>
        </w:rPr>
      </w:pPr>
    </w:p>
    <w:sectPr w:rsidR="00944AFE" w:rsidRPr="00502125" w:rsidSect="00D513A4">
      <w:headerReference w:type="default" r:id="rId9"/>
      <w:headerReference w:type="first" r:id="rId10"/>
      <w:pgSz w:w="11907" w:h="16840" w:code="9"/>
      <w:pgMar w:top="1134" w:right="1134"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23B4C" w14:textId="77777777" w:rsidR="001A42DC" w:rsidRDefault="001A42DC">
      <w:pPr>
        <w:spacing w:before="0"/>
      </w:pPr>
      <w:r>
        <w:separator/>
      </w:r>
    </w:p>
  </w:endnote>
  <w:endnote w:type="continuationSeparator" w:id="0">
    <w:p w14:paraId="05B33CC7" w14:textId="77777777" w:rsidR="001A42DC" w:rsidRDefault="001A42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107AA" w14:textId="77777777" w:rsidR="001A42DC" w:rsidRDefault="001A42DC">
      <w:pPr>
        <w:spacing w:before="0"/>
      </w:pPr>
      <w:r>
        <w:separator/>
      </w:r>
    </w:p>
  </w:footnote>
  <w:footnote w:type="continuationSeparator" w:id="0">
    <w:p w14:paraId="3D0DCEE6" w14:textId="77777777" w:rsidR="001A42DC" w:rsidRDefault="001A42DC">
      <w:pPr>
        <w:spacing w:before="0"/>
      </w:pPr>
      <w:r>
        <w:continuationSeparator/>
      </w:r>
    </w:p>
  </w:footnote>
  <w:footnote w:id="1">
    <w:p w14:paraId="52DCC97F" w14:textId="77777777" w:rsidR="00C8707F" w:rsidRPr="004F25FE" w:rsidRDefault="00C8707F" w:rsidP="00C8707F">
      <w:pPr>
        <w:spacing w:before="120" w:after="120"/>
        <w:rPr>
          <w:iCs/>
          <w:spacing w:val="-2"/>
          <w:sz w:val="20"/>
          <w:szCs w:val="20"/>
        </w:rPr>
      </w:pPr>
      <w:r>
        <w:rPr>
          <w:rStyle w:val="FootnoteReference"/>
        </w:rPr>
        <w:footnoteRef/>
      </w:r>
      <w:r w:rsidRPr="004F25FE">
        <w:rPr>
          <w:sz w:val="20"/>
          <w:szCs w:val="20"/>
        </w:rPr>
        <w:t xml:space="preserve">Trên thực tiễn, </w:t>
      </w:r>
      <w:r w:rsidRPr="004F25FE">
        <w:rPr>
          <w:iCs/>
          <w:spacing w:val="-2"/>
          <w:sz w:val="20"/>
          <w:szCs w:val="20"/>
        </w:rPr>
        <w:t xml:space="preserve">có một số trường hợp công ty mẹ có vị trí thống lĩnh trên thị trường sản xuất, cung ứng một loại hàng hóa, dịch vụ nhất định (thị trường sơ cấp), nhưng không trực tiếp ký kết hợp đồng với khách hàng, mà lập ra pháp nhân độc lập (công ty con) tham gia ở thị trường thứ cấp để ký kết hợp đồng phân phối hàng hóa, cung ứng dịch vụ với khách hàng, trong khi đó, công ty mẹ vẫn kiểm soát và can thiệp bất hợp pháp vào giá bán hàng hóa, dịch vụ (ví dụ, bán dưới giá thành toàn bộ hoặc ấn định giá bán cao bất hợp lý) của công ty con cho khách hàng. Trong trường hợp này, công ty mẹ thực hiện hành vi lạm dụng vị trí thống lĩnh thị trường với sự “hỗ trợ”, “giúp sức” của công ty con. </w:t>
      </w:r>
    </w:p>
    <w:p w14:paraId="162F3018" w14:textId="7B2AF968" w:rsidR="00C8707F" w:rsidRDefault="00C8707F">
      <w:pPr>
        <w:pStyle w:val="FootnoteText"/>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919A" w14:textId="03B0AEBB" w:rsidR="00817E92" w:rsidRPr="0022242E" w:rsidRDefault="00817E92" w:rsidP="0022242E">
    <w:pPr>
      <w:pBdr>
        <w:top w:val="nil"/>
        <w:left w:val="nil"/>
        <w:bottom w:val="nil"/>
        <w:right w:val="nil"/>
        <w:between w:val="nil"/>
      </w:pBdr>
      <w:ind w:firstLine="0"/>
      <w:jc w:val="center"/>
      <w:rPr>
        <w:color w:val="000000"/>
      </w:rPr>
    </w:pPr>
    <w:r w:rsidRPr="0022242E">
      <w:rPr>
        <w:color w:val="000000"/>
      </w:rPr>
      <w:fldChar w:fldCharType="begin"/>
    </w:r>
    <w:r w:rsidRPr="0022242E">
      <w:rPr>
        <w:color w:val="000000"/>
      </w:rPr>
      <w:instrText>PAGE</w:instrText>
    </w:r>
    <w:r w:rsidRPr="0022242E">
      <w:rPr>
        <w:color w:val="000000"/>
      </w:rPr>
      <w:fldChar w:fldCharType="separate"/>
    </w:r>
    <w:r w:rsidR="0030361E">
      <w:rPr>
        <w:noProof/>
        <w:color w:val="000000"/>
      </w:rPr>
      <w:t>14</w:t>
    </w:r>
    <w:r w:rsidRPr="0022242E">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D733" w14:textId="77777777" w:rsidR="00817E92" w:rsidRDefault="00817E92">
    <w:pPr>
      <w:pBdr>
        <w:top w:val="nil"/>
        <w:left w:val="nil"/>
        <w:bottom w:val="nil"/>
        <w:right w:val="nil"/>
        <w:between w:val="nil"/>
      </w:pBdr>
      <w:tabs>
        <w:tab w:val="center" w:pos="4680"/>
        <w:tab w:val="right" w:pos="9360"/>
      </w:tabs>
      <w:spacing w:before="0"/>
      <w:jc w:val="right"/>
      <w:rPr>
        <w: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BDF"/>
    <w:multiLevelType w:val="hybridMultilevel"/>
    <w:tmpl w:val="2488F396"/>
    <w:lvl w:ilvl="0" w:tplc="4244B1F0">
      <w:start w:val="1"/>
      <w:numFmt w:val="bullet"/>
      <w:suff w:val="space"/>
      <w:lvlText w:val="-"/>
      <w:lvlJc w:val="left"/>
      <w:pPr>
        <w:ind w:left="0" w:firstLine="567"/>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251305C"/>
    <w:multiLevelType w:val="hybridMultilevel"/>
    <w:tmpl w:val="21508402"/>
    <w:lvl w:ilvl="0" w:tplc="AE243A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D0C5150"/>
    <w:multiLevelType w:val="hybridMultilevel"/>
    <w:tmpl w:val="0B4A7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C72A19"/>
    <w:multiLevelType w:val="hybridMultilevel"/>
    <w:tmpl w:val="5E96366A"/>
    <w:lvl w:ilvl="0" w:tplc="FAB490B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97E5542"/>
    <w:multiLevelType w:val="hybridMultilevel"/>
    <w:tmpl w:val="16F413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A830395"/>
    <w:multiLevelType w:val="hybridMultilevel"/>
    <w:tmpl w:val="D18204CA"/>
    <w:lvl w:ilvl="0" w:tplc="0A7C85C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E157446"/>
    <w:multiLevelType w:val="hybridMultilevel"/>
    <w:tmpl w:val="42B216CC"/>
    <w:lvl w:ilvl="0" w:tplc="017AF9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BB10C99"/>
    <w:multiLevelType w:val="hybridMultilevel"/>
    <w:tmpl w:val="CCF2047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1F86F69"/>
    <w:multiLevelType w:val="hybridMultilevel"/>
    <w:tmpl w:val="951E26DC"/>
    <w:lvl w:ilvl="0" w:tplc="66F8AF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72917EA"/>
    <w:multiLevelType w:val="hybridMultilevel"/>
    <w:tmpl w:val="E684F81C"/>
    <w:lvl w:ilvl="0" w:tplc="D10665D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CF97F51"/>
    <w:multiLevelType w:val="hybridMultilevel"/>
    <w:tmpl w:val="34AABA46"/>
    <w:lvl w:ilvl="0" w:tplc="A09AE5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A3A91"/>
    <w:multiLevelType w:val="hybridMultilevel"/>
    <w:tmpl w:val="31B438A4"/>
    <w:lvl w:ilvl="0" w:tplc="C2327E5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6"/>
  </w:num>
  <w:num w:numId="6">
    <w:abstractNumId w:val="11"/>
  </w:num>
  <w:num w:numId="7">
    <w:abstractNumId w:val="5"/>
  </w:num>
  <w:num w:numId="8">
    <w:abstractNumId w:val="7"/>
  </w:num>
  <w:num w:numId="9">
    <w:abstractNumId w:val="4"/>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FE"/>
    <w:rsid w:val="00000DB2"/>
    <w:rsid w:val="0000115E"/>
    <w:rsid w:val="00004670"/>
    <w:rsid w:val="00004A8B"/>
    <w:rsid w:val="00007BC7"/>
    <w:rsid w:val="000153DC"/>
    <w:rsid w:val="00016189"/>
    <w:rsid w:val="00034563"/>
    <w:rsid w:val="000360A8"/>
    <w:rsid w:val="00037FA4"/>
    <w:rsid w:val="000407B0"/>
    <w:rsid w:val="00042FD4"/>
    <w:rsid w:val="00051EAC"/>
    <w:rsid w:val="00052653"/>
    <w:rsid w:val="00054B39"/>
    <w:rsid w:val="00054CD9"/>
    <w:rsid w:val="000570CC"/>
    <w:rsid w:val="000678E2"/>
    <w:rsid w:val="000818C2"/>
    <w:rsid w:val="0008366D"/>
    <w:rsid w:val="000924AC"/>
    <w:rsid w:val="00094D56"/>
    <w:rsid w:val="000B2F15"/>
    <w:rsid w:val="000B370D"/>
    <w:rsid w:val="000B38AC"/>
    <w:rsid w:val="000C3B2E"/>
    <w:rsid w:val="000D7D5E"/>
    <w:rsid w:val="000E1C99"/>
    <w:rsid w:val="000F06C3"/>
    <w:rsid w:val="000F0C50"/>
    <w:rsid w:val="000F3B77"/>
    <w:rsid w:val="0010533A"/>
    <w:rsid w:val="001070BF"/>
    <w:rsid w:val="0011058B"/>
    <w:rsid w:val="00111A84"/>
    <w:rsid w:val="0011470E"/>
    <w:rsid w:val="001162B2"/>
    <w:rsid w:val="00117F8E"/>
    <w:rsid w:val="0012339C"/>
    <w:rsid w:val="001269B0"/>
    <w:rsid w:val="00142B6A"/>
    <w:rsid w:val="00143EB5"/>
    <w:rsid w:val="00153D36"/>
    <w:rsid w:val="00160DC1"/>
    <w:rsid w:val="0016375D"/>
    <w:rsid w:val="00163BA9"/>
    <w:rsid w:val="001659D2"/>
    <w:rsid w:val="00177B0D"/>
    <w:rsid w:val="00185284"/>
    <w:rsid w:val="001918BD"/>
    <w:rsid w:val="00196A41"/>
    <w:rsid w:val="001A42DC"/>
    <w:rsid w:val="001F16BE"/>
    <w:rsid w:val="001F249D"/>
    <w:rsid w:val="00201914"/>
    <w:rsid w:val="00204780"/>
    <w:rsid w:val="0022242E"/>
    <w:rsid w:val="0022526B"/>
    <w:rsid w:val="002333D2"/>
    <w:rsid w:val="00257835"/>
    <w:rsid w:val="002662D9"/>
    <w:rsid w:val="00266FF7"/>
    <w:rsid w:val="0026740A"/>
    <w:rsid w:val="00277E69"/>
    <w:rsid w:val="00296121"/>
    <w:rsid w:val="002A182D"/>
    <w:rsid w:val="002A1B59"/>
    <w:rsid w:val="002A322B"/>
    <w:rsid w:val="002A6B8B"/>
    <w:rsid w:val="002B31D6"/>
    <w:rsid w:val="002B68E0"/>
    <w:rsid w:val="002C30F6"/>
    <w:rsid w:val="002D3B66"/>
    <w:rsid w:val="002D6404"/>
    <w:rsid w:val="002E0C27"/>
    <w:rsid w:val="002E2C47"/>
    <w:rsid w:val="002E593F"/>
    <w:rsid w:val="002F38F0"/>
    <w:rsid w:val="002F57C8"/>
    <w:rsid w:val="00300994"/>
    <w:rsid w:val="0030361E"/>
    <w:rsid w:val="003043E9"/>
    <w:rsid w:val="00317946"/>
    <w:rsid w:val="0033141A"/>
    <w:rsid w:val="00344006"/>
    <w:rsid w:val="003543DD"/>
    <w:rsid w:val="00355DEC"/>
    <w:rsid w:val="003642DA"/>
    <w:rsid w:val="00383DAA"/>
    <w:rsid w:val="003840D6"/>
    <w:rsid w:val="00390124"/>
    <w:rsid w:val="00396A48"/>
    <w:rsid w:val="003A002A"/>
    <w:rsid w:val="003A4E00"/>
    <w:rsid w:val="003A631E"/>
    <w:rsid w:val="003A71F0"/>
    <w:rsid w:val="003B5437"/>
    <w:rsid w:val="003C5A2D"/>
    <w:rsid w:val="003E4219"/>
    <w:rsid w:val="003E4578"/>
    <w:rsid w:val="003E6341"/>
    <w:rsid w:val="003F00EB"/>
    <w:rsid w:val="004016E9"/>
    <w:rsid w:val="00413B35"/>
    <w:rsid w:val="00416F58"/>
    <w:rsid w:val="004311F0"/>
    <w:rsid w:val="00434AEF"/>
    <w:rsid w:val="00434F15"/>
    <w:rsid w:val="0044086B"/>
    <w:rsid w:val="00450CB2"/>
    <w:rsid w:val="004513BC"/>
    <w:rsid w:val="004538BB"/>
    <w:rsid w:val="00454B7B"/>
    <w:rsid w:val="00464CF9"/>
    <w:rsid w:val="00467B2D"/>
    <w:rsid w:val="00473A92"/>
    <w:rsid w:val="00481B5D"/>
    <w:rsid w:val="00487F28"/>
    <w:rsid w:val="00491B94"/>
    <w:rsid w:val="00493B54"/>
    <w:rsid w:val="004A3985"/>
    <w:rsid w:val="004A782E"/>
    <w:rsid w:val="004B1AA1"/>
    <w:rsid w:val="004C5CD8"/>
    <w:rsid w:val="004D379F"/>
    <w:rsid w:val="004E4174"/>
    <w:rsid w:val="004E5DBD"/>
    <w:rsid w:val="004E6739"/>
    <w:rsid w:val="004F59A3"/>
    <w:rsid w:val="00500870"/>
    <w:rsid w:val="005019B4"/>
    <w:rsid w:val="00502125"/>
    <w:rsid w:val="00515F50"/>
    <w:rsid w:val="00527768"/>
    <w:rsid w:val="00531E4D"/>
    <w:rsid w:val="00536B76"/>
    <w:rsid w:val="005505A8"/>
    <w:rsid w:val="00550856"/>
    <w:rsid w:val="00564E8C"/>
    <w:rsid w:val="00565726"/>
    <w:rsid w:val="00582D86"/>
    <w:rsid w:val="00585200"/>
    <w:rsid w:val="005A41FE"/>
    <w:rsid w:val="005B3981"/>
    <w:rsid w:val="005D1C8A"/>
    <w:rsid w:val="005D3B54"/>
    <w:rsid w:val="005E0424"/>
    <w:rsid w:val="005F2A47"/>
    <w:rsid w:val="005F320E"/>
    <w:rsid w:val="00604D10"/>
    <w:rsid w:val="00615D66"/>
    <w:rsid w:val="0062072C"/>
    <w:rsid w:val="006211D1"/>
    <w:rsid w:val="00621456"/>
    <w:rsid w:val="006265AB"/>
    <w:rsid w:val="00651700"/>
    <w:rsid w:val="00663566"/>
    <w:rsid w:val="00667D77"/>
    <w:rsid w:val="006846B0"/>
    <w:rsid w:val="006B520D"/>
    <w:rsid w:val="006C18D9"/>
    <w:rsid w:val="006C24A0"/>
    <w:rsid w:val="006C2654"/>
    <w:rsid w:val="006C4E7A"/>
    <w:rsid w:val="006D46FA"/>
    <w:rsid w:val="006D4919"/>
    <w:rsid w:val="006D68BA"/>
    <w:rsid w:val="006D6A4A"/>
    <w:rsid w:val="006E65D3"/>
    <w:rsid w:val="006F503B"/>
    <w:rsid w:val="006F6E34"/>
    <w:rsid w:val="00712B05"/>
    <w:rsid w:val="007138D8"/>
    <w:rsid w:val="007154C7"/>
    <w:rsid w:val="007411E5"/>
    <w:rsid w:val="00750698"/>
    <w:rsid w:val="0077456C"/>
    <w:rsid w:val="00794FF6"/>
    <w:rsid w:val="007A374F"/>
    <w:rsid w:val="007A3763"/>
    <w:rsid w:val="007C3E4C"/>
    <w:rsid w:val="007D0412"/>
    <w:rsid w:val="007D77E2"/>
    <w:rsid w:val="00800CE3"/>
    <w:rsid w:val="008016BF"/>
    <w:rsid w:val="0080786C"/>
    <w:rsid w:val="00810C1B"/>
    <w:rsid w:val="0081104F"/>
    <w:rsid w:val="00815187"/>
    <w:rsid w:val="00817E92"/>
    <w:rsid w:val="00823804"/>
    <w:rsid w:val="0082526F"/>
    <w:rsid w:val="00825F22"/>
    <w:rsid w:val="008329E8"/>
    <w:rsid w:val="00832C82"/>
    <w:rsid w:val="0083454B"/>
    <w:rsid w:val="008447BE"/>
    <w:rsid w:val="00857BA1"/>
    <w:rsid w:val="00862752"/>
    <w:rsid w:val="008676F2"/>
    <w:rsid w:val="008759AF"/>
    <w:rsid w:val="00880F18"/>
    <w:rsid w:val="0088482B"/>
    <w:rsid w:val="008964F1"/>
    <w:rsid w:val="008A122F"/>
    <w:rsid w:val="008A1A98"/>
    <w:rsid w:val="008A41FF"/>
    <w:rsid w:val="008A49E5"/>
    <w:rsid w:val="008B22EA"/>
    <w:rsid w:val="008B2BD3"/>
    <w:rsid w:val="008C6128"/>
    <w:rsid w:val="008D1AE9"/>
    <w:rsid w:val="008D1CC2"/>
    <w:rsid w:val="008E02F7"/>
    <w:rsid w:val="00922506"/>
    <w:rsid w:val="00944AFE"/>
    <w:rsid w:val="00950913"/>
    <w:rsid w:val="00953002"/>
    <w:rsid w:val="00954BBB"/>
    <w:rsid w:val="0095789E"/>
    <w:rsid w:val="009900F4"/>
    <w:rsid w:val="00991C69"/>
    <w:rsid w:val="00992120"/>
    <w:rsid w:val="009951B4"/>
    <w:rsid w:val="0099624E"/>
    <w:rsid w:val="009A0E8F"/>
    <w:rsid w:val="009A1277"/>
    <w:rsid w:val="009A385D"/>
    <w:rsid w:val="009B79DA"/>
    <w:rsid w:val="009C674B"/>
    <w:rsid w:val="009D773C"/>
    <w:rsid w:val="009E4807"/>
    <w:rsid w:val="009F1696"/>
    <w:rsid w:val="00A014F6"/>
    <w:rsid w:val="00A1057D"/>
    <w:rsid w:val="00A11318"/>
    <w:rsid w:val="00A21658"/>
    <w:rsid w:val="00A238FF"/>
    <w:rsid w:val="00A32930"/>
    <w:rsid w:val="00A330B5"/>
    <w:rsid w:val="00A360AA"/>
    <w:rsid w:val="00A418E8"/>
    <w:rsid w:val="00A42AC1"/>
    <w:rsid w:val="00A75DBC"/>
    <w:rsid w:val="00A83B70"/>
    <w:rsid w:val="00A8648B"/>
    <w:rsid w:val="00AA06FE"/>
    <w:rsid w:val="00AA6DE6"/>
    <w:rsid w:val="00AC3D1F"/>
    <w:rsid w:val="00AD39BE"/>
    <w:rsid w:val="00AD3E8A"/>
    <w:rsid w:val="00AE52ED"/>
    <w:rsid w:val="00AF0039"/>
    <w:rsid w:val="00AF756E"/>
    <w:rsid w:val="00AF7A56"/>
    <w:rsid w:val="00B05683"/>
    <w:rsid w:val="00B110DF"/>
    <w:rsid w:val="00B27C5C"/>
    <w:rsid w:val="00B30A4B"/>
    <w:rsid w:val="00B3599B"/>
    <w:rsid w:val="00B50CF0"/>
    <w:rsid w:val="00B55DEE"/>
    <w:rsid w:val="00B66528"/>
    <w:rsid w:val="00B70281"/>
    <w:rsid w:val="00B723B4"/>
    <w:rsid w:val="00B757A9"/>
    <w:rsid w:val="00B819A2"/>
    <w:rsid w:val="00B91CA2"/>
    <w:rsid w:val="00BA234F"/>
    <w:rsid w:val="00BC7312"/>
    <w:rsid w:val="00BC7D80"/>
    <w:rsid w:val="00BD2860"/>
    <w:rsid w:val="00BE1F59"/>
    <w:rsid w:val="00BF0ABA"/>
    <w:rsid w:val="00BF2FF8"/>
    <w:rsid w:val="00C01C8F"/>
    <w:rsid w:val="00C329DA"/>
    <w:rsid w:val="00C33E6D"/>
    <w:rsid w:val="00C43F85"/>
    <w:rsid w:val="00C44320"/>
    <w:rsid w:val="00C734F6"/>
    <w:rsid w:val="00C8707F"/>
    <w:rsid w:val="00C9575D"/>
    <w:rsid w:val="00CB6F90"/>
    <w:rsid w:val="00CC24B6"/>
    <w:rsid w:val="00CC46C6"/>
    <w:rsid w:val="00CE7427"/>
    <w:rsid w:val="00CF1768"/>
    <w:rsid w:val="00CF375E"/>
    <w:rsid w:val="00CF3F61"/>
    <w:rsid w:val="00CF43B1"/>
    <w:rsid w:val="00D06FA8"/>
    <w:rsid w:val="00D159EF"/>
    <w:rsid w:val="00D17942"/>
    <w:rsid w:val="00D20A98"/>
    <w:rsid w:val="00D30B54"/>
    <w:rsid w:val="00D322BC"/>
    <w:rsid w:val="00D33257"/>
    <w:rsid w:val="00D513A4"/>
    <w:rsid w:val="00D57931"/>
    <w:rsid w:val="00D60144"/>
    <w:rsid w:val="00D631A4"/>
    <w:rsid w:val="00D66C6C"/>
    <w:rsid w:val="00D75D5F"/>
    <w:rsid w:val="00D75F7C"/>
    <w:rsid w:val="00D82F93"/>
    <w:rsid w:val="00D8381F"/>
    <w:rsid w:val="00D87CBA"/>
    <w:rsid w:val="00DA2769"/>
    <w:rsid w:val="00DB0647"/>
    <w:rsid w:val="00DB065F"/>
    <w:rsid w:val="00DB0943"/>
    <w:rsid w:val="00DB391A"/>
    <w:rsid w:val="00DC205E"/>
    <w:rsid w:val="00DC22F0"/>
    <w:rsid w:val="00DC414E"/>
    <w:rsid w:val="00DD4073"/>
    <w:rsid w:val="00DD57A7"/>
    <w:rsid w:val="00DD62F3"/>
    <w:rsid w:val="00DD6AF8"/>
    <w:rsid w:val="00DE42C9"/>
    <w:rsid w:val="00DF0303"/>
    <w:rsid w:val="00E065DA"/>
    <w:rsid w:val="00E14A46"/>
    <w:rsid w:val="00E17203"/>
    <w:rsid w:val="00E22CF5"/>
    <w:rsid w:val="00E32C14"/>
    <w:rsid w:val="00E35562"/>
    <w:rsid w:val="00E41762"/>
    <w:rsid w:val="00E45F39"/>
    <w:rsid w:val="00E50334"/>
    <w:rsid w:val="00E5042D"/>
    <w:rsid w:val="00E713AE"/>
    <w:rsid w:val="00E8479B"/>
    <w:rsid w:val="00E92D65"/>
    <w:rsid w:val="00E96AF3"/>
    <w:rsid w:val="00EA7B52"/>
    <w:rsid w:val="00EB0AA8"/>
    <w:rsid w:val="00EB546C"/>
    <w:rsid w:val="00EB6D59"/>
    <w:rsid w:val="00EC0A91"/>
    <w:rsid w:val="00EC0F79"/>
    <w:rsid w:val="00EC148A"/>
    <w:rsid w:val="00EC6979"/>
    <w:rsid w:val="00ED3786"/>
    <w:rsid w:val="00EE2033"/>
    <w:rsid w:val="00EE47D8"/>
    <w:rsid w:val="00EE50CE"/>
    <w:rsid w:val="00EF2A4F"/>
    <w:rsid w:val="00F0220A"/>
    <w:rsid w:val="00F11BB0"/>
    <w:rsid w:val="00F1689C"/>
    <w:rsid w:val="00F340F0"/>
    <w:rsid w:val="00F3411C"/>
    <w:rsid w:val="00F46FA8"/>
    <w:rsid w:val="00F61273"/>
    <w:rsid w:val="00F641EF"/>
    <w:rsid w:val="00F6495C"/>
    <w:rsid w:val="00F66D3E"/>
    <w:rsid w:val="00F728E1"/>
    <w:rsid w:val="00F805E2"/>
    <w:rsid w:val="00F87A87"/>
    <w:rsid w:val="00F90C1D"/>
    <w:rsid w:val="00FA293C"/>
    <w:rsid w:val="00FC0E84"/>
    <w:rsid w:val="00FD0D2A"/>
    <w:rsid w:val="00FD3336"/>
    <w:rsid w:val="00FE1840"/>
    <w:rsid w:val="00FF17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59EB"/>
  <w15:docId w15:val="{86D2F456-70AC-4B16-A115-68129619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7F7"/>
    <w:pPr>
      <w:spacing w:before="60"/>
      <w:ind w:firstLine="720"/>
      <w:jc w:val="both"/>
    </w:pPr>
    <w:rPr>
      <w:sz w:val="26"/>
      <w:szCs w:val="26"/>
      <w:lang w:val="en-US" w:eastAsia="en-US"/>
    </w:rPr>
  </w:style>
  <w:style w:type="paragraph" w:styleId="Heading1">
    <w:name w:val="heading 1"/>
    <w:basedOn w:val="Normal1"/>
    <w:next w:val="Normal1"/>
    <w:uiPriority w:val="9"/>
    <w:qFormat/>
    <w:rsid w:val="005B59D5"/>
    <w:pPr>
      <w:keepNext/>
      <w:keepLines/>
      <w:spacing w:before="480" w:after="120"/>
      <w:outlineLvl w:val="0"/>
    </w:pPr>
    <w:rPr>
      <w:b/>
      <w:sz w:val="48"/>
      <w:szCs w:val="48"/>
    </w:rPr>
  </w:style>
  <w:style w:type="paragraph" w:styleId="Heading2">
    <w:name w:val="heading 2"/>
    <w:basedOn w:val="Normal1"/>
    <w:next w:val="Normal1"/>
    <w:uiPriority w:val="9"/>
    <w:unhideWhenUsed/>
    <w:qFormat/>
    <w:rsid w:val="005B59D5"/>
    <w:pPr>
      <w:keepNext/>
      <w:outlineLvl w:val="1"/>
    </w:pPr>
    <w:rPr>
      <w:i/>
      <w:sz w:val="28"/>
      <w:szCs w:val="28"/>
    </w:rPr>
  </w:style>
  <w:style w:type="paragraph" w:styleId="Heading3">
    <w:name w:val="heading 3"/>
    <w:basedOn w:val="Normal1"/>
    <w:next w:val="Normal1"/>
    <w:uiPriority w:val="9"/>
    <w:unhideWhenUsed/>
    <w:qFormat/>
    <w:rsid w:val="005B59D5"/>
    <w:pPr>
      <w:keepNext/>
      <w:jc w:val="center"/>
      <w:outlineLvl w:val="2"/>
    </w:pPr>
    <w:rPr>
      <w:i/>
      <w:sz w:val="28"/>
      <w:szCs w:val="28"/>
    </w:rPr>
  </w:style>
  <w:style w:type="paragraph" w:styleId="Heading4">
    <w:name w:val="heading 4"/>
    <w:basedOn w:val="Normal1"/>
    <w:next w:val="Normal1"/>
    <w:uiPriority w:val="9"/>
    <w:unhideWhenUsed/>
    <w:qFormat/>
    <w:rsid w:val="005B59D5"/>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B59D5"/>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5B59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1F16BE"/>
    <w:pPr>
      <w:spacing w:before="60"/>
      <w:ind w:firstLine="720"/>
      <w:jc w:val="both"/>
    </w:pPr>
    <w:rPr>
      <w:sz w:val="26"/>
      <w:szCs w:val="26"/>
      <w:lang w:val="en-US" w:eastAsia="en-US"/>
    </w:rPr>
    <w:tblPr>
      <w:tblCellMar>
        <w:top w:w="0" w:type="dxa"/>
        <w:left w:w="0" w:type="dxa"/>
        <w:bottom w:w="0" w:type="dxa"/>
        <w:right w:w="0" w:type="dxa"/>
      </w:tblCellMar>
    </w:tblPr>
  </w:style>
  <w:style w:type="paragraph" w:styleId="Title">
    <w:name w:val="Title"/>
    <w:basedOn w:val="Normal1"/>
    <w:next w:val="Normal1"/>
    <w:uiPriority w:val="10"/>
    <w:qFormat/>
    <w:rsid w:val="005B59D5"/>
    <w:pPr>
      <w:keepNext/>
      <w:keepLines/>
      <w:spacing w:before="480" w:after="120"/>
    </w:pPr>
    <w:rPr>
      <w:b/>
      <w:sz w:val="72"/>
      <w:szCs w:val="72"/>
    </w:rPr>
  </w:style>
  <w:style w:type="paragraph" w:customStyle="1" w:styleId="Normal10">
    <w:name w:val="Normal1"/>
    <w:rsid w:val="00940015"/>
    <w:pPr>
      <w:spacing w:before="60"/>
      <w:ind w:firstLine="720"/>
      <w:jc w:val="both"/>
    </w:pPr>
    <w:rPr>
      <w:sz w:val="26"/>
      <w:szCs w:val="26"/>
      <w:lang w:val="en-US" w:eastAsia="en-US"/>
    </w:rPr>
  </w:style>
  <w:style w:type="paragraph" w:customStyle="1" w:styleId="Normal1">
    <w:name w:val="Normal1"/>
    <w:rsid w:val="005B59D5"/>
    <w:pPr>
      <w:spacing w:before="60"/>
      <w:ind w:firstLine="720"/>
      <w:jc w:val="both"/>
    </w:pPr>
    <w:rPr>
      <w:sz w:val="26"/>
      <w:szCs w:val="26"/>
      <w:lang w:val="en-US" w:eastAsia="en-US"/>
    </w:rPr>
  </w:style>
  <w:style w:type="paragraph" w:styleId="Subtitle">
    <w:name w:val="Subtitle"/>
    <w:basedOn w:val="Normal"/>
    <w:next w:val="Normal"/>
    <w:uiPriority w:val="11"/>
    <w:qFormat/>
    <w:rsid w:val="001F16B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5B59D5"/>
    <w:tblPr>
      <w:tblStyleRowBandSize w:val="1"/>
      <w:tblStyleColBandSize w:val="1"/>
    </w:tblPr>
  </w:style>
  <w:style w:type="table" w:customStyle="1" w:styleId="a0">
    <w:basedOn w:val="TableNormal"/>
    <w:rsid w:val="005B59D5"/>
    <w:tblPr>
      <w:tblStyleRowBandSize w:val="1"/>
      <w:tblStyleColBandSize w:val="1"/>
    </w:tblPr>
  </w:style>
  <w:style w:type="table" w:styleId="TableGrid">
    <w:name w:val="Table Grid"/>
    <w:basedOn w:val="TableNormal"/>
    <w:uiPriority w:val="39"/>
    <w:rsid w:val="009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rsid w:val="00940015"/>
    <w:tblPr>
      <w:tblStyleRowBandSize w:val="1"/>
      <w:tblStyleColBandSize w:val="1"/>
    </w:tblPr>
  </w:style>
  <w:style w:type="table" w:customStyle="1" w:styleId="a2">
    <w:basedOn w:val="TableNormal"/>
    <w:rsid w:val="00940015"/>
    <w:tblPr>
      <w:tblStyleRowBandSize w:val="1"/>
      <w:tblStyleColBandSize w:val="1"/>
    </w:tblPr>
  </w:style>
  <w:style w:type="table" w:customStyle="1" w:styleId="a3">
    <w:basedOn w:val="TableNormal"/>
    <w:rsid w:val="00940015"/>
    <w:tblPr>
      <w:tblStyleRowBandSize w:val="1"/>
      <w:tblStyleColBandSize w:val="1"/>
    </w:tblPr>
  </w:style>
  <w:style w:type="paragraph" w:styleId="ListParagraph">
    <w:name w:val="List Paragraph"/>
    <w:aliases w:val="1.1.1.1,Main numbered paragraph,List Paragraph1,Bullets,References,List Paragraph (numbered (a)),Resume Title,Citation List,ANNEX,List Paragraph2,List Paragraph 1,Cu Mong 3,TIT 2 IND,FIGURE-List Paragraph,My checklist,Ha,Heading 41,bullet"/>
    <w:basedOn w:val="Normal"/>
    <w:link w:val="ListParagraphChar"/>
    <w:uiPriority w:val="34"/>
    <w:qFormat/>
    <w:rsid w:val="00584D3B"/>
    <w:pPr>
      <w:ind w:left="720"/>
      <w:contextualSpacing/>
    </w:pPr>
  </w:style>
  <w:style w:type="table" w:customStyle="1" w:styleId="a4">
    <w:basedOn w:val="TableNormal"/>
    <w:rsid w:val="00940015"/>
    <w:tblPr>
      <w:tblStyleRowBandSize w:val="1"/>
      <w:tblStyleColBandSize w:val="1"/>
    </w:tblPr>
  </w:style>
  <w:style w:type="table" w:customStyle="1" w:styleId="a5">
    <w:basedOn w:val="TableNormal"/>
    <w:rsid w:val="00940015"/>
    <w:tblPr>
      <w:tblStyleRowBandSize w:val="1"/>
      <w:tblStyleColBandSize w:val="1"/>
    </w:tblPr>
  </w:style>
  <w:style w:type="paragraph" w:styleId="Header">
    <w:name w:val="header"/>
    <w:basedOn w:val="Normal"/>
    <w:link w:val="HeaderChar"/>
    <w:uiPriority w:val="99"/>
    <w:unhideWhenUsed/>
    <w:rsid w:val="003D644C"/>
    <w:pPr>
      <w:tabs>
        <w:tab w:val="center" w:pos="4680"/>
        <w:tab w:val="right" w:pos="9360"/>
      </w:tabs>
      <w:spacing w:before="0"/>
    </w:pPr>
  </w:style>
  <w:style w:type="character" w:customStyle="1" w:styleId="HeaderChar">
    <w:name w:val="Header Char"/>
    <w:basedOn w:val="DefaultParagraphFont"/>
    <w:link w:val="Header"/>
    <w:uiPriority w:val="99"/>
    <w:rsid w:val="003D644C"/>
  </w:style>
  <w:style w:type="paragraph" w:styleId="Footer">
    <w:name w:val="footer"/>
    <w:basedOn w:val="Normal"/>
    <w:link w:val="FooterChar"/>
    <w:uiPriority w:val="99"/>
    <w:unhideWhenUsed/>
    <w:rsid w:val="003D644C"/>
    <w:pPr>
      <w:tabs>
        <w:tab w:val="center" w:pos="4680"/>
        <w:tab w:val="right" w:pos="9360"/>
      </w:tabs>
      <w:spacing w:before="0"/>
    </w:pPr>
  </w:style>
  <w:style w:type="character" w:customStyle="1" w:styleId="FooterChar">
    <w:name w:val="Footer Char"/>
    <w:basedOn w:val="DefaultParagraphFont"/>
    <w:link w:val="Footer"/>
    <w:uiPriority w:val="99"/>
    <w:rsid w:val="003D644C"/>
  </w:style>
  <w:style w:type="table" w:customStyle="1" w:styleId="a6">
    <w:basedOn w:val="TableNormal"/>
    <w:rsid w:val="001F16BE"/>
    <w:tblPr>
      <w:tblStyleRowBandSize w:val="1"/>
      <w:tblStyleColBandSize w:val="1"/>
    </w:tblPr>
  </w:style>
  <w:style w:type="table" w:customStyle="1" w:styleId="a7">
    <w:basedOn w:val="TableNormal"/>
    <w:rsid w:val="001F16BE"/>
    <w:tblPr>
      <w:tblStyleRowBandSize w:val="1"/>
      <w:tblStyleColBandSize w:val="1"/>
    </w:tblPr>
  </w:style>
  <w:style w:type="paragraph" w:styleId="Revision">
    <w:name w:val="Revision"/>
    <w:hidden/>
    <w:uiPriority w:val="99"/>
    <w:semiHidden/>
    <w:rsid w:val="00487F28"/>
    <w:rPr>
      <w:sz w:val="26"/>
      <w:szCs w:val="26"/>
      <w:lang w:val="en-US" w:eastAsia="en-US"/>
    </w:rPr>
  </w:style>
  <w:style w:type="paragraph" w:styleId="FootnoteText">
    <w:name w:val="footnote text"/>
    <w:aliases w:val="fn,Footnote Text Char1 Char1,Footnote Text Char Char Char1,Footnote Text Char1 Char Char,Footnote Text Char Char Char Char Char Char Char,Footnote Text Char Char Char Char Char Char Char Char,single space,FOOTNOTES Char,single space1 Char"/>
    <w:basedOn w:val="Normal"/>
    <w:link w:val="FootnoteTextChar1"/>
    <w:uiPriority w:val="99"/>
    <w:unhideWhenUsed/>
    <w:qFormat/>
    <w:rsid w:val="00502125"/>
    <w:pPr>
      <w:spacing w:before="120" w:after="120"/>
      <w:ind w:firstLine="0"/>
    </w:pPr>
    <w:rPr>
      <w:position w:val="-1"/>
      <w:sz w:val="20"/>
      <w:szCs w:val="20"/>
    </w:rPr>
  </w:style>
  <w:style w:type="character" w:customStyle="1" w:styleId="FootnoteTextChar">
    <w:name w:val="Footnote Text Char"/>
    <w:basedOn w:val="DefaultParagraphFont"/>
    <w:uiPriority w:val="99"/>
    <w:semiHidden/>
    <w:rsid w:val="00502125"/>
    <w:rPr>
      <w:lang w:val="en-US" w:eastAsia="en-US"/>
    </w:rPr>
  </w:style>
  <w:style w:type="character" w:customStyle="1" w:styleId="FootnoteTextChar1">
    <w:name w:val="Footnote Text Char1"/>
    <w:aliases w:val="fn Char,Footnote Text Char1 Char1 Char,Footnote Text Char Char Char1 Char,Footnote Text Char1 Char Char Char,Footnote Text Char Char Char Char Char Char Char Char1,Footnote Text Char Char Char Char Char Char Char Char Char"/>
    <w:basedOn w:val="DefaultParagraphFont"/>
    <w:link w:val="FootnoteText"/>
    <w:uiPriority w:val="99"/>
    <w:rsid w:val="00502125"/>
    <w:rPr>
      <w:position w:val="-1"/>
      <w:lang w:val="en-US" w:eastAsia="en-US"/>
    </w:rPr>
  </w:style>
  <w:style w:type="character" w:styleId="FootnoteReference">
    <w:name w:val="footnote reference"/>
    <w:aliases w:val="Footnote text, BVI fnr,Re,Footnote dich,Footnote Reference Number,Footnote Reference_LVL6,Footnote text + 13 pt"/>
    <w:basedOn w:val="DefaultParagraphFont"/>
    <w:link w:val="4GCharCharChar"/>
    <w:uiPriority w:val="99"/>
    <w:unhideWhenUsed/>
    <w:qFormat/>
    <w:rsid w:val="00502125"/>
    <w:rPr>
      <w:vertAlign w:val="superscript"/>
    </w:rPr>
  </w:style>
  <w:style w:type="character" w:customStyle="1" w:styleId="ListParagraphChar">
    <w:name w:val="List Paragraph Char"/>
    <w:aliases w:val="1.1.1.1 Char,Main numbered paragraph Char,List Paragraph1 Char,Bullets Char,References Char,List Paragraph (numbered (a)) Char,Resume Title Char,Citation List Char,ANNEX Char,List Paragraph2 Char,List Paragraph 1 Char,Cu Mong 3 Char"/>
    <w:link w:val="ListParagraph"/>
    <w:uiPriority w:val="34"/>
    <w:qFormat/>
    <w:locked/>
    <w:rsid w:val="00502125"/>
    <w:rPr>
      <w:sz w:val="26"/>
      <w:szCs w:val="26"/>
      <w:lang w:val="en-US"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502125"/>
    <w:pPr>
      <w:spacing w:before="100" w:after="120" w:line="240" w:lineRule="exact"/>
    </w:pPr>
    <w:rPr>
      <w:sz w:val="20"/>
      <w:szCs w:val="20"/>
      <w:vertAlign w:val="superscript"/>
      <w:lang w:val="vi-VN" w:eastAsia="vi-VN"/>
    </w:rPr>
  </w:style>
  <w:style w:type="paragraph" w:styleId="NormalWeb">
    <w:name w:val="Normal (Web)"/>
    <w:aliases w:val="Обычный (веб)1,Обычный (веб) Знак,Обычный (веб) Знак1,Обычный (веб) Знак Знак,Normal (Web) Char Char Char Char Char, Char Char Char, Char Char,Char Char Char Char Char Char Char Char Char Char Char Char Char Char Char,Char Cha,Char C,Char8"/>
    <w:basedOn w:val="Normal"/>
    <w:link w:val="NormalWebChar"/>
    <w:uiPriority w:val="99"/>
    <w:unhideWhenUsed/>
    <w:qFormat/>
    <w:rsid w:val="00621456"/>
    <w:pPr>
      <w:spacing w:before="100" w:beforeAutospacing="1" w:after="100" w:afterAutospacing="1"/>
      <w:ind w:firstLine="0"/>
      <w:jc w:val="left"/>
    </w:pPr>
    <w:rPr>
      <w:sz w:val="24"/>
      <w:szCs w:val="24"/>
    </w:rPr>
  </w:style>
  <w:style w:type="paragraph" w:styleId="BalloonText">
    <w:name w:val="Balloon Text"/>
    <w:basedOn w:val="Normal"/>
    <w:link w:val="BalloonTextChar"/>
    <w:uiPriority w:val="99"/>
    <w:semiHidden/>
    <w:unhideWhenUsed/>
    <w:rsid w:val="00434AE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AEF"/>
    <w:rPr>
      <w:rFonts w:ascii="Segoe UI" w:hAnsi="Segoe UI" w:cs="Segoe UI"/>
      <w:sz w:val="18"/>
      <w:szCs w:val="18"/>
      <w:lang w:val="en-US" w:eastAsia="en-US"/>
    </w:rPr>
  </w:style>
  <w:style w:type="paragraph" w:customStyle="1" w:styleId="2">
    <w:name w:val="2"/>
    <w:basedOn w:val="Normal"/>
    <w:uiPriority w:val="99"/>
    <w:rsid w:val="000F06C3"/>
    <w:pPr>
      <w:spacing w:before="0"/>
      <w:ind w:firstLine="0"/>
    </w:pPr>
    <w:rPr>
      <w:b/>
      <w:bCs/>
      <w:i/>
      <w:iCs/>
      <w:sz w:val="28"/>
      <w:szCs w:val="20"/>
    </w:rPr>
  </w:style>
  <w:style w:type="character" w:customStyle="1" w:styleId="NormalWebChar">
    <w:name w:val="Normal (Web) Char"/>
    <w:aliases w:val="Обычный (веб)1 Char,Обычный (веб) Знак Char,Обычный (веб) Знак1 Char,Обычный (веб) Знак Знак Char,Normal (Web) Char Char Char Char Char Char, Char Char Char Char, Char Char Char1,Char Cha Char,Char C Char,Char8 Char"/>
    <w:link w:val="NormalWeb"/>
    <w:uiPriority w:val="99"/>
    <w:rsid w:val="000F06C3"/>
    <w:rPr>
      <w:sz w:val="24"/>
      <w:szCs w:val="24"/>
      <w:lang w:val="en-US" w:eastAsia="en-US"/>
    </w:rPr>
  </w:style>
  <w:style w:type="character" w:styleId="Strong">
    <w:name w:val="Strong"/>
    <w:basedOn w:val="DefaultParagraphFont"/>
    <w:uiPriority w:val="22"/>
    <w:qFormat/>
    <w:rsid w:val="00880F18"/>
    <w:rPr>
      <w:b/>
      <w:bCs/>
    </w:rPr>
  </w:style>
  <w:style w:type="paragraph" w:styleId="BodyTextIndent">
    <w:name w:val="Body Text Indent"/>
    <w:basedOn w:val="Normal"/>
    <w:link w:val="BodyTextIndentChar"/>
    <w:rsid w:val="00BA234F"/>
    <w:pPr>
      <w:spacing w:before="120" w:after="120"/>
      <w:ind w:firstLine="539"/>
    </w:pPr>
    <w:rPr>
      <w:sz w:val="28"/>
      <w:szCs w:val="24"/>
    </w:rPr>
  </w:style>
  <w:style w:type="character" w:customStyle="1" w:styleId="BodyTextIndentChar">
    <w:name w:val="Body Text Indent Char"/>
    <w:basedOn w:val="DefaultParagraphFont"/>
    <w:link w:val="BodyTextIndent"/>
    <w:rsid w:val="00BA234F"/>
    <w:rPr>
      <w:sz w:val="28"/>
      <w:szCs w:val="24"/>
      <w:lang w:val="en-US" w:eastAsia="en-US"/>
    </w:rPr>
  </w:style>
  <w:style w:type="paragraph" w:styleId="BodyText">
    <w:name w:val="Body Text"/>
    <w:basedOn w:val="Normal"/>
    <w:link w:val="BodyTextChar"/>
    <w:uiPriority w:val="99"/>
    <w:unhideWhenUsed/>
    <w:rsid w:val="00BA234F"/>
    <w:pPr>
      <w:spacing w:before="0" w:after="120"/>
      <w:ind w:firstLine="0"/>
      <w:jc w:val="left"/>
    </w:pPr>
    <w:rPr>
      <w:sz w:val="28"/>
      <w:szCs w:val="28"/>
    </w:rPr>
  </w:style>
  <w:style w:type="character" w:customStyle="1" w:styleId="BodyTextChar">
    <w:name w:val="Body Text Char"/>
    <w:basedOn w:val="DefaultParagraphFont"/>
    <w:link w:val="BodyText"/>
    <w:uiPriority w:val="99"/>
    <w:rsid w:val="00BA234F"/>
    <w:rPr>
      <w:sz w:val="28"/>
      <w:szCs w:val="28"/>
      <w:lang w:val="en-US" w:eastAsia="en-US"/>
    </w:rPr>
  </w:style>
  <w:style w:type="character" w:customStyle="1" w:styleId="Vnbnnidung">
    <w:name w:val="Văn bản nội dung_"/>
    <w:link w:val="Vnbnnidung0"/>
    <w:uiPriority w:val="99"/>
    <w:locked/>
    <w:rsid w:val="00BA234F"/>
    <w:rPr>
      <w:szCs w:val="28"/>
    </w:rPr>
  </w:style>
  <w:style w:type="paragraph" w:customStyle="1" w:styleId="Vnbnnidung0">
    <w:name w:val="Văn bản nội dung"/>
    <w:basedOn w:val="Normal"/>
    <w:link w:val="Vnbnnidung"/>
    <w:uiPriority w:val="99"/>
    <w:rsid w:val="00BA234F"/>
    <w:pPr>
      <w:widowControl w:val="0"/>
      <w:spacing w:before="0" w:after="220"/>
      <w:ind w:firstLine="400"/>
      <w:jc w:val="left"/>
    </w:pPr>
    <w:rPr>
      <w:sz w:val="20"/>
      <w:szCs w:val="28"/>
      <w:lang w:val="vi-VN" w:eastAsia="vi-VN"/>
    </w:rPr>
  </w:style>
  <w:style w:type="character" w:styleId="Hyperlink">
    <w:name w:val="Hyperlink"/>
    <w:basedOn w:val="DefaultParagraphFont"/>
    <w:uiPriority w:val="99"/>
    <w:unhideWhenUsed/>
    <w:rsid w:val="007C3E4C"/>
    <w:rPr>
      <w:color w:val="0563C1" w:themeColor="hyperlink"/>
      <w:u w:val="single"/>
    </w:rPr>
  </w:style>
  <w:style w:type="character" w:styleId="CommentReference">
    <w:name w:val="annotation reference"/>
    <w:basedOn w:val="DefaultParagraphFont"/>
    <w:uiPriority w:val="99"/>
    <w:semiHidden/>
    <w:unhideWhenUsed/>
    <w:rsid w:val="00F46FA8"/>
    <w:rPr>
      <w:sz w:val="16"/>
      <w:szCs w:val="16"/>
    </w:rPr>
  </w:style>
  <w:style w:type="paragraph" w:styleId="CommentText">
    <w:name w:val="annotation text"/>
    <w:basedOn w:val="Normal"/>
    <w:link w:val="CommentTextChar"/>
    <w:uiPriority w:val="99"/>
    <w:unhideWhenUsed/>
    <w:rsid w:val="00F46FA8"/>
    <w:rPr>
      <w:sz w:val="20"/>
      <w:szCs w:val="20"/>
    </w:rPr>
  </w:style>
  <w:style w:type="character" w:customStyle="1" w:styleId="CommentTextChar">
    <w:name w:val="Comment Text Char"/>
    <w:basedOn w:val="DefaultParagraphFont"/>
    <w:link w:val="CommentText"/>
    <w:uiPriority w:val="99"/>
    <w:rsid w:val="00F46FA8"/>
    <w:rPr>
      <w:lang w:val="en-US" w:eastAsia="en-US"/>
    </w:rPr>
  </w:style>
  <w:style w:type="paragraph" w:styleId="CommentSubject">
    <w:name w:val="annotation subject"/>
    <w:basedOn w:val="CommentText"/>
    <w:next w:val="CommentText"/>
    <w:link w:val="CommentSubjectChar"/>
    <w:uiPriority w:val="99"/>
    <w:semiHidden/>
    <w:unhideWhenUsed/>
    <w:rsid w:val="00F46FA8"/>
    <w:rPr>
      <w:b/>
      <w:bCs/>
    </w:rPr>
  </w:style>
  <w:style w:type="character" w:customStyle="1" w:styleId="CommentSubjectChar">
    <w:name w:val="Comment Subject Char"/>
    <w:basedOn w:val="CommentTextChar"/>
    <w:link w:val="CommentSubject"/>
    <w:uiPriority w:val="99"/>
    <w:semiHidden/>
    <w:rsid w:val="00F46FA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7376">
      <w:bodyDiv w:val="1"/>
      <w:marLeft w:val="0"/>
      <w:marRight w:val="0"/>
      <w:marTop w:val="0"/>
      <w:marBottom w:val="0"/>
      <w:divBdr>
        <w:top w:val="none" w:sz="0" w:space="0" w:color="auto"/>
        <w:left w:val="none" w:sz="0" w:space="0" w:color="auto"/>
        <w:bottom w:val="none" w:sz="0" w:space="0" w:color="auto"/>
        <w:right w:val="none" w:sz="0" w:space="0" w:color="auto"/>
      </w:divBdr>
    </w:div>
    <w:div w:id="1012535786">
      <w:bodyDiv w:val="1"/>
      <w:marLeft w:val="0"/>
      <w:marRight w:val="0"/>
      <w:marTop w:val="0"/>
      <w:marBottom w:val="0"/>
      <w:divBdr>
        <w:top w:val="none" w:sz="0" w:space="0" w:color="auto"/>
        <w:left w:val="none" w:sz="0" w:space="0" w:color="auto"/>
        <w:bottom w:val="none" w:sz="0" w:space="0" w:color="auto"/>
        <w:right w:val="none" w:sz="0" w:space="0" w:color="auto"/>
      </w:divBdr>
    </w:div>
    <w:div w:id="1290866196">
      <w:bodyDiv w:val="1"/>
      <w:marLeft w:val="0"/>
      <w:marRight w:val="0"/>
      <w:marTop w:val="0"/>
      <w:marBottom w:val="0"/>
      <w:divBdr>
        <w:top w:val="none" w:sz="0" w:space="0" w:color="auto"/>
        <w:left w:val="none" w:sz="0" w:space="0" w:color="auto"/>
        <w:bottom w:val="none" w:sz="0" w:space="0" w:color="auto"/>
        <w:right w:val="none" w:sz="0" w:space="0" w:color="auto"/>
      </w:divBdr>
    </w:div>
    <w:div w:id="2114281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4uB4A1djDlb7QtExrADdURgzcA==">CgMxLjA4AHIhMWtueGpfN09kcGp1ZU9NVkxOUXlYYmttNnNXMndFVFdW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27723B-656B-4F3C-B5DC-882E85CD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5834</Words>
  <Characters>33255</Characters>
  <Application>Microsoft Office Word</Application>
  <DocSecurity>0</DocSecurity>
  <Lines>277</Lines>
  <Paragraphs>78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NTHQ</dc:creator>
  <cp:lastModifiedBy>Anh (Nguyen Ngoc Anh)</cp:lastModifiedBy>
  <cp:revision>7</cp:revision>
  <cp:lastPrinted>2026-01-21T01:29:00Z</cp:lastPrinted>
  <dcterms:created xsi:type="dcterms:W3CDTF">2026-01-20T09:01:00Z</dcterms:created>
  <dcterms:modified xsi:type="dcterms:W3CDTF">2026-01-21T01:29:00Z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0x010100DA0D100D1A42E04D83AD954A6E2091D2</vt:lpwstr>
  </property>
  <property fmtid="{D5CDD505-2E9C-101B-9397-08002B2CF9AE}" pid="3" name="Hạn góp ý phối hợp">
    <vt:lpwstr>2019-10-07T00:00:00Z</vt:lpwstr>
  </property>
  <property fmtid="{D5CDD505-2E9C-101B-9397-08002B2CF9AE}" pid="4" name="Xin ý kiến">
    <vt:lpwstr>Phối hợp</vt:lpwstr>
  </property>
  <property fmtid="{D5CDD505-2E9C-101B-9397-08002B2CF9AE}" pid="5" name="Đã trả lời">
    <vt:lpwstr>0</vt:lpwstr>
  </property>
  <property fmtid="{D5CDD505-2E9C-101B-9397-08002B2CF9AE}" pid="6" name="Phân loại">
    <vt:lpwstr>Xây dựng ngành</vt:lpwstr>
  </property>
  <property fmtid="{D5CDD505-2E9C-101B-9397-08002B2CF9AE}" pid="7" name="ContentType">
    <vt:lpwstr>Document</vt:lpwstr>
  </property>
</Properties>
</file>