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8" w:type="dxa"/>
        <w:jc w:val="center"/>
        <w:tblLook w:val="01E0" w:firstRow="1" w:lastRow="1" w:firstColumn="1" w:lastColumn="1" w:noHBand="0" w:noVBand="0"/>
      </w:tblPr>
      <w:tblGrid>
        <w:gridCol w:w="3677"/>
        <w:gridCol w:w="5701"/>
      </w:tblGrid>
      <w:tr w:rsidR="007D7740" w:rsidRPr="007D7740" w14:paraId="690B30C8" w14:textId="77777777" w:rsidTr="00150965">
        <w:trPr>
          <w:trHeight w:val="1112"/>
          <w:jc w:val="center"/>
        </w:trPr>
        <w:tc>
          <w:tcPr>
            <w:tcW w:w="3677" w:type="dxa"/>
          </w:tcPr>
          <w:p w14:paraId="44D9FC2C" w14:textId="77777777" w:rsidR="0020571E" w:rsidRPr="007D7740" w:rsidRDefault="0020571E" w:rsidP="00CD25C5">
            <w:pPr>
              <w:widowControl/>
              <w:jc w:val="center"/>
              <w:rPr>
                <w:rFonts w:ascii="Times New Roman" w:eastAsia="Calibri" w:hAnsi="Times New Roman" w:cs="Times New Roman"/>
                <w:noProof/>
                <w:color w:val="auto"/>
                <w:spacing w:val="-2"/>
                <w:sz w:val="26"/>
                <w:szCs w:val="26"/>
                <w:lang w:eastAsia="en-US"/>
              </w:rPr>
            </w:pPr>
            <w:r w:rsidRPr="007D7740">
              <w:rPr>
                <w:rFonts w:ascii="Times New Roman" w:eastAsia="Calibri" w:hAnsi="Times New Roman" w:cs="Times New Roman"/>
                <w:noProof/>
                <w:color w:val="auto"/>
                <w:spacing w:val="-2"/>
                <w:sz w:val="26"/>
                <w:szCs w:val="26"/>
                <w:lang w:eastAsia="en-US"/>
              </w:rPr>
              <w:t>B</w:t>
            </w:r>
            <w:r w:rsidRPr="007D7740">
              <w:rPr>
                <w:rFonts w:ascii="Times New Roman" w:eastAsia="Calibri" w:hAnsi="Times New Roman" w:cs="Arial"/>
                <w:noProof/>
                <w:color w:val="auto"/>
                <w:spacing w:val="-2"/>
                <w:sz w:val="26"/>
                <w:szCs w:val="26"/>
                <w:lang w:eastAsia="en-US"/>
              </w:rPr>
              <w:t>Ộ</w:t>
            </w:r>
            <w:r w:rsidRPr="007D7740">
              <w:rPr>
                <w:rFonts w:ascii="Times New Roman" w:eastAsia="Calibri" w:hAnsi="Times New Roman" w:cs="Times New Roman"/>
                <w:noProof/>
                <w:color w:val="auto"/>
                <w:spacing w:val="-2"/>
                <w:sz w:val="26"/>
                <w:szCs w:val="26"/>
                <w:lang w:eastAsia="en-US"/>
              </w:rPr>
              <w:t xml:space="preserve"> CÔNG TH</w:t>
            </w:r>
            <w:r w:rsidRPr="007D7740">
              <w:rPr>
                <w:rFonts w:ascii="Times New Roman" w:eastAsia="Calibri" w:hAnsi="Times New Roman" w:cs="Arial"/>
                <w:noProof/>
                <w:color w:val="auto"/>
                <w:spacing w:val="-2"/>
                <w:sz w:val="26"/>
                <w:szCs w:val="26"/>
                <w:lang w:eastAsia="en-US"/>
              </w:rPr>
              <w:t>ƯƠ</w:t>
            </w:r>
            <w:r w:rsidRPr="007D7740">
              <w:rPr>
                <w:rFonts w:ascii="Times New Roman" w:eastAsia="Calibri" w:hAnsi="Times New Roman" w:cs="Times New Roman"/>
                <w:noProof/>
                <w:color w:val="auto"/>
                <w:spacing w:val="-2"/>
                <w:sz w:val="26"/>
                <w:szCs w:val="26"/>
                <w:lang w:eastAsia="en-US"/>
              </w:rPr>
              <w:t>NG</w:t>
            </w:r>
          </w:p>
          <w:p w14:paraId="79AC0384" w14:textId="252D0E0F" w:rsidR="0020571E" w:rsidRPr="007D7740" w:rsidRDefault="00150965" w:rsidP="00CD25C5">
            <w:pPr>
              <w:widowControl/>
              <w:jc w:val="center"/>
              <w:rPr>
                <w:rFonts w:ascii="Times New Roman" w:hAnsi="Times New Roman" w:cs="Times New Roman"/>
                <w:color w:val="auto"/>
                <w:sz w:val="6"/>
                <w:szCs w:val="6"/>
                <w:lang w:val="en-US" w:eastAsia="en-US"/>
              </w:rPr>
            </w:pPr>
            <w:r>
              <w:rPr>
                <w:rFonts w:ascii=".VnTime" w:hAnsi=".VnTime" w:cs=".VnTime"/>
                <w:noProof/>
                <w:color w:val="auto"/>
                <w:lang w:val="en-US" w:eastAsia="en-US"/>
                <w14:ligatures w14:val="standardContextual"/>
              </w:rPr>
              <mc:AlternateContent>
                <mc:Choice Requires="wps">
                  <w:drawing>
                    <wp:anchor distT="0" distB="0" distL="114300" distR="114300" simplePos="0" relativeHeight="251660288" behindDoc="0" locked="0" layoutInCell="1" allowOverlap="1" wp14:anchorId="4C8117C3" wp14:editId="637A3CFA">
                      <wp:simplePos x="0" y="0"/>
                      <wp:positionH relativeFrom="column">
                        <wp:posOffset>141859</wp:posOffset>
                      </wp:positionH>
                      <wp:positionV relativeFrom="paragraph">
                        <wp:posOffset>325831</wp:posOffset>
                      </wp:positionV>
                      <wp:extent cx="1024128" cy="629107"/>
                      <wp:effectExtent l="0" t="0" r="24130" b="19050"/>
                      <wp:wrapNone/>
                      <wp:docPr id="1" name="Rounded Rectangle 1"/>
                      <wp:cNvGraphicFramePr/>
                      <a:graphic xmlns:a="http://schemas.openxmlformats.org/drawingml/2006/main">
                        <a:graphicData uri="http://schemas.microsoft.com/office/word/2010/wordprocessingShape">
                          <wps:wsp>
                            <wps:cNvSpPr/>
                            <wps:spPr>
                              <a:xfrm>
                                <a:off x="0" y="0"/>
                                <a:ext cx="1024128" cy="629107"/>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BECB8CC" w14:textId="5C4610B9" w:rsidR="00CD25C5" w:rsidRPr="00150965" w:rsidRDefault="00CD25C5" w:rsidP="00150965">
                                  <w:pPr>
                                    <w:jc w:val="center"/>
                                    <w:rPr>
                                      <w:rFonts w:ascii="Times New Roman" w:hAnsi="Times New Roman" w:cs="Times New Roman"/>
                                      <w:lang w:val="en-US"/>
                                    </w:rPr>
                                  </w:pPr>
                                  <w:r>
                                    <w:rPr>
                                      <w:rFonts w:ascii="Times New Roman" w:hAnsi="Times New Roman" w:cs="Times New Roman"/>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 o:spid="_x0000_s1026" style="position:absolute;left:0;text-align:left;margin-left:11.15pt;margin-top:25.65pt;width:80.65pt;height:49.5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" fillcolor="#a5a5a5 [3206]" strokecolor="#525252 [1606]" strokeweight="1pt">
                      <v:stroke joinstyle="miter"/>
                      <v:textbox>
                        <w:txbxContent>
                          <w:p w14:paraId="1BECB8CC" w14:textId="5C4610B9" w:rsidR="00CD25C5" w:rsidRPr="00150965" w:rsidRDefault="00CD25C5" w:rsidP="00150965">
                            <w:pPr>
                              <w:jc w:val="center"/>
                              <w:rPr>
                                <w:rFonts w:ascii="Times New Roman" w:hAnsi="Times New Roman" w:cs="Times New Roman"/>
                                <w:lang w:val="en-US"/>
                              </w:rPr>
                            </w:pPr>
                            <w:r>
                              <w:rPr>
                                <w:rFonts w:ascii="Times New Roman" w:hAnsi="Times New Roman" w:cs="Times New Roman"/>
                                <w:lang w:val="en-US"/>
                              </w:rPr>
                              <w:t>DỰ THẢO</w:t>
                            </w:r>
                          </w:p>
                        </w:txbxContent>
                      </v:textbox>
                    </v:roundrect>
                  </w:pict>
                </mc:Fallback>
              </mc:AlternateContent>
            </w:r>
            <w:r w:rsidR="007D7740" w:rsidRPr="007D7740">
              <w:rPr>
                <w:rFonts w:ascii=".VnTime" w:hAnsi=".VnTime" w:cs=".VnTime"/>
                <w:noProof/>
                <w:color w:val="auto"/>
                <w:lang w:val="en-US" w:eastAsia="en-US"/>
              </w:rPr>
              <mc:AlternateContent>
                <mc:Choice Requires="wps">
                  <w:drawing>
                    <wp:anchor distT="4294967294" distB="4294967294" distL="114300" distR="114300" simplePos="0" relativeHeight="251659264" behindDoc="0" locked="0" layoutInCell="1" allowOverlap="1" wp14:anchorId="0FB54476" wp14:editId="10551717">
                      <wp:simplePos x="0" y="0"/>
                      <wp:positionH relativeFrom="column">
                        <wp:posOffset>858190</wp:posOffset>
                      </wp:positionH>
                      <wp:positionV relativeFrom="paragraph">
                        <wp:posOffset>194310</wp:posOffset>
                      </wp:positionV>
                      <wp:extent cx="428625" cy="0"/>
                      <wp:effectExtent l="0" t="0" r="9525" b="19050"/>
                      <wp:wrapNone/>
                      <wp:docPr id="56464529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7.55pt;margin-top:15.3pt;width:33.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"/>
                  </w:pict>
                </mc:Fallback>
              </mc:AlternateContent>
            </w:r>
            <w:r w:rsidR="007D7740" w:rsidRPr="007D7740">
              <w:rPr>
                <w:rFonts w:ascii="Times New Roman" w:hAnsi="Times New Roman" w:cs="Times New Roman"/>
                <w:b/>
                <w:color w:val="auto"/>
                <w:spacing w:val="-2"/>
                <w:sz w:val="26"/>
                <w:szCs w:val="28"/>
                <w:lang w:val="en-US" w:eastAsia="en-US"/>
              </w:rPr>
              <w:t>CỤC HÓA CHẤT</w:t>
            </w:r>
          </w:p>
        </w:tc>
        <w:tc>
          <w:tcPr>
            <w:tcW w:w="5701" w:type="dxa"/>
          </w:tcPr>
          <w:p w14:paraId="570FCF7F" w14:textId="77777777" w:rsidR="0020571E" w:rsidRPr="007D7740" w:rsidRDefault="0020571E" w:rsidP="00CD25C5">
            <w:pPr>
              <w:widowControl/>
              <w:jc w:val="center"/>
              <w:rPr>
                <w:rFonts w:ascii="Times New Roman" w:hAnsi="Times New Roman" w:cs="Times New Roman"/>
                <w:b/>
                <w:bCs/>
                <w:color w:val="auto"/>
                <w:sz w:val="26"/>
                <w:szCs w:val="26"/>
                <w:lang w:eastAsia="en-US"/>
              </w:rPr>
            </w:pPr>
            <w:r w:rsidRPr="007D7740">
              <w:rPr>
                <w:rFonts w:ascii="Times New Roman" w:hAnsi="Times New Roman" w:cs="Times New Roman"/>
                <w:b/>
                <w:bCs/>
                <w:color w:val="auto"/>
                <w:sz w:val="26"/>
                <w:szCs w:val="26"/>
                <w:lang w:eastAsia="en-US"/>
              </w:rPr>
              <w:t>CỘNG HOÀ XÃ HỘI CHỦ NGHĨA VIỆT NAM</w:t>
            </w:r>
          </w:p>
          <w:p w14:paraId="14980E63" w14:textId="77777777" w:rsidR="0020571E" w:rsidRPr="007D7740" w:rsidRDefault="0020571E" w:rsidP="00CD25C5">
            <w:pPr>
              <w:widowControl/>
              <w:jc w:val="center"/>
              <w:rPr>
                <w:rFonts w:ascii="Times New Roman" w:hAnsi="Times New Roman" w:cs="Times New Roman"/>
                <w:b/>
                <w:bCs/>
                <w:color w:val="auto"/>
                <w:sz w:val="28"/>
                <w:szCs w:val="28"/>
                <w:lang w:eastAsia="en-US"/>
              </w:rPr>
            </w:pPr>
            <w:r w:rsidRPr="007D7740">
              <w:rPr>
                <w:rFonts w:ascii="Times New Roman" w:hAnsi="Times New Roman" w:cs="Times New Roman"/>
                <w:b/>
                <w:bCs/>
                <w:color w:val="auto"/>
                <w:sz w:val="28"/>
                <w:szCs w:val="28"/>
                <w:lang w:eastAsia="en-US"/>
              </w:rPr>
              <w:t>Độc lập - Tự do - Hạnh phúc</w:t>
            </w:r>
          </w:p>
          <w:p w14:paraId="286C97E0" w14:textId="77777777" w:rsidR="0020571E" w:rsidRPr="007D7740" w:rsidRDefault="0020571E" w:rsidP="00CD25C5">
            <w:pPr>
              <w:widowControl/>
              <w:jc w:val="center"/>
              <w:rPr>
                <w:rFonts w:ascii="Times New Roman" w:hAnsi="Times New Roman" w:cs="Times New Roman"/>
                <w:b/>
                <w:bCs/>
                <w:color w:val="auto"/>
                <w:sz w:val="26"/>
                <w:szCs w:val="26"/>
                <w:lang w:val="en-US" w:eastAsia="en-US"/>
              </w:rPr>
            </w:pPr>
            <w:r w:rsidRPr="007D7740">
              <w:rPr>
                <w:rFonts w:ascii="Times New Roman" w:hAnsi="Times New Roman" w:cs="Times New Roman"/>
                <w:color w:val="auto"/>
                <w:sz w:val="14"/>
                <w:szCs w:val="14"/>
                <w:lang w:val="en-US" w:eastAsia="en-US"/>
              </w:rPr>
              <w:t>________________________________________________</w:t>
            </w:r>
          </w:p>
        </w:tc>
      </w:tr>
      <w:tr w:rsidR="007D7740" w:rsidRPr="007D7740" w14:paraId="20C604B9" w14:textId="77777777" w:rsidTr="00150965">
        <w:trPr>
          <w:trHeight w:val="362"/>
          <w:jc w:val="center"/>
        </w:trPr>
        <w:tc>
          <w:tcPr>
            <w:tcW w:w="3677" w:type="dxa"/>
            <w:vAlign w:val="center"/>
          </w:tcPr>
          <w:p w14:paraId="6D5B62A3" w14:textId="6F323940" w:rsidR="0020571E" w:rsidRPr="007D7740" w:rsidRDefault="0020571E" w:rsidP="00CD25C5">
            <w:pPr>
              <w:widowControl/>
              <w:jc w:val="center"/>
              <w:rPr>
                <w:rFonts w:ascii="Times New Roman" w:hAnsi="Times New Roman" w:cs="Times New Roman"/>
                <w:color w:val="auto"/>
                <w:sz w:val="26"/>
                <w:szCs w:val="26"/>
                <w:lang w:val="en-US" w:eastAsia="en-US"/>
              </w:rPr>
            </w:pPr>
          </w:p>
          <w:p w14:paraId="65E3FC53" w14:textId="2A2D3E23" w:rsidR="0020571E" w:rsidRPr="007D7740" w:rsidRDefault="0020571E" w:rsidP="00CD25C5">
            <w:pPr>
              <w:widowControl/>
              <w:jc w:val="center"/>
              <w:rPr>
                <w:rFonts w:ascii="Times New Roman" w:hAnsi="Times New Roman" w:cs="Times New Roman"/>
                <w:color w:val="auto"/>
                <w:sz w:val="26"/>
                <w:szCs w:val="26"/>
                <w:lang w:val="en-US" w:eastAsia="en-US"/>
              </w:rPr>
            </w:pPr>
          </w:p>
        </w:tc>
        <w:tc>
          <w:tcPr>
            <w:tcW w:w="5701" w:type="dxa"/>
            <w:vAlign w:val="center"/>
          </w:tcPr>
          <w:p w14:paraId="7653F8C1" w14:textId="77777777" w:rsidR="0020571E" w:rsidRPr="007D7740" w:rsidRDefault="0020571E" w:rsidP="00CD25C5">
            <w:pPr>
              <w:widowControl/>
              <w:jc w:val="center"/>
              <w:rPr>
                <w:rFonts w:ascii="Times New Roman" w:hAnsi="Times New Roman" w:cs="Times New Roman"/>
                <w:i/>
                <w:iCs/>
                <w:color w:val="auto"/>
                <w:sz w:val="26"/>
                <w:szCs w:val="26"/>
                <w:lang w:val="en-US" w:eastAsia="en-US"/>
              </w:rPr>
            </w:pPr>
          </w:p>
          <w:p w14:paraId="0E7B06F1" w14:textId="6894A93B" w:rsidR="0020571E" w:rsidRPr="007D7740" w:rsidRDefault="0020571E" w:rsidP="00CD25C5">
            <w:pPr>
              <w:widowControl/>
              <w:jc w:val="center"/>
              <w:rPr>
                <w:rFonts w:ascii="Times New Roman" w:hAnsi="Times New Roman" w:cs="Times New Roman"/>
                <w:i/>
                <w:iCs/>
                <w:color w:val="auto"/>
                <w:sz w:val="26"/>
                <w:szCs w:val="26"/>
                <w:lang w:val="en-US" w:eastAsia="en-US"/>
              </w:rPr>
            </w:pPr>
            <w:r w:rsidRPr="007D7740">
              <w:rPr>
                <w:rFonts w:ascii="Times New Roman" w:hAnsi="Times New Roman" w:cs="Times New Roman"/>
                <w:i/>
                <w:iCs/>
                <w:color w:val="auto"/>
                <w:sz w:val="26"/>
                <w:szCs w:val="26"/>
                <w:lang w:val="en-US" w:eastAsia="en-US"/>
              </w:rPr>
              <w:t xml:space="preserve">Hà Nội, ngày     tháng </w:t>
            </w:r>
            <w:r w:rsidR="00C35704" w:rsidRPr="007D7740">
              <w:rPr>
                <w:rFonts w:ascii="Times New Roman" w:hAnsi="Times New Roman" w:cs="Times New Roman"/>
                <w:i/>
                <w:iCs/>
                <w:color w:val="auto"/>
                <w:sz w:val="26"/>
                <w:szCs w:val="26"/>
                <w:lang w:val="en-US" w:eastAsia="en-US"/>
              </w:rPr>
              <w:t xml:space="preserve">10 </w:t>
            </w:r>
            <w:r w:rsidRPr="007D7740">
              <w:rPr>
                <w:rFonts w:ascii="Times New Roman" w:hAnsi="Times New Roman" w:cs="Times New Roman"/>
                <w:i/>
                <w:iCs/>
                <w:color w:val="auto"/>
                <w:sz w:val="26"/>
                <w:szCs w:val="26"/>
                <w:lang w:val="en-US" w:eastAsia="en-US"/>
              </w:rPr>
              <w:t xml:space="preserve"> năm 2025</w:t>
            </w:r>
          </w:p>
        </w:tc>
      </w:tr>
    </w:tbl>
    <w:p w14:paraId="4F348245" w14:textId="77777777" w:rsidR="007D16A3" w:rsidRPr="007D7740" w:rsidRDefault="007D16A3" w:rsidP="00E42721">
      <w:pPr>
        <w:spacing w:before="120"/>
        <w:jc w:val="center"/>
        <w:rPr>
          <w:rFonts w:ascii="Times New Roman" w:hAnsi="Times New Roman" w:cs="Times New Roman"/>
          <w:b/>
          <w:bCs/>
          <w:color w:val="FF0000"/>
          <w:sz w:val="28"/>
          <w:szCs w:val="28"/>
          <w:lang w:val="en-SG"/>
        </w:rPr>
      </w:pPr>
    </w:p>
    <w:p w14:paraId="151AC230" w14:textId="2EFB1C6A" w:rsidR="00E42721" w:rsidRPr="007D7740" w:rsidRDefault="00E42721" w:rsidP="007D7740">
      <w:pPr>
        <w:spacing w:before="120"/>
        <w:ind w:right="-1"/>
        <w:jc w:val="center"/>
        <w:rPr>
          <w:rFonts w:ascii="Times New Roman" w:hAnsi="Times New Roman" w:cs="Times New Roman"/>
          <w:b/>
          <w:bCs/>
          <w:color w:val="auto"/>
          <w:sz w:val="28"/>
          <w:szCs w:val="28"/>
          <w:lang w:val="en-US"/>
        </w:rPr>
      </w:pPr>
      <w:r w:rsidRPr="007D7740">
        <w:rPr>
          <w:rFonts w:ascii="Times New Roman" w:hAnsi="Times New Roman" w:cs="Times New Roman"/>
          <w:b/>
          <w:bCs/>
          <w:color w:val="auto"/>
          <w:sz w:val="28"/>
          <w:szCs w:val="28"/>
        </w:rPr>
        <w:t xml:space="preserve">BẢN ĐÁNH GIÁ THỦ TỤC HÀNH CHÍNH, VIỆC PHÂN QUYỀN, PHÂN CẤP, </w:t>
      </w:r>
      <w:r w:rsidR="00685D46" w:rsidRPr="007D7740">
        <w:rPr>
          <w:rFonts w:ascii="Times New Roman" w:hAnsi="Times New Roman" w:cs="Times New Roman"/>
          <w:b/>
          <w:bCs/>
          <w:color w:val="auto"/>
          <w:sz w:val="28"/>
          <w:szCs w:val="28"/>
          <w:lang w:val="en-US"/>
        </w:rPr>
        <w:t xml:space="preserve">VIỆC ỨNG DỤNG, THÚC ĐẨY PHÁT TRIỂN KHOA HỌC, CÔNG NGHỆ, ĐỔI MỚI SÁNG TẠO VÀ CHUYỂN ĐỔI SỐ, </w:t>
      </w:r>
      <w:r w:rsidRPr="007D7740">
        <w:rPr>
          <w:rFonts w:ascii="Times New Roman" w:hAnsi="Times New Roman" w:cs="Times New Roman"/>
          <w:b/>
          <w:bCs/>
          <w:color w:val="auto"/>
          <w:sz w:val="28"/>
          <w:szCs w:val="28"/>
        </w:rPr>
        <w:t>BẢO ĐẢM BÌNH ĐẲNG GIỚI, VIỆC THỰC HIỆN CHÍNH SÁCH DÂN TỘC TRONG DỰ THẢO</w:t>
      </w:r>
      <w:r w:rsidR="0020571E" w:rsidRPr="007D7740">
        <w:rPr>
          <w:rFonts w:ascii="Times New Roman" w:hAnsi="Times New Roman" w:cs="Times New Roman"/>
          <w:b/>
          <w:bCs/>
          <w:color w:val="auto"/>
          <w:sz w:val="28"/>
          <w:szCs w:val="28"/>
        </w:rPr>
        <w:t xml:space="preserve"> THÔNG TƯ </w:t>
      </w:r>
      <w:r w:rsidR="007D7740" w:rsidRPr="007D7740">
        <w:rPr>
          <w:rFonts w:ascii="Times New Roman" w:hAnsi="Times New Roman" w:cs="Times New Roman"/>
          <w:b/>
          <w:color w:val="auto"/>
          <w:sz w:val="28"/>
          <w:szCs w:val="28"/>
        </w:rPr>
        <w:t>QUY ĐỊNH CHI TIẾT VÀ HƯỚNG DẪN THI HÀNH MỘT SỐ ĐIỀU CỦA LUẬT HÓA CHẤT VỀ QUẢN LÝ HÓA CHẤT THEO VÒNG ĐỜI VÀ QUẢN LÝ HÓA CHẤT TRONG SẢN PHẨM</w:t>
      </w:r>
    </w:p>
    <w:p w14:paraId="3E98747E" w14:textId="62309C8C" w:rsidR="00E42721" w:rsidRPr="007D7740" w:rsidRDefault="00E42721" w:rsidP="004C7C5C">
      <w:pPr>
        <w:spacing w:before="120"/>
        <w:ind w:firstLine="720"/>
        <w:jc w:val="both"/>
        <w:rPr>
          <w:rFonts w:ascii="Times New Roman" w:hAnsi="Times New Roman" w:cs="Times New Roman"/>
          <w:b/>
          <w:bCs/>
          <w:color w:val="auto"/>
          <w:sz w:val="28"/>
          <w:szCs w:val="28"/>
        </w:rPr>
      </w:pPr>
      <w:r w:rsidRPr="007D7740">
        <w:rPr>
          <w:rFonts w:ascii="Times New Roman" w:hAnsi="Times New Roman" w:cs="Times New Roman"/>
          <w:color w:val="auto"/>
          <w:sz w:val="28"/>
          <w:szCs w:val="28"/>
        </w:rPr>
        <w:t>Thực hiện quy định của Luật Ban hành văn bản quy phạm pháp luật</w:t>
      </w:r>
      <w:r w:rsidR="0020571E" w:rsidRPr="007D7740">
        <w:rPr>
          <w:rFonts w:ascii="Times New Roman" w:hAnsi="Times New Roman" w:cs="Times New Roman"/>
          <w:color w:val="FF0000"/>
          <w:sz w:val="28"/>
          <w:szCs w:val="28"/>
        </w:rPr>
        <w:t xml:space="preserve">, </w:t>
      </w:r>
      <w:r w:rsidR="007D7740" w:rsidRPr="007D7740">
        <w:rPr>
          <w:rFonts w:ascii="Times New Roman" w:hAnsi="Times New Roman" w:cs="Times New Roman"/>
          <w:color w:val="auto"/>
          <w:sz w:val="28"/>
          <w:szCs w:val="28"/>
          <w:lang w:val="en-US"/>
        </w:rPr>
        <w:t>Cục Hóa chất</w:t>
      </w:r>
      <w:r w:rsidR="0020571E" w:rsidRPr="007D7740">
        <w:rPr>
          <w:rFonts w:ascii="Times New Roman" w:hAnsi="Times New Roman" w:cs="Times New Roman"/>
          <w:color w:val="auto"/>
          <w:sz w:val="28"/>
          <w:szCs w:val="28"/>
        </w:rPr>
        <w:t xml:space="preserve"> </w:t>
      </w:r>
      <w:r w:rsidRPr="007D7740">
        <w:rPr>
          <w:rFonts w:ascii="Times New Roman" w:hAnsi="Times New Roman" w:cs="Times New Roman"/>
          <w:color w:val="auto"/>
          <w:sz w:val="28"/>
          <w:szCs w:val="28"/>
        </w:rPr>
        <w:t>đã tiến hành đánh giá thủ tục hành chính, việc phân quyền, phân cấp, bảo đảm bình đẳng giới, việc thực hiện chính sách dân tộc trong dự án, dự thảo</w:t>
      </w:r>
      <w:r w:rsidR="007A3128" w:rsidRPr="007D7740">
        <w:rPr>
          <w:rFonts w:ascii="Times New Roman" w:hAnsi="Times New Roman" w:cs="Times New Roman"/>
          <w:color w:val="auto"/>
          <w:sz w:val="28"/>
          <w:szCs w:val="28"/>
        </w:rPr>
        <w:t xml:space="preserve"> Thông tư </w:t>
      </w:r>
      <w:r w:rsidR="0067378B" w:rsidRPr="007D7740">
        <w:rPr>
          <w:rFonts w:ascii="Times New Roman" w:hAnsi="Times New Roman" w:cs="Times New Roman"/>
          <w:color w:val="auto"/>
          <w:sz w:val="28"/>
          <w:szCs w:val="28"/>
        </w:rPr>
        <w:t>Thông tư thay thế Thông tư số 26/2014/TT-BCT và Thông tư số 14/2018/TT-BCT, k</w:t>
      </w:r>
      <w:r w:rsidRPr="007D7740">
        <w:rPr>
          <w:rFonts w:ascii="Times New Roman" w:hAnsi="Times New Roman" w:cs="Times New Roman"/>
          <w:color w:val="auto"/>
          <w:sz w:val="28"/>
          <w:szCs w:val="28"/>
        </w:rPr>
        <w:t>ết quả như sau:</w:t>
      </w:r>
    </w:p>
    <w:p w14:paraId="79B9E36E" w14:textId="77777777" w:rsidR="00E42721" w:rsidRPr="007D7740" w:rsidRDefault="00E42721" w:rsidP="004C7C5C">
      <w:pPr>
        <w:spacing w:before="120"/>
        <w:ind w:firstLine="720"/>
        <w:jc w:val="both"/>
        <w:rPr>
          <w:rFonts w:ascii="Times New Roman" w:hAnsi="Times New Roman" w:cs="Times New Roman"/>
          <w:b/>
          <w:bCs/>
          <w:color w:val="auto"/>
          <w:sz w:val="28"/>
          <w:szCs w:val="28"/>
        </w:rPr>
      </w:pPr>
      <w:r w:rsidRPr="007D7740">
        <w:rPr>
          <w:rFonts w:ascii="Times New Roman" w:hAnsi="Times New Roman" w:cs="Times New Roman"/>
          <w:b/>
          <w:bCs/>
          <w:color w:val="auto"/>
          <w:sz w:val="28"/>
          <w:szCs w:val="28"/>
        </w:rPr>
        <w:t>I. TỔ CHỨC THỰC HIỆN ĐÁNH GIÁ</w:t>
      </w:r>
    </w:p>
    <w:p w14:paraId="28D6AFCF" w14:textId="77777777" w:rsidR="004C7C5C" w:rsidRPr="007D7740" w:rsidRDefault="004C7C5C" w:rsidP="004C7C5C">
      <w:pPr>
        <w:spacing w:before="120"/>
        <w:ind w:firstLine="720"/>
        <w:jc w:val="both"/>
        <w:rPr>
          <w:rFonts w:ascii="Times New Roman" w:hAnsi="Times New Roman" w:cs="Times New Roman"/>
          <w:b/>
          <w:bCs/>
          <w:color w:val="auto"/>
          <w:sz w:val="28"/>
          <w:szCs w:val="28"/>
        </w:rPr>
      </w:pPr>
      <w:r w:rsidRPr="007D7740">
        <w:rPr>
          <w:rFonts w:ascii="Times New Roman" w:hAnsi="Times New Roman" w:cs="Times New Roman"/>
          <w:b/>
          <w:bCs/>
          <w:color w:val="auto"/>
          <w:sz w:val="28"/>
          <w:szCs w:val="28"/>
        </w:rPr>
        <w:t>1. Bối cảnh xây dựng dự thảo văn bản quy phạm pháp luật</w:t>
      </w:r>
    </w:p>
    <w:p w14:paraId="32A9FC6C" w14:textId="77777777" w:rsidR="00FD6335" w:rsidRPr="00583C0F" w:rsidRDefault="00FD6335" w:rsidP="00FD6335">
      <w:pPr>
        <w:tabs>
          <w:tab w:val="left" w:pos="709"/>
        </w:tabs>
        <w:spacing w:before="120"/>
        <w:ind w:firstLine="748"/>
        <w:jc w:val="both"/>
        <w:rPr>
          <w:rFonts w:ascii="Times New Roman" w:hAnsi="Times New Roman"/>
          <w:noProof/>
          <w:color w:val="auto"/>
          <w:sz w:val="28"/>
          <w:szCs w:val="28"/>
        </w:rPr>
      </w:pPr>
      <w:r w:rsidRPr="00583C0F">
        <w:rPr>
          <w:rFonts w:ascii="Times New Roman" w:hAnsi="Times New Roman" w:cs="Times New Roman"/>
          <w:color w:val="auto"/>
          <w:sz w:val="28"/>
          <w:szCs w:val="28"/>
          <w:lang w:val="en-US"/>
        </w:rPr>
        <w:t xml:space="preserve">- </w:t>
      </w:r>
      <w:r w:rsidRPr="00583C0F">
        <w:rPr>
          <w:rFonts w:ascii="Times New Roman" w:hAnsi="Times New Roman"/>
          <w:noProof/>
          <w:color w:val="auto"/>
          <w:sz w:val="28"/>
          <w:szCs w:val="28"/>
        </w:rPr>
        <w:t xml:space="preserve">Luật Hóa chất năm 2007 có hiệu lực thi hành kể từ ngày 01 tháng 7 năm 2008, là sự thể chế hoá, hiện thực và cụ thể hoá một cách nhanh chóng và kịp thời các chủ trương, chính sách của Đảng và Nhà nước. Ngày 07 tháng 10 năm 2008, Chính phủ ban hành Nghị định số 108/2008/NĐ-CP quy định chi tiết và hướng dẫn thi hành một số điều của Luật Hóa chất; sửa đổi, bổ sung bởi Nghị định số 26/2011/NĐ-CP ngày 08 tháng 4 năm 2011; được thay thế bởi Nghị định số 113/2017/NĐ-CP ngày 10 tháng 9 năm 2017 và sửa đổi, bổ sung bởi Nghị định số 82/2022/NĐ-CP ngày 18 tháng 10 năm 2022.  </w:t>
      </w:r>
    </w:p>
    <w:p w14:paraId="3E458CFB" w14:textId="77777777" w:rsidR="00FD6335" w:rsidRPr="00583C0F" w:rsidRDefault="00FD6335" w:rsidP="00FD6335">
      <w:pPr>
        <w:tabs>
          <w:tab w:val="left" w:pos="709"/>
        </w:tabs>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xml:space="preserve"> Sự ra đời của Luật Hóa chất và các Nghị định số 108/2008/NĐ-CP ngày 07 tháng 10 năm 2008; Nghị định số 26/2011/NĐ-CP ngày 08 tháng 4 năm 2011; Nghị định số 113/2017/NĐ-CP ngày 10 tháng 9 năm 2017, Nghị định số 82/2022/NĐ-CP ngày 18 tháng 10 năm 2022 là dấu mốc quan trọng trong quá trình xây dựng, tạo lập một hành lang pháp lý chính thức và thống nhất cho các hoạt động hóa chất trên cả nước.</w:t>
      </w:r>
    </w:p>
    <w:p w14:paraId="0D3E598B" w14:textId="77777777" w:rsidR="00FD6335" w:rsidRPr="00583C0F" w:rsidRDefault="00FD6335" w:rsidP="00FD6335">
      <w:pPr>
        <w:tabs>
          <w:tab w:val="left" w:pos="709"/>
        </w:tabs>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Nhìn nhận và đánh giá một cách tổng thể, Luật Hóa chất năm 2007 và các Nghị định số 108/2008/NĐ-CP ngày 07 tháng 10 năm 2008; Nghị định số 26/2011/NĐ-CP ngày 08 tháng 4 năm 2011; Nghị định số 113/2017/NĐ-CP ngày 10 tháng 9 năm 2017, Nghị định số 82/2022/NĐ-CP ngày 18 tháng 10 năm 2022 tương đối toàn diện và tiến bộ, với các chế định được thiết kế phù hợp với hoàn cảnh và các điều kiện kinh tế cụ thể của ngành hóa chất Việt Nam, đồng thời phù hợp với xu hướng phát triển chung của quản lý hóa chất trên thế giới.</w:t>
      </w:r>
    </w:p>
    <w:p w14:paraId="2BFDF39A"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lastRenderedPageBreak/>
        <w:t>a) Một số kết quả đạt được</w:t>
      </w:r>
    </w:p>
    <w:p w14:paraId="48772713" w14:textId="77777777" w:rsidR="00FD6335" w:rsidRPr="00583C0F" w:rsidRDefault="00FD6335" w:rsidP="00FD6335">
      <w:pPr>
        <w:tabs>
          <w:tab w:val="left" w:pos="709"/>
        </w:tabs>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Sau 16 năm thi hành, việc thực thi Luật Hóa chất năm 2007 và các Nghị định số 108/2008/NĐ-CP ngày 07 tháng 10 năm 2008; Nghị định số 26/2011/NĐ-CP ngày 08 tháng 4 năm 2011; Nghị định số 113/2017/NĐ-CP ngày 10 tháng 9 năm 2017, Nghị định số 82/2022/NĐ-CP ngày 18 tháng 10 năm 2022 đã mang lại những tác động tích cực đến sự phát triển kinh tế - xã hội của đất nước, cụ thể:</w:t>
      </w:r>
    </w:p>
    <w:p w14:paraId="1E22CC5C" w14:textId="77777777" w:rsidR="00FD6335" w:rsidRPr="00583C0F" w:rsidRDefault="00FD6335" w:rsidP="00FD6335">
      <w:pPr>
        <w:tabs>
          <w:tab w:val="left" w:pos="709"/>
        </w:tabs>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Luật Hóa chất năm 2007 và các văn bản dưới luật đã hình thành một hệ thống quy định quản lý hóa chất tương đối toàn diện từ trung ương đến địa phương. Cùng với nỗ lực của các cơ quan quản lý nhà nước, hoạt động hóa chất đã được quản lý chặt chẽ và ngày càng đi vào nền nếp, quy củ. Công tác an toàn hóa chất được nâng cao vai trò và chất lượng, góp phần giảm thiểu những rủi ro và tác động tiêu cực của hóa chất đến con người, môi trường, tài sản, đảm bảo an ninh, trật tự xã hội, cụ thể như:</w:t>
      </w:r>
    </w:p>
    <w:p w14:paraId="3806B1B3"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Nâng cao ý thức của doanh nghiệp, người dân về các tác hại trực tiếp, lâu dài của hóa chất, từ đó chủ động thực hiện các giải pháp để giảm thiểu các nguy cơ, tác hại và đảm bảo an toàn.</w:t>
      </w:r>
    </w:p>
    <w:p w14:paraId="73DBF66B"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Các hoạt động quản lý hóa chất thuộc Công ước cấm phát triển, sản xuất, tàng trữ, sử dụng và phá hủy vũ khí, Công ước Rotterdam, Công ước Minamata về thủy ngân, Công ước Stockholm và các điều ước quốc tế liên quan đến hóa chất và hoạt động hóa chất mà Việt Nam là thành viên được thực hiện tương đối tốt góp phần đảm bảo trật tự an ninh và thực hiện đầy đủ vai trò, trách nhiệm của Việt Nam là thành viên tham gia Công ước.</w:t>
      </w:r>
    </w:p>
    <w:p w14:paraId="58895145"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Việc quản lý chặt chẽ các hoạt động hợp pháp liên quan đến tiền chất công nghiệp (các hóa chất được sử dụng làm nguyên liệu, dung môi, chất xúc tiến trong sản xuất, nghiên cứu khoa học, phân tích, kiểm nghiệm, đồng thời là các hóa chất không thể thiếu trong quá trình điều chế, sản xuất chất ma túy) nhằm hạn chế việc lợi dụng sản xuất các chất ma túy bất hợp pháp, góp phần nâng cao hiệu quả công tác phòng, chống tội phạm ma túy, giúp củng cố an ninh, trật tự, an toàn xã hội.</w:t>
      </w:r>
    </w:p>
    <w:p w14:paraId="26FF9B36"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Tiền chất thuốc nổ là các hóa chất lưỡng dụng vừa làm nguyên liệu phục vụ cho nhiều ngành sản xuất vừa là nguyên liệu phục vụ sản xuất vật liệu nổ công nghiệp, quản lý chặt chẽ, tránh để các thành phần xấu sử dụng sản xuất thuốc nổ trái phép ảnh hưởng đến an ninh quốc gia, trật tự, an toàn và phát triển kinh tế - xã hội.</w:t>
      </w:r>
    </w:p>
    <w:p w14:paraId="36F2239C"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Các hoạt động phòng ngừa, ứng phó sự cố hóa chất được triển khai ở các cấp góp phần hạn chế nguy cơ xảy ra sự cố, tăng cường năng lực ứng phó của các lực lượng, góp phần giảm thiểu nguy cơ và hậu quả của các sự cố hóa chất.</w:t>
      </w:r>
    </w:p>
    <w:p w14:paraId="024CEBF8"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xml:space="preserve">- Về hệ thống pháp luật </w:t>
      </w:r>
    </w:p>
    <w:p w14:paraId="5C0549D5"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xml:space="preserve">Tại thời điểm ban hành và giai đoạn đầu sau khi Luật Hóa chất có hiệu </w:t>
      </w:r>
      <w:r w:rsidRPr="00583C0F">
        <w:rPr>
          <w:rFonts w:ascii="Times New Roman" w:hAnsi="Times New Roman"/>
          <w:noProof/>
          <w:color w:val="auto"/>
          <w:sz w:val="28"/>
          <w:szCs w:val="28"/>
        </w:rPr>
        <w:lastRenderedPageBreak/>
        <w:t>lực, được thực thi trong cả nước, các quy định của Luật có tính toàn diện, phù hợp với các văn bản pháp luật quản lý các lĩnh vực khác hiện hành, tạo sự đồng bộ về cơ sở pháp lý nâng cao hiệu lực hiệu quả quản lý nhà nước trong việc thúc đẩy phát triển công nghiệp hóa chất, đảm bảo an toàn, bảo vệ môi trường trong hoạt động hóa chất.</w:t>
      </w:r>
    </w:p>
    <w:p w14:paraId="51EE47D2"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Về hạ tầng thông tin phục vụ quản lý hóa chất</w:t>
      </w:r>
    </w:p>
    <w:p w14:paraId="3D463328"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Cơ sở dữ liệu hóa chất (CSDLHC) tại địa chỉ</w:t>
      </w:r>
      <w:hyperlink r:id="rId8">
        <w:r w:rsidRPr="00583C0F">
          <w:rPr>
            <w:rFonts w:ascii="Times New Roman" w:hAnsi="Times New Roman"/>
            <w:noProof/>
            <w:color w:val="auto"/>
            <w:sz w:val="28"/>
            <w:szCs w:val="28"/>
          </w:rPr>
          <w:t xml:space="preserve"> </w:t>
        </w:r>
      </w:hyperlink>
      <w:hyperlink r:id="rId9">
        <w:r w:rsidRPr="00583C0F">
          <w:rPr>
            <w:rFonts w:ascii="Times New Roman" w:hAnsi="Times New Roman"/>
            <w:noProof/>
            <w:color w:val="auto"/>
            <w:sz w:val="28"/>
            <w:szCs w:val="28"/>
          </w:rPr>
          <w:t>www.chemicaldata.gov.vn</w:t>
        </w:r>
      </w:hyperlink>
      <w:r w:rsidRPr="00583C0F">
        <w:rPr>
          <w:rFonts w:ascii="Times New Roman" w:hAnsi="Times New Roman"/>
          <w:noProof/>
          <w:color w:val="auto"/>
          <w:sz w:val="28"/>
          <w:szCs w:val="28"/>
        </w:rPr>
        <w:t>. được vận hành từ năm 2018 là một kênh lưu trữ, tra cứu, chia sẻ thông tin cho doanh nghiệp, các cơ quan quản lý nhà nước ở cấp Trung ương, địa phương, đã góp phần nâng cao hiệu quả hoạt động của các cơ quan quản lý nhà nước và hỗ trợ hiệu quả cho doanh nghiệp trong việc thực hiện quy định về quản lý hóa chất. CSDLHC góp phần từng bước hiện đại hóa cơ sở hạ tầng công nghệ thông tin ngành hóa chất, hỗ trợ đắc lực cho công cuộc cải cách thủ tục hành chính, tạo nền tảng xây dựng nền hành chính điện tử trong phạm vi ngành hóa chất.</w:t>
      </w:r>
    </w:p>
    <w:p w14:paraId="492566A3"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b) Tồn tại, hạn chế</w:t>
      </w:r>
    </w:p>
    <w:p w14:paraId="3ADF64A4"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Tuy nhiên, bên cạnh kết quả đạt được, sau hơn 16 năm thi hành Luật Hóa chất năm 2007 và các Nghị định số 108/2008/NĐ-CP ngày 07 tháng 10 năm 2008; Nghị định số 26/2011/NĐ-CP ngày 08 tháng 4 năm 2011; Nghị định số 113/2017/NĐ-CP ngày 10 tháng 9 năm 2017 và Nghị định số 82/2022/NĐ-CP ngày 18 tháng 10 năm 2022 đã bộc lộ một số tồn tại, hạn chế sau đây:</w:t>
      </w:r>
    </w:p>
    <w:p w14:paraId="2724B0DC"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xml:space="preserve">- Về quy định chung: </w:t>
      </w:r>
    </w:p>
    <w:p w14:paraId="45A1B420"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xml:space="preserve">+ Chưa quy định rõ ràng và chính xác phạm vi và đối tượng áp dụng các hoạt động quản lý, cụ thể như: chưa phân định được hóa chất và các sản phẩm hàng hóa chứa hóa chất; chưa phân định cụ thể hoạt động sản xuất hóa chất và các hoạt động phối trộn, pha loãng hóa chất; khái niệm về hóa chất độc chưa phù hợp thực tế... </w:t>
      </w:r>
    </w:p>
    <w:p w14:paraId="6787FF0C"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Hóa chất tồn tại dưới nhiều trạng thái khác nhau và sử dụng trong nhiều lĩnh vực, do vậy các khái niệm chưa phân định rõ ràng sẽ ảnh hưởng đến xác định đối tượng chịu sự điều chỉnh của Luật, phân công trách nhiệm và phối hợp trong quản lý giữa các cơ quan quản lý nhà nước.</w:t>
      </w:r>
    </w:p>
    <w:p w14:paraId="67505DE0"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iCs/>
          <w:noProof/>
          <w:color w:val="auto"/>
          <w:sz w:val="28"/>
          <w:szCs w:val="28"/>
        </w:rPr>
        <w:t>-</w:t>
      </w:r>
      <w:r w:rsidRPr="00583C0F">
        <w:rPr>
          <w:rFonts w:ascii="Times New Roman" w:hAnsi="Times New Roman"/>
          <w:noProof/>
          <w:color w:val="auto"/>
          <w:sz w:val="28"/>
          <w:szCs w:val="28"/>
        </w:rPr>
        <w:t xml:space="preserve"> Về quy định quản lý hóa chất: </w:t>
      </w:r>
    </w:p>
    <w:p w14:paraId="112E5782" w14:textId="77777777" w:rsidR="00FD6335" w:rsidRPr="00583C0F" w:rsidRDefault="00FD6335" w:rsidP="00FD6335">
      <w:pPr>
        <w:spacing w:before="120"/>
        <w:ind w:firstLine="748"/>
        <w:jc w:val="both"/>
        <w:rPr>
          <w:rFonts w:ascii="Times New Roman" w:hAnsi="Times New Roman"/>
          <w:i/>
          <w:noProof/>
          <w:color w:val="auto"/>
          <w:spacing w:val="-2"/>
          <w:sz w:val="28"/>
          <w:szCs w:val="28"/>
          <w:u w:val="single"/>
        </w:rPr>
      </w:pPr>
      <w:r w:rsidRPr="00583C0F">
        <w:rPr>
          <w:rFonts w:ascii="Times New Roman" w:hAnsi="Times New Roman"/>
          <w:noProof/>
          <w:color w:val="auto"/>
          <w:spacing w:val="-2"/>
          <w:sz w:val="28"/>
          <w:szCs w:val="28"/>
        </w:rPr>
        <w:t>(i)</w:t>
      </w:r>
      <w:r w:rsidRPr="00583C0F">
        <w:rPr>
          <w:rFonts w:ascii="Times New Roman" w:hAnsi="Times New Roman"/>
          <w:i/>
          <w:noProof/>
          <w:color w:val="auto"/>
          <w:spacing w:val="-2"/>
          <w:sz w:val="28"/>
          <w:szCs w:val="28"/>
        </w:rPr>
        <w:t xml:space="preserve"> </w:t>
      </w:r>
      <w:r w:rsidRPr="00583C0F">
        <w:rPr>
          <w:rFonts w:ascii="Times New Roman" w:hAnsi="Times New Roman"/>
          <w:noProof/>
          <w:color w:val="auto"/>
          <w:spacing w:val="-2"/>
          <w:sz w:val="28"/>
          <w:szCs w:val="28"/>
        </w:rPr>
        <w:t xml:space="preserve">Quy định về quản lý hóa chất tại Luật Hóa chất năm 2007 và </w:t>
      </w:r>
      <w:r w:rsidRPr="00583C0F">
        <w:rPr>
          <w:rFonts w:ascii="Times New Roman" w:hAnsi="Times New Roman"/>
          <w:noProof/>
          <w:color w:val="auto"/>
          <w:sz w:val="28"/>
          <w:szCs w:val="28"/>
        </w:rPr>
        <w:t xml:space="preserve">các Nghị định số 108/2008/NĐ-CP ngày 07 tháng 10 năm 2008; Nghị định số 26/2011/NĐ-CP ngày 08 tháng 4 năm 2011; Nghị định số 113/2017/NĐ-CP ngày 10 tháng 9 năm 2017 và Nghị định số 82/2022/NĐ-CP ngày 18 tháng 10 năm 2022 </w:t>
      </w:r>
      <w:r w:rsidRPr="00583C0F">
        <w:rPr>
          <w:rFonts w:ascii="Times New Roman" w:hAnsi="Times New Roman"/>
          <w:noProof/>
          <w:color w:val="auto"/>
          <w:spacing w:val="-2"/>
          <w:sz w:val="28"/>
          <w:szCs w:val="28"/>
        </w:rPr>
        <w:t xml:space="preserve">chủ yếu tập trung vào hoạt động sản xuất, kinh doanh, nhập khẩu hóa chất. Doanh nghiệp khi kinh doanh một loại hóa chất có thể phải thực hiện khai báo khi nhập khẩu, phải có giấy phép hoặc giấy chứng nhận để được thực hiện kinh doanh, phải lập phiếu kiểm soát mua, bán hóa chất độc với từng lần mua hoặc bán. Trong khi đó, các </w:t>
      </w:r>
      <w:r w:rsidRPr="00583C0F">
        <w:rPr>
          <w:rFonts w:ascii="Times New Roman" w:hAnsi="Times New Roman"/>
          <w:noProof/>
          <w:color w:val="auto"/>
          <w:sz w:val="28"/>
          <w:szCs w:val="28"/>
        </w:rPr>
        <w:t xml:space="preserve">quy định đối với hoạt động sử dụng hóa chất chưa đảm bảo được hiệu lực quản lý và chưa được quan tâm, dẫn đến những lỗ hổng </w:t>
      </w:r>
      <w:r w:rsidRPr="00583C0F">
        <w:rPr>
          <w:rFonts w:ascii="Times New Roman" w:hAnsi="Times New Roman"/>
          <w:noProof/>
          <w:color w:val="auto"/>
          <w:sz w:val="28"/>
          <w:szCs w:val="28"/>
        </w:rPr>
        <w:lastRenderedPageBreak/>
        <w:t>quản lý trong chu trình vòng đời của hóa chất.</w:t>
      </w:r>
    </w:p>
    <w:p w14:paraId="39DFD6BE"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(ii) Các quy định về hoạt động sử dụng hóa chất hiện nay chưa tương xứng với mức độ rủi ro khi so sánh với các hoạt động sản xuất, kinh doanh hóa chất. Các doanh nghiệp sử dụng hóa chất hoạt động trong nhiều ngành nghề khác nhau, có những đơn vị sử dụng hóa chất với lượng lớn, tiềm ẩn nguy cơ rủi ro, thực tế đã có nhiều sự cố hóa chất xảy ra tại các cơ sở sử dụng hóa chất. Hiện nay, các tổ chức, cá nhân sử dụng hoá chất ít bị ràng buộc, điều chỉnh bởi quy định pháp luật về hoá chất, nên mức độ quan tâm và hiểu biết quy định về quản lý hóa chất chưa cao, chưa đáp ứng được mục tiêu quản lý hoá chất.</w:t>
      </w:r>
    </w:p>
    <w:p w14:paraId="5B3DF98F"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xml:space="preserve">(iii) Nhiều hóa chất nguy hiểm bị sử dụng sai mục đích (hóa chất công nghiệp nhưng sử dụng trong chế biến thực phẩm; tiền chất công nghiệp có nguy cơ sử dụng trong pha chế chất ma túy trái quy định, hóa chất trong lĩnh vực công nghiệp và thực phẩm bị lạm dụng trong vui chơi giải trí…) gây ra nhiều khó khăn cho cơ quan quản lý và doanh nghiệp. </w:t>
      </w:r>
    </w:p>
    <w:p w14:paraId="739BC82D"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Về phân công và thực hiện trách nhiệm quản lý nhà nước về hóa chất:</w:t>
      </w:r>
    </w:p>
    <w:p w14:paraId="3A5B4F66"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Hoạt động hóa chất được diễn ra trong nhiều ngành, lĩnh vực khác nhau. Luật Hóa chất năm 2007 phân công trách nhiệm quản lý hóa chất cho các Bộ, ngành theo hóa chất sử dụng trong từng lĩnh vực. Các lĩnh vực y tế, nông nghiệp... tuy đều có các văn bản pháp luật liên quan đến quản lý hóa chất và phát huy hiệu quả trong thực tế, nhưng cách thức quản lý hóa chất tại các văn bản này có nhiều điểm khác nhau và chưa được bám sát theo quy đinh tại Luật Hóa chất, dẫn đến sự triển khai thiếu đồng bộ giữa các Bộ, ngành.</w:t>
      </w:r>
    </w:p>
    <w:p w14:paraId="5C01C901"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xml:space="preserve">Bên cạnh đó, một hóa chất có thể được sử dụng trong nhiều ngành, lĩnh vực khác nhau, việc phân công trách nhiệm quản lý hóa chất giữa các ngành theo mục đích, lĩnh vực sử dụng không phù hợp với tính đa dụng của hóa chất, rất khó xác định hóa chất đang lưu thông trên thị trường sẽ được sử dụng trong lĩnh vực nào. Nhiều trường hợp doanh nghiệp khai báo mục đích sử dụng trong các lĩnh vực này nhưng sau đó lại sử dụng vào các mục đích bị cấm, hạn chế. Do đó, cần thiết phải có quy định chung, tổng thể đối với tất cả các loại hóa chất, từ đó phân công phù hợp giữa các ngành, lĩnh vực để thống nhất, phối hợp quản lý, đảm bảo không chồng chéo nhưng cũng không để khoảng trống nhằm giảm thiểu nguy cơ hóa chất bị sử dụng sai mục đích. </w:t>
      </w:r>
    </w:p>
    <w:p w14:paraId="4B891A1B"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Về thông tin hóa chất:</w:t>
      </w:r>
    </w:p>
    <w:p w14:paraId="65BB697B"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xml:space="preserve">(i) Theo quy định hiện hành chỉ Hóa chất phải khai báo mới phải thực hiện khai báo khi nhập khẩu, dẫn đến khả năng nhiều hóa chất nguy hiểm, độc hại được nhập khẩu vào Việt Nam mà cơ quan quản lý không có thông tin, không giám sát được, tiềm ẩn nhiều nguy cơ rủi ro, ảnh hưởng trực tiếp đến quyền, lợi ích của các tổ chức, cá nhân tham gia chuỗi cung ứng và người sử dụng cuối cùng hóa chất này. Cùng với sự phát triển đa dạng các hoạt động công nghiệp, nhiều loại hóa chất mới lần đầu được nhập khẩu vào Việt Nam dẫn đến Danh mục hóa chất phải khai báo không thể điều chỉnh hoặc thay đổi kịp thời, dẫn tới </w:t>
      </w:r>
      <w:r w:rsidRPr="00583C0F">
        <w:rPr>
          <w:rFonts w:ascii="Times New Roman" w:hAnsi="Times New Roman"/>
          <w:noProof/>
          <w:color w:val="auto"/>
          <w:spacing w:val="-2"/>
          <w:sz w:val="28"/>
          <w:szCs w:val="28"/>
        </w:rPr>
        <w:t xml:space="preserve">khó khăn trong việc xác định các loại hóa chất mới để áp dụng quy trình </w:t>
      </w:r>
      <w:r w:rsidRPr="00583C0F">
        <w:rPr>
          <w:rFonts w:ascii="Times New Roman" w:hAnsi="Times New Roman"/>
          <w:noProof/>
          <w:color w:val="auto"/>
          <w:spacing w:val="-2"/>
          <w:sz w:val="28"/>
          <w:szCs w:val="28"/>
        </w:rPr>
        <w:lastRenderedPageBreak/>
        <w:t>quản lý.</w:t>
      </w:r>
      <w:r w:rsidRPr="00583C0F">
        <w:rPr>
          <w:rFonts w:ascii="Times New Roman" w:hAnsi="Times New Roman"/>
          <w:noProof/>
          <w:color w:val="auto"/>
          <w:sz w:val="28"/>
          <w:szCs w:val="28"/>
        </w:rPr>
        <w:t xml:space="preserve"> </w:t>
      </w:r>
    </w:p>
    <w:p w14:paraId="61CA6E32"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(ii) Các quy định về bảo mật thông tin còn chung chung, chưa cụ thể nên khó khăn trong việc xây dựng quy trình hướng dẫn thực hiện các thủ tục hành chính hoặc báo cáo định kỳ hàng năm.</w:t>
      </w:r>
    </w:p>
    <w:p w14:paraId="2DF25E30"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(iii) Bên cạnh những kết quả đã đạt được, CSDLHC mới vận hành trong giai đoạn đầu còn nhiều nội dung, chức năng cần hoàn thiện: thiếu liên kết với hệ thống cơ sở dữ liệu hóa chất của các ngành, lĩnh vực khác như y tế, nông nghiệp...; dữ liệu hóa chất trong lĩnh vực công nghiệp, thông tin về hoạt động hóa chất của nhiều doanh nghiệp, một số Sở Công Thương chưa được cập nhật; sự thiếu toàn diện và quy định xác minh dữ liệu đầu vào dẫn tới các chức năng về đánh giá rủi ro hóa chất, hỗ trợ các lực lượng trực tiếp ứng phó sự cố hóa chất chưa được đáp ứng đầy đủ.</w:t>
      </w:r>
    </w:p>
    <w:p w14:paraId="4614321A"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xml:space="preserve">- Về hóa chất nguy hiểm trong sản phẩm: </w:t>
      </w:r>
    </w:p>
    <w:p w14:paraId="0FD2E10C" w14:textId="77777777" w:rsidR="00FD6335" w:rsidRPr="00583C0F" w:rsidRDefault="00FD6335" w:rsidP="00FD6335">
      <w:pPr>
        <w:spacing w:before="120"/>
        <w:ind w:firstLine="748"/>
        <w:jc w:val="both"/>
        <w:rPr>
          <w:rFonts w:ascii="Times New Roman" w:hAnsi="Times New Roman"/>
          <w:i/>
          <w:noProof/>
          <w:color w:val="auto"/>
          <w:sz w:val="28"/>
          <w:szCs w:val="28"/>
        </w:rPr>
      </w:pPr>
      <w:r w:rsidRPr="00583C0F">
        <w:rPr>
          <w:rFonts w:ascii="Times New Roman" w:hAnsi="Times New Roman"/>
          <w:noProof/>
          <w:color w:val="auto"/>
          <w:sz w:val="28"/>
          <w:szCs w:val="28"/>
        </w:rPr>
        <w:t>Thực tế hiện nay có nhiều sản phẩm như sơn, mực in và keo dán, chất tẩy rửa… do trong thành phần có chứa hóa chất nguy hiểm nhưng người tiêu dùng chưa được cung cấp thông tin về các thành phần nguy hiểm hoặc thông tin còn chung chung do chưa có quy định, chưa có cảnh báo nguy hiểm về nguy cơ cháy nổ, nguy cơ ảnh hưởng sức khỏe đối với người tiếp xúc. Trong khi đó, những hóa chất nguy hiểm trong sản phẩm như trên hiện chưa được điều chỉnh trong Luật Hóa chất và cũng chưa được điều chỉnh trong các văn bản chuyên ngành khác</w:t>
      </w:r>
      <w:r w:rsidRPr="00583C0F">
        <w:rPr>
          <w:rFonts w:ascii="Times New Roman" w:hAnsi="Times New Roman"/>
          <w:i/>
          <w:noProof/>
          <w:color w:val="auto"/>
          <w:sz w:val="28"/>
          <w:szCs w:val="28"/>
        </w:rPr>
        <w:t>.</w:t>
      </w:r>
    </w:p>
    <w:p w14:paraId="2810356B" w14:textId="77777777" w:rsidR="00FD6335" w:rsidRPr="00583C0F" w:rsidRDefault="00FD6335" w:rsidP="00FD633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Đây là vấn đề quan trọng, là xu hướng quản lý hoá chất của thế giới, do vậy cần xây dựng cơ chế quản lý, cung cấp thông tin về các loại hóa chất nguy hiểm trong sản phẩm, đặc biệt là các sản phẩm tiêu dùng có thể ảnh hưởng trực tiếp đến người dân, gây gánh nặng cho công tác xử lý chất thải có chứa hóa chất độc hại có thể ảnh hưởng lâu dài đến môi trường.</w:t>
      </w:r>
    </w:p>
    <w:p w14:paraId="10DE1C38" w14:textId="77777777" w:rsidR="00FD6335" w:rsidRPr="00CD25C5" w:rsidRDefault="00FD6335" w:rsidP="00FD6335">
      <w:pPr>
        <w:spacing w:before="120"/>
        <w:ind w:firstLine="748"/>
        <w:jc w:val="both"/>
        <w:rPr>
          <w:rFonts w:ascii="Times New Roman" w:hAnsi="Times New Roman"/>
          <w:noProof/>
          <w:color w:val="auto"/>
          <w:sz w:val="28"/>
          <w:szCs w:val="28"/>
          <w:lang w:val="en-US"/>
        </w:rPr>
      </w:pPr>
      <w:r w:rsidRPr="00583C0F">
        <w:rPr>
          <w:rFonts w:ascii="Times New Roman" w:hAnsi="Times New Roman"/>
          <w:noProof/>
          <w:color w:val="auto"/>
          <w:sz w:val="28"/>
          <w:szCs w:val="28"/>
        </w:rPr>
        <w:t xml:space="preserve">Từ cơ sở chính trị, pháp lý và thực tiễn nêu trên và nhằm cụ thể hóa chủ trương, đường lối của Đảng, quy định tại Luật Hóa chất số 69/2025/QH15 về quản lý hóa chất, bảo đảm sự thống nhất của hệ thống pháp luật, phù hợp với các Điều ước quốc tế mà Việt Nam là thành viên; khắc phục các khó khăn, bất cập trong thực tiễn triển khai thi hành Luật Hóa chất năm 2007 và các văn bản hướng dẫn Luật. </w:t>
      </w:r>
    </w:p>
    <w:p w14:paraId="5694D4B6" w14:textId="23B05813" w:rsidR="00FD6335" w:rsidRDefault="00FD6335" w:rsidP="00FD6335">
      <w:pPr>
        <w:spacing w:before="120"/>
        <w:ind w:firstLine="709"/>
        <w:jc w:val="both"/>
        <w:rPr>
          <w:rFonts w:ascii="Times New Roman" w:hAnsi="Times New Roman" w:cs="Times New Roman"/>
          <w:bCs/>
          <w:color w:val="auto"/>
          <w:sz w:val="28"/>
          <w:szCs w:val="28"/>
          <w:lang w:val="en-US"/>
        </w:rPr>
      </w:pPr>
      <w:r w:rsidRPr="00583C0F">
        <w:rPr>
          <w:rFonts w:ascii="Times New Roman" w:hAnsi="Times New Roman" w:cs="Times New Roman"/>
          <w:color w:val="auto"/>
          <w:sz w:val="28"/>
          <w:szCs w:val="28"/>
        </w:rPr>
        <w:t>Xuất phát từ cơ sở chính trị, pháp lý và thực tiễn nêu trên, để đảm bảo hướng dẫn kịp thời các nội dung được quy định tại Luật Hóa chất số 69/2025/QH15</w:t>
      </w:r>
      <w:r w:rsidRPr="00583C0F">
        <w:rPr>
          <w:rFonts w:ascii="Times New Roman" w:hAnsi="Times New Roman" w:cs="Times New Roman"/>
          <w:color w:val="auto"/>
          <w:sz w:val="28"/>
          <w:szCs w:val="28"/>
          <w:lang w:val="en-US"/>
        </w:rPr>
        <w:t xml:space="preserve"> và Nghị định số    /2025/NĐ-CP ngày    tháng    năm 2025 về việc hướng dẫn một số điều của Luật Hóa chất về quản lý hoạt động hóa chất và hóa chất nguy hiểm trong sản phẩm hàng hóa, </w:t>
      </w:r>
      <w:r w:rsidRPr="00583C0F">
        <w:rPr>
          <w:rFonts w:ascii="Times New Roman" w:hAnsi="Times New Roman" w:cs="Times New Roman"/>
          <w:color w:val="auto"/>
          <w:sz w:val="28"/>
          <w:szCs w:val="28"/>
        </w:rPr>
        <w:t>việc xây dựng Thông tư</w:t>
      </w:r>
      <w:r w:rsidRPr="00583C0F">
        <w:rPr>
          <w:rFonts w:ascii="Times New Roman" w:hAnsi="Times New Roman" w:cs="Times New Roman"/>
          <w:color w:val="auto"/>
          <w:sz w:val="28"/>
          <w:szCs w:val="28"/>
          <w:lang w:val="en-SG"/>
        </w:rPr>
        <w:t xml:space="preserve"> </w:t>
      </w:r>
      <w:r w:rsidRPr="00583C0F">
        <w:rPr>
          <w:rFonts w:ascii="Times New Roman" w:hAnsi="Times New Roman" w:cs="Times New Roman"/>
          <w:bCs/>
          <w:color w:val="auto"/>
          <w:sz w:val="28"/>
          <w:szCs w:val="28"/>
        </w:rPr>
        <w:t>quy định</w:t>
      </w:r>
      <w:r w:rsidRPr="00583C0F">
        <w:rPr>
          <w:rFonts w:ascii="Times New Roman" w:hAnsi="Times New Roman" w:cs="Times New Roman"/>
          <w:bCs/>
          <w:color w:val="auto"/>
          <w:sz w:val="28"/>
          <w:szCs w:val="28"/>
          <w:lang w:val="en-US"/>
        </w:rPr>
        <w:t xml:space="preserve"> chi tiết và hướng dẫn thi hành một số điều của Luật Hóa chất về quản lý hóa chất theo vòng đời và quản lý hóa chất trong sản phẩm</w:t>
      </w:r>
      <w:r>
        <w:rPr>
          <w:rFonts w:ascii="Times New Roman" w:hAnsi="Times New Roman" w:cs="Times New Roman"/>
          <w:bCs/>
          <w:color w:val="auto"/>
          <w:sz w:val="28"/>
          <w:szCs w:val="28"/>
          <w:lang w:val="en-US"/>
        </w:rPr>
        <w:t xml:space="preserve"> (Dự thảo Thông tư)</w:t>
      </w:r>
      <w:r w:rsidRPr="00583C0F">
        <w:rPr>
          <w:rFonts w:ascii="Times New Roman" w:hAnsi="Times New Roman" w:cs="Times New Roman"/>
          <w:bCs/>
          <w:color w:val="auto"/>
          <w:sz w:val="28"/>
          <w:szCs w:val="28"/>
          <w:lang w:val="en-US"/>
        </w:rPr>
        <w:t xml:space="preserve"> là cần thiết</w:t>
      </w:r>
      <w:r>
        <w:rPr>
          <w:rFonts w:ascii="Times New Roman" w:hAnsi="Times New Roman" w:cs="Times New Roman"/>
          <w:bCs/>
          <w:color w:val="auto"/>
          <w:sz w:val="28"/>
          <w:szCs w:val="28"/>
          <w:lang w:val="en-US"/>
        </w:rPr>
        <w:t>.</w:t>
      </w:r>
    </w:p>
    <w:p w14:paraId="67B3D7E2" w14:textId="53A05F5A" w:rsidR="00685D46" w:rsidRPr="00FD6335" w:rsidRDefault="00FD6335" w:rsidP="00FD6335">
      <w:pPr>
        <w:spacing w:before="120"/>
        <w:ind w:firstLine="709"/>
        <w:jc w:val="both"/>
        <w:rPr>
          <w:rFonts w:ascii="Times New Roman" w:hAnsi="Times New Roman" w:cs="Times New Roman"/>
          <w:color w:val="FF0000"/>
          <w:sz w:val="28"/>
          <w:szCs w:val="28"/>
          <w:lang w:val="es-AR"/>
        </w:rPr>
      </w:pPr>
      <w:r>
        <w:rPr>
          <w:rFonts w:ascii="Times New Roman" w:hAnsi="Times New Roman" w:cs="Times New Roman"/>
          <w:bCs/>
          <w:color w:val="auto"/>
          <w:sz w:val="28"/>
          <w:szCs w:val="28"/>
          <w:lang w:val="en-US"/>
        </w:rPr>
        <w:t xml:space="preserve">Ngày 10 tháng 01 năm 2022, Chính phủ đã ban hành Nghị Quyết số 04/NQ-CP về viề đẩy mạnh phân cấp, phân quyền trong quản lý nhà nước. Thực </w:t>
      </w:r>
      <w:r>
        <w:rPr>
          <w:rFonts w:ascii="Times New Roman" w:hAnsi="Times New Roman" w:cs="Times New Roman"/>
          <w:bCs/>
          <w:color w:val="auto"/>
          <w:sz w:val="28"/>
          <w:szCs w:val="28"/>
          <w:lang w:val="en-US"/>
        </w:rPr>
        <w:lastRenderedPageBreak/>
        <w:t>hiện quy định tại khoản 2 Điều 8 của Luật tổ chức Chính phủ, Dự thảo Thông tư tiếp tục phân cấp về Ủy Ban nhân dân cấp tỉnh thực hiện các thủ tục hành chính liên quan đến sản xuất, kinh doanh hóa chất và xuất nhập khẩu hóa chất cần kiểm soát đặc biệt nhóm II. Việc t</w:t>
      </w:r>
      <w:r w:rsidRPr="00FD6335">
        <w:rPr>
          <w:rFonts w:ascii="Times New Roman" w:hAnsi="Times New Roman" w:cs="Times New Roman"/>
          <w:bCs/>
          <w:color w:val="auto"/>
          <w:sz w:val="28"/>
          <w:szCs w:val="28"/>
          <w:lang w:val="en-US"/>
        </w:rPr>
        <w:t xml:space="preserve">ăng </w:t>
      </w:r>
      <w:r w:rsidRPr="00FD6335">
        <w:rPr>
          <w:rFonts w:ascii="Times New Roman" w:hAnsi="Times New Roman" w:cs="Times New Roman"/>
          <w:color w:val="auto"/>
          <w:sz w:val="28"/>
          <w:szCs w:val="28"/>
          <w:lang w:val="en-SG"/>
        </w:rPr>
        <w:t>cường phân cấp, phân quyền</w:t>
      </w:r>
      <w:r w:rsidR="00685D46" w:rsidRPr="00FD6335">
        <w:rPr>
          <w:rFonts w:ascii="Times New Roman" w:hAnsi="Times New Roman" w:cs="Times New Roman"/>
          <w:color w:val="auto"/>
          <w:sz w:val="28"/>
          <w:szCs w:val="28"/>
          <w:lang w:val="en-SG"/>
        </w:rPr>
        <w:t xml:space="preserve"> nhằm đảm bảo theo tinh gọn, hiệu lực, hiệu quả khi thực hiện mô hình chính quyền địa phương hai cấp.  </w:t>
      </w:r>
    </w:p>
    <w:p w14:paraId="796DDCC1" w14:textId="6F1D1243" w:rsidR="00685D46" w:rsidRPr="007D7740" w:rsidRDefault="00685D46" w:rsidP="00685D46">
      <w:pPr>
        <w:spacing w:before="120" w:after="120"/>
        <w:ind w:firstLine="709"/>
        <w:jc w:val="both"/>
        <w:rPr>
          <w:rFonts w:ascii="Times New Roman" w:hAnsi="Times New Roman" w:cs="Times New Roman"/>
          <w:color w:val="FF0000"/>
          <w:sz w:val="28"/>
          <w:szCs w:val="28"/>
          <w:lang w:val="en-SG"/>
        </w:rPr>
      </w:pPr>
      <w:r w:rsidRPr="00FD6335">
        <w:rPr>
          <w:rFonts w:ascii="Times New Roman" w:hAnsi="Times New Roman" w:cs="Times New Roman"/>
          <w:color w:val="auto"/>
          <w:sz w:val="28"/>
          <w:szCs w:val="28"/>
          <w:lang w:val="en-SG"/>
        </w:rPr>
        <w:t xml:space="preserve">- </w:t>
      </w:r>
      <w:r w:rsidRPr="00FD6335">
        <w:rPr>
          <w:rFonts w:ascii="Times New Roman" w:hAnsi="Times New Roman" w:cs="Times New Roman"/>
          <w:color w:val="auto"/>
          <w:sz w:val="28"/>
          <w:szCs w:val="28"/>
        </w:rPr>
        <w:t>Một số</w:t>
      </w:r>
      <w:r w:rsidRPr="00FD6335">
        <w:rPr>
          <w:rFonts w:ascii="Times New Roman" w:hAnsi="Times New Roman" w:cs="Times New Roman"/>
          <w:color w:val="auto"/>
          <w:sz w:val="28"/>
          <w:szCs w:val="28"/>
          <w:lang w:val="en-SG"/>
        </w:rPr>
        <w:t xml:space="preserve"> nội dung giải thích từ ngữ</w:t>
      </w:r>
      <w:r w:rsidR="00FD6335">
        <w:rPr>
          <w:rFonts w:ascii="Times New Roman" w:hAnsi="Times New Roman" w:cs="Times New Roman"/>
          <w:color w:val="auto"/>
          <w:sz w:val="28"/>
          <w:szCs w:val="28"/>
          <w:lang w:val="en-SG"/>
        </w:rPr>
        <w:t>, biểu mẫu</w:t>
      </w:r>
      <w:r w:rsidRPr="00FD6335">
        <w:rPr>
          <w:rFonts w:ascii="Times New Roman" w:hAnsi="Times New Roman" w:cs="Times New Roman"/>
          <w:color w:val="auto"/>
          <w:sz w:val="28"/>
          <w:szCs w:val="28"/>
        </w:rPr>
        <w:t xml:space="preserve"> không còn phù hợp với </w:t>
      </w:r>
      <w:r w:rsidRPr="00FD6335">
        <w:rPr>
          <w:rFonts w:ascii="Times New Roman" w:hAnsi="Times New Roman" w:cs="Times New Roman"/>
          <w:color w:val="auto"/>
          <w:sz w:val="28"/>
          <w:szCs w:val="28"/>
          <w:lang w:val="en-SG"/>
        </w:rPr>
        <w:t xml:space="preserve">các quy định, văn bản hướng dẫn có </w:t>
      </w:r>
      <w:r w:rsidR="00FD6335">
        <w:rPr>
          <w:rFonts w:ascii="Times New Roman" w:hAnsi="Times New Roman" w:cs="Times New Roman"/>
          <w:color w:val="auto"/>
          <w:sz w:val="28"/>
          <w:szCs w:val="28"/>
          <w:lang w:val="en-SG"/>
        </w:rPr>
        <w:t>liên quan đồng thời cần bổ sung, hướng dẫn cho phù hợp với Dự thảo Nghị định hướng dẫn thi hành Luật Hóa chất</w:t>
      </w:r>
      <w:r w:rsidRPr="007D7740">
        <w:rPr>
          <w:rFonts w:ascii="Times New Roman" w:hAnsi="Times New Roman" w:cs="Times New Roman"/>
          <w:color w:val="FF0000"/>
          <w:sz w:val="28"/>
          <w:szCs w:val="28"/>
          <w:lang w:val="en-SG"/>
        </w:rPr>
        <w:t>.</w:t>
      </w:r>
    </w:p>
    <w:p w14:paraId="04C97AD6" w14:textId="77777777" w:rsidR="004C7C5C" w:rsidRPr="004A12FA" w:rsidRDefault="004C7C5C" w:rsidP="004C7C5C">
      <w:pPr>
        <w:spacing w:before="120"/>
        <w:ind w:firstLine="720"/>
        <w:jc w:val="both"/>
        <w:rPr>
          <w:rFonts w:ascii="Times New Roman" w:hAnsi="Times New Roman" w:cs="Times New Roman"/>
          <w:b/>
          <w:bCs/>
          <w:color w:val="auto"/>
          <w:sz w:val="28"/>
          <w:szCs w:val="28"/>
        </w:rPr>
      </w:pPr>
      <w:r w:rsidRPr="004A12FA">
        <w:rPr>
          <w:rFonts w:ascii="Times New Roman" w:hAnsi="Times New Roman" w:cs="Times New Roman"/>
          <w:b/>
          <w:bCs/>
          <w:color w:val="auto"/>
          <w:sz w:val="28"/>
          <w:szCs w:val="28"/>
        </w:rPr>
        <w:t>2. Mục đích, yêu cầu đánh giá</w:t>
      </w:r>
    </w:p>
    <w:p w14:paraId="619C79BC" w14:textId="77777777" w:rsidR="00685D46" w:rsidRPr="004A12FA" w:rsidRDefault="00685D46" w:rsidP="00685D46">
      <w:pPr>
        <w:spacing w:before="120"/>
        <w:ind w:firstLine="720"/>
        <w:jc w:val="both"/>
        <w:rPr>
          <w:rFonts w:ascii="Times New Roman" w:hAnsi="Times New Roman" w:cs="Times New Roman"/>
          <w:color w:val="auto"/>
          <w:sz w:val="28"/>
          <w:szCs w:val="28"/>
          <w:lang w:val="en-SG"/>
        </w:rPr>
      </w:pPr>
      <w:r w:rsidRPr="004A12FA">
        <w:rPr>
          <w:rFonts w:ascii="Times New Roman" w:hAnsi="Times New Roman" w:cs="Times New Roman"/>
          <w:color w:val="auto"/>
          <w:sz w:val="28"/>
          <w:szCs w:val="28"/>
          <w:lang w:val="en-SG"/>
        </w:rPr>
        <w:t>Việc đánh giá thủ tục hành chính, phân quyền, phân cấp, ứng dụng và thúc đẩy phát triển khoa học, công nghệ, đổi mới sáng tạo và chuyển đổi số, bảo đảm bình đẳng giới, thực hiện chính sách dân tộc trong dự thảo Thông tư quy định về tổ chức bình chọn sản phẩm công nghiệp nông thôn tiêu biểu được thực hiện nhằm bảo đảm Thông tư ban hành có tính khả thi, phù hợp với quy định của pháp luật hiện hành và định hướng cải cách hành chính của Chính phủ.</w:t>
      </w:r>
    </w:p>
    <w:p w14:paraId="748CD7F6" w14:textId="1EC00451" w:rsidR="00AC53E5" w:rsidRPr="004A12FA" w:rsidRDefault="00685D46" w:rsidP="00685D46">
      <w:pPr>
        <w:spacing w:before="120"/>
        <w:ind w:firstLine="720"/>
        <w:jc w:val="both"/>
        <w:rPr>
          <w:rFonts w:ascii="Times New Roman" w:hAnsi="Times New Roman" w:cs="Times New Roman"/>
          <w:color w:val="auto"/>
          <w:sz w:val="28"/>
          <w:szCs w:val="28"/>
          <w:lang w:val="en-SG"/>
        </w:rPr>
      </w:pPr>
      <w:r w:rsidRPr="004A12FA">
        <w:rPr>
          <w:rFonts w:ascii="Times New Roman" w:hAnsi="Times New Roman" w:cs="Times New Roman"/>
          <w:color w:val="auto"/>
          <w:sz w:val="28"/>
          <w:szCs w:val="28"/>
          <w:lang w:val="en-SG"/>
        </w:rPr>
        <w:t>Việc đánh giá thủ tục hành chính nhằm rà soát hồ sơ, cách thức tổ chức thực hiện, bảo đảm minh bạch, thuận lợ</w:t>
      </w:r>
      <w:r w:rsidR="004A12FA">
        <w:rPr>
          <w:rFonts w:ascii="Times New Roman" w:hAnsi="Times New Roman" w:cs="Times New Roman"/>
          <w:color w:val="auto"/>
          <w:sz w:val="28"/>
          <w:szCs w:val="28"/>
          <w:lang w:val="en-SG"/>
        </w:rPr>
        <w:t>i cho tổ chức, cá nhân khi triển khai thực hiện thủ tục hành chính</w:t>
      </w:r>
      <w:r w:rsidR="00AC53E5" w:rsidRPr="004A12FA">
        <w:rPr>
          <w:rFonts w:ascii="Times New Roman" w:hAnsi="Times New Roman" w:cs="Times New Roman"/>
          <w:color w:val="auto"/>
          <w:sz w:val="28"/>
          <w:szCs w:val="28"/>
          <w:lang w:val="en-SG"/>
        </w:rPr>
        <w:t xml:space="preserve">. </w:t>
      </w:r>
    </w:p>
    <w:p w14:paraId="47C87D18" w14:textId="5C39A160" w:rsidR="00AC53E5" w:rsidRPr="004A12FA" w:rsidRDefault="00685D46" w:rsidP="00685D46">
      <w:pPr>
        <w:spacing w:before="120"/>
        <w:ind w:firstLine="720"/>
        <w:jc w:val="both"/>
        <w:rPr>
          <w:rFonts w:ascii="Times New Roman" w:hAnsi="Times New Roman" w:cs="Times New Roman"/>
          <w:color w:val="auto"/>
          <w:sz w:val="28"/>
          <w:szCs w:val="28"/>
          <w:lang w:val="en-SG"/>
        </w:rPr>
      </w:pPr>
      <w:r w:rsidRPr="004A12FA">
        <w:rPr>
          <w:rFonts w:ascii="Times New Roman" w:hAnsi="Times New Roman" w:cs="Times New Roman"/>
          <w:color w:val="auto"/>
          <w:sz w:val="28"/>
          <w:szCs w:val="28"/>
          <w:lang w:val="en-SG"/>
        </w:rPr>
        <w:t>Việc phân quyền, phân cấp được xem xét trên cơ sở tăng cường trách</w:t>
      </w:r>
      <w:r w:rsidR="004A12FA">
        <w:rPr>
          <w:rFonts w:ascii="Times New Roman" w:hAnsi="Times New Roman" w:cs="Times New Roman"/>
          <w:color w:val="auto"/>
          <w:sz w:val="28"/>
          <w:szCs w:val="28"/>
          <w:lang w:val="en-SG"/>
        </w:rPr>
        <w:t xml:space="preserve"> nhiệm, chủ động cho cơ quan địa phương</w:t>
      </w:r>
      <w:r w:rsidRPr="004A12FA">
        <w:rPr>
          <w:rFonts w:ascii="Times New Roman" w:hAnsi="Times New Roman" w:cs="Times New Roman"/>
          <w:color w:val="auto"/>
          <w:sz w:val="28"/>
          <w:szCs w:val="28"/>
          <w:lang w:val="en-SG"/>
        </w:rPr>
        <w:t xml:space="preserve">, đồng thời bảo đảm sự thống nhất quản lý của Bộ Công Thương. </w:t>
      </w:r>
    </w:p>
    <w:p w14:paraId="0797CDA6" w14:textId="38E6D673" w:rsidR="00AC53E5" w:rsidRPr="004A12FA" w:rsidRDefault="00685D46" w:rsidP="00685D46">
      <w:pPr>
        <w:spacing w:before="120"/>
        <w:ind w:firstLine="720"/>
        <w:jc w:val="both"/>
        <w:rPr>
          <w:rFonts w:ascii="Times New Roman" w:hAnsi="Times New Roman" w:cs="Times New Roman"/>
          <w:color w:val="auto"/>
          <w:sz w:val="28"/>
          <w:szCs w:val="28"/>
          <w:lang w:val="en-SG"/>
        </w:rPr>
      </w:pPr>
      <w:r w:rsidRPr="004A12FA">
        <w:rPr>
          <w:rFonts w:ascii="Times New Roman" w:hAnsi="Times New Roman" w:cs="Times New Roman"/>
          <w:color w:val="auto"/>
          <w:sz w:val="28"/>
          <w:szCs w:val="28"/>
          <w:lang w:val="en-SG"/>
        </w:rPr>
        <w:t>Nội dung về khoa học, công nghệ, đổi mới sáng tạo và chuyển đổi số được đánh giá nhằm khuyến khích ứng dụng công nghệ thông tin trong quản lý,</w:t>
      </w:r>
      <w:r w:rsidR="004A12FA">
        <w:rPr>
          <w:rFonts w:ascii="Times New Roman" w:hAnsi="Times New Roman" w:cs="Times New Roman"/>
          <w:color w:val="auto"/>
          <w:sz w:val="28"/>
          <w:szCs w:val="28"/>
          <w:lang w:val="en-SG"/>
        </w:rPr>
        <w:t xml:space="preserve"> các thủ tục hành chính được tăng cường triển khai trên hệ thống điện tử,</w:t>
      </w:r>
      <w:r w:rsidRPr="004A12FA">
        <w:rPr>
          <w:rFonts w:ascii="Times New Roman" w:hAnsi="Times New Roman" w:cs="Times New Roman"/>
          <w:color w:val="auto"/>
          <w:sz w:val="28"/>
          <w:szCs w:val="28"/>
          <w:lang w:val="en-SG"/>
        </w:rPr>
        <w:t xml:space="preserve"> </w:t>
      </w:r>
      <w:r w:rsidR="004A12FA">
        <w:rPr>
          <w:rFonts w:ascii="Times New Roman" w:hAnsi="Times New Roman" w:cs="Times New Roman"/>
          <w:color w:val="auto"/>
          <w:sz w:val="28"/>
          <w:szCs w:val="28"/>
          <w:lang w:val="en-SG"/>
        </w:rPr>
        <w:t>như tăng cường công tác quản lý, giám sát trên hệ thống điện tử, hệ thống quản lý chuyên ngành công thương và định hướng quản lý truy vết nguồn gốc hàng hóa</w:t>
      </w:r>
      <w:r w:rsidRPr="004A12FA">
        <w:rPr>
          <w:rFonts w:ascii="Times New Roman" w:hAnsi="Times New Roman" w:cs="Times New Roman"/>
          <w:color w:val="auto"/>
          <w:sz w:val="28"/>
          <w:szCs w:val="28"/>
          <w:lang w:val="en-SG"/>
        </w:rPr>
        <w:t xml:space="preserve">. </w:t>
      </w:r>
    </w:p>
    <w:p w14:paraId="401F1BF4" w14:textId="1E8DA493" w:rsidR="00E42721" w:rsidRPr="004A12FA" w:rsidRDefault="00E42721" w:rsidP="004C7C5C">
      <w:pPr>
        <w:spacing w:before="120"/>
        <w:ind w:firstLine="720"/>
        <w:rPr>
          <w:rFonts w:ascii="Times New Roman" w:hAnsi="Times New Roman" w:cs="Times New Roman"/>
          <w:b/>
          <w:bCs/>
          <w:color w:val="auto"/>
          <w:sz w:val="28"/>
          <w:szCs w:val="28"/>
        </w:rPr>
      </w:pPr>
      <w:r w:rsidRPr="004A12FA">
        <w:rPr>
          <w:rFonts w:ascii="Times New Roman" w:hAnsi="Times New Roman" w:cs="Times New Roman"/>
          <w:b/>
          <w:bCs/>
          <w:color w:val="auto"/>
          <w:sz w:val="28"/>
          <w:szCs w:val="28"/>
        </w:rPr>
        <w:t>II. KẾT QUẢ ĐÁNH GIÁ</w:t>
      </w:r>
    </w:p>
    <w:p w14:paraId="09B552AD" w14:textId="20A7ACCF" w:rsidR="0067378B" w:rsidRPr="004A12FA" w:rsidRDefault="0067378B" w:rsidP="0067378B">
      <w:pPr>
        <w:spacing w:before="120"/>
        <w:ind w:firstLine="720"/>
        <w:jc w:val="both"/>
        <w:rPr>
          <w:rFonts w:ascii="Times New Roman" w:hAnsi="Times New Roman" w:cs="Times New Roman"/>
          <w:b/>
          <w:bCs/>
          <w:color w:val="auto"/>
          <w:sz w:val="28"/>
          <w:szCs w:val="28"/>
          <w:lang w:val="en-SG"/>
        </w:rPr>
      </w:pPr>
      <w:r w:rsidRPr="004A12FA">
        <w:rPr>
          <w:rFonts w:ascii="Times New Roman" w:hAnsi="Times New Roman" w:cs="Times New Roman"/>
          <w:b/>
          <w:bCs/>
          <w:color w:val="auto"/>
          <w:sz w:val="28"/>
          <w:szCs w:val="28"/>
        </w:rPr>
        <w:t>1. Đánh giá tác động thủ tục hành chính</w:t>
      </w:r>
    </w:p>
    <w:p w14:paraId="2D8F0435" w14:textId="774F3C94" w:rsidR="00F37BE3" w:rsidRPr="004A12FA" w:rsidRDefault="00E46EDF" w:rsidP="004A12FA">
      <w:pPr>
        <w:tabs>
          <w:tab w:val="num" w:pos="720"/>
        </w:tabs>
        <w:spacing w:before="120"/>
        <w:ind w:firstLine="720"/>
        <w:jc w:val="both"/>
        <w:rPr>
          <w:rFonts w:ascii="Times New Roman" w:hAnsi="Times New Roman" w:cs="Times New Roman"/>
          <w:color w:val="auto"/>
          <w:sz w:val="28"/>
          <w:szCs w:val="28"/>
          <w:lang w:val="en-SG"/>
        </w:rPr>
      </w:pPr>
      <w:r w:rsidRPr="004A12FA">
        <w:rPr>
          <w:rFonts w:ascii="Times New Roman" w:hAnsi="Times New Roman" w:cs="Times New Roman"/>
          <w:color w:val="auto"/>
          <w:sz w:val="28"/>
          <w:szCs w:val="28"/>
          <w:lang w:val="en-SG"/>
        </w:rPr>
        <w:t>Qua đối chiếu, rà soát toàn bộ dự thảo Thông tư cho thấy,</w:t>
      </w:r>
      <w:r w:rsidR="004A12FA">
        <w:rPr>
          <w:rFonts w:ascii="Times New Roman" w:hAnsi="Times New Roman" w:cs="Times New Roman"/>
          <w:color w:val="auto"/>
          <w:sz w:val="28"/>
          <w:szCs w:val="28"/>
          <w:lang w:val="en-SG"/>
        </w:rPr>
        <w:t xml:space="preserve"> Dự thảo Thông tư quy định chi tiết và hướng dẫn thi hành một số Điều của Lu</w:t>
      </w:r>
      <w:r w:rsidR="004A12FA" w:rsidRPr="004A12FA">
        <w:rPr>
          <w:rFonts w:ascii="Times New Roman" w:hAnsi="Times New Roman" w:cs="Times New Roman"/>
          <w:color w:val="auto"/>
          <w:sz w:val="28"/>
          <w:szCs w:val="28"/>
          <w:lang w:val="en-SG"/>
        </w:rPr>
        <w:t>ật Hóa chất về quản lý hóa chất theo vòng đời và quản lý hóa chất trong sản phẩm bao gồm các quy định mang tính hướng dẫn, quy định biểu mẫu các thủ tục hành c</w:t>
      </w:r>
      <w:r w:rsidR="004A12FA">
        <w:rPr>
          <w:rFonts w:ascii="Times New Roman" w:hAnsi="Times New Roman" w:cs="Times New Roman"/>
          <w:color w:val="auto"/>
          <w:sz w:val="28"/>
          <w:szCs w:val="28"/>
          <w:lang w:val="en-SG"/>
        </w:rPr>
        <w:t>hính, không quy định thêm các điều kiện, thủ tục</w:t>
      </w:r>
      <w:bookmarkStart w:id="0" w:name="_GoBack"/>
      <w:bookmarkEnd w:id="0"/>
      <w:r w:rsidR="004A12FA">
        <w:rPr>
          <w:rFonts w:ascii="Times New Roman" w:hAnsi="Times New Roman" w:cs="Times New Roman"/>
          <w:color w:val="auto"/>
          <w:sz w:val="28"/>
          <w:szCs w:val="28"/>
          <w:lang w:val="en-SG"/>
        </w:rPr>
        <w:t xml:space="preserve"> hành chính  khác do với các thủ tục hành chính được quy định tại </w:t>
      </w:r>
      <w:r w:rsidR="004A12FA" w:rsidRPr="00583C0F">
        <w:rPr>
          <w:rFonts w:ascii="Times New Roman" w:hAnsi="Times New Roman" w:cs="Times New Roman"/>
          <w:color w:val="auto"/>
          <w:sz w:val="28"/>
          <w:szCs w:val="28"/>
          <w:lang w:val="en-US"/>
        </w:rPr>
        <w:t>Nghị định số    /2025/NĐ-CP ngày    tháng    năm 2025 về việc hướng dẫn một số điều của Luật Hóa chất về quản lý hoạt động hóa chất và hóa chất nguy hiểm trong sản phẩm hàng hóa</w:t>
      </w:r>
      <w:r w:rsidR="00F37BE3" w:rsidRPr="004A12FA">
        <w:rPr>
          <w:rFonts w:ascii="Times New Roman" w:hAnsi="Times New Roman" w:cs="Times New Roman"/>
          <w:color w:val="auto"/>
          <w:sz w:val="28"/>
          <w:szCs w:val="28"/>
          <w:lang w:val="en-SG"/>
        </w:rPr>
        <w:t>. Do đó, Dự thảo Thông tư này không phát sinh thủ tục hành chính và không không thuộc trường hợp phải thực hiện đánh giá tác động thủ tục hành chính.</w:t>
      </w:r>
    </w:p>
    <w:p w14:paraId="21CA8A7F" w14:textId="4778F986" w:rsidR="004C7C5C" w:rsidRPr="00150965" w:rsidRDefault="004C7C5C" w:rsidP="004C7C5C">
      <w:pPr>
        <w:spacing w:before="120"/>
        <w:ind w:firstLine="720"/>
        <w:jc w:val="both"/>
        <w:rPr>
          <w:rFonts w:ascii="Times New Roman" w:hAnsi="Times New Roman" w:cs="Times New Roman"/>
          <w:b/>
          <w:bCs/>
          <w:color w:val="auto"/>
          <w:sz w:val="28"/>
          <w:szCs w:val="28"/>
        </w:rPr>
      </w:pPr>
      <w:r w:rsidRPr="00150965">
        <w:rPr>
          <w:rFonts w:ascii="Times New Roman" w:hAnsi="Times New Roman" w:cs="Times New Roman"/>
          <w:b/>
          <w:bCs/>
          <w:color w:val="auto"/>
          <w:sz w:val="28"/>
          <w:szCs w:val="28"/>
        </w:rPr>
        <w:t xml:space="preserve">2. Việc phân quyền, phân cấp </w:t>
      </w:r>
    </w:p>
    <w:p w14:paraId="35D3FBEB" w14:textId="77777777" w:rsidR="004A12FA" w:rsidRPr="00150965" w:rsidRDefault="004A12FA" w:rsidP="007D113B">
      <w:pPr>
        <w:spacing w:before="120"/>
        <w:ind w:firstLine="720"/>
        <w:jc w:val="both"/>
        <w:rPr>
          <w:rFonts w:ascii="Times New Roman" w:hAnsi="Times New Roman" w:cs="Times New Roman"/>
          <w:color w:val="auto"/>
          <w:sz w:val="28"/>
          <w:szCs w:val="28"/>
          <w:lang w:val="en-SG"/>
        </w:rPr>
      </w:pPr>
    </w:p>
    <w:p w14:paraId="20742D7B" w14:textId="4FE00FAD" w:rsidR="004A12FA" w:rsidRPr="00150965" w:rsidRDefault="007D113B" w:rsidP="007D113B">
      <w:pPr>
        <w:spacing w:before="120"/>
        <w:ind w:firstLine="720"/>
        <w:jc w:val="both"/>
        <w:rPr>
          <w:rFonts w:ascii="Times New Roman" w:hAnsi="Times New Roman" w:cs="Times New Roman"/>
          <w:color w:val="auto"/>
          <w:sz w:val="28"/>
          <w:szCs w:val="28"/>
          <w:lang w:val="en-SG"/>
        </w:rPr>
      </w:pPr>
      <w:r w:rsidRPr="00150965">
        <w:rPr>
          <w:rFonts w:ascii="Times New Roman" w:hAnsi="Times New Roman" w:cs="Times New Roman"/>
          <w:color w:val="auto"/>
          <w:sz w:val="28"/>
          <w:szCs w:val="28"/>
          <w:lang w:val="en-SG"/>
        </w:rPr>
        <w:lastRenderedPageBreak/>
        <w:t>Các quy định về phân cấp, phân quyền trong dự thảo Thông tư bảo đảm sự linh hoạt trong tổ chức thực hiện, phù hợp</w:t>
      </w:r>
      <w:r w:rsidR="009E710C" w:rsidRPr="00150965">
        <w:rPr>
          <w:rFonts w:ascii="Times New Roman" w:hAnsi="Times New Roman" w:cs="Times New Roman"/>
          <w:color w:val="auto"/>
          <w:sz w:val="28"/>
          <w:szCs w:val="28"/>
          <w:lang w:val="en-SG"/>
        </w:rPr>
        <w:t xml:space="preserve"> quy định tại khoản 2 Điều 8 của Luật tổ chức Chính phủ, phù hợp</w:t>
      </w:r>
      <w:r w:rsidRPr="00150965">
        <w:rPr>
          <w:rFonts w:ascii="Times New Roman" w:hAnsi="Times New Roman" w:cs="Times New Roman"/>
          <w:color w:val="auto"/>
          <w:sz w:val="28"/>
          <w:szCs w:val="28"/>
          <w:lang w:val="en-SG"/>
        </w:rPr>
        <w:t xml:space="preserve"> ngành, lĩnh vực quản lý của Bộ Công Thương quy định tại </w:t>
      </w:r>
      <w:r w:rsidRPr="00150965">
        <w:rPr>
          <w:rFonts w:ascii="Times New Roman" w:hAnsi="Times New Roman" w:cs="Times New Roman"/>
          <w:color w:val="auto"/>
          <w:sz w:val="28"/>
          <w:szCs w:val="28"/>
          <w:lang w:bidi="vi-VN"/>
        </w:rPr>
        <w:t>Nghị định s</w:t>
      </w:r>
      <w:r w:rsidRPr="00150965">
        <w:rPr>
          <w:rFonts w:ascii="Times New Roman" w:hAnsi="Times New Roman" w:cs="Times New Roman"/>
          <w:color w:val="auto"/>
          <w:sz w:val="28"/>
          <w:szCs w:val="28"/>
          <w:lang w:val="en-SG" w:bidi="vi-VN"/>
        </w:rPr>
        <w:t>ố</w:t>
      </w:r>
      <w:r w:rsidRPr="00150965">
        <w:rPr>
          <w:rFonts w:ascii="Times New Roman" w:hAnsi="Times New Roman" w:cs="Times New Roman"/>
          <w:color w:val="auto"/>
          <w:sz w:val="28"/>
          <w:szCs w:val="28"/>
          <w:lang w:bidi="vi-VN"/>
        </w:rPr>
        <w:t xml:space="preserve"> 40/2025/NĐ-CP ngày 26 thảng 02 năm 2025 của Chính phủ quy định chức năng, nhiệm vụ, quyền hạn và cơ cấu tố chức của Bộ Công Thương</w:t>
      </w:r>
      <w:r w:rsidR="004A12FA" w:rsidRPr="00150965">
        <w:rPr>
          <w:rFonts w:ascii="Times New Roman" w:hAnsi="Times New Roman" w:cs="Times New Roman"/>
          <w:color w:val="auto"/>
          <w:sz w:val="28"/>
          <w:szCs w:val="28"/>
          <w:lang w:val="en-SG"/>
        </w:rPr>
        <w:t>,</w:t>
      </w:r>
    </w:p>
    <w:p w14:paraId="35D0379E" w14:textId="781708BD" w:rsidR="009D5454" w:rsidRPr="00150965" w:rsidRDefault="009D5454" w:rsidP="009E710C">
      <w:pPr>
        <w:spacing w:before="120"/>
        <w:ind w:firstLine="720"/>
        <w:jc w:val="both"/>
        <w:rPr>
          <w:rFonts w:ascii="Times New Roman" w:hAnsi="Times New Roman" w:cs="Times New Roman"/>
          <w:color w:val="auto"/>
          <w:sz w:val="28"/>
          <w:szCs w:val="28"/>
          <w:lang w:val="en-SG"/>
        </w:rPr>
      </w:pPr>
      <w:r w:rsidRPr="00150965">
        <w:rPr>
          <w:rFonts w:ascii="Times New Roman" w:hAnsi="Times New Roman" w:cs="Times New Roman"/>
          <w:color w:val="auto"/>
          <w:sz w:val="28"/>
          <w:szCs w:val="28"/>
          <w:lang w:val="en-SG"/>
        </w:rPr>
        <w:t>Dự thảo Thông tư được xây dựng theo hướng tăng cường phân quyền, phân cấp cho các địa phương</w:t>
      </w:r>
      <w:r w:rsidR="009E710C" w:rsidRPr="00150965">
        <w:rPr>
          <w:rFonts w:ascii="Times New Roman" w:hAnsi="Times New Roman" w:cs="Times New Roman"/>
          <w:color w:val="auto"/>
          <w:sz w:val="28"/>
          <w:szCs w:val="28"/>
          <w:lang w:val="en-SG"/>
        </w:rPr>
        <w:t xml:space="preserve"> liên quan đến hóa chất cần kiểm soát đặc biệt nhóm II</w:t>
      </w:r>
      <w:r w:rsidRPr="00150965">
        <w:rPr>
          <w:rFonts w:ascii="Times New Roman" w:hAnsi="Times New Roman" w:cs="Times New Roman"/>
          <w:color w:val="auto"/>
          <w:sz w:val="28"/>
          <w:szCs w:val="28"/>
          <w:lang w:val="en-SG"/>
        </w:rPr>
        <w:t xml:space="preserve"> nhằm phát huy tính chủ động, sáng tạo của cơ quan quản lý nhà nước các cấp trong tổ chức triển khai </w:t>
      </w:r>
      <w:r w:rsidR="009E710C" w:rsidRPr="00150965">
        <w:rPr>
          <w:rFonts w:ascii="Times New Roman" w:hAnsi="Times New Roman" w:cs="Times New Roman"/>
          <w:color w:val="auto"/>
          <w:sz w:val="28"/>
          <w:szCs w:val="28"/>
          <w:lang w:val="en-SG"/>
        </w:rPr>
        <w:t xml:space="preserve">quản lý hoạt đống hóa chất. </w:t>
      </w:r>
      <w:r w:rsidRPr="00150965">
        <w:rPr>
          <w:rFonts w:ascii="Times New Roman" w:hAnsi="Times New Roman" w:cs="Times New Roman"/>
          <w:color w:val="auto"/>
          <w:sz w:val="28"/>
          <w:szCs w:val="28"/>
          <w:lang w:val="en-SG"/>
        </w:rPr>
        <w:t xml:space="preserve">Theo đó, dự thảo Thông tư quy định rõ trách nhiệm, thẩm quyền của </w:t>
      </w:r>
      <w:r w:rsidR="009E710C" w:rsidRPr="00150965">
        <w:rPr>
          <w:rFonts w:ascii="Times New Roman" w:hAnsi="Times New Roman" w:cs="Times New Roman"/>
          <w:color w:val="auto"/>
          <w:sz w:val="28"/>
          <w:szCs w:val="28"/>
          <w:lang w:val="en-SG"/>
        </w:rPr>
        <w:t>Ủy ban nhân dân cấp tỉnh</w:t>
      </w:r>
      <w:r w:rsidRPr="00150965">
        <w:rPr>
          <w:rFonts w:ascii="Times New Roman" w:hAnsi="Times New Roman" w:cs="Times New Roman"/>
          <w:color w:val="auto"/>
          <w:sz w:val="28"/>
          <w:szCs w:val="28"/>
          <w:lang w:val="en-SG"/>
        </w:rPr>
        <w:t>. Việc phân định cụ thể này giúp giảm chồng chéo, nâng cao hiệu quả phối hợp, đồng thời tạo điều kiện cho các địa phương chủ động bố trí nguồn lực, lựa chọn hình thức và thời điểm bình chọn phù hợp với thực tế.</w:t>
      </w:r>
    </w:p>
    <w:p w14:paraId="4BB78129" w14:textId="708A3C27" w:rsidR="009E710C" w:rsidRPr="00150965" w:rsidRDefault="009D5454" w:rsidP="009D5454">
      <w:pPr>
        <w:spacing w:before="120"/>
        <w:ind w:firstLine="720"/>
        <w:jc w:val="both"/>
        <w:rPr>
          <w:rFonts w:ascii="Times New Roman" w:hAnsi="Times New Roman" w:cs="Times New Roman"/>
          <w:color w:val="auto"/>
          <w:sz w:val="28"/>
          <w:szCs w:val="28"/>
          <w:lang w:val="en-SG"/>
        </w:rPr>
      </w:pPr>
      <w:r w:rsidRPr="00150965">
        <w:rPr>
          <w:rFonts w:ascii="Times New Roman" w:hAnsi="Times New Roman" w:cs="Times New Roman"/>
          <w:color w:val="auto"/>
          <w:sz w:val="28"/>
          <w:szCs w:val="28"/>
          <w:lang w:val="en-SG"/>
        </w:rPr>
        <w:t>Bên cạnh đó, dự thảo Thông tư quy định trách nhiệm của Bộ Công T</w:t>
      </w:r>
      <w:r w:rsidR="00EC22F4" w:rsidRPr="00150965">
        <w:rPr>
          <w:rFonts w:ascii="Times New Roman" w:hAnsi="Times New Roman" w:cs="Times New Roman"/>
          <w:color w:val="auto"/>
          <w:sz w:val="28"/>
          <w:szCs w:val="28"/>
          <w:lang w:val="en-SG"/>
        </w:rPr>
        <w:t>h</w:t>
      </w:r>
      <w:r w:rsidRPr="00150965">
        <w:rPr>
          <w:rFonts w:ascii="Times New Roman" w:hAnsi="Times New Roman" w:cs="Times New Roman"/>
          <w:color w:val="auto"/>
          <w:sz w:val="28"/>
          <w:szCs w:val="28"/>
          <w:lang w:val="en-SG"/>
        </w:rPr>
        <w:t xml:space="preserve">ương </w:t>
      </w:r>
      <w:r w:rsidR="009E710C" w:rsidRPr="00150965">
        <w:rPr>
          <w:rFonts w:ascii="Times New Roman" w:hAnsi="Times New Roman" w:cs="Times New Roman"/>
          <w:color w:val="auto"/>
          <w:sz w:val="28"/>
          <w:szCs w:val="28"/>
          <w:lang w:val="en-SG"/>
        </w:rPr>
        <w:t>và các đơn vị trong Bộ để thực hiện các quy định quản lý nhà nước trong hoạt động hóa chất.</w:t>
      </w:r>
    </w:p>
    <w:p w14:paraId="253F77D2" w14:textId="77777777" w:rsidR="00D61D4A" w:rsidRPr="00150965" w:rsidRDefault="00D61D4A" w:rsidP="0020571E">
      <w:pPr>
        <w:spacing w:before="120"/>
        <w:ind w:firstLine="720"/>
        <w:jc w:val="both"/>
        <w:rPr>
          <w:rFonts w:ascii="Times New Roman" w:hAnsi="Times New Roman" w:cs="Times New Roman"/>
          <w:b/>
          <w:bCs/>
          <w:color w:val="auto"/>
          <w:sz w:val="28"/>
          <w:szCs w:val="28"/>
          <w:lang w:val="en-US"/>
        </w:rPr>
      </w:pPr>
      <w:r w:rsidRPr="00150965">
        <w:rPr>
          <w:rFonts w:ascii="Times New Roman" w:hAnsi="Times New Roman" w:cs="Times New Roman"/>
          <w:b/>
          <w:bCs/>
          <w:color w:val="auto"/>
          <w:sz w:val="28"/>
          <w:szCs w:val="28"/>
          <w:lang w:val="en-US"/>
        </w:rPr>
        <w:t>3. Việc ứng dụng, thúc đẩy phát triển khoa học, công nghệ, đổi mới sáng tạo và chuyển đổi số</w:t>
      </w:r>
    </w:p>
    <w:p w14:paraId="0232A546" w14:textId="49BB8E93" w:rsidR="009E710C" w:rsidRPr="00150965" w:rsidRDefault="009D5454" w:rsidP="009D5454">
      <w:pPr>
        <w:spacing w:before="120"/>
        <w:ind w:firstLine="720"/>
        <w:jc w:val="both"/>
        <w:rPr>
          <w:rFonts w:ascii="Times New Roman" w:hAnsi="Times New Roman" w:cs="Times New Roman"/>
          <w:color w:val="auto"/>
          <w:sz w:val="28"/>
          <w:szCs w:val="28"/>
          <w:lang w:val="en-SG"/>
        </w:rPr>
      </w:pPr>
      <w:r w:rsidRPr="00150965">
        <w:rPr>
          <w:rFonts w:ascii="Times New Roman" w:hAnsi="Times New Roman" w:cs="Times New Roman"/>
          <w:color w:val="auto"/>
          <w:sz w:val="28"/>
          <w:szCs w:val="28"/>
          <w:lang w:val="en-SG"/>
        </w:rPr>
        <w:t>Dự thảo Thông tư được xây dựng theo hướng tăng cường ứng dụng khoa học, công nghệ và chuyển đổi số</w:t>
      </w:r>
      <w:r w:rsidR="009E710C" w:rsidRPr="00150965">
        <w:rPr>
          <w:rFonts w:ascii="Times New Roman" w:hAnsi="Times New Roman" w:cs="Times New Roman"/>
          <w:color w:val="auto"/>
          <w:sz w:val="28"/>
          <w:szCs w:val="28"/>
          <w:lang w:val="en-SG"/>
        </w:rPr>
        <w:t xml:space="preserve">, tăng cường triển khai các thông tin trên cơ sở dữ liệu hóa chất chuyên ngành thông qua web </w:t>
      </w:r>
      <w:hyperlink r:id="rId10" w:history="1">
        <w:r w:rsidR="009E710C" w:rsidRPr="00150965">
          <w:rPr>
            <w:rStyle w:val="Hyperlink"/>
            <w:rFonts w:ascii="Times New Roman" w:hAnsi="Times New Roman" w:cs="Times New Roman"/>
            <w:color w:val="auto"/>
            <w:sz w:val="28"/>
            <w:szCs w:val="28"/>
            <w:lang w:val="en-SG"/>
          </w:rPr>
          <w:t>https://chemicaldata.gov.vn.</w:t>
        </w:r>
      </w:hyperlink>
      <w:r w:rsidR="009E710C" w:rsidRPr="00150965">
        <w:rPr>
          <w:rFonts w:ascii="Times New Roman" w:hAnsi="Times New Roman" w:cs="Times New Roman"/>
          <w:color w:val="auto"/>
          <w:sz w:val="28"/>
          <w:szCs w:val="28"/>
          <w:lang w:val="en-SG"/>
        </w:rPr>
        <w:t xml:space="preserve"> Các thủ tục hành chính liên quan đến xuất, nhập khẩu sẽ được triển khai qua </w:t>
      </w:r>
      <w:r w:rsidR="009E710C" w:rsidRPr="00150965">
        <w:rPr>
          <w:rFonts w:ascii="Times New Roman" w:hAnsi="Times New Roman" w:cs="Times New Roman"/>
          <w:color w:val="auto"/>
          <w:sz w:val="28"/>
          <w:szCs w:val="28"/>
          <w:lang w:val="en-US"/>
        </w:rPr>
        <w:t>cổng thông tin một cửa quốc gia.</w:t>
      </w:r>
    </w:p>
    <w:p w14:paraId="74F23827" w14:textId="48F0F5ED" w:rsidR="009E710C" w:rsidRPr="00150965" w:rsidRDefault="009D5454" w:rsidP="009E710C">
      <w:pPr>
        <w:spacing w:before="120"/>
        <w:ind w:firstLine="720"/>
        <w:jc w:val="both"/>
        <w:rPr>
          <w:rFonts w:ascii="Times New Roman" w:hAnsi="Times New Roman" w:cs="Times New Roman"/>
          <w:color w:val="auto"/>
          <w:sz w:val="28"/>
          <w:szCs w:val="28"/>
          <w:lang w:val="en-SG"/>
        </w:rPr>
      </w:pPr>
      <w:r w:rsidRPr="00150965">
        <w:rPr>
          <w:rFonts w:ascii="Times New Roman" w:hAnsi="Times New Roman" w:cs="Times New Roman"/>
          <w:color w:val="auto"/>
          <w:sz w:val="28"/>
          <w:szCs w:val="28"/>
          <w:lang w:val="en-SG"/>
        </w:rPr>
        <w:t xml:space="preserve"> Thông qua các quy định này, dự thảo Thông tư </w:t>
      </w:r>
      <w:r w:rsidR="009E710C" w:rsidRPr="00150965">
        <w:rPr>
          <w:rFonts w:ascii="Times New Roman" w:hAnsi="Times New Roman" w:cs="Times New Roman"/>
          <w:color w:val="auto"/>
          <w:sz w:val="28"/>
          <w:szCs w:val="28"/>
          <w:lang w:val="en-SG"/>
        </w:rPr>
        <w:t>ngoài hướng dẫn các quy định pháp luật trong hoạt động hóa chất, còn</w:t>
      </w:r>
      <w:r w:rsidRPr="00150965">
        <w:rPr>
          <w:rFonts w:ascii="Times New Roman" w:hAnsi="Times New Roman" w:cs="Times New Roman"/>
          <w:color w:val="auto"/>
          <w:sz w:val="28"/>
          <w:szCs w:val="28"/>
          <w:lang w:val="en-SG"/>
        </w:rPr>
        <w:t xml:space="preserve"> tạo hành lang pháp lý thuận lợi cho việc ứng dụng khoa h</w:t>
      </w:r>
      <w:r w:rsidR="009E710C" w:rsidRPr="00150965">
        <w:rPr>
          <w:rFonts w:ascii="Times New Roman" w:hAnsi="Times New Roman" w:cs="Times New Roman"/>
          <w:color w:val="auto"/>
          <w:sz w:val="28"/>
          <w:szCs w:val="28"/>
          <w:lang w:val="en-SG"/>
        </w:rPr>
        <w:t>ọc và công nghệ trong hoạt động, quản lý hóa chất.</w:t>
      </w:r>
    </w:p>
    <w:p w14:paraId="3D9FF141" w14:textId="1601C364" w:rsidR="0020571E" w:rsidRPr="00150965" w:rsidRDefault="0020571E" w:rsidP="0020571E">
      <w:pPr>
        <w:spacing w:before="120"/>
        <w:ind w:firstLine="720"/>
        <w:jc w:val="both"/>
        <w:rPr>
          <w:rFonts w:ascii="Times New Roman" w:hAnsi="Times New Roman" w:cs="Times New Roman"/>
          <w:b/>
          <w:bCs/>
          <w:color w:val="auto"/>
          <w:sz w:val="28"/>
          <w:szCs w:val="28"/>
        </w:rPr>
      </w:pPr>
      <w:r w:rsidRPr="00150965">
        <w:rPr>
          <w:rFonts w:ascii="Times New Roman" w:hAnsi="Times New Roman" w:cs="Times New Roman"/>
          <w:b/>
          <w:bCs/>
          <w:color w:val="auto"/>
          <w:sz w:val="28"/>
          <w:szCs w:val="28"/>
        </w:rPr>
        <w:t xml:space="preserve">3. Việc bảo đảm bình đẳng giới </w:t>
      </w:r>
    </w:p>
    <w:p w14:paraId="168001E2" w14:textId="16E980A4" w:rsidR="00D61D4A" w:rsidRPr="00150965" w:rsidRDefault="00D61D4A" w:rsidP="00D61D4A">
      <w:pPr>
        <w:spacing w:before="120"/>
        <w:ind w:firstLine="720"/>
        <w:jc w:val="both"/>
        <w:rPr>
          <w:rFonts w:ascii="Times New Roman" w:hAnsi="Times New Roman" w:cs="Times New Roman"/>
          <w:iCs/>
          <w:color w:val="auto"/>
          <w:sz w:val="28"/>
          <w:szCs w:val="28"/>
          <w:lang w:val="en-US"/>
        </w:rPr>
      </w:pPr>
      <w:r w:rsidRPr="00150965">
        <w:rPr>
          <w:rFonts w:ascii="Times New Roman" w:hAnsi="Times New Roman" w:cs="Times New Roman"/>
          <w:color w:val="auto"/>
          <w:sz w:val="28"/>
          <w:szCs w:val="28"/>
        </w:rPr>
        <w:t xml:space="preserve">Qua rà soát nội dung của dự thảo </w:t>
      </w:r>
      <w:r w:rsidRPr="00150965">
        <w:rPr>
          <w:rFonts w:ascii="Times New Roman" w:hAnsi="Times New Roman" w:cs="Times New Roman"/>
          <w:color w:val="auto"/>
          <w:sz w:val="28"/>
          <w:szCs w:val="28"/>
          <w:lang w:val="en-US"/>
        </w:rPr>
        <w:t>Thông tư</w:t>
      </w:r>
      <w:r w:rsidRPr="00150965">
        <w:rPr>
          <w:rFonts w:ascii="Times New Roman" w:hAnsi="Times New Roman" w:cs="Times New Roman"/>
          <w:color w:val="auto"/>
          <w:sz w:val="28"/>
          <w:szCs w:val="28"/>
        </w:rPr>
        <w:t xml:space="preserve"> cho thấy</w:t>
      </w:r>
      <w:r w:rsidRPr="00150965">
        <w:rPr>
          <w:rFonts w:ascii="Times New Roman" w:hAnsi="Times New Roman" w:cs="Times New Roman"/>
          <w:color w:val="auto"/>
          <w:sz w:val="28"/>
          <w:szCs w:val="28"/>
          <w:lang w:val="en-US"/>
        </w:rPr>
        <w:t xml:space="preserve"> </w:t>
      </w:r>
      <w:r w:rsidRPr="00150965">
        <w:rPr>
          <w:rFonts w:ascii="Times New Roman" w:hAnsi="Times New Roman" w:cs="Times New Roman"/>
          <w:color w:val="auto"/>
          <w:sz w:val="28"/>
          <w:szCs w:val="28"/>
        </w:rPr>
        <w:t xml:space="preserve">đã đáp ứng các nguyên tắc bình đẳng giới, theo đó bảo đảm nam, nữ bình đẳng trong việc </w:t>
      </w:r>
      <w:r w:rsidRPr="00150965">
        <w:rPr>
          <w:rFonts w:ascii="Times New Roman" w:hAnsi="Times New Roman" w:cs="Times New Roman"/>
          <w:color w:val="auto"/>
          <w:sz w:val="28"/>
          <w:szCs w:val="28"/>
          <w:lang w:val="en-US"/>
        </w:rPr>
        <w:t>tham gia bình chọn sản phẩm công nghiệp nông thôn tiêu biểu các cấp</w:t>
      </w:r>
      <w:r w:rsidRPr="00150965">
        <w:rPr>
          <w:rFonts w:ascii="Times New Roman" w:hAnsi="Times New Roman" w:cs="Times New Roman"/>
          <w:color w:val="auto"/>
          <w:sz w:val="28"/>
          <w:szCs w:val="28"/>
        </w:rPr>
        <w:t xml:space="preserve">. Các quy định trong dự thảo </w:t>
      </w:r>
      <w:r w:rsidRPr="00150965">
        <w:rPr>
          <w:rFonts w:ascii="Times New Roman" w:hAnsi="Times New Roman" w:cs="Times New Roman"/>
          <w:color w:val="auto"/>
          <w:sz w:val="28"/>
          <w:szCs w:val="28"/>
          <w:lang w:val="en-US"/>
        </w:rPr>
        <w:t>Thông tư</w:t>
      </w:r>
      <w:r w:rsidRPr="00150965">
        <w:rPr>
          <w:rFonts w:ascii="Times New Roman" w:hAnsi="Times New Roman" w:cs="Times New Roman"/>
          <w:color w:val="auto"/>
          <w:sz w:val="28"/>
          <w:szCs w:val="28"/>
        </w:rPr>
        <w:t xml:space="preserve"> không ảnh hưởng đến cơ hội, điều kiện, năng lực thực hiện và việc thụ hưởng các quyền, lợi ích của mỗi giới</w:t>
      </w:r>
      <w:r w:rsidRPr="00150965">
        <w:rPr>
          <w:rFonts w:ascii="Times New Roman" w:hAnsi="Times New Roman" w:cs="Times New Roman"/>
          <w:color w:val="auto"/>
          <w:sz w:val="28"/>
          <w:szCs w:val="28"/>
          <w:lang w:val="en-US"/>
        </w:rPr>
        <w:t>.</w:t>
      </w:r>
    </w:p>
    <w:p w14:paraId="7AF7C309" w14:textId="798C031C" w:rsidR="0020571E" w:rsidRPr="00150965" w:rsidRDefault="0020571E" w:rsidP="0020571E">
      <w:pPr>
        <w:spacing w:before="120"/>
        <w:ind w:firstLine="720"/>
        <w:rPr>
          <w:rFonts w:ascii="Times New Roman" w:hAnsi="Times New Roman" w:cs="Times New Roman"/>
          <w:b/>
          <w:bCs/>
          <w:color w:val="auto"/>
          <w:sz w:val="28"/>
          <w:szCs w:val="28"/>
        </w:rPr>
      </w:pPr>
      <w:r w:rsidRPr="00150965">
        <w:rPr>
          <w:rFonts w:ascii="Times New Roman" w:hAnsi="Times New Roman" w:cs="Times New Roman"/>
          <w:b/>
          <w:bCs/>
          <w:color w:val="auto"/>
          <w:sz w:val="28"/>
          <w:szCs w:val="28"/>
        </w:rPr>
        <w:t xml:space="preserve">4. Việc thực hiện chính sách dân tộc </w:t>
      </w:r>
    </w:p>
    <w:p w14:paraId="63472D13" w14:textId="70023305" w:rsidR="00310C58" w:rsidRPr="00150965" w:rsidRDefault="00310C58" w:rsidP="00310C58">
      <w:pPr>
        <w:spacing w:before="120"/>
        <w:ind w:firstLine="720"/>
        <w:jc w:val="both"/>
        <w:rPr>
          <w:rFonts w:ascii="Times New Roman" w:hAnsi="Times New Roman" w:cs="Times New Roman"/>
          <w:color w:val="auto"/>
          <w:sz w:val="28"/>
          <w:szCs w:val="28"/>
          <w:lang w:val="en-SG"/>
        </w:rPr>
      </w:pPr>
      <w:r w:rsidRPr="00150965">
        <w:rPr>
          <w:rFonts w:ascii="Times New Roman" w:hAnsi="Times New Roman" w:cs="Times New Roman"/>
          <w:color w:val="auto"/>
          <w:sz w:val="28"/>
          <w:szCs w:val="28"/>
        </w:rPr>
        <w:t xml:space="preserve">Qua rà soát nội dung của dự thảo </w:t>
      </w:r>
      <w:r w:rsidRPr="00150965">
        <w:rPr>
          <w:rFonts w:ascii="Times New Roman" w:hAnsi="Times New Roman" w:cs="Times New Roman"/>
          <w:color w:val="auto"/>
          <w:sz w:val="28"/>
          <w:szCs w:val="28"/>
          <w:lang w:val="en-US"/>
        </w:rPr>
        <w:t>Thông tư</w:t>
      </w:r>
      <w:r w:rsidRPr="00150965">
        <w:rPr>
          <w:rFonts w:ascii="Times New Roman" w:hAnsi="Times New Roman" w:cs="Times New Roman"/>
          <w:color w:val="auto"/>
          <w:sz w:val="28"/>
          <w:szCs w:val="28"/>
        </w:rPr>
        <w:t xml:space="preserve"> </w:t>
      </w:r>
      <w:r w:rsidRPr="00150965">
        <w:rPr>
          <w:rFonts w:ascii="Times New Roman" w:hAnsi="Times New Roman" w:cs="Times New Roman"/>
          <w:color w:val="auto"/>
          <w:sz w:val="28"/>
          <w:szCs w:val="28"/>
          <w:lang w:val="en-SG"/>
        </w:rPr>
        <w:t>được xây dựng trên cơ sở bảo đảm thực hiện đầy đủ chủ trương, chính sách của Đảng và Nhà nước về công tác dân tộc, phát triển kinh tế - xã hội vùng đồng bào dân tộc thiểu số và miền núi.</w:t>
      </w:r>
    </w:p>
    <w:p w14:paraId="3C991F26" w14:textId="77777777" w:rsidR="00310C58" w:rsidRPr="00150965" w:rsidRDefault="00310C58" w:rsidP="00E64363">
      <w:pPr>
        <w:spacing w:before="120"/>
        <w:ind w:firstLine="720"/>
        <w:jc w:val="both"/>
        <w:rPr>
          <w:rFonts w:ascii="Times New Roman" w:hAnsi="Times New Roman" w:cs="Times New Roman"/>
          <w:color w:val="auto"/>
          <w:sz w:val="28"/>
          <w:szCs w:val="28"/>
          <w:lang w:val="en-SG"/>
        </w:rPr>
      </w:pPr>
      <w:r w:rsidRPr="00150965">
        <w:rPr>
          <w:rFonts w:ascii="Times New Roman" w:hAnsi="Times New Roman" w:cs="Times New Roman"/>
          <w:color w:val="auto"/>
          <w:sz w:val="28"/>
          <w:szCs w:val="28"/>
          <w:lang w:val="en-SG"/>
        </w:rPr>
        <w:t xml:space="preserve">Các quy định trong dự thảo Thông tư không tạo ra sự phân biệt đối xử, bảo đảm bình đẳng trong tiếp cận thông tin, tham gia và thụ hưởng quyền lợi của các tổ chức, cá nhân thuộc vùng dân tộc thiểu số. </w:t>
      </w:r>
    </w:p>
    <w:p w14:paraId="27C7851E" w14:textId="1F615716" w:rsidR="00E64363" w:rsidRPr="00150965" w:rsidRDefault="00E64363" w:rsidP="00150965">
      <w:pPr>
        <w:spacing w:before="120"/>
        <w:ind w:right="282" w:firstLine="720"/>
        <w:jc w:val="both"/>
        <w:rPr>
          <w:rFonts w:ascii="Times New Roman" w:hAnsi="Times New Roman" w:cs="Times New Roman"/>
          <w:color w:val="auto"/>
          <w:sz w:val="28"/>
          <w:szCs w:val="28"/>
          <w:lang w:val="en-US"/>
        </w:rPr>
      </w:pPr>
      <w:r w:rsidRPr="00150965">
        <w:rPr>
          <w:rFonts w:ascii="Times New Roman" w:hAnsi="Times New Roman" w:cs="Times New Roman"/>
          <w:color w:val="auto"/>
          <w:sz w:val="28"/>
          <w:szCs w:val="28"/>
          <w:highlight w:val="white"/>
          <w:lang w:val="en"/>
        </w:rPr>
        <w:t xml:space="preserve">Trên đây là </w:t>
      </w:r>
      <w:r w:rsidRPr="00150965">
        <w:rPr>
          <w:rFonts w:ascii="Times New Roman" w:hAnsi="Times New Roman" w:cs="Times New Roman"/>
          <w:color w:val="auto"/>
          <w:sz w:val="28"/>
          <w:szCs w:val="28"/>
        </w:rPr>
        <w:t xml:space="preserve">bản đánh giá thủ tục hành chính, việc phân quyền, phân </w:t>
      </w:r>
      <w:r w:rsidRPr="00150965">
        <w:rPr>
          <w:rFonts w:ascii="Times New Roman" w:hAnsi="Times New Roman" w:cs="Times New Roman"/>
          <w:color w:val="auto"/>
          <w:sz w:val="28"/>
          <w:szCs w:val="28"/>
        </w:rPr>
        <w:lastRenderedPageBreak/>
        <w:t xml:space="preserve">cấp, </w:t>
      </w:r>
      <w:r w:rsidRPr="00150965">
        <w:rPr>
          <w:rFonts w:ascii="Times New Roman" w:hAnsi="Times New Roman" w:cs="Times New Roman"/>
          <w:color w:val="auto"/>
          <w:sz w:val="28"/>
          <w:szCs w:val="28"/>
          <w:lang w:val="en-US"/>
        </w:rPr>
        <w:t xml:space="preserve">việc ứng dụng, thúc đẩy phát triển khoa học, công nghệ, đổi mới sáng tạo và chuyển đổi số, </w:t>
      </w:r>
      <w:r w:rsidRPr="00150965">
        <w:rPr>
          <w:rFonts w:ascii="Times New Roman" w:hAnsi="Times New Roman" w:cs="Times New Roman"/>
          <w:color w:val="auto"/>
          <w:sz w:val="28"/>
          <w:szCs w:val="28"/>
        </w:rPr>
        <w:t>bảo đảm bình đẳng giới, việc thực hiện chính sách dân tộc trong dự thảo thông tư quy định</w:t>
      </w:r>
      <w:r w:rsidR="00150965" w:rsidRPr="00150965">
        <w:rPr>
          <w:rFonts w:ascii="Times New Roman" w:hAnsi="Times New Roman" w:cs="Times New Roman"/>
          <w:color w:val="auto"/>
          <w:sz w:val="28"/>
          <w:szCs w:val="28"/>
          <w:lang w:val="en-US"/>
        </w:rPr>
        <w:t xml:space="preserve"> </w:t>
      </w:r>
      <w:r w:rsidR="00150965" w:rsidRPr="00150965">
        <w:rPr>
          <w:rFonts w:ascii="Times New Roman" w:hAnsi="Times New Roman" w:cs="Times New Roman"/>
          <w:color w:val="auto"/>
          <w:sz w:val="28"/>
          <w:szCs w:val="28"/>
        </w:rPr>
        <w:t>Thông tư</w:t>
      </w:r>
      <w:r w:rsidR="00150965" w:rsidRPr="00150965">
        <w:rPr>
          <w:rFonts w:ascii="Times New Roman" w:hAnsi="Times New Roman" w:cs="Times New Roman"/>
          <w:color w:val="auto"/>
          <w:sz w:val="28"/>
          <w:szCs w:val="28"/>
          <w:lang w:val="en-SG"/>
        </w:rPr>
        <w:t xml:space="preserve"> </w:t>
      </w:r>
      <w:r w:rsidR="00150965" w:rsidRPr="00150965">
        <w:rPr>
          <w:rFonts w:ascii="Times New Roman" w:hAnsi="Times New Roman" w:cs="Times New Roman"/>
          <w:bCs/>
          <w:color w:val="auto"/>
          <w:sz w:val="28"/>
          <w:szCs w:val="28"/>
        </w:rPr>
        <w:t>quy định</w:t>
      </w:r>
      <w:r w:rsidR="00150965" w:rsidRPr="00150965">
        <w:rPr>
          <w:rFonts w:ascii="Times New Roman" w:hAnsi="Times New Roman" w:cs="Times New Roman"/>
          <w:bCs/>
          <w:color w:val="auto"/>
          <w:sz w:val="28"/>
          <w:szCs w:val="28"/>
          <w:lang w:val="en-US"/>
        </w:rPr>
        <w:t xml:space="preserve"> chi tiết và hướng dẫn thi hành một số điều của Luật Hóa chất về quản lý hóa chất theo vòng đời và quản lý hóa chất trong sản phẩm , Cục Hóa chất trân trọng báo cáo Bộ trưởng</w:t>
      </w:r>
      <w:r w:rsidRPr="00150965">
        <w:rPr>
          <w:rFonts w:ascii="Times New Roman" w:hAnsi="Times New Roman" w:cs="Times New Roman"/>
          <w:bCs/>
          <w:color w:val="auto"/>
          <w:sz w:val="28"/>
          <w:szCs w:val="28"/>
          <w:lang w:val="en-US"/>
        </w:rPr>
        <w:t>./.</w:t>
      </w:r>
    </w:p>
    <w:tbl>
      <w:tblPr>
        <w:tblW w:w="9208" w:type="dxa"/>
        <w:tblLook w:val="01E0" w:firstRow="1" w:lastRow="1" w:firstColumn="1" w:lastColumn="1" w:noHBand="0" w:noVBand="0"/>
      </w:tblPr>
      <w:tblGrid>
        <w:gridCol w:w="4928"/>
        <w:gridCol w:w="4280"/>
      </w:tblGrid>
      <w:tr w:rsidR="00150965" w:rsidRPr="00150965" w14:paraId="33A05926" w14:textId="77777777" w:rsidTr="00CD25C5">
        <w:tc>
          <w:tcPr>
            <w:tcW w:w="4928" w:type="dxa"/>
          </w:tcPr>
          <w:p w14:paraId="7F255964" w14:textId="77777777" w:rsidR="007A3128" w:rsidRPr="00150965" w:rsidRDefault="007A3128" w:rsidP="00CD25C5">
            <w:pPr>
              <w:jc w:val="both"/>
              <w:rPr>
                <w:rFonts w:ascii="Times New Roman" w:hAnsi="Times New Roman" w:cs="Times New Roman"/>
                <w:b/>
                <w:bCs/>
                <w:i/>
                <w:iCs/>
                <w:color w:val="auto"/>
                <w:spacing w:val="-2"/>
              </w:rPr>
            </w:pPr>
          </w:p>
          <w:p w14:paraId="28C0CFD7" w14:textId="2988C61F" w:rsidR="007A3128" w:rsidRPr="00150965" w:rsidRDefault="007A3128" w:rsidP="00CD25C5">
            <w:pPr>
              <w:jc w:val="both"/>
              <w:rPr>
                <w:rFonts w:ascii="Times New Roman" w:hAnsi="Times New Roman" w:cs="Times New Roman"/>
                <w:b/>
                <w:bCs/>
                <w:i/>
                <w:iCs/>
                <w:color w:val="auto"/>
                <w:spacing w:val="-2"/>
              </w:rPr>
            </w:pPr>
            <w:r w:rsidRPr="00150965">
              <w:rPr>
                <w:rFonts w:ascii="Times New Roman" w:hAnsi="Times New Roman" w:cs="Times New Roman"/>
                <w:b/>
                <w:bCs/>
                <w:i/>
                <w:iCs/>
                <w:color w:val="auto"/>
                <w:spacing w:val="-2"/>
              </w:rPr>
              <w:t>Nơi nhận:</w:t>
            </w:r>
          </w:p>
          <w:p w14:paraId="07F22FE5" w14:textId="77777777" w:rsidR="007A3128" w:rsidRPr="00150965" w:rsidRDefault="007A3128" w:rsidP="00CD25C5">
            <w:pPr>
              <w:jc w:val="both"/>
              <w:rPr>
                <w:rFonts w:ascii="Times New Roman" w:hAnsi="Times New Roman" w:cs="Times New Roman"/>
                <w:color w:val="auto"/>
                <w:spacing w:val="-2"/>
                <w:sz w:val="22"/>
                <w:szCs w:val="22"/>
              </w:rPr>
            </w:pPr>
            <w:r w:rsidRPr="00150965">
              <w:rPr>
                <w:rFonts w:ascii="Times New Roman" w:hAnsi="Times New Roman" w:cs="Times New Roman"/>
                <w:color w:val="auto"/>
                <w:spacing w:val="-2"/>
                <w:sz w:val="22"/>
                <w:szCs w:val="22"/>
              </w:rPr>
              <w:t>- Như trên;</w:t>
            </w:r>
          </w:p>
          <w:p w14:paraId="71240DEC" w14:textId="3DA98EA4" w:rsidR="007A3128" w:rsidRPr="00150965" w:rsidRDefault="007A3128" w:rsidP="00CD25C5">
            <w:pPr>
              <w:jc w:val="both"/>
              <w:rPr>
                <w:rFonts w:ascii="Times New Roman" w:hAnsi="Times New Roman" w:cs="Times New Roman"/>
                <w:color w:val="auto"/>
                <w:spacing w:val="-2"/>
                <w:sz w:val="22"/>
                <w:szCs w:val="22"/>
              </w:rPr>
            </w:pPr>
            <w:r w:rsidRPr="00150965">
              <w:rPr>
                <w:rFonts w:ascii="Times New Roman" w:hAnsi="Times New Roman" w:cs="Times New Roman"/>
                <w:color w:val="auto"/>
                <w:spacing w:val="-2"/>
                <w:sz w:val="22"/>
                <w:szCs w:val="22"/>
              </w:rPr>
              <w:t xml:space="preserve">- Thứ trưởng </w:t>
            </w:r>
            <w:r w:rsidR="00150965" w:rsidRPr="00150965">
              <w:rPr>
                <w:rFonts w:ascii="Times New Roman" w:hAnsi="Times New Roman" w:cs="Times New Roman"/>
                <w:color w:val="auto"/>
                <w:spacing w:val="-2"/>
                <w:sz w:val="22"/>
                <w:szCs w:val="22"/>
                <w:lang w:val="en-US"/>
              </w:rPr>
              <w:t>Trương Thanh Hoài</w:t>
            </w:r>
            <w:r w:rsidRPr="00150965">
              <w:rPr>
                <w:rFonts w:ascii="Times New Roman" w:hAnsi="Times New Roman" w:cs="Times New Roman"/>
                <w:color w:val="auto"/>
                <w:spacing w:val="-2"/>
                <w:sz w:val="22"/>
                <w:szCs w:val="22"/>
              </w:rPr>
              <w:t xml:space="preserve"> (để b/c);</w:t>
            </w:r>
          </w:p>
          <w:p w14:paraId="50779B59" w14:textId="4D5211E7" w:rsidR="007A3128" w:rsidRPr="00150965" w:rsidRDefault="00D57B7A" w:rsidP="00CD25C5">
            <w:pPr>
              <w:jc w:val="both"/>
              <w:rPr>
                <w:rFonts w:ascii="Times New Roman" w:hAnsi="Times New Roman" w:cs="Times New Roman"/>
                <w:color w:val="auto"/>
                <w:spacing w:val="-2"/>
                <w:sz w:val="28"/>
                <w:szCs w:val="28"/>
              </w:rPr>
            </w:pPr>
            <w:r>
              <w:rPr>
                <w:rFonts w:ascii="Times New Roman" w:hAnsi="Times New Roman" w:cs="Times New Roman"/>
                <w:color w:val="auto"/>
                <w:spacing w:val="-2"/>
                <w:sz w:val="22"/>
                <w:szCs w:val="22"/>
              </w:rPr>
              <w:t xml:space="preserve">- Lưu: VT, </w:t>
            </w:r>
            <w:r>
              <w:rPr>
                <w:rFonts w:ascii="Times New Roman" w:hAnsi="Times New Roman" w:cs="Times New Roman"/>
                <w:color w:val="auto"/>
                <w:spacing w:val="-2"/>
                <w:sz w:val="22"/>
                <w:szCs w:val="22"/>
                <w:lang w:val="en-US"/>
              </w:rPr>
              <w:t>HC</w:t>
            </w:r>
            <w:r w:rsidR="007A3128" w:rsidRPr="00150965">
              <w:rPr>
                <w:rFonts w:ascii="Times New Roman" w:hAnsi="Times New Roman" w:cs="Times New Roman"/>
                <w:color w:val="auto"/>
                <w:spacing w:val="-2"/>
                <w:sz w:val="22"/>
                <w:szCs w:val="22"/>
              </w:rPr>
              <w:t xml:space="preserve">; </w:t>
            </w:r>
            <w:r w:rsidR="007A3128" w:rsidRPr="00150965">
              <w:rPr>
                <w:rFonts w:ascii="Times New Roman" w:hAnsi="Times New Roman" w:cs="Times New Roman"/>
                <w:color w:val="auto"/>
                <w:spacing w:val="-2"/>
                <w:sz w:val="22"/>
                <w:szCs w:val="22"/>
                <w:lang w:val="en-US"/>
              </w:rPr>
              <w:t>……</w:t>
            </w:r>
            <w:r w:rsidR="007A3128" w:rsidRPr="00150965">
              <w:rPr>
                <w:rFonts w:ascii="Times New Roman" w:hAnsi="Times New Roman" w:cs="Times New Roman"/>
                <w:color w:val="auto"/>
                <w:spacing w:val="-2"/>
                <w:sz w:val="22"/>
                <w:szCs w:val="22"/>
              </w:rPr>
              <w:t xml:space="preserve">. </w:t>
            </w:r>
          </w:p>
        </w:tc>
        <w:tc>
          <w:tcPr>
            <w:tcW w:w="4280" w:type="dxa"/>
          </w:tcPr>
          <w:p w14:paraId="752B1B2D" w14:textId="77777777" w:rsidR="007D16A3" w:rsidRPr="00150965" w:rsidRDefault="007D16A3" w:rsidP="00CD25C5">
            <w:pPr>
              <w:keepNext/>
              <w:jc w:val="center"/>
              <w:outlineLvl w:val="6"/>
              <w:rPr>
                <w:rFonts w:ascii="Times New Roman" w:hAnsi="Times New Roman" w:cs="Times New Roman"/>
                <w:b/>
                <w:color w:val="auto"/>
                <w:sz w:val="28"/>
                <w:szCs w:val="28"/>
                <w:lang w:val="en-SG"/>
              </w:rPr>
            </w:pPr>
          </w:p>
          <w:p w14:paraId="178F8F95" w14:textId="5412ED6C" w:rsidR="007A3128" w:rsidRPr="00150965" w:rsidRDefault="007A3128" w:rsidP="00CD25C5">
            <w:pPr>
              <w:keepNext/>
              <w:jc w:val="center"/>
              <w:outlineLvl w:val="6"/>
              <w:rPr>
                <w:rFonts w:ascii="Times New Roman" w:hAnsi="Times New Roman" w:cs="Times New Roman"/>
                <w:b/>
                <w:color w:val="auto"/>
                <w:sz w:val="28"/>
                <w:szCs w:val="28"/>
              </w:rPr>
            </w:pPr>
            <w:r w:rsidRPr="00150965">
              <w:rPr>
                <w:rFonts w:ascii="Times New Roman" w:hAnsi="Times New Roman" w:cs="Times New Roman"/>
                <w:b/>
                <w:color w:val="auto"/>
                <w:sz w:val="28"/>
                <w:szCs w:val="28"/>
              </w:rPr>
              <w:t xml:space="preserve"> CỤC TRƯỞNG</w:t>
            </w:r>
          </w:p>
          <w:p w14:paraId="5A73787A" w14:textId="77777777" w:rsidR="007A3128" w:rsidRPr="00150965" w:rsidRDefault="007A3128" w:rsidP="00CD25C5">
            <w:pPr>
              <w:jc w:val="center"/>
              <w:rPr>
                <w:rFonts w:ascii="Times New Roman" w:hAnsi="Times New Roman" w:cs="Times New Roman"/>
                <w:b/>
                <w:color w:val="auto"/>
                <w:spacing w:val="-2"/>
                <w:sz w:val="28"/>
                <w:szCs w:val="26"/>
                <w:lang w:val="en-SG"/>
              </w:rPr>
            </w:pPr>
          </w:p>
          <w:p w14:paraId="56B94700" w14:textId="77777777" w:rsidR="007D16A3" w:rsidRPr="00150965" w:rsidRDefault="007D16A3" w:rsidP="00CD25C5">
            <w:pPr>
              <w:jc w:val="center"/>
              <w:rPr>
                <w:rFonts w:ascii="Times New Roman" w:hAnsi="Times New Roman" w:cs="Times New Roman"/>
                <w:b/>
                <w:color w:val="auto"/>
                <w:spacing w:val="-2"/>
                <w:sz w:val="26"/>
                <w:szCs w:val="26"/>
                <w:lang w:val="en-SG"/>
              </w:rPr>
            </w:pPr>
          </w:p>
          <w:p w14:paraId="19FC3D41" w14:textId="77777777" w:rsidR="007A3128" w:rsidRPr="00150965" w:rsidRDefault="007A3128" w:rsidP="00CD25C5">
            <w:pPr>
              <w:jc w:val="center"/>
              <w:rPr>
                <w:rFonts w:ascii="Times New Roman" w:hAnsi="Times New Roman" w:cs="Times New Roman"/>
                <w:b/>
                <w:color w:val="auto"/>
                <w:spacing w:val="-2"/>
                <w:sz w:val="28"/>
                <w:szCs w:val="28"/>
              </w:rPr>
            </w:pPr>
          </w:p>
          <w:p w14:paraId="7CC6955D" w14:textId="77777777" w:rsidR="007A3128" w:rsidRPr="00150965" w:rsidRDefault="007A3128" w:rsidP="00CD25C5">
            <w:pPr>
              <w:jc w:val="center"/>
              <w:rPr>
                <w:rFonts w:ascii="Times New Roman" w:hAnsi="Times New Roman" w:cs="Times New Roman"/>
                <w:b/>
                <w:color w:val="auto"/>
                <w:spacing w:val="-2"/>
                <w:sz w:val="28"/>
                <w:szCs w:val="28"/>
                <w:lang w:val="en-US"/>
              </w:rPr>
            </w:pPr>
          </w:p>
          <w:p w14:paraId="5EB194EA" w14:textId="77777777" w:rsidR="00212E2A" w:rsidRPr="00150965" w:rsidRDefault="00212E2A" w:rsidP="00CD25C5">
            <w:pPr>
              <w:jc w:val="center"/>
              <w:rPr>
                <w:rFonts w:ascii="Times New Roman" w:hAnsi="Times New Roman" w:cs="Times New Roman"/>
                <w:b/>
                <w:color w:val="auto"/>
                <w:spacing w:val="-2"/>
                <w:sz w:val="28"/>
                <w:szCs w:val="28"/>
                <w:lang w:val="en-US"/>
              </w:rPr>
            </w:pPr>
          </w:p>
          <w:p w14:paraId="695D1E2C" w14:textId="77777777" w:rsidR="007A3128" w:rsidRPr="00150965" w:rsidRDefault="007A3128" w:rsidP="00CD25C5">
            <w:pPr>
              <w:jc w:val="center"/>
              <w:rPr>
                <w:rFonts w:ascii="Times New Roman" w:hAnsi="Times New Roman" w:cs="Times New Roman"/>
                <w:b/>
                <w:color w:val="auto"/>
                <w:spacing w:val="-2"/>
                <w:sz w:val="28"/>
                <w:szCs w:val="28"/>
              </w:rPr>
            </w:pPr>
          </w:p>
          <w:p w14:paraId="345B74E6" w14:textId="0D8F8BEE" w:rsidR="007A3128" w:rsidRPr="00150965" w:rsidRDefault="00150965" w:rsidP="00CD25C5">
            <w:pPr>
              <w:keepNext/>
              <w:jc w:val="center"/>
              <w:outlineLvl w:val="4"/>
              <w:rPr>
                <w:rFonts w:ascii="Times New Roman" w:hAnsi="Times New Roman" w:cs="Times New Roman"/>
                <w:b/>
                <w:color w:val="auto"/>
                <w:sz w:val="28"/>
                <w:szCs w:val="28"/>
                <w:lang w:val="en-US"/>
              </w:rPr>
            </w:pPr>
            <w:r w:rsidRPr="00150965">
              <w:rPr>
                <w:rFonts w:ascii="Times New Roman" w:hAnsi="Times New Roman" w:cs="Times New Roman"/>
                <w:b/>
                <w:color w:val="auto"/>
                <w:sz w:val="28"/>
                <w:szCs w:val="28"/>
                <w:lang w:val="en-US"/>
              </w:rPr>
              <w:t>Phùng Mạnh Ngọc</w:t>
            </w:r>
          </w:p>
        </w:tc>
      </w:tr>
    </w:tbl>
    <w:p w14:paraId="0F985597" w14:textId="77777777" w:rsidR="0020571E" w:rsidRPr="00150965" w:rsidRDefault="0020571E" w:rsidP="00E42721">
      <w:pPr>
        <w:spacing w:before="120"/>
        <w:rPr>
          <w:rFonts w:ascii="Times New Roman" w:hAnsi="Times New Roman" w:cs="Times New Roman"/>
          <w:color w:val="auto"/>
          <w:sz w:val="20"/>
          <w:szCs w:val="20"/>
          <w:lang w:val="en-US"/>
        </w:rPr>
      </w:pPr>
    </w:p>
    <w:p w14:paraId="5771FC27" w14:textId="77777777" w:rsidR="0020571E" w:rsidRPr="00150965" w:rsidRDefault="0020571E" w:rsidP="00E42721">
      <w:pPr>
        <w:spacing w:before="120"/>
        <w:rPr>
          <w:rFonts w:ascii="Times New Roman" w:hAnsi="Times New Roman" w:cs="Times New Roman"/>
          <w:color w:val="auto"/>
          <w:sz w:val="20"/>
          <w:szCs w:val="20"/>
          <w:lang w:val="en-US"/>
        </w:rPr>
      </w:pPr>
    </w:p>
    <w:sectPr w:rsidR="0020571E" w:rsidRPr="00150965" w:rsidSect="005A14C1">
      <w:footerReference w:type="default" r:id="rId11"/>
      <w:pgSz w:w="11906" w:h="16838" w:code="9"/>
      <w:pgMar w:top="1134" w:right="1134" w:bottom="1134" w:left="1701" w:header="62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B9F8C" w14:textId="77777777" w:rsidR="002A2AE8" w:rsidRDefault="002A2AE8" w:rsidP="0067378B">
      <w:r>
        <w:separator/>
      </w:r>
    </w:p>
  </w:endnote>
  <w:endnote w:type="continuationSeparator" w:id="0">
    <w:p w14:paraId="5D53938B" w14:textId="77777777" w:rsidR="002A2AE8" w:rsidRDefault="002A2AE8" w:rsidP="0067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001215"/>
      <w:docPartObj>
        <w:docPartGallery w:val="Page Numbers (Bottom of Page)"/>
        <w:docPartUnique/>
      </w:docPartObj>
    </w:sdtPr>
    <w:sdtEndPr>
      <w:rPr>
        <w:noProof/>
      </w:rPr>
    </w:sdtEndPr>
    <w:sdtContent>
      <w:p w14:paraId="43564F87" w14:textId="6436FDD2" w:rsidR="00CD25C5" w:rsidRDefault="00CD25C5">
        <w:pPr>
          <w:pStyle w:val="Footer"/>
          <w:jc w:val="right"/>
        </w:pPr>
        <w:r>
          <w:fldChar w:fldCharType="begin"/>
        </w:r>
        <w:r>
          <w:instrText xml:space="preserve"> PAGE   \* MERGEFORMAT </w:instrText>
        </w:r>
        <w:r>
          <w:fldChar w:fldCharType="separate"/>
        </w:r>
        <w:r w:rsidR="00192007">
          <w:rPr>
            <w:noProof/>
          </w:rPr>
          <w:t>7</w:t>
        </w:r>
        <w:r>
          <w:rPr>
            <w:noProof/>
          </w:rPr>
          <w:fldChar w:fldCharType="end"/>
        </w:r>
      </w:p>
    </w:sdtContent>
  </w:sdt>
  <w:p w14:paraId="427260BB" w14:textId="77777777" w:rsidR="00CD25C5" w:rsidRDefault="00CD2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26A10" w14:textId="77777777" w:rsidR="002A2AE8" w:rsidRDefault="002A2AE8" w:rsidP="0067378B">
      <w:r>
        <w:separator/>
      </w:r>
    </w:p>
  </w:footnote>
  <w:footnote w:type="continuationSeparator" w:id="0">
    <w:p w14:paraId="727E8771" w14:textId="77777777" w:rsidR="002A2AE8" w:rsidRDefault="002A2AE8" w:rsidP="006737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5BDE"/>
    <w:multiLevelType w:val="multilevel"/>
    <w:tmpl w:val="18AE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AC4DED"/>
    <w:multiLevelType w:val="multilevel"/>
    <w:tmpl w:val="A9F2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3323C4"/>
    <w:multiLevelType w:val="multilevel"/>
    <w:tmpl w:val="BE8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21"/>
    <w:rsid w:val="00020BC4"/>
    <w:rsid w:val="00026E1C"/>
    <w:rsid w:val="000A23F2"/>
    <w:rsid w:val="001005E0"/>
    <w:rsid w:val="00150965"/>
    <w:rsid w:val="00192007"/>
    <w:rsid w:val="001C1BCD"/>
    <w:rsid w:val="001F1AB5"/>
    <w:rsid w:val="0020571E"/>
    <w:rsid w:val="00212B44"/>
    <w:rsid w:val="00212E2A"/>
    <w:rsid w:val="002458B7"/>
    <w:rsid w:val="00263F09"/>
    <w:rsid w:val="00275EFF"/>
    <w:rsid w:val="002A2AE8"/>
    <w:rsid w:val="002D3690"/>
    <w:rsid w:val="002D4F34"/>
    <w:rsid w:val="00310C58"/>
    <w:rsid w:val="0034668F"/>
    <w:rsid w:val="003A3CCC"/>
    <w:rsid w:val="003C33D8"/>
    <w:rsid w:val="00403981"/>
    <w:rsid w:val="0041737B"/>
    <w:rsid w:val="00495BEE"/>
    <w:rsid w:val="004A12FA"/>
    <w:rsid w:val="004C7C5C"/>
    <w:rsid w:val="00506814"/>
    <w:rsid w:val="005A14C1"/>
    <w:rsid w:val="005A7478"/>
    <w:rsid w:val="006647F4"/>
    <w:rsid w:val="0067378B"/>
    <w:rsid w:val="00685D46"/>
    <w:rsid w:val="006867B4"/>
    <w:rsid w:val="006B7CAE"/>
    <w:rsid w:val="006C6DC2"/>
    <w:rsid w:val="007671DF"/>
    <w:rsid w:val="007A3128"/>
    <w:rsid w:val="007D113B"/>
    <w:rsid w:val="007D16A3"/>
    <w:rsid w:val="007D7740"/>
    <w:rsid w:val="007E3D36"/>
    <w:rsid w:val="0084163B"/>
    <w:rsid w:val="0085345D"/>
    <w:rsid w:val="008C086F"/>
    <w:rsid w:val="008C5701"/>
    <w:rsid w:val="009855FF"/>
    <w:rsid w:val="009A1D1D"/>
    <w:rsid w:val="009D5454"/>
    <w:rsid w:val="009E2994"/>
    <w:rsid w:val="009E710C"/>
    <w:rsid w:val="00A73BC9"/>
    <w:rsid w:val="00A85380"/>
    <w:rsid w:val="00AA10BB"/>
    <w:rsid w:val="00AC53E5"/>
    <w:rsid w:val="00B0609A"/>
    <w:rsid w:val="00B07064"/>
    <w:rsid w:val="00BB43CA"/>
    <w:rsid w:val="00C35704"/>
    <w:rsid w:val="00CD25C5"/>
    <w:rsid w:val="00D45D46"/>
    <w:rsid w:val="00D57B7A"/>
    <w:rsid w:val="00D61D4A"/>
    <w:rsid w:val="00E42721"/>
    <w:rsid w:val="00E46EDF"/>
    <w:rsid w:val="00E64363"/>
    <w:rsid w:val="00EC1E97"/>
    <w:rsid w:val="00EC22F4"/>
    <w:rsid w:val="00F21614"/>
    <w:rsid w:val="00F263A2"/>
    <w:rsid w:val="00F37BE3"/>
    <w:rsid w:val="00F646F7"/>
    <w:rsid w:val="00F81FE9"/>
    <w:rsid w:val="00FD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8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721"/>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E42721"/>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E42721"/>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E42721"/>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E42721"/>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E42721"/>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E42721"/>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E42721"/>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E42721"/>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E42721"/>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7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27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27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7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7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721"/>
    <w:rPr>
      <w:rFonts w:eastAsiaTheme="majorEastAsia" w:cstheme="majorBidi"/>
      <w:color w:val="272727" w:themeColor="text1" w:themeTint="D8"/>
    </w:rPr>
  </w:style>
  <w:style w:type="paragraph" w:styleId="Title">
    <w:name w:val="Title"/>
    <w:basedOn w:val="Normal"/>
    <w:next w:val="Normal"/>
    <w:link w:val="TitleChar"/>
    <w:uiPriority w:val="10"/>
    <w:qFormat/>
    <w:rsid w:val="00E42721"/>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E42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721"/>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E42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721"/>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E42721"/>
    <w:rPr>
      <w:i/>
      <w:iCs/>
      <w:color w:val="404040" w:themeColor="text1" w:themeTint="BF"/>
    </w:rPr>
  </w:style>
  <w:style w:type="paragraph" w:styleId="ListParagraph">
    <w:name w:val="List Paragraph"/>
    <w:basedOn w:val="Normal"/>
    <w:uiPriority w:val="34"/>
    <w:qFormat/>
    <w:rsid w:val="00E42721"/>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E42721"/>
    <w:rPr>
      <w:i/>
      <w:iCs/>
      <w:color w:val="2F5496" w:themeColor="accent1" w:themeShade="BF"/>
    </w:rPr>
  </w:style>
  <w:style w:type="paragraph" w:styleId="IntenseQuote">
    <w:name w:val="Intense Quote"/>
    <w:basedOn w:val="Normal"/>
    <w:next w:val="Normal"/>
    <w:link w:val="IntenseQuoteChar"/>
    <w:uiPriority w:val="30"/>
    <w:qFormat/>
    <w:rsid w:val="00E42721"/>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E42721"/>
    <w:rPr>
      <w:i/>
      <w:iCs/>
      <w:color w:val="2F5496" w:themeColor="accent1" w:themeShade="BF"/>
    </w:rPr>
  </w:style>
  <w:style w:type="character" w:styleId="IntenseReference">
    <w:name w:val="Intense Reference"/>
    <w:basedOn w:val="DefaultParagraphFont"/>
    <w:uiPriority w:val="32"/>
    <w:qFormat/>
    <w:rsid w:val="00E42721"/>
    <w:rPr>
      <w:b/>
      <w:bCs/>
      <w:smallCaps/>
      <w:color w:val="2F5496" w:themeColor="accent1" w:themeShade="BF"/>
      <w:spacing w:val="5"/>
    </w:rPr>
  </w:style>
  <w:style w:type="paragraph" w:styleId="Header">
    <w:name w:val="header"/>
    <w:basedOn w:val="Normal"/>
    <w:link w:val="HeaderChar"/>
    <w:uiPriority w:val="99"/>
    <w:unhideWhenUsed/>
    <w:rsid w:val="0067378B"/>
    <w:pPr>
      <w:tabs>
        <w:tab w:val="center" w:pos="4680"/>
        <w:tab w:val="right" w:pos="9360"/>
      </w:tabs>
    </w:pPr>
  </w:style>
  <w:style w:type="character" w:customStyle="1" w:styleId="HeaderChar">
    <w:name w:val="Header Char"/>
    <w:basedOn w:val="DefaultParagraphFont"/>
    <w:link w:val="Header"/>
    <w:uiPriority w:val="99"/>
    <w:rsid w:val="0067378B"/>
    <w:rPr>
      <w:rFonts w:ascii="Courier New" w:eastAsia="Times New Roman" w:hAnsi="Courier New" w:cs="Courier New"/>
      <w:color w:val="000000"/>
      <w:kern w:val="0"/>
      <w:lang w:val="vi-VN" w:eastAsia="vi-VN"/>
      <w14:ligatures w14:val="none"/>
    </w:rPr>
  </w:style>
  <w:style w:type="paragraph" w:styleId="Footer">
    <w:name w:val="footer"/>
    <w:basedOn w:val="Normal"/>
    <w:link w:val="FooterChar"/>
    <w:uiPriority w:val="99"/>
    <w:unhideWhenUsed/>
    <w:rsid w:val="0067378B"/>
    <w:pPr>
      <w:tabs>
        <w:tab w:val="center" w:pos="4680"/>
        <w:tab w:val="right" w:pos="9360"/>
      </w:tabs>
    </w:pPr>
  </w:style>
  <w:style w:type="character" w:customStyle="1" w:styleId="FooterChar">
    <w:name w:val="Footer Char"/>
    <w:basedOn w:val="DefaultParagraphFont"/>
    <w:link w:val="Footer"/>
    <w:uiPriority w:val="99"/>
    <w:rsid w:val="0067378B"/>
    <w:rPr>
      <w:rFonts w:ascii="Courier New" w:eastAsia="Times New Roman" w:hAnsi="Courier New" w:cs="Courier New"/>
      <w:color w:val="000000"/>
      <w:kern w:val="0"/>
      <w:lang w:val="vi-VN" w:eastAsia="vi-VN"/>
      <w14:ligatures w14:val="none"/>
    </w:rPr>
  </w:style>
  <w:style w:type="paragraph" w:customStyle="1" w:styleId="Char1CharCharChar1">
    <w:name w:val="Char1 Char Char Char1"/>
    <w:basedOn w:val="Normal"/>
    <w:next w:val="Normal"/>
    <w:rsid w:val="00D61D4A"/>
    <w:pPr>
      <w:spacing w:after="113"/>
      <w:ind w:firstLine="567"/>
      <w:jc w:val="both"/>
    </w:pPr>
    <w:rPr>
      <w:rFonts w:ascii="Times New Roman" w:hAnsi="Times New Roman" w:cs="Times New Roman"/>
      <w:color w:val="auto"/>
      <w:sz w:val="26"/>
      <w:szCs w:val="20"/>
      <w:lang w:val="en-US" w:eastAsia="en-US"/>
    </w:rPr>
  </w:style>
  <w:style w:type="paragraph" w:styleId="NormalWeb">
    <w:name w:val="Normal (Web)"/>
    <w:basedOn w:val="Normal"/>
    <w:uiPriority w:val="99"/>
    <w:semiHidden/>
    <w:unhideWhenUsed/>
    <w:rsid w:val="00310C58"/>
    <w:rPr>
      <w:rFonts w:ascii="Times New Roman" w:hAnsi="Times New Roman" w:cs="Times New Roman"/>
    </w:rPr>
  </w:style>
  <w:style w:type="character" w:styleId="Hyperlink">
    <w:name w:val="Hyperlink"/>
    <w:basedOn w:val="DefaultParagraphFont"/>
    <w:uiPriority w:val="99"/>
    <w:unhideWhenUsed/>
    <w:rsid w:val="009E710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721"/>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E42721"/>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E42721"/>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E42721"/>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E42721"/>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E42721"/>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E42721"/>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E42721"/>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E42721"/>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E42721"/>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7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27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27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7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7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721"/>
    <w:rPr>
      <w:rFonts w:eastAsiaTheme="majorEastAsia" w:cstheme="majorBidi"/>
      <w:color w:val="272727" w:themeColor="text1" w:themeTint="D8"/>
    </w:rPr>
  </w:style>
  <w:style w:type="paragraph" w:styleId="Title">
    <w:name w:val="Title"/>
    <w:basedOn w:val="Normal"/>
    <w:next w:val="Normal"/>
    <w:link w:val="TitleChar"/>
    <w:uiPriority w:val="10"/>
    <w:qFormat/>
    <w:rsid w:val="00E42721"/>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E42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721"/>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E42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721"/>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E42721"/>
    <w:rPr>
      <w:i/>
      <w:iCs/>
      <w:color w:val="404040" w:themeColor="text1" w:themeTint="BF"/>
    </w:rPr>
  </w:style>
  <w:style w:type="paragraph" w:styleId="ListParagraph">
    <w:name w:val="List Paragraph"/>
    <w:basedOn w:val="Normal"/>
    <w:uiPriority w:val="34"/>
    <w:qFormat/>
    <w:rsid w:val="00E42721"/>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E42721"/>
    <w:rPr>
      <w:i/>
      <w:iCs/>
      <w:color w:val="2F5496" w:themeColor="accent1" w:themeShade="BF"/>
    </w:rPr>
  </w:style>
  <w:style w:type="paragraph" w:styleId="IntenseQuote">
    <w:name w:val="Intense Quote"/>
    <w:basedOn w:val="Normal"/>
    <w:next w:val="Normal"/>
    <w:link w:val="IntenseQuoteChar"/>
    <w:uiPriority w:val="30"/>
    <w:qFormat/>
    <w:rsid w:val="00E42721"/>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E42721"/>
    <w:rPr>
      <w:i/>
      <w:iCs/>
      <w:color w:val="2F5496" w:themeColor="accent1" w:themeShade="BF"/>
    </w:rPr>
  </w:style>
  <w:style w:type="character" w:styleId="IntenseReference">
    <w:name w:val="Intense Reference"/>
    <w:basedOn w:val="DefaultParagraphFont"/>
    <w:uiPriority w:val="32"/>
    <w:qFormat/>
    <w:rsid w:val="00E42721"/>
    <w:rPr>
      <w:b/>
      <w:bCs/>
      <w:smallCaps/>
      <w:color w:val="2F5496" w:themeColor="accent1" w:themeShade="BF"/>
      <w:spacing w:val="5"/>
    </w:rPr>
  </w:style>
  <w:style w:type="paragraph" w:styleId="Header">
    <w:name w:val="header"/>
    <w:basedOn w:val="Normal"/>
    <w:link w:val="HeaderChar"/>
    <w:uiPriority w:val="99"/>
    <w:unhideWhenUsed/>
    <w:rsid w:val="0067378B"/>
    <w:pPr>
      <w:tabs>
        <w:tab w:val="center" w:pos="4680"/>
        <w:tab w:val="right" w:pos="9360"/>
      </w:tabs>
    </w:pPr>
  </w:style>
  <w:style w:type="character" w:customStyle="1" w:styleId="HeaderChar">
    <w:name w:val="Header Char"/>
    <w:basedOn w:val="DefaultParagraphFont"/>
    <w:link w:val="Header"/>
    <w:uiPriority w:val="99"/>
    <w:rsid w:val="0067378B"/>
    <w:rPr>
      <w:rFonts w:ascii="Courier New" w:eastAsia="Times New Roman" w:hAnsi="Courier New" w:cs="Courier New"/>
      <w:color w:val="000000"/>
      <w:kern w:val="0"/>
      <w:lang w:val="vi-VN" w:eastAsia="vi-VN"/>
      <w14:ligatures w14:val="none"/>
    </w:rPr>
  </w:style>
  <w:style w:type="paragraph" w:styleId="Footer">
    <w:name w:val="footer"/>
    <w:basedOn w:val="Normal"/>
    <w:link w:val="FooterChar"/>
    <w:uiPriority w:val="99"/>
    <w:unhideWhenUsed/>
    <w:rsid w:val="0067378B"/>
    <w:pPr>
      <w:tabs>
        <w:tab w:val="center" w:pos="4680"/>
        <w:tab w:val="right" w:pos="9360"/>
      </w:tabs>
    </w:pPr>
  </w:style>
  <w:style w:type="character" w:customStyle="1" w:styleId="FooterChar">
    <w:name w:val="Footer Char"/>
    <w:basedOn w:val="DefaultParagraphFont"/>
    <w:link w:val="Footer"/>
    <w:uiPriority w:val="99"/>
    <w:rsid w:val="0067378B"/>
    <w:rPr>
      <w:rFonts w:ascii="Courier New" w:eastAsia="Times New Roman" w:hAnsi="Courier New" w:cs="Courier New"/>
      <w:color w:val="000000"/>
      <w:kern w:val="0"/>
      <w:lang w:val="vi-VN" w:eastAsia="vi-VN"/>
      <w14:ligatures w14:val="none"/>
    </w:rPr>
  </w:style>
  <w:style w:type="paragraph" w:customStyle="1" w:styleId="Char1CharCharChar1">
    <w:name w:val="Char1 Char Char Char1"/>
    <w:basedOn w:val="Normal"/>
    <w:next w:val="Normal"/>
    <w:rsid w:val="00D61D4A"/>
    <w:pPr>
      <w:spacing w:after="113"/>
      <w:ind w:firstLine="567"/>
      <w:jc w:val="both"/>
    </w:pPr>
    <w:rPr>
      <w:rFonts w:ascii="Times New Roman" w:hAnsi="Times New Roman" w:cs="Times New Roman"/>
      <w:color w:val="auto"/>
      <w:sz w:val="26"/>
      <w:szCs w:val="20"/>
      <w:lang w:val="en-US" w:eastAsia="en-US"/>
    </w:rPr>
  </w:style>
  <w:style w:type="paragraph" w:styleId="NormalWeb">
    <w:name w:val="Normal (Web)"/>
    <w:basedOn w:val="Normal"/>
    <w:uiPriority w:val="99"/>
    <w:semiHidden/>
    <w:unhideWhenUsed/>
    <w:rsid w:val="00310C58"/>
    <w:rPr>
      <w:rFonts w:ascii="Times New Roman" w:hAnsi="Times New Roman" w:cs="Times New Roman"/>
    </w:rPr>
  </w:style>
  <w:style w:type="character" w:styleId="Hyperlink">
    <w:name w:val="Hyperlink"/>
    <w:basedOn w:val="DefaultParagraphFont"/>
    <w:uiPriority w:val="99"/>
    <w:unhideWhenUsed/>
    <w:rsid w:val="009E71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04731">
      <w:bodyDiv w:val="1"/>
      <w:marLeft w:val="0"/>
      <w:marRight w:val="0"/>
      <w:marTop w:val="0"/>
      <w:marBottom w:val="0"/>
      <w:divBdr>
        <w:top w:val="none" w:sz="0" w:space="0" w:color="auto"/>
        <w:left w:val="none" w:sz="0" w:space="0" w:color="auto"/>
        <w:bottom w:val="none" w:sz="0" w:space="0" w:color="auto"/>
        <w:right w:val="none" w:sz="0" w:space="0" w:color="auto"/>
      </w:divBdr>
    </w:div>
    <w:div w:id="1025131119">
      <w:bodyDiv w:val="1"/>
      <w:marLeft w:val="0"/>
      <w:marRight w:val="0"/>
      <w:marTop w:val="0"/>
      <w:marBottom w:val="0"/>
      <w:divBdr>
        <w:top w:val="none" w:sz="0" w:space="0" w:color="auto"/>
        <w:left w:val="none" w:sz="0" w:space="0" w:color="auto"/>
        <w:bottom w:val="none" w:sz="0" w:space="0" w:color="auto"/>
        <w:right w:val="none" w:sz="0" w:space="0" w:color="auto"/>
      </w:divBdr>
    </w:div>
    <w:div w:id="19470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icaldata.gov.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emicaldata.gov.vn." TargetMode="External"/><Relationship Id="rId4" Type="http://schemas.openxmlformats.org/officeDocument/2006/relationships/settings" Target="settings.xml"/><Relationship Id="rId9" Type="http://schemas.openxmlformats.org/officeDocument/2006/relationships/hyperlink" Target="http://www.chemicaldata.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8</Pages>
  <Words>2920</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 Lam</dc:creator>
  <cp:keywords/>
  <dc:description/>
  <cp:lastModifiedBy>Ngoc</cp:lastModifiedBy>
  <cp:revision>24</cp:revision>
  <cp:lastPrinted>2025-10-31T02:17:00Z</cp:lastPrinted>
  <dcterms:created xsi:type="dcterms:W3CDTF">2025-10-16T09:48:00Z</dcterms:created>
  <dcterms:modified xsi:type="dcterms:W3CDTF">2025-10-31T04:38:00Z</dcterms:modified>
</cp:coreProperties>
</file>