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5000" w:type="pct"/>
        <w:tblLook w:val="04A0" w:firstRow="1" w:lastRow="0" w:firstColumn="1" w:lastColumn="0" w:noHBand="0" w:noVBand="1"/>
      </w:tblPr>
      <w:tblGrid>
        <w:gridCol w:w="8301"/>
        <w:gridCol w:w="6612"/>
      </w:tblGrid>
      <w:tr w:rsidR="000D0918" w:rsidRPr="000D0918" w14:paraId="057BD922" w14:textId="77777777">
        <w:trPr>
          <w:trHeight w:val="1413"/>
        </w:trPr>
        <w:tc>
          <w:tcPr>
            <w:tcW w:w="2783" w:type="pct"/>
          </w:tcPr>
          <w:p w14:paraId="057BD91A" w14:textId="77777777" w:rsidR="006A78DE" w:rsidRPr="000D0918" w:rsidRDefault="006D6C25">
            <w:pPr>
              <w:tabs>
                <w:tab w:val="left" w:pos="7402"/>
              </w:tabs>
              <w:ind w:right="3295"/>
              <w:jc w:val="center"/>
              <w:rPr>
                <w:b/>
                <w:kern w:val="0"/>
                <w:sz w:val="26"/>
                <w:szCs w:val="26"/>
                <w14:ligatures w14:val="none"/>
              </w:rPr>
            </w:pPr>
            <w:bookmarkStart w:id="0" w:name="_GoBack"/>
            <w:bookmarkEnd w:id="0"/>
            <w:r w:rsidRPr="000D0918">
              <w:rPr>
                <w:b/>
                <w:kern w:val="0"/>
                <w:sz w:val="26"/>
                <w:szCs w:val="26"/>
                <w14:ligatures w14:val="none"/>
              </w:rPr>
              <w:t>BỘ XÂY DỰNG</w:t>
            </w:r>
          </w:p>
          <w:p w14:paraId="057BD91B" w14:textId="77777777" w:rsidR="006A78DE" w:rsidRPr="000D0918" w:rsidRDefault="006D6C25">
            <w:pPr>
              <w:tabs>
                <w:tab w:val="left" w:pos="7402"/>
              </w:tabs>
              <w:spacing w:before="0"/>
              <w:ind w:right="3295"/>
              <w:jc w:val="center"/>
              <w:rPr>
                <w:b/>
                <w:kern w:val="0"/>
                <w:sz w:val="16"/>
                <w:szCs w:val="16"/>
                <w14:ligatures w14:val="none"/>
              </w:rPr>
            </w:pPr>
            <w:r w:rsidRPr="000D0918">
              <w:rPr>
                <w:b/>
                <w:kern w:val="0"/>
                <w:sz w:val="16"/>
                <w:szCs w:val="16"/>
                <w14:ligatures w14:val="none"/>
              </w:rPr>
              <w:t>_________</w:t>
            </w:r>
          </w:p>
          <w:p w14:paraId="057BD91C" w14:textId="77777777" w:rsidR="006A78DE" w:rsidRPr="000D0918" w:rsidRDefault="006A78DE">
            <w:pPr>
              <w:jc w:val="center"/>
              <w:rPr>
                <w:kern w:val="0"/>
                <w:sz w:val="26"/>
                <w:szCs w:val="26"/>
                <w14:ligatures w14:val="none"/>
              </w:rPr>
            </w:pPr>
          </w:p>
          <w:p w14:paraId="057BD91D" w14:textId="77777777" w:rsidR="006A78DE" w:rsidRPr="000D0918" w:rsidRDefault="006A78DE">
            <w:pPr>
              <w:keepNext/>
              <w:tabs>
                <w:tab w:val="left" w:pos="3404"/>
              </w:tabs>
              <w:ind w:right="158"/>
              <w:jc w:val="center"/>
              <w:rPr>
                <w:kern w:val="0"/>
                <w:sz w:val="26"/>
                <w:szCs w:val="26"/>
                <w14:ligatures w14:val="none"/>
              </w:rPr>
            </w:pPr>
          </w:p>
        </w:tc>
        <w:tc>
          <w:tcPr>
            <w:tcW w:w="2217" w:type="pct"/>
          </w:tcPr>
          <w:p w14:paraId="057BD91E" w14:textId="77777777" w:rsidR="006A78DE" w:rsidRPr="000D0918" w:rsidRDefault="006D6C25">
            <w:pPr>
              <w:ind w:firstLine="33"/>
              <w:jc w:val="center"/>
              <w:rPr>
                <w:b/>
                <w:kern w:val="0"/>
                <w:sz w:val="26"/>
                <w:szCs w:val="26"/>
                <w14:ligatures w14:val="none"/>
              </w:rPr>
            </w:pPr>
            <w:r w:rsidRPr="000D0918">
              <w:rPr>
                <w:b/>
                <w:kern w:val="0"/>
                <w:sz w:val="26"/>
                <w:szCs w:val="26"/>
                <w14:ligatures w14:val="none"/>
              </w:rPr>
              <w:t>CỘNG HOÀ XÃ HỘI CHỦ NGHĨA VIỆT NAM</w:t>
            </w:r>
          </w:p>
          <w:p w14:paraId="057BD91F" w14:textId="77777777" w:rsidR="006A78DE" w:rsidRPr="000D0918" w:rsidRDefault="006D6C25">
            <w:pPr>
              <w:spacing w:before="60"/>
              <w:ind w:firstLine="33"/>
              <w:jc w:val="center"/>
              <w:rPr>
                <w:b/>
                <w:kern w:val="0"/>
                <w:szCs w:val="28"/>
                <w14:ligatures w14:val="none"/>
              </w:rPr>
            </w:pPr>
            <w:r w:rsidRPr="000D0918">
              <w:rPr>
                <w:b/>
                <w:kern w:val="0"/>
                <w:szCs w:val="28"/>
                <w14:ligatures w14:val="none"/>
              </w:rPr>
              <w:t>Độc lập - Tự do - Hạnh phúc</w:t>
            </w:r>
          </w:p>
          <w:p w14:paraId="057BD920" w14:textId="77777777" w:rsidR="006A78DE" w:rsidRPr="000D0918" w:rsidRDefault="006D6C25">
            <w:pPr>
              <w:spacing w:before="0"/>
              <w:ind w:firstLine="33"/>
              <w:jc w:val="center"/>
              <w:rPr>
                <w:kern w:val="0"/>
                <w:sz w:val="16"/>
                <w:szCs w:val="16"/>
                <w14:ligatures w14:val="none"/>
              </w:rPr>
            </w:pPr>
            <w:r w:rsidRPr="000D0918">
              <w:rPr>
                <w:kern w:val="0"/>
                <w:sz w:val="16"/>
                <w:szCs w:val="16"/>
                <w14:ligatures w14:val="none"/>
              </w:rPr>
              <w:t>_________________________________________</w:t>
            </w:r>
          </w:p>
          <w:p w14:paraId="057BD921" w14:textId="633A29E1" w:rsidR="006A78DE" w:rsidRPr="000D0918" w:rsidRDefault="006D6C25" w:rsidP="00D42063">
            <w:pPr>
              <w:ind w:firstLine="33"/>
              <w:jc w:val="center"/>
              <w:rPr>
                <w:b/>
                <w:kern w:val="0"/>
                <w:szCs w:val="28"/>
                <w14:ligatures w14:val="none"/>
              </w:rPr>
            </w:pPr>
            <w:r w:rsidRPr="000D0918">
              <w:rPr>
                <w:i/>
                <w:kern w:val="0"/>
                <w:szCs w:val="28"/>
                <w14:ligatures w14:val="none"/>
              </w:rPr>
              <w:t xml:space="preserve">Hà Nội, ngày </w:t>
            </w:r>
            <w:r w:rsidR="00561E96" w:rsidRPr="000D0918">
              <w:rPr>
                <w:i/>
                <w:kern w:val="0"/>
                <w:szCs w:val="28"/>
                <w14:ligatures w14:val="none"/>
              </w:rPr>
              <w:t xml:space="preserve"> </w:t>
            </w:r>
            <w:r w:rsidR="00D42063" w:rsidRPr="000D0918">
              <w:rPr>
                <w:i/>
                <w:kern w:val="0"/>
                <w:szCs w:val="28"/>
                <w14:ligatures w14:val="none"/>
              </w:rPr>
              <w:t xml:space="preserve">    </w:t>
            </w:r>
            <w:r w:rsidR="00561E96" w:rsidRPr="000D0918">
              <w:rPr>
                <w:i/>
                <w:kern w:val="0"/>
                <w:szCs w:val="28"/>
                <w14:ligatures w14:val="none"/>
              </w:rPr>
              <w:t xml:space="preserve">  </w:t>
            </w:r>
            <w:r w:rsidRPr="000D0918">
              <w:rPr>
                <w:i/>
                <w:kern w:val="0"/>
                <w:szCs w:val="28"/>
                <w14:ligatures w14:val="none"/>
              </w:rPr>
              <w:t xml:space="preserve">tháng </w:t>
            </w:r>
            <w:r w:rsidR="00F33F0D" w:rsidRPr="000D0918">
              <w:rPr>
                <w:i/>
                <w:kern w:val="0"/>
                <w:szCs w:val="28"/>
                <w14:ligatures w14:val="none"/>
              </w:rPr>
              <w:t xml:space="preserve"> </w:t>
            </w:r>
            <w:r w:rsidR="00D42063" w:rsidRPr="000D0918">
              <w:rPr>
                <w:i/>
                <w:kern w:val="0"/>
                <w:szCs w:val="28"/>
                <w14:ligatures w14:val="none"/>
              </w:rPr>
              <w:t xml:space="preserve">    </w:t>
            </w:r>
            <w:r w:rsidRPr="000D0918">
              <w:rPr>
                <w:i/>
                <w:kern w:val="0"/>
                <w:szCs w:val="28"/>
                <w14:ligatures w14:val="none"/>
              </w:rPr>
              <w:t xml:space="preserve"> </w:t>
            </w:r>
            <w:r w:rsidR="00F33F0D" w:rsidRPr="000D0918">
              <w:rPr>
                <w:i/>
                <w:kern w:val="0"/>
                <w:szCs w:val="28"/>
                <w14:ligatures w14:val="none"/>
              </w:rPr>
              <w:t xml:space="preserve"> </w:t>
            </w:r>
            <w:r w:rsidRPr="000D0918">
              <w:rPr>
                <w:i/>
                <w:kern w:val="0"/>
                <w:szCs w:val="28"/>
                <w14:ligatures w14:val="none"/>
              </w:rPr>
              <w:t>năm 2025</w:t>
            </w:r>
          </w:p>
        </w:tc>
      </w:tr>
    </w:tbl>
    <w:p w14:paraId="057BD923" w14:textId="46837D74" w:rsidR="006A78DE" w:rsidRPr="000D0918" w:rsidRDefault="006D6C25">
      <w:pPr>
        <w:spacing w:before="240"/>
        <w:jc w:val="center"/>
        <w:rPr>
          <w:b/>
          <w:bCs/>
        </w:rPr>
      </w:pPr>
      <w:r w:rsidRPr="000D0918">
        <w:rPr>
          <w:b/>
          <w:bCs/>
        </w:rPr>
        <w:t>BẢN SO SÁNH</w:t>
      </w:r>
      <w:r w:rsidR="00985A7E" w:rsidRPr="000D0918">
        <w:rPr>
          <w:b/>
          <w:bCs/>
        </w:rPr>
        <w:t>, THUYẾT MINH</w:t>
      </w:r>
      <w:r w:rsidR="00B66BAE" w:rsidRPr="000D0918">
        <w:rPr>
          <w:b/>
          <w:bCs/>
        </w:rPr>
        <w:t xml:space="preserve"> </w:t>
      </w:r>
      <w:r w:rsidR="00985A7E" w:rsidRPr="000D0918">
        <w:rPr>
          <w:b/>
          <w:bCs/>
        </w:rPr>
        <w:t>NỘI DUNG</w:t>
      </w:r>
      <w:r w:rsidRPr="000D0918">
        <w:rPr>
          <w:b/>
          <w:bCs/>
        </w:rPr>
        <w:t xml:space="preserve"> DỰ THẢO NGHỊ </w:t>
      </w:r>
      <w:r w:rsidR="00B66BAE" w:rsidRPr="000D0918">
        <w:rPr>
          <w:b/>
          <w:bCs/>
        </w:rPr>
        <w:t xml:space="preserve">QUYẾT                                                                                                                    VỚI QUY ĐỊNH </w:t>
      </w:r>
      <w:r w:rsidR="00152BC7" w:rsidRPr="000D0918">
        <w:rPr>
          <w:b/>
          <w:bCs/>
        </w:rPr>
        <w:t xml:space="preserve">PHÁP LUẬT </w:t>
      </w:r>
      <w:r w:rsidR="00B66BAE" w:rsidRPr="000D0918">
        <w:rPr>
          <w:b/>
          <w:bCs/>
        </w:rPr>
        <w:t>HIỆN HÀNH</w:t>
      </w:r>
    </w:p>
    <w:p w14:paraId="1E749D0D" w14:textId="77777777" w:rsidR="00572E6C" w:rsidRDefault="00D81531" w:rsidP="00572E6C">
      <w:pPr>
        <w:spacing w:before="0"/>
        <w:jc w:val="center"/>
        <w:rPr>
          <w:b/>
          <w:szCs w:val="28"/>
          <w:shd w:val="clear" w:color="auto" w:fill="FFFFFF"/>
        </w:rPr>
      </w:pPr>
      <w:r w:rsidRPr="000D0918">
        <w:rPr>
          <w:b/>
          <w:bCs/>
        </w:rPr>
        <w:t>Đối với dự thảo Nghị quyết</w:t>
      </w:r>
      <w:r w:rsidR="00B33998" w:rsidRPr="000D0918">
        <w:rPr>
          <w:b/>
          <w:bCs/>
        </w:rPr>
        <w:t xml:space="preserve"> của Chính phủ </w:t>
      </w:r>
      <w:bookmarkStart w:id="1" w:name="loai_1_name"/>
      <w:r w:rsidR="00572E6C">
        <w:rPr>
          <w:b/>
          <w:bCs/>
        </w:rPr>
        <w:t>v</w:t>
      </w:r>
      <w:r w:rsidR="00572E6C" w:rsidRPr="00492578">
        <w:rPr>
          <w:b/>
          <w:szCs w:val="28"/>
          <w:shd w:val="clear" w:color="auto" w:fill="FFFFFF"/>
        </w:rPr>
        <w:t xml:space="preserve">ề việc ban hành một số cơ chế đặc biệt xử lý khó khăn, vướng mắc </w:t>
      </w:r>
    </w:p>
    <w:p w14:paraId="5E6B4A5A" w14:textId="7CA34400" w:rsidR="00572E6C" w:rsidRPr="00492578" w:rsidRDefault="00572E6C" w:rsidP="00572E6C">
      <w:pPr>
        <w:spacing w:before="0"/>
        <w:jc w:val="center"/>
        <w:rPr>
          <w:b/>
          <w:szCs w:val="28"/>
          <w:shd w:val="clear" w:color="auto" w:fill="FFFFFF"/>
        </w:rPr>
      </w:pPr>
      <w:r w:rsidRPr="00492578">
        <w:rPr>
          <w:b/>
          <w:szCs w:val="28"/>
          <w:shd w:val="clear" w:color="auto" w:fill="FFFFFF"/>
        </w:rPr>
        <w:t xml:space="preserve">do quy định của pháp luật và chỉ tiêu pháp lệnh </w:t>
      </w:r>
      <w:bookmarkEnd w:id="1"/>
      <w:r w:rsidRPr="00492578">
        <w:rPr>
          <w:b/>
          <w:szCs w:val="28"/>
          <w:shd w:val="clear" w:color="auto" w:fill="FFFFFF"/>
        </w:rPr>
        <w:t>đột phá phát triển nhà ở xã hội</w:t>
      </w:r>
    </w:p>
    <w:p w14:paraId="057BD926" w14:textId="55103995" w:rsidR="006A78DE" w:rsidRPr="000D0918" w:rsidRDefault="00572E6C" w:rsidP="00572E6C">
      <w:pPr>
        <w:spacing w:before="0"/>
        <w:jc w:val="center"/>
        <w:rPr>
          <w:bCs/>
          <w:i/>
          <w:spacing w:val="-6"/>
        </w:rPr>
      </w:pPr>
      <w:r w:rsidRPr="000D0918">
        <w:rPr>
          <w:bCs/>
          <w:i/>
          <w:spacing w:val="-6"/>
        </w:rPr>
        <w:t xml:space="preserve"> </w:t>
      </w:r>
      <w:r w:rsidR="0063734E" w:rsidRPr="000D0918">
        <w:rPr>
          <w:bCs/>
          <w:i/>
          <w:spacing w:val="-6"/>
        </w:rPr>
        <w:t xml:space="preserve">(kèm theo Tờ trình số </w:t>
      </w:r>
      <w:r w:rsidR="00D42063" w:rsidRPr="000D0918">
        <w:rPr>
          <w:bCs/>
          <w:i/>
          <w:spacing w:val="-6"/>
        </w:rPr>
        <w:t xml:space="preserve">        </w:t>
      </w:r>
      <w:r w:rsidR="00096B5C" w:rsidRPr="000D0918">
        <w:rPr>
          <w:bCs/>
          <w:i/>
          <w:spacing w:val="-6"/>
        </w:rPr>
        <w:t xml:space="preserve"> </w:t>
      </w:r>
      <w:r w:rsidR="0063734E" w:rsidRPr="000D0918">
        <w:rPr>
          <w:bCs/>
          <w:i/>
          <w:spacing w:val="-6"/>
        </w:rPr>
        <w:t xml:space="preserve">/TTr-BXD ngày </w:t>
      </w:r>
      <w:r w:rsidR="00D42063" w:rsidRPr="000D0918">
        <w:rPr>
          <w:bCs/>
          <w:i/>
          <w:spacing w:val="-6"/>
        </w:rPr>
        <w:t xml:space="preserve">    /     </w:t>
      </w:r>
      <w:r w:rsidR="0063734E" w:rsidRPr="000D0918">
        <w:rPr>
          <w:bCs/>
          <w:i/>
          <w:spacing w:val="-6"/>
        </w:rPr>
        <w:t>/2025</w:t>
      </w:r>
      <w:r w:rsidR="009C5986" w:rsidRPr="000D0918">
        <w:rPr>
          <w:bCs/>
          <w:i/>
          <w:spacing w:val="-6"/>
        </w:rPr>
        <w:t xml:space="preserve"> của Bộ Xây dựng)</w:t>
      </w:r>
    </w:p>
    <w:p w14:paraId="1ED87E9E" w14:textId="6C305659" w:rsidR="0019720A" w:rsidRPr="000D0918" w:rsidRDefault="0019720A" w:rsidP="0019720A">
      <w:pPr>
        <w:spacing w:after="120"/>
        <w:jc w:val="center"/>
        <w:rPr>
          <w:bCs/>
          <w:spacing w:val="-6"/>
        </w:rPr>
      </w:pPr>
      <w:r w:rsidRPr="000D0918">
        <w:rPr>
          <w:bCs/>
          <w:noProof/>
          <w:spacing w:val="-6"/>
          <w14:ligatures w14:val="none"/>
        </w:rPr>
        <mc:AlternateContent>
          <mc:Choice Requires="wps">
            <w:drawing>
              <wp:anchor distT="0" distB="0" distL="114300" distR="114300" simplePos="0" relativeHeight="251659264" behindDoc="0" locked="0" layoutInCell="1" allowOverlap="1" wp14:anchorId="156D7D4F" wp14:editId="45CCE636">
                <wp:simplePos x="0" y="0"/>
                <wp:positionH relativeFrom="column">
                  <wp:posOffset>4070856</wp:posOffset>
                </wp:positionH>
                <wp:positionV relativeFrom="paragraph">
                  <wp:posOffset>52995</wp:posOffset>
                </wp:positionV>
                <wp:extent cx="136895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6895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0496C7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0.55pt,4.15pt" to="428.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" strokecolor="black [3213]">
                <v:stroke joinstyle="miter"/>
              </v:line>
            </w:pict>
          </mc:Fallback>
        </mc:AlternateContent>
      </w:r>
    </w:p>
    <w:tbl>
      <w:tblPr>
        <w:tblStyle w:val="TableGrid"/>
        <w:tblW w:w="5000" w:type="pct"/>
        <w:tblBorders>
          <w:insideH w:val="dotted" w:sz="4" w:space="0" w:color="auto"/>
        </w:tblBorders>
        <w:tblLook w:val="04A0" w:firstRow="1" w:lastRow="0" w:firstColumn="1" w:lastColumn="0" w:noHBand="0" w:noVBand="1"/>
      </w:tblPr>
      <w:tblGrid>
        <w:gridCol w:w="6942"/>
        <w:gridCol w:w="4253"/>
        <w:gridCol w:w="3708"/>
      </w:tblGrid>
      <w:tr w:rsidR="000D0918" w:rsidRPr="000D0918" w14:paraId="057BD92A" w14:textId="77777777" w:rsidTr="00C17523">
        <w:trPr>
          <w:tblHeader/>
        </w:trPr>
        <w:tc>
          <w:tcPr>
            <w:tcW w:w="2329" w:type="pct"/>
            <w:tcBorders>
              <w:bottom w:val="single" w:sz="4" w:space="0" w:color="auto"/>
            </w:tcBorders>
            <w:shd w:val="clear" w:color="auto" w:fill="D9F2D0" w:themeFill="accent6" w:themeFillTint="33"/>
            <w:vAlign w:val="center"/>
          </w:tcPr>
          <w:p w14:paraId="057BD927" w14:textId="3EAC6FEC" w:rsidR="006A78DE" w:rsidRPr="00426DD6" w:rsidRDefault="00884171" w:rsidP="00426DD6">
            <w:pPr>
              <w:spacing w:after="120"/>
              <w:ind w:firstLine="313"/>
              <w:jc w:val="center"/>
              <w:rPr>
                <w:b/>
                <w:bCs/>
                <w:szCs w:val="28"/>
              </w:rPr>
            </w:pPr>
            <w:r w:rsidRPr="00426DD6">
              <w:rPr>
                <w:b/>
                <w:bCs/>
                <w:szCs w:val="28"/>
              </w:rPr>
              <w:t xml:space="preserve">Luật </w:t>
            </w:r>
            <w:r w:rsidR="00465AD7" w:rsidRPr="00426DD6">
              <w:rPr>
                <w:b/>
                <w:bCs/>
                <w:szCs w:val="28"/>
              </w:rPr>
              <w:t>Nhà ở số 27/2023/QH15 và các văn bản quy định chi tiết, hướng dẫn thi hành</w:t>
            </w:r>
            <w:r w:rsidR="00032093" w:rsidRPr="00426DD6">
              <w:rPr>
                <w:b/>
                <w:bCs/>
                <w:szCs w:val="28"/>
              </w:rPr>
              <w:t xml:space="preserve"> </w:t>
            </w:r>
            <w:r w:rsidR="00465AD7" w:rsidRPr="00426DD6">
              <w:rPr>
                <w:b/>
                <w:bCs/>
                <w:szCs w:val="28"/>
              </w:rPr>
              <w:t>và các quy định có liên quan</w:t>
            </w:r>
          </w:p>
        </w:tc>
        <w:tc>
          <w:tcPr>
            <w:tcW w:w="1427" w:type="pct"/>
            <w:tcBorders>
              <w:bottom w:val="single" w:sz="4" w:space="0" w:color="auto"/>
            </w:tcBorders>
            <w:shd w:val="clear" w:color="auto" w:fill="D9F2D0" w:themeFill="accent6" w:themeFillTint="33"/>
            <w:vAlign w:val="center"/>
          </w:tcPr>
          <w:p w14:paraId="057BD928" w14:textId="603BC3A0" w:rsidR="006A78DE" w:rsidRPr="00426DD6" w:rsidRDefault="006D6C25" w:rsidP="00426DD6">
            <w:pPr>
              <w:spacing w:after="120"/>
              <w:ind w:firstLine="316"/>
              <w:jc w:val="center"/>
              <w:rPr>
                <w:b/>
                <w:bCs/>
                <w:szCs w:val="28"/>
              </w:rPr>
            </w:pPr>
            <w:r w:rsidRPr="00426DD6">
              <w:rPr>
                <w:b/>
                <w:bCs/>
                <w:szCs w:val="28"/>
              </w:rPr>
              <w:t xml:space="preserve">Dự thảo Nghị </w:t>
            </w:r>
            <w:r w:rsidR="002301B9" w:rsidRPr="00426DD6">
              <w:rPr>
                <w:b/>
                <w:bCs/>
                <w:szCs w:val="28"/>
              </w:rPr>
              <w:t>quyết</w:t>
            </w:r>
            <w:r w:rsidRPr="00426DD6">
              <w:rPr>
                <w:b/>
                <w:bCs/>
                <w:szCs w:val="28"/>
              </w:rPr>
              <w:t xml:space="preserve"> </w:t>
            </w:r>
          </w:p>
        </w:tc>
        <w:tc>
          <w:tcPr>
            <w:tcW w:w="1244" w:type="pct"/>
            <w:tcBorders>
              <w:bottom w:val="single" w:sz="4" w:space="0" w:color="auto"/>
            </w:tcBorders>
            <w:shd w:val="clear" w:color="auto" w:fill="D9F2D0" w:themeFill="accent6" w:themeFillTint="33"/>
            <w:vAlign w:val="center"/>
          </w:tcPr>
          <w:p w14:paraId="057BD929" w14:textId="077A9B6B" w:rsidR="006A78DE" w:rsidRPr="000D0918" w:rsidRDefault="006D6C25" w:rsidP="00CD207F">
            <w:pPr>
              <w:ind w:firstLine="174"/>
              <w:jc w:val="center"/>
              <w:rPr>
                <w:b/>
                <w:bCs/>
              </w:rPr>
            </w:pPr>
            <w:r w:rsidRPr="000D0918">
              <w:rPr>
                <w:b/>
                <w:bCs/>
              </w:rPr>
              <w:t>Thuyết minh</w:t>
            </w:r>
          </w:p>
        </w:tc>
      </w:tr>
      <w:tr w:rsidR="000D0918" w:rsidRPr="000D0918" w14:paraId="057BD92E" w14:textId="77777777" w:rsidTr="00C17523">
        <w:tc>
          <w:tcPr>
            <w:tcW w:w="2329" w:type="pct"/>
            <w:tcBorders>
              <w:top w:val="single" w:sz="4" w:space="0" w:color="auto"/>
              <w:bottom w:val="single" w:sz="4" w:space="0" w:color="auto"/>
            </w:tcBorders>
            <w:shd w:val="clear" w:color="auto" w:fill="CAEDFB" w:themeFill="accent4" w:themeFillTint="33"/>
          </w:tcPr>
          <w:p w14:paraId="057BD92B" w14:textId="7CB8A008" w:rsidR="00465AD7" w:rsidRPr="00426DD6" w:rsidRDefault="004441EE" w:rsidP="00426DD6">
            <w:pPr>
              <w:suppressLineNumbers/>
              <w:suppressAutoHyphens/>
              <w:spacing w:after="120"/>
              <w:ind w:firstLine="313"/>
              <w:jc w:val="both"/>
              <w:rPr>
                <w:b/>
                <w:bCs/>
                <w:spacing w:val="-6"/>
                <w:szCs w:val="28"/>
              </w:rPr>
            </w:pPr>
            <w:r w:rsidRPr="00426DD6">
              <w:rPr>
                <w:rFonts w:eastAsia="Times New Roman"/>
                <w:b/>
                <w:spacing w:val="-6"/>
                <w:szCs w:val="28"/>
                <w:lang w:val="pt-BR"/>
              </w:rPr>
              <w:t>Luật Quy hoạch đô thị và nông thôn và Nghị định số 192/2025/NĐ-CP</w:t>
            </w:r>
            <w:r w:rsidR="003743BF" w:rsidRPr="00426DD6">
              <w:rPr>
                <w:rFonts w:eastAsia="Times New Roman"/>
                <w:b/>
                <w:spacing w:val="-6"/>
                <w:szCs w:val="28"/>
                <w:lang w:val="pt-BR"/>
              </w:rPr>
              <w:t xml:space="preserve"> của Chính phủ</w:t>
            </w:r>
          </w:p>
        </w:tc>
        <w:tc>
          <w:tcPr>
            <w:tcW w:w="1427" w:type="pct"/>
            <w:tcBorders>
              <w:top w:val="single" w:sz="4" w:space="0" w:color="auto"/>
              <w:bottom w:val="single" w:sz="4" w:space="0" w:color="auto"/>
            </w:tcBorders>
            <w:shd w:val="clear" w:color="auto" w:fill="CAEDFB" w:themeFill="accent4" w:themeFillTint="33"/>
          </w:tcPr>
          <w:p w14:paraId="057BD92C" w14:textId="3F76A0D6" w:rsidR="006A78DE" w:rsidRPr="00426DD6" w:rsidRDefault="00465AD7" w:rsidP="00426DD6">
            <w:pPr>
              <w:suppressLineNumbers/>
              <w:suppressAutoHyphens/>
              <w:spacing w:after="120"/>
              <w:ind w:firstLine="316"/>
              <w:jc w:val="both"/>
              <w:rPr>
                <w:rFonts w:eastAsia="Times New Roman"/>
                <w:b/>
                <w:spacing w:val="-6"/>
                <w:szCs w:val="28"/>
                <w:lang w:val="pt-BR"/>
              </w:rPr>
            </w:pPr>
            <w:r w:rsidRPr="00426DD6">
              <w:rPr>
                <w:rFonts w:eastAsia="Times New Roman"/>
                <w:b/>
                <w:spacing w:val="-6"/>
                <w:szCs w:val="28"/>
                <w:lang w:val="pt-BR"/>
              </w:rPr>
              <w:t xml:space="preserve">Khoản 1 Điều 2: </w:t>
            </w:r>
            <w:r w:rsidR="00AC2FFA" w:rsidRPr="00426DD6">
              <w:rPr>
                <w:rFonts w:eastAsia="Times New Roman"/>
                <w:b/>
                <w:spacing w:val="-6"/>
                <w:szCs w:val="28"/>
                <w:lang w:val="pt-BR"/>
              </w:rPr>
              <w:t xml:space="preserve">Chính sách về việc </w:t>
            </w:r>
            <w:r w:rsidR="00AC2FFA" w:rsidRPr="00426DD6">
              <w:rPr>
                <w:rFonts w:eastAsia="Times New Roman"/>
                <w:b/>
                <w:iCs/>
                <w:spacing w:val="-6"/>
                <w:szCs w:val="28"/>
                <w:lang w:val="nl-NL"/>
              </w:rPr>
              <w:t>lập, phê duyệt quy hoạch</w:t>
            </w:r>
            <w:r w:rsidRPr="00426DD6">
              <w:rPr>
                <w:rFonts w:eastAsia="Times New Roman"/>
                <w:b/>
                <w:iCs/>
                <w:spacing w:val="-6"/>
                <w:szCs w:val="28"/>
                <w:lang w:val="nl-NL"/>
              </w:rPr>
              <w:t xml:space="preserve"> dự án nhà ở xã hội</w:t>
            </w:r>
            <w:r w:rsidR="00AC2FFA" w:rsidRPr="00426DD6">
              <w:rPr>
                <w:rFonts w:eastAsia="Times New Roman"/>
                <w:b/>
                <w:iCs/>
                <w:spacing w:val="-6"/>
                <w:szCs w:val="28"/>
                <w:lang w:val="nl-NL"/>
              </w:rPr>
              <w:t xml:space="preserve"> </w:t>
            </w:r>
          </w:p>
        </w:tc>
        <w:tc>
          <w:tcPr>
            <w:tcW w:w="1244" w:type="pct"/>
            <w:tcBorders>
              <w:top w:val="single" w:sz="4" w:space="0" w:color="auto"/>
              <w:bottom w:val="single" w:sz="4" w:space="0" w:color="auto"/>
            </w:tcBorders>
            <w:shd w:val="clear" w:color="auto" w:fill="CAEDFB" w:themeFill="accent4" w:themeFillTint="33"/>
          </w:tcPr>
          <w:p w14:paraId="057BD92D" w14:textId="77777777" w:rsidR="006A78DE" w:rsidRPr="000D0918" w:rsidRDefault="006A78DE" w:rsidP="00CD207F">
            <w:pPr>
              <w:ind w:firstLine="174"/>
              <w:jc w:val="both"/>
            </w:pPr>
          </w:p>
        </w:tc>
      </w:tr>
      <w:tr w:rsidR="000D0918" w:rsidRPr="000D0918" w14:paraId="057BD932" w14:textId="77777777" w:rsidTr="00C17523">
        <w:tc>
          <w:tcPr>
            <w:tcW w:w="2329" w:type="pct"/>
            <w:tcBorders>
              <w:top w:val="single" w:sz="4" w:space="0" w:color="auto"/>
            </w:tcBorders>
            <w:shd w:val="clear" w:color="auto" w:fill="auto"/>
          </w:tcPr>
          <w:p w14:paraId="059792BE" w14:textId="51C83D66"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(1) Luật Quy hoạch đô thị và nông thôn (Điều 7, Điều 8):</w:t>
            </w:r>
          </w:p>
          <w:p w14:paraId="71D9B930" w14:textId="6D5E2C11" w:rsidR="00465AD7" w:rsidRPr="00426DD6" w:rsidRDefault="00465AD7" w:rsidP="00426DD6">
            <w:pPr>
              <w:widowControl w:val="0"/>
              <w:shd w:val="clear" w:color="auto" w:fill="FFFFFF"/>
              <w:spacing w:after="120"/>
              <w:ind w:firstLine="313"/>
              <w:jc w:val="both"/>
              <w:rPr>
                <w:szCs w:val="28"/>
                <w:shd w:val="clear" w:color="auto" w:fill="FFFFFF"/>
              </w:rPr>
            </w:pPr>
            <w:r w:rsidRPr="00426DD6">
              <w:rPr>
                <w:b/>
                <w:szCs w:val="28"/>
                <w:shd w:val="clear" w:color="auto" w:fill="FFFFFF"/>
              </w:rPr>
              <w:t xml:space="preserve">Điều 7. </w:t>
            </w:r>
            <w:r w:rsidRPr="00426DD6">
              <w:rPr>
                <w:szCs w:val="28"/>
                <w:shd w:val="clear" w:color="auto" w:fill="FFFFFF"/>
              </w:rPr>
              <w:t>Nguyên tắc trong hoạt động quy hoạch đô thị và nông thôn</w:t>
            </w:r>
          </w:p>
          <w:p w14:paraId="17D5A416" w14:textId="41AC5202"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1. Các quy hoạch đô thị và nông thôn phải được lập, thẩm định, phê duyệt bảo đảm tính đồng bộ, phù hợp giữa các loại và cấp độ quy hoạch theo các nguyên tắc sau đây:</w:t>
            </w:r>
          </w:p>
          <w:p w14:paraId="1DCDC66E" w14:textId="1C72186C"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 xml:space="preserve">a) Các quy hoạch chung có thể được lập đồng thời với nhau; trường hợp quy hoạch chung khác cấp thẩm quyền phê duyệt thì quy hoạch chung có cấp thẩm quyền phê duyệt cao hơn phải được phê duyệt trước; trường hợp quy hoạch chung </w:t>
            </w:r>
            <w:r w:rsidRPr="00426DD6">
              <w:rPr>
                <w:szCs w:val="28"/>
                <w:shd w:val="clear" w:color="auto" w:fill="FFFFFF"/>
              </w:rPr>
              <w:lastRenderedPageBreak/>
              <w:t>có cùng cấp thẩm quyền phê duyệt thì quy hoạch chung được lập, thẩm định xong trước được phê duyệt trước;</w:t>
            </w:r>
          </w:p>
          <w:p w14:paraId="584A4282" w14:textId="1112FA44"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b) Quy hoạch phân khu cụ thể hóa quy hoạch chung về: mục tiêu phát triển; chỉ tiêu kinh tế - kỹ thuật; định hướng phát triển, tổ chức không gian và phân khu chức năng; định hướng phát triển hệ thống công trình hạ tầng kỹ thuật, công trình hạ tầng xã hội và không gian ngầm (nếu có). Nội dung, yêu cầu và nguyên tắc bảo đảm cụ thể hóa phải được xác định, quy định rõ trong quy hoạch;</w:t>
            </w:r>
          </w:p>
          <w:p w14:paraId="297EE24B" w14:textId="66DD4116"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c) Quy hoạch chi tiết cụ thể hóa quy hoạch phân khu hoặc quy hoạch chung đối với trường hợp không quy định lập quy hoạch phân khu về: mục tiêu, yêu cầu đầu tư phát triển; phương án và yêu cầu tổ chức không gian, kiến trúc cảnh quan; chỉ tiêu kinh tế - kỹ thuật; chức năng, chỉ tiêu sử dụng đất quy hoạch; giải pháp quy hoạch hệ thống công trình hạ tầng kỹ thuật, công trình hạ tầng xã hội. Nội dung, yêu cầu và nguyên tắc bảo đảm cụ thể hóa phải được xác định, quy định rõ trong quy hoạch;</w:t>
            </w:r>
          </w:p>
          <w:p w14:paraId="61C5D7ED" w14:textId="24FA21E0"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 xml:space="preserve">d) Quy hoạch không gian ngầm và quy hoạch chuyên ngành hạ tầng kỹ thuật đối với một thành phố trực thuộc trung ương phải đồng bộ với nhau; cụ thể hóa mục tiêu phát triển, định hướng quy hoạch không gian ngầm và hệ thống công trình hạ tầng kỹ thuật khung; thống nhất và đồng bộ với định hướng phát triển không gian, kiến trúc cảnh quan tại quy hoạch chung thành phố trực thuộc trung ương. Nội dung, yêu cầu và nguyên tắc bảo đảm cụ thể hóa phải được xác </w:t>
            </w:r>
            <w:r w:rsidRPr="00426DD6">
              <w:rPr>
                <w:szCs w:val="28"/>
                <w:shd w:val="clear" w:color="auto" w:fill="FFFFFF"/>
              </w:rPr>
              <w:lastRenderedPageBreak/>
              <w:t>định, quy định rõ trong quy hoạch.</w:t>
            </w:r>
          </w:p>
          <w:p w14:paraId="69FFBA0F" w14:textId="0625E30E"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2. Cơ quan, tổ chức, cá nhân khi thực hiện các chương trình, kế hoạch đầu tư xây dựng, quản lý thực hiện các dự án đầu tư xây dựng tại đô thị, nông thôn, thực hiện quản lý không gian, kiến trúc cảnh quan hoặc thực hiện các hoạt động khác có liên quan đến quy hoạch đô thị và nông thôn phải tuân thủ quy hoạch đô thị và nông thôn, thiết kế đô thị riêng đã được phê duyệt; tuân thủ quy định quản lý theo quy hoạch đã được ban hành.</w:t>
            </w:r>
          </w:p>
          <w:p w14:paraId="7DCBD4DB" w14:textId="086D160E"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Điều 8. Bảo đảm sự phù hợp của dự án đầu tư xây dựng với quy hoạch đô thị và nông thôn</w:t>
            </w:r>
          </w:p>
          <w:p w14:paraId="33B0339B" w14:textId="2C926688"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1. Quy hoạch đô thị và nông thôn là cơ sở để lập dự án đầu tư xây dựng, bảo đảm sự phù hợp của dự án đầu tư xây dựng đối với từng loại, cấp độ quy hoạch đô thị và nông thôn, thiết kế đô thị riêng. Chính phủ quy định chi tiết khoản này.</w:t>
            </w:r>
          </w:p>
          <w:p w14:paraId="092ABDBB" w14:textId="13CE94BB"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2. Việc xác định quy hoạch được thực hiện để bảo đảm sự phù hợp của dự án đầu tư xây dựng với quy hoạch trong trường hợp có sự mâu thuẫn giữa các quy hoạch đô thị và nông thôn thực hiện theo quy định sau đây:</w:t>
            </w:r>
          </w:p>
          <w:p w14:paraId="4960B1B4" w14:textId="04307925"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 xml:space="preserve">a) Khi có sự mâu thuẫn giữa các quy hoạch đô thị và nông thôn cùng cấp độ, cùng cấp thẩm quyền phê duyệt quy hoạch thì cơ quan có thẩm quyền phê duyệt quy hoạch quyết định quy hoạch được thực hiện; trường hợp cùng cấp độ, khác cấp thẩm quyền phê duyệt quy hoạch thì cơ quan có thẩm quyền phê duyệt quy hoạch cao hơn quyết định quy hoạch được </w:t>
            </w:r>
            <w:r w:rsidRPr="00426DD6">
              <w:rPr>
                <w:szCs w:val="28"/>
                <w:shd w:val="clear" w:color="auto" w:fill="FFFFFF"/>
              </w:rPr>
              <w:lastRenderedPageBreak/>
              <w:t>thực hiện. Các nội dung đã được cấp có thẩm quyền phê duyệt quy hoạch quyết định thực hiện phải được cập nhật và thể hiện trong hồ sơ quy hoạch;</w:t>
            </w:r>
          </w:p>
          <w:p w14:paraId="6E46C252" w14:textId="21632FE8"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b) Khi có sự mâu thuẫn giữa các quy hoạch đô thị và nông thôn khác nhau về cấp độ thì các cơ quan tổ chức lập quy hoạch thực hiện rà soát, báo cáo cấp có thẩm quyền phê duyệt quy hoạch để thực hiện việc điều chỉnh quy hoạch theo quy định tại Chương III của Luật này;</w:t>
            </w:r>
          </w:p>
          <w:p w14:paraId="3AFBBE01" w14:textId="2B99C185"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c) Trình tự, thủ tục báo cáo, quyết định quy hoạch được thực hiện trong trường hợp quy định tại điểm a khoản này thực hiện theo quy định của Chính phủ, bảo đảm yêu cầu đối với quy hoạch đô thị và nông thôn và nguyên tắc trong hoạt động quy hoạch đô thị và nông thôn quy định tại Điều 6 và Điều 7 của Luật này.</w:t>
            </w:r>
          </w:p>
          <w:p w14:paraId="70118A22" w14:textId="7393BBC6"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(1) Khoản 7 Điều 7 Nghị định số 192/2025/NĐ-CP</w:t>
            </w:r>
          </w:p>
          <w:p w14:paraId="297A4EB9" w14:textId="0D397386" w:rsidR="00465AD7" w:rsidRPr="00426DD6" w:rsidRDefault="00465AD7" w:rsidP="00426DD6">
            <w:pPr>
              <w:widowControl w:val="0"/>
              <w:shd w:val="clear" w:color="auto" w:fill="FFFFFF"/>
              <w:spacing w:after="120"/>
              <w:ind w:firstLine="313"/>
              <w:jc w:val="both"/>
              <w:rPr>
                <w:szCs w:val="28"/>
                <w:shd w:val="clear" w:color="auto" w:fill="FFFFFF"/>
              </w:rPr>
            </w:pPr>
            <w:r w:rsidRPr="00426DD6">
              <w:rPr>
                <w:szCs w:val="28"/>
                <w:shd w:val="clear" w:color="auto" w:fill="FFFFFF"/>
              </w:rPr>
              <w:t xml:space="preserve">7. Trường hợp </w:t>
            </w:r>
            <w:r w:rsidRPr="00426DD6">
              <w:rPr>
                <w:szCs w:val="28"/>
                <w:shd w:val="clear" w:color="auto" w:fill="FFFFFF"/>
                <w:lang w:val="vi-VN"/>
              </w:rPr>
              <w:t>vị trí khu đất</w:t>
            </w:r>
            <w:r w:rsidRPr="00426DD6">
              <w:rPr>
                <w:szCs w:val="28"/>
                <w:shd w:val="clear" w:color="auto" w:fill="FFFFFF"/>
              </w:rPr>
              <w:t xml:space="preserve"> chưa có </w:t>
            </w:r>
            <w:r w:rsidRPr="00426DD6">
              <w:rPr>
                <w:szCs w:val="28"/>
                <w:shd w:val="clear" w:color="auto" w:fill="FFFFFF"/>
                <w:lang w:val="vi-VN"/>
              </w:rPr>
              <w:t xml:space="preserve">hoặc chưa phù hợp </w:t>
            </w:r>
            <w:r w:rsidRPr="00426DD6">
              <w:rPr>
                <w:szCs w:val="28"/>
                <w:shd w:val="clear" w:color="auto" w:fill="FFFFFF"/>
              </w:rPr>
              <w:t xml:space="preserve">với </w:t>
            </w:r>
            <w:r w:rsidRPr="00426DD6">
              <w:rPr>
                <w:szCs w:val="28"/>
                <w:shd w:val="clear" w:color="auto" w:fill="FFFFFF"/>
                <w:lang w:val="vi-VN"/>
              </w:rPr>
              <w:t>quy hoạch đô thị và nông thôn</w:t>
            </w:r>
            <w:r w:rsidRPr="00426DD6">
              <w:rPr>
                <w:szCs w:val="28"/>
                <w:shd w:val="clear" w:color="auto" w:fill="FFFFFF"/>
              </w:rPr>
              <w:t>, chưa có chương trình, kế hoạch phát triển nhà ở</w:t>
            </w:r>
            <w:r w:rsidRPr="00426DD6">
              <w:rPr>
                <w:szCs w:val="28"/>
                <w:shd w:val="clear" w:color="auto" w:fill="FFFFFF"/>
                <w:lang w:val="vi-VN"/>
              </w:rPr>
              <w:t xml:space="preserve"> </w:t>
            </w:r>
            <w:r w:rsidRPr="00426DD6">
              <w:rPr>
                <w:szCs w:val="28"/>
                <w:shd w:val="clear" w:color="auto" w:fill="FFFFFF"/>
              </w:rPr>
              <w:t xml:space="preserve">thì sau khi </w:t>
            </w:r>
            <w:r w:rsidRPr="00426DD6">
              <w:rPr>
                <w:spacing w:val="-2"/>
                <w:szCs w:val="28"/>
                <w:shd w:val="clear" w:color="auto" w:fill="FFFFFF"/>
              </w:rPr>
              <w:t>quyết định chấp thuận chủ trương đầu tư đồng thời giao chủ đầu tư,</w:t>
            </w:r>
            <w:r w:rsidRPr="00426DD6">
              <w:rPr>
                <w:spacing w:val="-2"/>
                <w:szCs w:val="28"/>
                <w:shd w:val="clear" w:color="auto" w:fill="FFFFFF"/>
                <w:lang w:val="vi-VN"/>
              </w:rPr>
              <w:t xml:space="preserve"> Ủy ban nhân dân cấp tỉnh có trách nhiệm tổ chức lập, </w:t>
            </w:r>
            <w:r w:rsidRPr="00426DD6">
              <w:rPr>
                <w:spacing w:val="-2"/>
                <w:szCs w:val="28"/>
                <w:shd w:val="clear" w:color="auto" w:fill="FFFFFF"/>
              </w:rPr>
              <w:t>cập nhật</w:t>
            </w:r>
            <w:r w:rsidRPr="00426DD6">
              <w:rPr>
                <w:spacing w:val="-2"/>
                <w:szCs w:val="28"/>
                <w:shd w:val="clear" w:color="auto" w:fill="FFFFFF"/>
                <w:lang w:val="vi-VN"/>
              </w:rPr>
              <w:t>,</w:t>
            </w:r>
            <w:r w:rsidRPr="00426DD6">
              <w:rPr>
                <w:spacing w:val="-2"/>
                <w:szCs w:val="28"/>
                <w:shd w:val="clear" w:color="auto" w:fill="FFFFFF"/>
              </w:rPr>
              <w:t xml:space="preserve"> điều chỉnh chương trình, kế hoạch phát triển nhà ở</w:t>
            </w:r>
            <w:r w:rsidRPr="00426DD6">
              <w:rPr>
                <w:spacing w:val="-2"/>
                <w:szCs w:val="28"/>
                <w:shd w:val="clear" w:color="auto" w:fill="FFFFFF"/>
                <w:lang w:val="vi-VN"/>
              </w:rPr>
              <w:t xml:space="preserve">, quy hoạch đô thị và nông thôn làm cơ sở cho việc </w:t>
            </w:r>
            <w:r w:rsidRPr="00426DD6">
              <w:rPr>
                <w:spacing w:val="-2"/>
                <w:szCs w:val="28"/>
                <w:shd w:val="clear" w:color="auto" w:fill="FFFFFF"/>
              </w:rPr>
              <w:t xml:space="preserve">lập, thẩm định, phê duyệt báo cáo nghiên cứu khả thi đầu tư xây dựng hoặc báo cáo kinh tế - kỹ thuật đầu tư xây dựng và </w:t>
            </w:r>
            <w:r w:rsidRPr="00426DD6">
              <w:rPr>
                <w:spacing w:val="-2"/>
                <w:szCs w:val="28"/>
                <w:shd w:val="clear" w:color="auto" w:fill="FFFFFF"/>
                <w:lang w:val="vi-VN"/>
              </w:rPr>
              <w:t>triển khai các bước tiếp theo của dự án</w:t>
            </w:r>
            <w:r w:rsidRPr="00426DD6">
              <w:rPr>
                <w:spacing w:val="-2"/>
                <w:szCs w:val="28"/>
                <w:shd w:val="clear" w:color="auto" w:fill="FFFFFF"/>
              </w:rPr>
              <w:t>.</w:t>
            </w:r>
          </w:p>
          <w:p w14:paraId="057BD92F" w14:textId="749C4119" w:rsidR="00017AFB" w:rsidRPr="00426DD6" w:rsidRDefault="00017AFB" w:rsidP="00426DD6">
            <w:pPr>
              <w:shd w:val="clear" w:color="auto" w:fill="FFFFFF"/>
              <w:spacing w:after="120"/>
              <w:ind w:firstLine="313"/>
              <w:jc w:val="both"/>
              <w:rPr>
                <w:spacing w:val="-4"/>
                <w:szCs w:val="28"/>
              </w:rPr>
            </w:pPr>
          </w:p>
        </w:tc>
        <w:tc>
          <w:tcPr>
            <w:tcW w:w="1427" w:type="pct"/>
            <w:tcBorders>
              <w:top w:val="single" w:sz="4" w:space="0" w:color="auto"/>
              <w:bottom w:val="nil"/>
            </w:tcBorders>
            <w:shd w:val="clear" w:color="auto" w:fill="auto"/>
          </w:tcPr>
          <w:p w14:paraId="3E8BF27A" w14:textId="77777777" w:rsidR="003A65B7" w:rsidRPr="00426DD6" w:rsidRDefault="003A65B7" w:rsidP="00426DD6">
            <w:pPr>
              <w:widowControl w:val="0"/>
              <w:shd w:val="clear" w:color="auto" w:fill="FFFFFF"/>
              <w:spacing w:after="120"/>
              <w:ind w:firstLine="316"/>
              <w:jc w:val="both"/>
              <w:rPr>
                <w:szCs w:val="28"/>
              </w:rPr>
            </w:pPr>
            <w:r w:rsidRPr="00426DD6">
              <w:rPr>
                <w:szCs w:val="28"/>
              </w:rPr>
              <w:lastRenderedPageBreak/>
              <w:t xml:space="preserve">1. Trường hợp nhà đầu tư đề xuất dự án tại vị trí khu đất chưa có hoặc chưa phù hợp với quy hoạch đô thị và nông thôn, chưa có chương trình, kế hoạch phát triển nhà ở thì Ủy ban nhân dân cấp tỉnh giao Sở Xây dựng chủ trì, phối hợp với Sở Tài chính, Sở Nông nghiệp và Môi trường, Sở Quy hoạch và Kiến trúc (nếu có), Ủy ban nhân dân cấp xã nơi có dự án xem xét trình Ủy ban nhân dân cấp </w:t>
            </w:r>
            <w:r w:rsidRPr="00426DD6">
              <w:rPr>
                <w:szCs w:val="28"/>
              </w:rPr>
              <w:lastRenderedPageBreak/>
              <w:t>tỉnh quyết định chỉ tiêu quy hoạch sử dụng đất, các yêu cầu về tổ chức không gian, kiến trúc, cảnh quan của khu đất được xác định để phát triển nhà ở xã hội để quyết định chấp thuận chủ trương đầu tư đồng thời giao chủ đầu tư.</w:t>
            </w:r>
          </w:p>
          <w:p w14:paraId="057BD930" w14:textId="19E2156A" w:rsidR="006A78DE" w:rsidRPr="00426DD6" w:rsidRDefault="003A65B7" w:rsidP="00426DD6">
            <w:pPr>
              <w:suppressLineNumbers/>
              <w:suppressAutoHyphens/>
              <w:spacing w:after="120"/>
              <w:ind w:firstLine="316"/>
              <w:jc w:val="both"/>
              <w:rPr>
                <w:b/>
                <w:bCs/>
                <w:spacing w:val="-6"/>
                <w:szCs w:val="28"/>
              </w:rPr>
            </w:pPr>
            <w:r w:rsidRPr="00426DD6">
              <w:rPr>
                <w:szCs w:val="28"/>
              </w:rPr>
              <w:t>Sau khi có quyết định chấp thuận chủ trương đầu tư đồng thời giao chủ đầu tư, chủ đầu tư có trách nhiệm tổ chức lập, trình thẩm định, phê duyệt quy hoạch chi tiết tỷ lệ 1/500 để làm cơ sở cho việc lập, thẩm định, phê duyệt báo cáo nghiên cứu khả thi đầu tư xây dựng hoặc báo cáo kinh tế - kỹ thuật đầu tư xây dựng và triển khai các bước tiếp theo của dự án. Các nội dung quy hoạch chi tiết tỷ lệ 1/500 đã được cấp có thẩm quyền phê duyệt phải được cập nhật vào các loại và cấp độ quy hoạch đô thị và nông thôn và chương trình, kế hoạch phát triển nhà ở của địa phương.</w:t>
            </w:r>
          </w:p>
        </w:tc>
        <w:tc>
          <w:tcPr>
            <w:tcW w:w="1244" w:type="pct"/>
            <w:tcBorders>
              <w:top w:val="single" w:sz="4" w:space="0" w:color="auto"/>
              <w:bottom w:val="nil"/>
            </w:tcBorders>
            <w:shd w:val="clear" w:color="auto" w:fill="auto"/>
          </w:tcPr>
          <w:p w14:paraId="3FD3A4D5" w14:textId="77777777" w:rsidR="00465AD7" w:rsidRPr="00AC1F2F" w:rsidRDefault="00F27C26" w:rsidP="00CD207F">
            <w:pPr>
              <w:suppressLineNumbers/>
              <w:suppressAutoHyphens/>
              <w:spacing w:before="60" w:line="242" w:lineRule="auto"/>
              <w:ind w:firstLine="174"/>
              <w:jc w:val="both"/>
              <w:rPr>
                <w:rFonts w:eastAsia="Times New Roman"/>
                <w:b/>
                <w:i/>
                <w:iCs/>
                <w:spacing w:val="-6"/>
                <w:lang w:val="nl-NL"/>
              </w:rPr>
            </w:pPr>
            <w:r w:rsidRPr="00AC1F2F">
              <w:rPr>
                <w:rFonts w:eastAsia="Times New Roman"/>
                <w:b/>
                <w:i/>
                <w:iCs/>
                <w:spacing w:val="-6"/>
                <w:lang w:val="nl-NL"/>
              </w:rPr>
              <w:lastRenderedPageBreak/>
              <w:t xml:space="preserve">Lý do: </w:t>
            </w:r>
          </w:p>
          <w:p w14:paraId="19F0BD56" w14:textId="1B32B66B" w:rsidR="004441EE" w:rsidRPr="000D0918" w:rsidRDefault="00F27C26" w:rsidP="00CD207F">
            <w:pPr>
              <w:suppressLineNumbers/>
              <w:suppressAutoHyphens/>
              <w:spacing w:before="60" w:line="242" w:lineRule="auto"/>
              <w:ind w:firstLine="174"/>
              <w:jc w:val="both"/>
              <w:rPr>
                <w:rFonts w:eastAsia="Times New Roman"/>
                <w:iCs/>
                <w:spacing w:val="-6"/>
                <w:lang w:val="nl-NL"/>
              </w:rPr>
            </w:pPr>
            <w:r w:rsidRPr="000D0918">
              <w:rPr>
                <w:rFonts w:eastAsia="Times New Roman"/>
                <w:iCs/>
                <w:spacing w:val="-6"/>
                <w:lang w:val="nl-NL"/>
              </w:rPr>
              <w:t xml:space="preserve">Theo quy định tại </w:t>
            </w:r>
            <w:r w:rsidR="00AB5345" w:rsidRPr="000D0918">
              <w:rPr>
                <w:rFonts w:eastAsia="Times New Roman"/>
                <w:iCs/>
                <w:spacing w:val="-6"/>
                <w:lang w:val="nl-NL"/>
              </w:rPr>
              <w:t xml:space="preserve">Điều 7 Luật Quy hoạch đô thị và nông thôn năm 2024 </w:t>
            </w:r>
            <w:r w:rsidR="00465AD7" w:rsidRPr="000D0918">
              <w:rPr>
                <w:rFonts w:eastAsia="Times New Roman"/>
                <w:iCs/>
                <w:spacing w:val="-6"/>
                <w:lang w:val="nl-NL"/>
              </w:rPr>
              <w:t>thì</w:t>
            </w:r>
            <w:r w:rsidRPr="000D0918">
              <w:rPr>
                <w:rFonts w:eastAsia="Times New Roman"/>
                <w:iCs/>
                <w:spacing w:val="-6"/>
                <w:lang w:val="nl-NL"/>
              </w:rPr>
              <w:t xml:space="preserve"> các quy hoạch phải </w:t>
            </w:r>
            <w:r w:rsidR="00994AD3" w:rsidRPr="000D0918">
              <w:rPr>
                <w:rFonts w:eastAsia="Times New Roman"/>
                <w:iCs/>
                <w:spacing w:val="-6"/>
                <w:lang w:val="nl-NL"/>
              </w:rPr>
              <w:t xml:space="preserve">được </w:t>
            </w:r>
            <w:r w:rsidRPr="000D0918">
              <w:rPr>
                <w:rFonts w:eastAsia="Times New Roman"/>
                <w:iCs/>
                <w:spacing w:val="-6"/>
                <w:lang w:val="nl-NL"/>
              </w:rPr>
              <w:t>lập</w:t>
            </w:r>
            <w:r w:rsidR="005319DC" w:rsidRPr="000D0918">
              <w:rPr>
                <w:rFonts w:eastAsia="Times New Roman"/>
                <w:iCs/>
                <w:spacing w:val="-6"/>
                <w:lang w:val="nl-NL"/>
              </w:rPr>
              <w:t>, điều chỉnh, phê duyệt</w:t>
            </w:r>
            <w:r w:rsidRPr="000D0918">
              <w:rPr>
                <w:rFonts w:eastAsia="Times New Roman"/>
                <w:iCs/>
                <w:spacing w:val="-6"/>
                <w:lang w:val="nl-NL"/>
              </w:rPr>
              <w:t xml:space="preserve"> theo tuần tự thứ bậc trên dưới, do đó, khi cần lập hoặc điều chỉnh các quy hoạch </w:t>
            </w:r>
            <w:r w:rsidR="004441EE" w:rsidRPr="000D0918">
              <w:rPr>
                <w:rFonts w:eastAsia="Times New Roman"/>
                <w:iCs/>
                <w:spacing w:val="-6"/>
                <w:lang w:val="nl-NL"/>
              </w:rPr>
              <w:t xml:space="preserve">chi tiết vị trí </w:t>
            </w:r>
            <w:r w:rsidR="004441EE" w:rsidRPr="000D0918">
              <w:rPr>
                <w:szCs w:val="28"/>
                <w:shd w:val="clear" w:color="auto" w:fill="FFFFFF"/>
              </w:rPr>
              <w:t xml:space="preserve">khu đất được xác định </w:t>
            </w:r>
            <w:r w:rsidR="004441EE" w:rsidRPr="000D0918">
              <w:rPr>
                <w:spacing w:val="-2"/>
                <w:szCs w:val="28"/>
              </w:rPr>
              <w:t>để phát triển nhà ở xã hội</w:t>
            </w:r>
            <w:r w:rsidR="004441EE" w:rsidRPr="000D0918">
              <w:rPr>
                <w:rFonts w:eastAsia="Times New Roman"/>
                <w:iCs/>
                <w:spacing w:val="-6"/>
                <w:lang w:val="nl-NL"/>
              </w:rPr>
              <w:t xml:space="preserve">, việc điều chỉnh quy hoạch </w:t>
            </w:r>
            <w:r w:rsidRPr="000D0918">
              <w:rPr>
                <w:rFonts w:eastAsia="Times New Roman"/>
                <w:iCs/>
                <w:spacing w:val="-6"/>
                <w:lang w:val="nl-NL"/>
              </w:rPr>
              <w:t xml:space="preserve">phân khu các khu vực hình </w:t>
            </w:r>
            <w:r w:rsidRPr="000D0918">
              <w:rPr>
                <w:rFonts w:eastAsia="Times New Roman"/>
                <w:iCs/>
                <w:spacing w:val="-6"/>
                <w:lang w:val="nl-NL"/>
              </w:rPr>
              <w:lastRenderedPageBreak/>
              <w:t xml:space="preserve">thành đô thị để </w:t>
            </w:r>
            <w:r w:rsidR="004441EE" w:rsidRPr="000D0918">
              <w:rPr>
                <w:rFonts w:eastAsia="Times New Roman"/>
                <w:iCs/>
                <w:spacing w:val="-6"/>
                <w:lang w:val="nl-NL"/>
              </w:rPr>
              <w:t>đảm bảo phù hợp</w:t>
            </w:r>
            <w:r w:rsidRPr="000D0918">
              <w:rPr>
                <w:rFonts w:eastAsia="Times New Roman"/>
                <w:iCs/>
                <w:spacing w:val="-6"/>
                <w:lang w:val="nl-NL"/>
              </w:rPr>
              <w:t xml:space="preserve"> các địa phương sẽ gặp vướng mắc do phải chờ từ 1-2 năm để hoàn thiện các quy hoạch cấp trên (</w:t>
            </w:r>
            <w:r w:rsidR="004441EE" w:rsidRPr="000D0918">
              <w:rPr>
                <w:rFonts w:eastAsia="Times New Roman"/>
                <w:iCs/>
                <w:spacing w:val="-6"/>
                <w:lang w:val="nl-NL"/>
              </w:rPr>
              <w:t xml:space="preserve">quy hoạch phân khu, </w:t>
            </w:r>
            <w:r w:rsidRPr="000D0918">
              <w:rPr>
                <w:rFonts w:eastAsia="Times New Roman"/>
                <w:iCs/>
                <w:spacing w:val="-6"/>
                <w:lang w:val="nl-NL"/>
              </w:rPr>
              <w:t xml:space="preserve">quy hoạch tỉnh, các quy hoạch chung đô thị) trong quá trình tổ chức, sắp xếp đơn vị hành chính. Để kịp thời tháo gỡ các vướng mắc, khó khăn, không để gián đoạn, đình trệ việc triển khai các dự án đầu tư </w:t>
            </w:r>
            <w:r w:rsidR="004441EE" w:rsidRPr="000D0918">
              <w:rPr>
                <w:rFonts w:eastAsia="Times New Roman"/>
                <w:iCs/>
                <w:spacing w:val="-6"/>
                <w:lang w:val="nl-NL"/>
              </w:rPr>
              <w:t>xây dựng nhà ở xã hội</w:t>
            </w:r>
            <w:r w:rsidRPr="000D0918">
              <w:rPr>
                <w:rFonts w:eastAsia="Times New Roman"/>
                <w:iCs/>
                <w:spacing w:val="-6"/>
                <w:lang w:val="nl-NL"/>
              </w:rPr>
              <w:t xml:space="preserve">, cần thiết phải có chính sách cá biệt cho phép lập hoặc điều chỉnh </w:t>
            </w:r>
            <w:r w:rsidR="004441EE" w:rsidRPr="000D0918">
              <w:rPr>
                <w:rFonts w:eastAsia="Times New Roman"/>
                <w:iCs/>
                <w:spacing w:val="-6"/>
                <w:lang w:val="nl-NL"/>
              </w:rPr>
              <w:t xml:space="preserve">quy hoạch chi tiết, </w:t>
            </w:r>
            <w:r w:rsidRPr="000D0918">
              <w:rPr>
                <w:rFonts w:eastAsia="Times New Roman"/>
                <w:iCs/>
                <w:spacing w:val="-6"/>
                <w:lang w:val="nl-NL"/>
              </w:rPr>
              <w:t>các quy hoạch phân khu đô thị đồng thời với quá trình lập, điều chỉnh các quy hoạch tỉnh, quy hoạch chung các đô thị trong quá trình sắp xếp đơn vị hành chính</w:t>
            </w:r>
            <w:r w:rsidR="004441EE" w:rsidRPr="000D0918">
              <w:rPr>
                <w:rFonts w:eastAsia="Times New Roman"/>
                <w:iCs/>
                <w:spacing w:val="-6"/>
                <w:lang w:val="nl-NL"/>
              </w:rPr>
              <w:t xml:space="preserve"> theo hướng:</w:t>
            </w:r>
          </w:p>
          <w:p w14:paraId="612E0DD6" w14:textId="77777777" w:rsidR="004441EE" w:rsidRPr="000D0918" w:rsidRDefault="004441EE" w:rsidP="00CD207F">
            <w:pPr>
              <w:widowControl w:val="0"/>
              <w:shd w:val="clear" w:color="auto" w:fill="FFFFFF"/>
              <w:spacing w:after="120" w:line="350" w:lineRule="exact"/>
              <w:ind w:firstLine="174"/>
              <w:jc w:val="both"/>
              <w:rPr>
                <w:szCs w:val="28"/>
                <w:shd w:val="clear" w:color="auto" w:fill="FFFFFF"/>
              </w:rPr>
            </w:pPr>
            <w:r w:rsidRPr="000D0918">
              <w:rPr>
                <w:rFonts w:eastAsia="Times New Roman"/>
                <w:iCs/>
                <w:spacing w:val="-6"/>
                <w:lang w:val="nl-NL"/>
              </w:rPr>
              <w:t xml:space="preserve">Cho phép </w:t>
            </w:r>
            <w:r w:rsidRPr="000D0918">
              <w:rPr>
                <w:szCs w:val="28"/>
                <w:shd w:val="clear" w:color="auto" w:fill="FFFFFF"/>
              </w:rPr>
              <w:t xml:space="preserve">Ủy ban nhân dân cấp tỉnh quyết định chỉ tiêu quy hoạch sử dụng đất, các yêu cầu về tổ chức không gian, kiến trúc, cảnh quan của khu đất được xác định </w:t>
            </w:r>
            <w:r w:rsidRPr="000D0918">
              <w:rPr>
                <w:spacing w:val="-2"/>
                <w:szCs w:val="28"/>
              </w:rPr>
              <w:t xml:space="preserve">để phát triển nhà </w:t>
            </w:r>
            <w:r w:rsidRPr="000D0918">
              <w:rPr>
                <w:spacing w:val="-2"/>
                <w:szCs w:val="28"/>
              </w:rPr>
              <w:lastRenderedPageBreak/>
              <w:t>ở xã hội để</w:t>
            </w:r>
            <w:r w:rsidRPr="000D0918">
              <w:rPr>
                <w:szCs w:val="28"/>
                <w:shd w:val="clear" w:color="auto" w:fill="FFFFFF"/>
              </w:rPr>
              <w:t xml:space="preserve"> </w:t>
            </w:r>
            <w:r w:rsidRPr="000D0918">
              <w:rPr>
                <w:spacing w:val="-2"/>
                <w:szCs w:val="28"/>
                <w:shd w:val="clear" w:color="auto" w:fill="FFFFFF"/>
              </w:rPr>
              <w:t>quyết định chấp thuận chủ trương đầu tư đồng thời giao chủ đầu tư.</w:t>
            </w:r>
          </w:p>
          <w:p w14:paraId="3ED5A256" w14:textId="77777777" w:rsidR="004441EE" w:rsidRPr="000D0918" w:rsidRDefault="004441EE" w:rsidP="00CD207F">
            <w:pPr>
              <w:widowControl w:val="0"/>
              <w:shd w:val="clear" w:color="auto" w:fill="FFFFFF"/>
              <w:spacing w:after="120" w:line="350" w:lineRule="exact"/>
              <w:ind w:firstLine="174"/>
              <w:jc w:val="both"/>
              <w:rPr>
                <w:spacing w:val="-2"/>
                <w:szCs w:val="28"/>
                <w:shd w:val="clear" w:color="auto" w:fill="FFFFFF"/>
              </w:rPr>
            </w:pPr>
            <w:r w:rsidRPr="000D0918">
              <w:rPr>
                <w:spacing w:val="-2"/>
                <w:szCs w:val="28"/>
                <w:shd w:val="clear" w:color="auto" w:fill="FFFFFF"/>
              </w:rPr>
              <w:t xml:space="preserve">Sau khi có quyết định chấp thuận chủ trương đầu tư đồng thời giao chủ đầu tư, chủ đầu tư có trách nhiệm tổ chức lập, </w:t>
            </w:r>
            <w:r w:rsidRPr="000D0918">
              <w:rPr>
                <w:szCs w:val="28"/>
                <w:shd w:val="clear" w:color="auto" w:fill="FFFFFF"/>
              </w:rPr>
              <w:t xml:space="preserve">trình thẩm định, phê duyệt quy hoạch chi tiết tỷ lệ 1/500 để </w:t>
            </w:r>
            <w:r w:rsidRPr="000D0918">
              <w:rPr>
                <w:spacing w:val="-2"/>
                <w:szCs w:val="28"/>
                <w:shd w:val="clear" w:color="auto" w:fill="FFFFFF"/>
                <w:lang w:val="vi-VN"/>
              </w:rPr>
              <w:t xml:space="preserve">làm cơ sở cho việc </w:t>
            </w:r>
            <w:r w:rsidRPr="000D0918">
              <w:rPr>
                <w:spacing w:val="-2"/>
                <w:szCs w:val="28"/>
                <w:shd w:val="clear" w:color="auto" w:fill="FFFFFF"/>
              </w:rPr>
              <w:t xml:space="preserve">lập, thẩm định, phê duyệt báo cáo nghiên cứu khả thi đầu tư xây dựng hoặc báo cáo kinh tế - kỹ thuật đầu tư xây dựng và </w:t>
            </w:r>
            <w:r w:rsidRPr="000D0918">
              <w:rPr>
                <w:spacing w:val="-2"/>
                <w:szCs w:val="28"/>
                <w:shd w:val="clear" w:color="auto" w:fill="FFFFFF"/>
                <w:lang w:val="vi-VN"/>
              </w:rPr>
              <w:t>triển khai các bước tiếp theo của dự án</w:t>
            </w:r>
            <w:r w:rsidRPr="000D0918">
              <w:rPr>
                <w:spacing w:val="-2"/>
                <w:szCs w:val="28"/>
                <w:shd w:val="clear" w:color="auto" w:fill="FFFFFF"/>
              </w:rPr>
              <w:t xml:space="preserve">. Các nội dung </w:t>
            </w:r>
            <w:r w:rsidRPr="000D0918">
              <w:rPr>
                <w:szCs w:val="28"/>
                <w:shd w:val="clear" w:color="auto" w:fill="FFFFFF"/>
              </w:rPr>
              <w:t xml:space="preserve">quy hoạch chi tiết tỷ lệ 1/500 </w:t>
            </w:r>
            <w:r w:rsidRPr="000D0918">
              <w:rPr>
                <w:spacing w:val="-2"/>
                <w:szCs w:val="28"/>
                <w:shd w:val="clear" w:color="auto" w:fill="FFFFFF"/>
              </w:rPr>
              <w:t xml:space="preserve">đã được cấp có thẩm quyền phê duyệt phải được cập nhật vào các loại và cấp độ quy hoạch đô thị và nông thôn và </w:t>
            </w:r>
            <w:r w:rsidRPr="000D0918">
              <w:rPr>
                <w:szCs w:val="28"/>
                <w:shd w:val="clear" w:color="auto" w:fill="FFFFFF"/>
              </w:rPr>
              <w:t>chương trình, kế hoạch phát triển nhà ở</w:t>
            </w:r>
            <w:r w:rsidRPr="000D0918">
              <w:rPr>
                <w:spacing w:val="-2"/>
                <w:szCs w:val="28"/>
                <w:shd w:val="clear" w:color="auto" w:fill="FFFFFF"/>
              </w:rPr>
              <w:t xml:space="preserve"> của địa phương.</w:t>
            </w:r>
          </w:p>
          <w:p w14:paraId="038CE045" w14:textId="36270ED5" w:rsidR="004441EE" w:rsidRPr="000D0918" w:rsidRDefault="004441EE" w:rsidP="00CD207F">
            <w:pPr>
              <w:suppressLineNumbers/>
              <w:suppressAutoHyphens/>
              <w:spacing w:before="60" w:line="242" w:lineRule="auto"/>
              <w:ind w:firstLine="174"/>
              <w:jc w:val="both"/>
              <w:rPr>
                <w:rFonts w:eastAsia="Times New Roman"/>
                <w:iCs/>
                <w:spacing w:val="-6"/>
                <w:lang w:val="nl-NL"/>
              </w:rPr>
            </w:pPr>
          </w:p>
          <w:p w14:paraId="057BD931" w14:textId="241021E3" w:rsidR="006A78DE" w:rsidRPr="000D0918" w:rsidRDefault="00F27C26" w:rsidP="00CD207F">
            <w:pPr>
              <w:suppressLineNumbers/>
              <w:suppressAutoHyphens/>
              <w:spacing w:before="60" w:line="242" w:lineRule="auto"/>
              <w:ind w:firstLine="174"/>
              <w:jc w:val="both"/>
              <w:rPr>
                <w:rFonts w:eastAsia="Times New Roman"/>
                <w:iCs/>
                <w:spacing w:val="-6"/>
                <w:lang w:val="nl-NL"/>
              </w:rPr>
            </w:pPr>
            <w:r w:rsidRPr="000D0918">
              <w:rPr>
                <w:rFonts w:eastAsia="Times New Roman"/>
                <w:iCs/>
                <w:spacing w:val="-6"/>
                <w:lang w:val="nl-NL"/>
              </w:rPr>
              <w:t>.</w:t>
            </w:r>
          </w:p>
        </w:tc>
      </w:tr>
      <w:tr w:rsidR="000D0918" w:rsidRPr="000D0918" w14:paraId="38308B62" w14:textId="77777777" w:rsidTr="00C17523">
        <w:tc>
          <w:tcPr>
            <w:tcW w:w="2329" w:type="pct"/>
            <w:shd w:val="clear" w:color="auto" w:fill="CAEDFB" w:themeFill="accent4" w:themeFillTint="33"/>
          </w:tcPr>
          <w:p w14:paraId="6A67F931" w14:textId="525C32ED" w:rsidR="008C7411" w:rsidRPr="00426DD6" w:rsidRDefault="00A6137E" w:rsidP="00426DD6">
            <w:pPr>
              <w:suppressLineNumbers/>
              <w:suppressAutoHyphens/>
              <w:spacing w:after="120"/>
              <w:ind w:firstLine="313"/>
              <w:jc w:val="both"/>
              <w:rPr>
                <w:b/>
                <w:bCs/>
                <w:spacing w:val="-6"/>
                <w:szCs w:val="28"/>
              </w:rPr>
            </w:pPr>
            <w:r w:rsidRPr="00426DD6">
              <w:rPr>
                <w:b/>
                <w:bCs/>
                <w:spacing w:val="-6"/>
                <w:szCs w:val="28"/>
              </w:rPr>
              <w:lastRenderedPageBreak/>
              <w:t xml:space="preserve">Điểm d khoản 2 Điều 85 Luật Nhà ở số 27/2023/QH15 và Khoản 4, khoản 5 Điều 23 Nghị định số 100/2024/NĐ-CP: </w:t>
            </w:r>
          </w:p>
        </w:tc>
        <w:tc>
          <w:tcPr>
            <w:tcW w:w="1427" w:type="pct"/>
            <w:tcBorders>
              <w:top w:val="nil"/>
              <w:bottom w:val="nil"/>
            </w:tcBorders>
            <w:shd w:val="clear" w:color="auto" w:fill="CAEDFB" w:themeFill="accent4" w:themeFillTint="33"/>
          </w:tcPr>
          <w:p w14:paraId="31CFB327" w14:textId="59C1A053" w:rsidR="008C7411" w:rsidRPr="00426DD6" w:rsidRDefault="003D53CC" w:rsidP="00426DD6">
            <w:pPr>
              <w:widowControl w:val="0"/>
              <w:shd w:val="clear" w:color="auto" w:fill="FFFFFF"/>
              <w:spacing w:after="120"/>
              <w:ind w:firstLine="316"/>
              <w:jc w:val="both"/>
              <w:rPr>
                <w:rFonts w:eastAsia="Times New Roman"/>
                <w:b/>
                <w:spacing w:val="-6"/>
                <w:szCs w:val="28"/>
                <w:lang w:val="pt-BR"/>
              </w:rPr>
            </w:pPr>
            <w:r w:rsidRPr="00426DD6">
              <w:rPr>
                <w:rFonts w:eastAsia="Times New Roman"/>
                <w:b/>
                <w:spacing w:val="-6"/>
                <w:szCs w:val="28"/>
                <w:lang w:val="pt-BR"/>
              </w:rPr>
              <w:t xml:space="preserve">Khoản 2 Điều 2: Về </w:t>
            </w:r>
            <w:r w:rsidRPr="00426DD6">
              <w:rPr>
                <w:b/>
                <w:szCs w:val="28"/>
              </w:rPr>
              <w:t>dành tỷ lệ tối đa 20% tổng diện tích đất ở trong phạm vi dự án nhà ở xã hội để đầu tư xây dựng nhà ở thương mại hoặc bố trí quỹ đất để xây dựng công trình kinh doanh dịch vụ, thương mại, nhà ở thương mại trong phạm vi dự án</w:t>
            </w:r>
          </w:p>
        </w:tc>
        <w:tc>
          <w:tcPr>
            <w:tcW w:w="1244" w:type="pct"/>
            <w:tcBorders>
              <w:top w:val="nil"/>
              <w:bottom w:val="nil"/>
            </w:tcBorders>
            <w:shd w:val="clear" w:color="auto" w:fill="CAEDFB" w:themeFill="accent4" w:themeFillTint="33"/>
          </w:tcPr>
          <w:p w14:paraId="0818BDA8" w14:textId="77777777" w:rsidR="008C7411" w:rsidRPr="000D0918" w:rsidRDefault="008C7411" w:rsidP="00CD207F">
            <w:pPr>
              <w:ind w:firstLine="174"/>
              <w:jc w:val="both"/>
            </w:pPr>
          </w:p>
        </w:tc>
      </w:tr>
      <w:tr w:rsidR="000D0918" w:rsidRPr="000D0918" w14:paraId="057BD93A" w14:textId="77777777" w:rsidTr="00C17523">
        <w:tc>
          <w:tcPr>
            <w:tcW w:w="2329" w:type="pct"/>
            <w:shd w:val="clear" w:color="auto" w:fill="auto"/>
          </w:tcPr>
          <w:p w14:paraId="3093FA26" w14:textId="77777777" w:rsidR="00A6137E" w:rsidRPr="00426DD6" w:rsidRDefault="00A6137E" w:rsidP="00426DD6">
            <w:pPr>
              <w:suppressLineNumbers/>
              <w:suppressAutoHyphens/>
              <w:spacing w:after="120"/>
              <w:ind w:firstLine="313"/>
              <w:jc w:val="both"/>
              <w:rPr>
                <w:rFonts w:eastAsia="Times New Roman"/>
                <w:iCs/>
                <w:spacing w:val="-6"/>
                <w:szCs w:val="28"/>
                <w:lang w:val="nl-NL"/>
              </w:rPr>
            </w:pPr>
            <w:r w:rsidRPr="00426DD6">
              <w:rPr>
                <w:rFonts w:eastAsia="Times New Roman"/>
                <w:iCs/>
                <w:spacing w:val="-6"/>
                <w:szCs w:val="28"/>
                <w:lang w:val="nl-NL"/>
              </w:rPr>
              <w:t xml:space="preserve">(1) </w:t>
            </w:r>
            <w:r w:rsidRPr="00426DD6">
              <w:rPr>
                <w:bCs/>
                <w:spacing w:val="-6"/>
                <w:szCs w:val="28"/>
              </w:rPr>
              <w:t>Điểm d khoản 2 Điều 85 Luật Nhà ở số 27/2023/QH15</w:t>
            </w:r>
            <w:r w:rsidRPr="00426DD6">
              <w:rPr>
                <w:rFonts w:eastAsia="Times New Roman"/>
                <w:iCs/>
                <w:spacing w:val="-6"/>
                <w:szCs w:val="28"/>
                <w:lang w:val="nl-NL"/>
              </w:rPr>
              <w:t>:</w:t>
            </w:r>
          </w:p>
          <w:p w14:paraId="2CC47A7F" w14:textId="262D3D43" w:rsidR="00A6137E" w:rsidRPr="00426DD6" w:rsidRDefault="00A6137E" w:rsidP="00426DD6">
            <w:pPr>
              <w:suppressLineNumbers/>
              <w:suppressAutoHyphens/>
              <w:spacing w:after="120"/>
              <w:ind w:firstLine="313"/>
              <w:jc w:val="both"/>
              <w:rPr>
                <w:rFonts w:eastAsia="Times New Roman"/>
                <w:iCs/>
                <w:spacing w:val="-6"/>
                <w:szCs w:val="28"/>
                <w:lang w:val="nl-NL"/>
              </w:rPr>
            </w:pPr>
            <w:r w:rsidRPr="00426DD6">
              <w:rPr>
                <w:rFonts w:eastAsia="Times New Roman"/>
                <w:iCs/>
                <w:spacing w:val="-6"/>
                <w:szCs w:val="28"/>
                <w:lang w:val="nl-NL"/>
              </w:rPr>
              <w:t xml:space="preserve"> “d) Được dành tỷ lệ tối đa 20% tổng diện tích đất ở trong phạm vi dự án đã đầu tư xây dựng hệ thống hạ tầng kỹ thuật để đầu tư xây dựng công trình kinh doanh dịch vụ, thương mại, nhà ở thương mại. Chủ đầu tư dự án đầu tư xây dựng nhà ở xã hội được hạch toán riêng, không được tính chi phí đầu tư xây dựng phần công trình kinh doanh dịch vụ, thương mại, nhà ở thương mại này vào giá thành nhà ở xã hội và được hưởng toàn bộ lợi nhuận đối với phần diện tích công trình kinh doanh dịch vụ, thương mại, nhà ở thương mại này; trường hợp đầu tư xây dựng nhà ở thương mại thì chủ đầu tư nộp tiền sử dụng đất đối với phần diện tích xây dựng nhà ở thương mại theo quy định của pháp luật về đất đai.</w:t>
            </w:r>
          </w:p>
          <w:p w14:paraId="797369CC" w14:textId="77777777" w:rsidR="00A6137E" w:rsidRPr="00426DD6" w:rsidRDefault="00A6137E" w:rsidP="00426DD6">
            <w:pPr>
              <w:suppressLineNumbers/>
              <w:suppressAutoHyphens/>
              <w:spacing w:after="120"/>
              <w:ind w:firstLine="313"/>
              <w:jc w:val="both"/>
              <w:rPr>
                <w:rFonts w:eastAsia="Times New Roman"/>
                <w:iCs/>
                <w:spacing w:val="-6"/>
                <w:szCs w:val="28"/>
                <w:lang w:val="nl-NL"/>
              </w:rPr>
            </w:pPr>
            <w:r w:rsidRPr="00426DD6">
              <w:rPr>
                <w:rFonts w:eastAsia="Times New Roman"/>
                <w:iCs/>
                <w:spacing w:val="-6"/>
                <w:szCs w:val="28"/>
                <w:lang w:val="nl-NL"/>
              </w:rPr>
              <w:t xml:space="preserve">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w:t>
            </w:r>
            <w:r w:rsidRPr="00426DD6">
              <w:rPr>
                <w:rFonts w:eastAsia="Times New Roman"/>
                <w:iCs/>
                <w:spacing w:val="-6"/>
                <w:szCs w:val="28"/>
                <w:lang w:val="nl-NL"/>
              </w:rPr>
              <w:lastRenderedPageBreak/>
              <w:t>án thì chủ đầu tư dự án được dành tỷ lệ tối đa 20% tổng diện tích sàn nhà ở của dự án để kinh doanh dịch vụ, thương mại. Chủ đầu tư dự án đầu tư xây dựng nhà ở xã hội được hạch toán riêng, không được tính chi phí đầu tư xây dựng phần diện tích kinh doanh dịch vụ, thương mại này vào giá thành nhà ở xã hội và được hưởng toàn bộ lợi nhuận đối với phần diện tích kinh doanh dịch vụ, thương mại này;”</w:t>
            </w:r>
          </w:p>
          <w:p w14:paraId="3B482761" w14:textId="0C9A53CA" w:rsidR="00A6137E" w:rsidRPr="00426DD6" w:rsidRDefault="00A6137E" w:rsidP="00426DD6">
            <w:pPr>
              <w:suppressLineNumbers/>
              <w:suppressAutoHyphens/>
              <w:spacing w:after="120"/>
              <w:ind w:firstLine="313"/>
              <w:jc w:val="both"/>
              <w:rPr>
                <w:rFonts w:eastAsia="Times New Roman"/>
                <w:iCs/>
                <w:spacing w:val="-6"/>
                <w:szCs w:val="28"/>
                <w:lang w:val="nl-NL"/>
              </w:rPr>
            </w:pPr>
            <w:r w:rsidRPr="00426DD6">
              <w:rPr>
                <w:rFonts w:eastAsia="Times New Roman"/>
                <w:iCs/>
                <w:spacing w:val="-6"/>
                <w:szCs w:val="28"/>
                <w:lang w:val="nl-NL"/>
              </w:rPr>
              <w:t>(2) Khoản 4, khoản 5 Điều 23 Nghị định số 100/2024/NĐ-CP:</w:t>
            </w:r>
          </w:p>
          <w:p w14:paraId="6C3EC164" w14:textId="07686C71" w:rsidR="00A6137E" w:rsidRPr="00426DD6" w:rsidRDefault="00A6137E" w:rsidP="00426DD6">
            <w:pPr>
              <w:suppressLineNumbers/>
              <w:suppressAutoHyphens/>
              <w:spacing w:after="120"/>
              <w:ind w:firstLine="313"/>
              <w:jc w:val="both"/>
              <w:rPr>
                <w:bCs/>
                <w:szCs w:val="28"/>
              </w:rPr>
            </w:pPr>
            <w:r w:rsidRPr="00426DD6">
              <w:rPr>
                <w:bCs/>
                <w:szCs w:val="28"/>
              </w:rPr>
              <w:t>“4. 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phần diện tích sàn với tỷ lệ kinh doanh dịch vụ, thương mại không vượt quá 20% tổng diện tích sàn nhà ở của dự án, không bao gồm phần diện tích bố trí để phục vụ nhu cầu sinh hoạt chung của các hộ dân cư trong phạm vi dự án (khu vực sinh hoạt cộng đồng, trạm y tế, nhà trẻ mẫu giáo và các công trình hạ tầng thiết yếu khác phục vụ cho đời sống của cư dân tòa nhà) và diện tích làm chỗ để xe theo quy định của Quy chuẩn kỹ thuật quốc gia về nhà chung cư.</w:t>
            </w:r>
          </w:p>
          <w:p w14:paraId="6A069B38" w14:textId="77777777" w:rsidR="00A6137E" w:rsidRPr="00426DD6" w:rsidRDefault="00A6137E" w:rsidP="00426DD6">
            <w:pPr>
              <w:suppressLineNumbers/>
              <w:suppressAutoHyphens/>
              <w:spacing w:after="120"/>
              <w:ind w:firstLine="313"/>
              <w:jc w:val="both"/>
              <w:rPr>
                <w:bCs/>
                <w:szCs w:val="28"/>
              </w:rPr>
            </w:pPr>
            <w:r w:rsidRPr="00426DD6">
              <w:rPr>
                <w:bCs/>
                <w:szCs w:val="28"/>
              </w:rPr>
              <w:t xml:space="preserve">Trường hợp dự án đầu tư xây dựng nhà ở xã hội có nhiều khối nhà thì chủ đầu tư được lựa chọn bố trí trong từng khối nhà hoặc gộp chung toàn bộ phần diện tích sàn để kinh doanh dịch vụ, thương mại của từng khối nhà vào phần diện tích </w:t>
            </w:r>
            <w:r w:rsidRPr="00426DD6">
              <w:rPr>
                <w:bCs/>
                <w:szCs w:val="28"/>
              </w:rPr>
              <w:lastRenderedPageBreak/>
              <w:t>sàn để kinh doanh dịch vụ, thương mại của một hoặc vài khối nhà.</w:t>
            </w:r>
          </w:p>
          <w:p w14:paraId="057BD937" w14:textId="490B4B07" w:rsidR="00A6137E" w:rsidRPr="00426DD6" w:rsidRDefault="00A6137E" w:rsidP="00426DD6">
            <w:pPr>
              <w:suppressLineNumbers/>
              <w:suppressAutoHyphens/>
              <w:spacing w:after="120"/>
              <w:ind w:firstLine="313"/>
              <w:jc w:val="both"/>
              <w:rPr>
                <w:b/>
                <w:bCs/>
                <w:szCs w:val="28"/>
              </w:rPr>
            </w:pPr>
            <w:r w:rsidRPr="00426DD6">
              <w:rPr>
                <w:bCs/>
                <w:szCs w:val="28"/>
              </w:rPr>
              <w:t>5. Trường hợp chủ đầu tư dự án đầu tư xây dựng nhà ở xã hội đầu tư xây dựng công trình kinh doanh dịch vụ, thương mại trên phần diện tích đất hoặc dành phần diện tích sàn của dự án để kinh doanh dịch vụ, thương mại thì không phải nộp tiền sử dụng đất, tiền thuê đất đối với phần diện tích đất hoặc phần diện tích sàn này, trừ trường hợp chủ đầu tư chuyển nhượng hoặc góp vốn phần diện tích đất hoặc phần diện tích sàn này”.</w:t>
            </w:r>
          </w:p>
        </w:tc>
        <w:tc>
          <w:tcPr>
            <w:tcW w:w="1427" w:type="pct"/>
            <w:tcBorders>
              <w:top w:val="nil"/>
              <w:bottom w:val="nil"/>
            </w:tcBorders>
            <w:shd w:val="clear" w:color="auto" w:fill="auto"/>
          </w:tcPr>
          <w:p w14:paraId="7802F697" w14:textId="77777777" w:rsidR="00A6137E" w:rsidRPr="00426DD6" w:rsidRDefault="00A6137E" w:rsidP="00426DD6">
            <w:pPr>
              <w:widowControl w:val="0"/>
              <w:shd w:val="clear" w:color="auto" w:fill="FFFFFF"/>
              <w:spacing w:after="120"/>
              <w:ind w:firstLine="316"/>
              <w:jc w:val="both"/>
              <w:rPr>
                <w:szCs w:val="28"/>
              </w:rPr>
            </w:pPr>
            <w:r w:rsidRPr="00426DD6">
              <w:rPr>
                <w:spacing w:val="-2"/>
                <w:szCs w:val="28"/>
                <w:shd w:val="clear" w:color="auto" w:fill="FFFFFF"/>
              </w:rPr>
              <w:lastRenderedPageBreak/>
              <w:t>2. Trường hợp chủ đầu tư dự</w:t>
            </w:r>
            <w:r w:rsidRPr="00426DD6">
              <w:rPr>
                <w:szCs w:val="28"/>
              </w:rPr>
              <w:t xml:space="preserve"> án đầu tư xây dựng nhà ở xã hội dành tỷ lệ tối đa 20% tổng diện tích đất ở trong phạm vi dự án đã đầu tư xây dựng hệ thống hạ tầng kỹ thuật để đầu tư xây dựng nhà ở thương mại thì phải nộp tiền sử dụng đất đối với phần diện tích xây dựng nhà ở thương mại theo bảng giá đất do Ủy ban nhân dân cấp tỉnh ban hành áp dụng tại thời điểm được cơ quan nhà nước có thẩm quyền giao đất, cho thuê đất, cho phép chuyển mục đích sử dụng đất.</w:t>
            </w:r>
          </w:p>
          <w:p w14:paraId="24BAFB3D" w14:textId="77777777" w:rsidR="00A6137E" w:rsidRPr="00426DD6" w:rsidRDefault="00A6137E" w:rsidP="00426DD6">
            <w:pPr>
              <w:spacing w:after="120"/>
              <w:ind w:firstLine="316"/>
              <w:jc w:val="both"/>
              <w:rPr>
                <w:szCs w:val="28"/>
              </w:rPr>
            </w:pPr>
            <w:r w:rsidRPr="00426DD6">
              <w:rPr>
                <w:szCs w:val="28"/>
              </w:rPr>
              <w:t xml:space="preserve">Trường hợp dự án đầu tư xây dựng nhà ở xã hội không bố trí quỹ đất riêng để xây dựng công trình </w:t>
            </w:r>
            <w:r w:rsidRPr="00426DD6">
              <w:rPr>
                <w:szCs w:val="28"/>
              </w:rPr>
              <w:lastRenderedPageBreak/>
              <w:t xml:space="preserve">kinh doanh dịch vụ, thương mại, nhà ở thương mại trong phạm vi dự án thì chủ đầu tư dự án được dành phần diện tích sàn với tỷ lệ kinh doanh dịch vụ, thương mại không vượt quá 20% tổng diện tích sàn nhà ở của dự án, không bao gồm phần diện tích bố trí để phục vụ nhu cầu sinh hoạt chung của các hộ dân cư trong phạm vi dự án (khu vực sinh hoạt cộng đồng, trạm y tế, nhà trẻ mẫu giáo và các công trình hạ tầng thiết yếu khác phục vụ cho đời sống của cư dân tòa nhà) và diện tích làm chỗ để xe theo quy định của Quy chuẩn kỹ thuật quốc gia về nhà chung cư. </w:t>
            </w:r>
          </w:p>
          <w:p w14:paraId="057BD938" w14:textId="180568A8" w:rsidR="006A78DE" w:rsidRPr="00426DD6" w:rsidRDefault="00A6137E" w:rsidP="00426DD6">
            <w:pPr>
              <w:spacing w:after="120"/>
              <w:ind w:firstLine="316"/>
              <w:jc w:val="both"/>
              <w:rPr>
                <w:szCs w:val="28"/>
                <w:shd w:val="clear" w:color="auto" w:fill="FFFFFF"/>
              </w:rPr>
            </w:pPr>
            <w:r w:rsidRPr="00426DD6">
              <w:rPr>
                <w:szCs w:val="28"/>
              </w:rPr>
              <w:t>Chủ đầu tư được phân bổ toàn bộ phần diện tích sàn để kinh doanh dịch vụ, thương mại của từng khối nhà trong dự án (kể cả bố trí công trình kinh doanh dịch vụ, thương mại độc lập theo một hoặc vài khối nhà) đảm bảo không vượt quá 20% tổng diện tích sàn nhà ở của dự án.</w:t>
            </w:r>
            <w:r w:rsidRPr="00426DD6">
              <w:rPr>
                <w:szCs w:val="28"/>
                <w:shd w:val="clear" w:color="auto" w:fill="FFFFFF"/>
              </w:rPr>
              <w:t xml:space="preserve"> </w:t>
            </w:r>
          </w:p>
        </w:tc>
        <w:tc>
          <w:tcPr>
            <w:tcW w:w="1244" w:type="pct"/>
            <w:tcBorders>
              <w:top w:val="nil"/>
              <w:bottom w:val="nil"/>
            </w:tcBorders>
            <w:shd w:val="clear" w:color="auto" w:fill="auto"/>
          </w:tcPr>
          <w:p w14:paraId="4CD4E3E4" w14:textId="77777777" w:rsidR="006A78DE" w:rsidRPr="00F502FE" w:rsidRDefault="00F502FE" w:rsidP="00CD207F">
            <w:pPr>
              <w:spacing w:before="0"/>
              <w:ind w:firstLine="174"/>
              <w:jc w:val="both"/>
              <w:rPr>
                <w:b/>
                <w:i/>
              </w:rPr>
            </w:pPr>
            <w:r w:rsidRPr="00F502FE">
              <w:rPr>
                <w:b/>
                <w:i/>
              </w:rPr>
              <w:lastRenderedPageBreak/>
              <w:t>Lý do:</w:t>
            </w:r>
          </w:p>
          <w:p w14:paraId="0607DC80" w14:textId="3F40BFED" w:rsidR="0037411D" w:rsidRDefault="0037411D" w:rsidP="0037411D">
            <w:pPr>
              <w:suppressLineNumbers/>
              <w:suppressAutoHyphens/>
              <w:spacing w:before="60" w:line="242" w:lineRule="auto"/>
              <w:ind w:firstLine="313"/>
              <w:jc w:val="both"/>
              <w:rPr>
                <w:rFonts w:eastAsia="Times New Roman"/>
                <w:iCs/>
                <w:spacing w:val="-6"/>
                <w:lang w:val="nl-NL"/>
              </w:rPr>
            </w:pPr>
            <w:r>
              <w:t xml:space="preserve">Luật Nhà ở </w:t>
            </w:r>
            <w:r w:rsidRPr="000D0918">
              <w:rPr>
                <w:bCs/>
                <w:spacing w:val="-6"/>
              </w:rPr>
              <w:t>số 27/2023/QH15 số 27/2023/QH15</w:t>
            </w:r>
            <w:r>
              <w:rPr>
                <w:bCs/>
                <w:spacing w:val="-6"/>
              </w:rPr>
              <w:t xml:space="preserve"> quy định </w:t>
            </w:r>
            <w:r w:rsidRPr="000D0918">
              <w:rPr>
                <w:rFonts w:eastAsia="Times New Roman"/>
                <w:iCs/>
                <w:spacing w:val="-6"/>
                <w:lang w:val="nl-NL"/>
              </w:rPr>
              <w:t>trường hợp đầu tư xây dựng nhà ở thương mại thì chủ đầu tư nộp tiền sử dụng đất đối với phần diện tích xây dựng nhà ở thương mại theo qu</w:t>
            </w:r>
            <w:r>
              <w:rPr>
                <w:rFonts w:eastAsia="Times New Roman"/>
                <w:iCs/>
                <w:spacing w:val="-6"/>
                <w:lang w:val="nl-NL"/>
              </w:rPr>
              <w:t>y định của pháp luật về đất đai trên thực tế đang gặp một số khó khăn, vướng mắc trong việc xác định giá đất cụ thể, làm kéo dài thời gian giao đất, cho thuê đất của chủ đầu tư đối với phần diện tích được pháp luật cho phép được đầu tư xây dựng nhà ở, công trình kinh doanh dịch vụ, thương mại.</w:t>
            </w:r>
          </w:p>
          <w:p w14:paraId="320FB1F4" w14:textId="61B223CB" w:rsidR="00C24344" w:rsidRPr="00C24344" w:rsidRDefault="00C24344" w:rsidP="00C24344">
            <w:pPr>
              <w:suppressLineNumbers/>
              <w:suppressAutoHyphens/>
              <w:spacing w:before="60" w:line="242" w:lineRule="auto"/>
              <w:ind w:firstLine="313"/>
              <w:jc w:val="both"/>
              <w:rPr>
                <w:bCs/>
              </w:rPr>
            </w:pPr>
            <w:r>
              <w:rPr>
                <w:rFonts w:eastAsia="Times New Roman"/>
                <w:iCs/>
                <w:spacing w:val="-6"/>
                <w:lang w:val="nl-NL"/>
              </w:rPr>
              <w:lastRenderedPageBreak/>
              <w:t xml:space="preserve">Ngoài ra, việc quy định </w:t>
            </w:r>
            <w:r>
              <w:rPr>
                <w:bCs/>
              </w:rPr>
              <w:t>t</w:t>
            </w:r>
            <w:r w:rsidRPr="000D0918">
              <w:rPr>
                <w:bCs/>
              </w:rPr>
              <w:t>rường hợp dự án đầu tư xây dựng nhà ở xã hội có nhiều khối nhà thì chủ đầu tư được lựa chọn bố trí trong từng khối nhà hoặc gộp chung toàn bộ phần diện tích sàn để kinh doanh dịch vụ, thương mại của từng khối nhà vào phần diện tích sàn để kinh doanh dịch vụ, thương mại của một hoặc vài khố</w:t>
            </w:r>
            <w:r>
              <w:rPr>
                <w:bCs/>
              </w:rPr>
              <w:t>i nhà cũng còn bất cập, chưa phù hợp với thực tế.</w:t>
            </w:r>
          </w:p>
          <w:p w14:paraId="68E2032A" w14:textId="5E5F3883" w:rsidR="0037411D" w:rsidRPr="000D0918" w:rsidRDefault="0037411D" w:rsidP="0037411D">
            <w:pPr>
              <w:suppressLineNumbers/>
              <w:suppressAutoHyphens/>
              <w:spacing w:before="60" w:line="242" w:lineRule="auto"/>
              <w:ind w:firstLine="313"/>
              <w:jc w:val="both"/>
              <w:rPr>
                <w:rFonts w:eastAsia="Times New Roman"/>
                <w:iCs/>
                <w:spacing w:val="-6"/>
                <w:lang w:val="nl-NL"/>
              </w:rPr>
            </w:pPr>
            <w:r>
              <w:rPr>
                <w:rFonts w:eastAsia="Times New Roman"/>
                <w:iCs/>
                <w:spacing w:val="-6"/>
                <w:lang w:val="nl-NL"/>
              </w:rPr>
              <w:t xml:space="preserve"> </w:t>
            </w:r>
          </w:p>
          <w:p w14:paraId="057BD939" w14:textId="58CD09D9" w:rsidR="00F502FE" w:rsidRPr="000D0918" w:rsidRDefault="00F502FE" w:rsidP="00CD207F">
            <w:pPr>
              <w:spacing w:before="0"/>
              <w:ind w:firstLine="174"/>
              <w:jc w:val="both"/>
            </w:pPr>
          </w:p>
        </w:tc>
      </w:tr>
      <w:tr w:rsidR="000D0918" w:rsidRPr="000D0918" w14:paraId="68397AF2" w14:textId="77777777" w:rsidTr="00C17523">
        <w:tc>
          <w:tcPr>
            <w:tcW w:w="2329" w:type="pct"/>
            <w:shd w:val="clear" w:color="auto" w:fill="CAEDFB" w:themeFill="accent4" w:themeFillTint="33"/>
          </w:tcPr>
          <w:p w14:paraId="51893048" w14:textId="6A27DC9E" w:rsidR="008C7411" w:rsidRPr="00426DD6" w:rsidRDefault="00377096" w:rsidP="00426DD6">
            <w:pPr>
              <w:suppressLineNumbers/>
              <w:suppressAutoHyphens/>
              <w:spacing w:after="120"/>
              <w:ind w:firstLine="313"/>
              <w:jc w:val="both"/>
              <w:rPr>
                <w:b/>
                <w:bCs/>
                <w:spacing w:val="-6"/>
                <w:szCs w:val="28"/>
              </w:rPr>
            </w:pPr>
            <w:bookmarkStart w:id="2" w:name="dieu_28"/>
            <w:r w:rsidRPr="00426DD6">
              <w:rPr>
                <w:rFonts w:eastAsia="Times New Roman"/>
                <w:b/>
                <w:spacing w:val="-6"/>
                <w:szCs w:val="28"/>
                <w:lang w:val="pt-BR"/>
              </w:rPr>
              <w:lastRenderedPageBreak/>
              <w:t xml:space="preserve">Điều </w:t>
            </w:r>
            <w:r w:rsidR="00A43574" w:rsidRPr="00426DD6">
              <w:rPr>
                <w:rFonts w:eastAsia="Times New Roman"/>
                <w:b/>
                <w:spacing w:val="-6"/>
                <w:szCs w:val="28"/>
                <w:lang w:val="pt-BR"/>
              </w:rPr>
              <w:t xml:space="preserve">82 Luật Nhà ở số 27/2023/QH15 </w:t>
            </w:r>
            <w:bookmarkEnd w:id="2"/>
          </w:p>
        </w:tc>
        <w:tc>
          <w:tcPr>
            <w:tcW w:w="1427" w:type="pct"/>
            <w:tcBorders>
              <w:top w:val="nil"/>
              <w:bottom w:val="nil"/>
            </w:tcBorders>
            <w:shd w:val="clear" w:color="auto" w:fill="CAEDFB" w:themeFill="accent4" w:themeFillTint="33"/>
          </w:tcPr>
          <w:p w14:paraId="170E12B9" w14:textId="4FE485BF" w:rsidR="008C7411" w:rsidRPr="00426DD6" w:rsidRDefault="003D66EB" w:rsidP="00426DD6">
            <w:pPr>
              <w:suppressLineNumbers/>
              <w:suppressAutoHyphens/>
              <w:spacing w:after="120"/>
              <w:ind w:firstLine="316"/>
              <w:jc w:val="both"/>
              <w:rPr>
                <w:rFonts w:eastAsia="Times New Roman"/>
                <w:b/>
                <w:spacing w:val="-6"/>
                <w:szCs w:val="28"/>
                <w:lang w:val="pt-BR"/>
              </w:rPr>
            </w:pPr>
            <w:r w:rsidRPr="00426DD6">
              <w:rPr>
                <w:rFonts w:eastAsia="Times New Roman"/>
                <w:b/>
                <w:spacing w:val="-6"/>
                <w:szCs w:val="28"/>
                <w:lang w:val="pt-BR"/>
              </w:rPr>
              <w:t>Khoản 3 Điều 2: Về loại hình nhà ở xã hội</w:t>
            </w:r>
          </w:p>
        </w:tc>
        <w:tc>
          <w:tcPr>
            <w:tcW w:w="1244" w:type="pct"/>
            <w:tcBorders>
              <w:top w:val="nil"/>
              <w:bottom w:val="nil"/>
            </w:tcBorders>
            <w:shd w:val="clear" w:color="auto" w:fill="CAEDFB" w:themeFill="accent4" w:themeFillTint="33"/>
          </w:tcPr>
          <w:p w14:paraId="11F11183" w14:textId="77777777" w:rsidR="008C7411" w:rsidRPr="000D0918" w:rsidRDefault="008C7411" w:rsidP="00CD207F">
            <w:pPr>
              <w:ind w:firstLine="174"/>
              <w:jc w:val="both"/>
            </w:pPr>
          </w:p>
        </w:tc>
      </w:tr>
      <w:tr w:rsidR="000D0918" w:rsidRPr="000D0918" w14:paraId="76C0AA1E" w14:textId="77777777" w:rsidTr="00C17523">
        <w:tc>
          <w:tcPr>
            <w:tcW w:w="2329" w:type="pct"/>
            <w:shd w:val="clear" w:color="auto" w:fill="auto"/>
          </w:tcPr>
          <w:p w14:paraId="3118EC62" w14:textId="77777777" w:rsidR="00A43574" w:rsidRPr="00426DD6" w:rsidRDefault="00A43574" w:rsidP="00426DD6">
            <w:pPr>
              <w:suppressLineNumbers/>
              <w:suppressAutoHyphens/>
              <w:spacing w:after="120"/>
              <w:ind w:firstLine="313"/>
              <w:jc w:val="both"/>
              <w:rPr>
                <w:rFonts w:eastAsia="Times New Roman"/>
                <w:iCs/>
                <w:spacing w:val="-4"/>
                <w:szCs w:val="28"/>
                <w:lang w:val="nl-NL"/>
              </w:rPr>
            </w:pPr>
            <w:r w:rsidRPr="00426DD6">
              <w:rPr>
                <w:rFonts w:eastAsia="Times New Roman"/>
                <w:iCs/>
                <w:spacing w:val="-4"/>
                <w:szCs w:val="28"/>
                <w:lang w:val="nl-NL"/>
              </w:rPr>
              <w:t>Điều 82. Loại nhà và tiêu chuẩn diện tích nhà ở xã hội</w:t>
            </w:r>
          </w:p>
          <w:p w14:paraId="243149A3" w14:textId="77777777" w:rsidR="00A43574" w:rsidRPr="00426DD6" w:rsidRDefault="00A43574" w:rsidP="00426DD6">
            <w:pPr>
              <w:suppressLineNumbers/>
              <w:suppressAutoHyphens/>
              <w:spacing w:after="120"/>
              <w:ind w:firstLine="313"/>
              <w:jc w:val="both"/>
              <w:rPr>
                <w:rFonts w:eastAsia="Times New Roman"/>
                <w:iCs/>
                <w:spacing w:val="-4"/>
                <w:szCs w:val="28"/>
                <w:lang w:val="nl-NL"/>
              </w:rPr>
            </w:pPr>
            <w:r w:rsidRPr="00426DD6">
              <w:rPr>
                <w:rFonts w:eastAsia="Times New Roman"/>
                <w:iCs/>
                <w:spacing w:val="-4"/>
                <w:szCs w:val="28"/>
                <w:lang w:val="nl-NL"/>
              </w:rPr>
              <w:t>1. Loại nhà và tiêu chuẩn diện tích nhà ở xã hội được quy định như sau:</w:t>
            </w:r>
          </w:p>
          <w:p w14:paraId="447EA979" w14:textId="77777777" w:rsidR="00A43574" w:rsidRPr="00426DD6" w:rsidRDefault="00A43574" w:rsidP="00426DD6">
            <w:pPr>
              <w:suppressLineNumbers/>
              <w:suppressAutoHyphens/>
              <w:spacing w:after="120"/>
              <w:ind w:firstLine="313"/>
              <w:jc w:val="both"/>
              <w:rPr>
                <w:rFonts w:eastAsia="Times New Roman"/>
                <w:iCs/>
                <w:spacing w:val="-4"/>
                <w:szCs w:val="28"/>
                <w:lang w:val="nl-NL"/>
              </w:rPr>
            </w:pPr>
            <w:r w:rsidRPr="00426DD6">
              <w:rPr>
                <w:rFonts w:eastAsia="Times New Roman"/>
                <w:iCs/>
                <w:spacing w:val="-4"/>
                <w:szCs w:val="28"/>
                <w:lang w:val="nl-NL"/>
              </w:rPr>
              <w:t>a) Nhà ở xã hội là nhà chung cư, được đầu tư xây dựng theo dự án, phù hợp với quy hoạch chi tiết xây dựng đã được phê duyệt. Trường hợp dự án đầu tư xây dựng nhà ở xã hội được đầu tư xây dựng tại xã thuộc vùng đồng bào dân tộc thiểu số và miền núi theo quy định của Thủ tướng Chính phủ thì được xây dựng nhà ở riêng lẻ;</w:t>
            </w:r>
          </w:p>
          <w:p w14:paraId="714D939D" w14:textId="77777777" w:rsidR="00A43574" w:rsidRPr="00426DD6" w:rsidRDefault="00A43574" w:rsidP="00426DD6">
            <w:pPr>
              <w:suppressLineNumbers/>
              <w:suppressAutoHyphens/>
              <w:spacing w:after="120"/>
              <w:ind w:firstLine="313"/>
              <w:jc w:val="both"/>
              <w:rPr>
                <w:rFonts w:eastAsia="Times New Roman"/>
                <w:iCs/>
                <w:spacing w:val="-4"/>
                <w:szCs w:val="28"/>
                <w:lang w:val="nl-NL"/>
              </w:rPr>
            </w:pPr>
            <w:r w:rsidRPr="00426DD6">
              <w:rPr>
                <w:rFonts w:eastAsia="Times New Roman"/>
                <w:iCs/>
                <w:spacing w:val="-4"/>
                <w:szCs w:val="28"/>
                <w:lang w:val="nl-NL"/>
              </w:rPr>
              <w:lastRenderedPageBreak/>
              <w:t>b) Trường hợp nhà ở xã hội là nhà chung cư thì căn hộ phải được thiết kế, xây dựng theo quy chuẩn kỹ thuật quốc gia về nhà chung cư và tiêu chuẩn diện tích nhà ở xã hội;</w:t>
            </w:r>
          </w:p>
          <w:p w14:paraId="4824DD61" w14:textId="77777777" w:rsidR="00A43574" w:rsidRPr="00426DD6" w:rsidRDefault="00A43574" w:rsidP="00426DD6">
            <w:pPr>
              <w:suppressLineNumbers/>
              <w:suppressAutoHyphens/>
              <w:spacing w:after="120"/>
              <w:ind w:firstLine="313"/>
              <w:jc w:val="both"/>
              <w:rPr>
                <w:rFonts w:eastAsia="Times New Roman"/>
                <w:iCs/>
                <w:spacing w:val="-4"/>
                <w:szCs w:val="28"/>
                <w:lang w:val="nl-NL"/>
              </w:rPr>
            </w:pPr>
          </w:p>
          <w:p w14:paraId="494DA914" w14:textId="77777777" w:rsidR="00A43574" w:rsidRPr="00426DD6" w:rsidRDefault="00A43574" w:rsidP="00426DD6">
            <w:pPr>
              <w:suppressLineNumbers/>
              <w:suppressAutoHyphens/>
              <w:spacing w:after="120"/>
              <w:ind w:firstLine="313"/>
              <w:jc w:val="both"/>
              <w:rPr>
                <w:rFonts w:eastAsia="Times New Roman"/>
                <w:iCs/>
                <w:spacing w:val="-4"/>
                <w:szCs w:val="28"/>
                <w:lang w:val="nl-NL"/>
              </w:rPr>
            </w:pPr>
            <w:r w:rsidRPr="00426DD6">
              <w:rPr>
                <w:rFonts w:eastAsia="Times New Roman"/>
                <w:iCs/>
                <w:spacing w:val="-4"/>
                <w:szCs w:val="28"/>
                <w:lang w:val="nl-NL"/>
              </w:rPr>
              <w:t>c) Trường hợp nhà ở xã hội là nhà ở riêng lẻ thì phải được thiết kế, xây dựng theo quy định của pháp luật về xây dựng và tiêu chuẩn diện tích nhà ở xã hội;</w:t>
            </w:r>
          </w:p>
          <w:p w14:paraId="47C6E0F3" w14:textId="77777777" w:rsidR="00A43574" w:rsidRPr="00426DD6" w:rsidRDefault="00A43574" w:rsidP="00426DD6">
            <w:pPr>
              <w:suppressLineNumbers/>
              <w:suppressAutoHyphens/>
              <w:spacing w:after="120"/>
              <w:ind w:firstLine="313"/>
              <w:jc w:val="both"/>
              <w:rPr>
                <w:rFonts w:eastAsia="Times New Roman"/>
                <w:iCs/>
                <w:spacing w:val="-4"/>
                <w:szCs w:val="28"/>
                <w:lang w:val="nl-NL"/>
              </w:rPr>
            </w:pPr>
            <w:r w:rsidRPr="00426DD6">
              <w:rPr>
                <w:rFonts w:eastAsia="Times New Roman"/>
                <w:iCs/>
                <w:spacing w:val="-4"/>
                <w:szCs w:val="28"/>
                <w:lang w:val="nl-NL"/>
              </w:rPr>
              <w:t>d) Trường hợp cá nhân xây dựng nhà ở xã hội theo quy định tại khoản 6 Điều 80 của Luật này thì có thể xây dựng nhà ở nhiều tầng nhiều căn hộ hoặc nhà ở riêng lẻ theo quy định của Luật này.</w:t>
            </w:r>
          </w:p>
          <w:p w14:paraId="739C066A" w14:textId="1C583045" w:rsidR="008C7411" w:rsidRPr="00426DD6" w:rsidRDefault="00A43574" w:rsidP="00426DD6">
            <w:pPr>
              <w:suppressLineNumbers/>
              <w:suppressAutoHyphens/>
              <w:spacing w:after="120"/>
              <w:ind w:firstLine="313"/>
              <w:jc w:val="both"/>
              <w:rPr>
                <w:b/>
                <w:bCs/>
                <w:spacing w:val="-4"/>
                <w:szCs w:val="28"/>
              </w:rPr>
            </w:pPr>
            <w:r w:rsidRPr="00426DD6">
              <w:rPr>
                <w:rFonts w:eastAsia="Times New Roman"/>
                <w:iCs/>
                <w:spacing w:val="-4"/>
                <w:szCs w:val="28"/>
                <w:lang w:val="nl-NL"/>
              </w:rPr>
              <w:t>2. Chính phủ quy định chi tiết Điều này.</w:t>
            </w:r>
          </w:p>
        </w:tc>
        <w:tc>
          <w:tcPr>
            <w:tcW w:w="1427" w:type="pct"/>
            <w:tcBorders>
              <w:top w:val="nil"/>
              <w:bottom w:val="single" w:sz="4" w:space="0" w:color="auto"/>
            </w:tcBorders>
            <w:shd w:val="clear" w:color="auto" w:fill="auto"/>
          </w:tcPr>
          <w:p w14:paraId="36EBAD68" w14:textId="77777777" w:rsidR="003A65B7" w:rsidRPr="00426DD6" w:rsidRDefault="003A65B7" w:rsidP="00426DD6">
            <w:pPr>
              <w:spacing w:after="120"/>
              <w:ind w:firstLine="720"/>
              <w:jc w:val="both"/>
              <w:rPr>
                <w:szCs w:val="28"/>
              </w:rPr>
            </w:pPr>
            <w:r w:rsidRPr="00426DD6">
              <w:rPr>
                <w:szCs w:val="28"/>
                <w:shd w:val="clear" w:color="auto" w:fill="FFFFFF"/>
              </w:rPr>
              <w:lastRenderedPageBreak/>
              <w:t xml:space="preserve">3. </w:t>
            </w:r>
            <w:r w:rsidRPr="00426DD6">
              <w:rPr>
                <w:szCs w:val="28"/>
              </w:rPr>
              <w:t xml:space="preserve">Tại các khu vực phường thuộc các tỉnh, thành phố trực thuộc trung ương, chủ đầu tư dự án đầu tư xây dựng nhà ở xã hội phải xây dựng nhà ở xã hội để bán, cho thuê mua, cho thuê </w:t>
            </w:r>
            <w:r w:rsidRPr="00426DD6">
              <w:rPr>
                <w:szCs w:val="28"/>
                <w:shd w:val="clear" w:color="auto" w:fill="FFFFFF"/>
              </w:rPr>
              <w:t>theo loại nhà l</w:t>
            </w:r>
            <w:r w:rsidRPr="00426DD6">
              <w:rPr>
                <w:szCs w:val="28"/>
              </w:rPr>
              <w:t xml:space="preserve">à nhà chung cư. Đối với các khu vực còn lại, Ủy ban nhân dân cấp tỉnh căn cứ điều kiện của địa phương để xác định các khu vực chủ đầu tư dự án đầu tư xây dựng nhà ở xã </w:t>
            </w:r>
            <w:r w:rsidRPr="00426DD6">
              <w:rPr>
                <w:szCs w:val="28"/>
                <w:shd w:val="clear" w:color="auto" w:fill="FFFFFF"/>
              </w:rPr>
              <w:t>hội theo loại nhà l</w:t>
            </w:r>
            <w:r w:rsidRPr="00426DD6">
              <w:rPr>
                <w:szCs w:val="28"/>
              </w:rPr>
              <w:t>à nhà chung cư hoặc nhà ở riêng lẻ</w:t>
            </w:r>
            <w:r w:rsidRPr="00426DD6">
              <w:rPr>
                <w:szCs w:val="28"/>
                <w:shd w:val="clear" w:color="auto" w:fill="FFFFFF"/>
              </w:rPr>
              <w:t xml:space="preserve"> phù hợp với quy hoạch chi tiết xây </w:t>
            </w:r>
            <w:r w:rsidRPr="00426DD6">
              <w:rPr>
                <w:szCs w:val="28"/>
                <w:shd w:val="clear" w:color="auto" w:fill="FFFFFF"/>
              </w:rPr>
              <w:lastRenderedPageBreak/>
              <w:t xml:space="preserve">dựng được cơ quan nhà nước có thẩm quyền phê duyệt. </w:t>
            </w:r>
            <w:r w:rsidRPr="00426DD6">
              <w:rPr>
                <w:szCs w:val="28"/>
              </w:rPr>
              <w:t>Trường hợp là nhà ở riêng lẻ thì phải được thiết kế, xây dựng theo tiêu chuẩn, quy chuẩn xây dựng, tiêu chuẩn diện tích nhà ở xã hội.</w:t>
            </w:r>
          </w:p>
          <w:p w14:paraId="43AF0971" w14:textId="25BF4CA2" w:rsidR="008C7411" w:rsidRPr="00426DD6" w:rsidRDefault="008C7411" w:rsidP="00426DD6">
            <w:pPr>
              <w:spacing w:after="120"/>
              <w:ind w:firstLine="316"/>
              <w:jc w:val="both"/>
              <w:rPr>
                <w:szCs w:val="28"/>
              </w:rPr>
            </w:pPr>
          </w:p>
        </w:tc>
        <w:tc>
          <w:tcPr>
            <w:tcW w:w="1244" w:type="pct"/>
            <w:tcBorders>
              <w:top w:val="nil"/>
              <w:bottom w:val="single" w:sz="4" w:space="0" w:color="auto"/>
            </w:tcBorders>
            <w:shd w:val="clear" w:color="auto" w:fill="auto"/>
          </w:tcPr>
          <w:p w14:paraId="513F96A9" w14:textId="77777777" w:rsidR="008C7411" w:rsidRPr="00C24344" w:rsidRDefault="00C24344" w:rsidP="00CD207F">
            <w:pPr>
              <w:spacing w:before="0"/>
              <w:ind w:firstLine="174"/>
              <w:jc w:val="both"/>
              <w:rPr>
                <w:b/>
                <w:i/>
              </w:rPr>
            </w:pPr>
            <w:r w:rsidRPr="00C24344">
              <w:rPr>
                <w:b/>
                <w:i/>
              </w:rPr>
              <w:lastRenderedPageBreak/>
              <w:t>Lý do:</w:t>
            </w:r>
          </w:p>
          <w:p w14:paraId="50BCCE72" w14:textId="77777777" w:rsidR="00EF3AE0" w:rsidRDefault="00EF3AE0" w:rsidP="00EF3AE0">
            <w:pPr>
              <w:spacing w:before="0"/>
              <w:ind w:firstLine="174"/>
              <w:jc w:val="both"/>
            </w:pPr>
            <w:r w:rsidRPr="00EF3AE0">
              <w:t>Theo quy định pháp luật hiện hành, nhà ở xã hội không được thiết kế dưới dạng nhà riêng lẻ chỉ áp dụng tại các xã thuộc vùng đồng bào dân tộc thiểu số và miền núi và phải đáp ứng các tiêu chuẩn diện tích lô đấ</w:t>
            </w:r>
            <w:r>
              <w:t>t và hệ số sử dụng đất.</w:t>
            </w:r>
          </w:p>
          <w:p w14:paraId="2D0A147C" w14:textId="72B81E41" w:rsidR="00C24344" w:rsidRPr="000D0918" w:rsidRDefault="00EF3AE0" w:rsidP="00EF3AE0">
            <w:pPr>
              <w:spacing w:before="0"/>
              <w:ind w:firstLine="174"/>
              <w:jc w:val="both"/>
            </w:pPr>
            <w:r>
              <w:t xml:space="preserve">Thực tế cho thấy, tại nhiều địa phương việc phát triển mô hình nhà ở xã hội là nhà chung cư không phù hợp với điều kiện tự </w:t>
            </w:r>
            <w:r>
              <w:lastRenderedPageBreak/>
              <w:t>nhiên, chi phí đầu tư xây dựng vượt quá khả năng chi trả của người thu nhập thấp.</w:t>
            </w:r>
            <w:r w:rsidRPr="00EF3AE0">
              <w:t> </w:t>
            </w:r>
          </w:p>
        </w:tc>
      </w:tr>
      <w:tr w:rsidR="000D0918" w:rsidRPr="000D0918" w14:paraId="478C77E4" w14:textId="77777777" w:rsidTr="00C17523">
        <w:tc>
          <w:tcPr>
            <w:tcW w:w="2329" w:type="pct"/>
            <w:shd w:val="clear" w:color="auto" w:fill="CAEDFB" w:themeFill="accent4" w:themeFillTint="33"/>
          </w:tcPr>
          <w:p w14:paraId="002E8423" w14:textId="6ACB9D31" w:rsidR="00774EF0" w:rsidRPr="00426DD6" w:rsidRDefault="00A43574" w:rsidP="00426DD6">
            <w:pPr>
              <w:suppressLineNumbers/>
              <w:suppressAutoHyphens/>
              <w:spacing w:after="120"/>
              <w:ind w:firstLine="313"/>
              <w:jc w:val="both"/>
              <w:rPr>
                <w:b/>
                <w:bCs/>
                <w:spacing w:val="-6"/>
                <w:szCs w:val="28"/>
              </w:rPr>
            </w:pPr>
            <w:r w:rsidRPr="00426DD6">
              <w:rPr>
                <w:rFonts w:eastAsia="Times New Roman"/>
                <w:b/>
                <w:spacing w:val="-6"/>
                <w:szCs w:val="28"/>
                <w:lang w:val="pt-BR"/>
              </w:rPr>
              <w:lastRenderedPageBreak/>
              <w:t>Điểm đ khoản 1 Điều 79 Luật Nhà ở số 27/2023/QH15</w:t>
            </w:r>
          </w:p>
        </w:tc>
        <w:tc>
          <w:tcPr>
            <w:tcW w:w="1427" w:type="pct"/>
            <w:tcBorders>
              <w:top w:val="single" w:sz="4" w:space="0" w:color="auto"/>
              <w:bottom w:val="nil"/>
            </w:tcBorders>
            <w:shd w:val="clear" w:color="auto" w:fill="CAEDFB" w:themeFill="accent4" w:themeFillTint="33"/>
          </w:tcPr>
          <w:p w14:paraId="138FED9D" w14:textId="77A2B50C" w:rsidR="00774EF0" w:rsidRPr="00426DD6" w:rsidRDefault="00A43574" w:rsidP="00426DD6">
            <w:pPr>
              <w:suppressLineNumbers/>
              <w:suppressAutoHyphens/>
              <w:spacing w:after="120"/>
              <w:ind w:firstLine="313"/>
              <w:jc w:val="both"/>
              <w:rPr>
                <w:rFonts w:eastAsia="Times New Roman"/>
                <w:b/>
                <w:spacing w:val="-6"/>
                <w:szCs w:val="28"/>
                <w:lang w:val="pt-BR"/>
              </w:rPr>
            </w:pPr>
            <w:r w:rsidRPr="00426DD6">
              <w:rPr>
                <w:rFonts w:eastAsia="Times New Roman"/>
                <w:b/>
                <w:spacing w:val="-6"/>
                <w:szCs w:val="28"/>
                <w:lang w:val="pt-BR"/>
              </w:rPr>
              <w:t xml:space="preserve">Khoản 4 Điều 2: Bổ sung đối tượng được bồi thường, hỗ trợ, tái định cư hoặc thỏa thuận chuyển nhượng quyền sử dụng đất cho chủ đầu tư dự án được ưu tiên mua nhà ở xã hội  </w:t>
            </w:r>
          </w:p>
        </w:tc>
        <w:tc>
          <w:tcPr>
            <w:tcW w:w="1244" w:type="pct"/>
            <w:tcBorders>
              <w:top w:val="single" w:sz="4" w:space="0" w:color="auto"/>
              <w:bottom w:val="nil"/>
            </w:tcBorders>
            <w:shd w:val="clear" w:color="auto" w:fill="CAEDFB" w:themeFill="accent4" w:themeFillTint="33"/>
          </w:tcPr>
          <w:p w14:paraId="139B4AAD" w14:textId="77777777" w:rsidR="00774EF0" w:rsidRPr="000D0918" w:rsidRDefault="00774EF0" w:rsidP="00CD207F">
            <w:pPr>
              <w:ind w:firstLine="174"/>
              <w:jc w:val="both"/>
            </w:pPr>
          </w:p>
        </w:tc>
      </w:tr>
      <w:tr w:rsidR="000D0918" w:rsidRPr="000D0918" w14:paraId="1843AABE" w14:textId="77777777" w:rsidTr="00C17523">
        <w:tc>
          <w:tcPr>
            <w:tcW w:w="2329" w:type="pct"/>
            <w:shd w:val="clear" w:color="auto" w:fill="auto"/>
          </w:tcPr>
          <w:p w14:paraId="2BF116A8" w14:textId="0535E2D3" w:rsidR="00A43574" w:rsidRPr="00426DD6" w:rsidRDefault="00A43574" w:rsidP="00426DD6">
            <w:pPr>
              <w:spacing w:after="120"/>
              <w:ind w:firstLine="313"/>
              <w:jc w:val="both"/>
              <w:rPr>
                <w:spacing w:val="-6"/>
                <w:szCs w:val="28"/>
              </w:rPr>
            </w:pPr>
            <w:r w:rsidRPr="00426DD6">
              <w:rPr>
                <w:spacing w:val="-6"/>
                <w:szCs w:val="28"/>
              </w:rPr>
              <w:t>(1) Điểm đ khoản 1 Điều 79 Luật Nhà ở số 27/2023/QH15</w:t>
            </w:r>
          </w:p>
          <w:p w14:paraId="584B2F44" w14:textId="20C4760A" w:rsidR="00774EF0" w:rsidRPr="00426DD6" w:rsidRDefault="00A43574" w:rsidP="00426DD6">
            <w:pPr>
              <w:spacing w:after="120"/>
              <w:ind w:firstLine="313"/>
              <w:jc w:val="both"/>
              <w:rPr>
                <w:b/>
                <w:bCs/>
                <w:szCs w:val="28"/>
              </w:rPr>
            </w:pPr>
            <w:r w:rsidRPr="00426DD6">
              <w:rPr>
                <w:spacing w:val="-6"/>
                <w:szCs w:val="28"/>
              </w:rPr>
              <w:t xml:space="preserve">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w:t>
            </w:r>
            <w:r w:rsidRPr="00426DD6">
              <w:rPr>
                <w:spacing w:val="-6"/>
                <w:szCs w:val="28"/>
              </w:rPr>
              <w:lastRenderedPageBreak/>
              <w:t xml:space="preserve">công với cách mạng, thân nhân liệt sĩ, người khuyết tật, </w:t>
            </w:r>
            <w:r w:rsidRPr="00426DD6">
              <w:rPr>
                <w:b/>
                <w:i/>
                <w:spacing w:val="-6"/>
                <w:szCs w:val="28"/>
              </w:rPr>
              <w:t>người được bố trí tái định cư theo hình thức mua, thuê mua nhà ở xã hội</w:t>
            </w:r>
            <w:r w:rsidRPr="00426DD6">
              <w:rPr>
                <w:spacing w:val="-6"/>
                <w:szCs w:val="28"/>
              </w:rPr>
              <w:t>, nữ giới;</w:t>
            </w:r>
          </w:p>
        </w:tc>
        <w:tc>
          <w:tcPr>
            <w:tcW w:w="1427" w:type="pct"/>
            <w:tcBorders>
              <w:top w:val="nil"/>
              <w:bottom w:val="single" w:sz="4" w:space="0" w:color="auto"/>
            </w:tcBorders>
            <w:shd w:val="clear" w:color="auto" w:fill="auto"/>
          </w:tcPr>
          <w:p w14:paraId="1790AC57" w14:textId="77777777" w:rsidR="003A65B7" w:rsidRPr="00426DD6" w:rsidRDefault="003A65B7" w:rsidP="00426DD6">
            <w:pPr>
              <w:spacing w:after="120"/>
              <w:ind w:firstLine="720"/>
              <w:jc w:val="both"/>
              <w:rPr>
                <w:spacing w:val="-2"/>
                <w:szCs w:val="28"/>
                <w:shd w:val="clear" w:color="auto" w:fill="FFFFFF"/>
              </w:rPr>
            </w:pPr>
            <w:r w:rsidRPr="00426DD6">
              <w:rPr>
                <w:spacing w:val="-2"/>
                <w:szCs w:val="28"/>
                <w:shd w:val="clear" w:color="auto" w:fill="FFFFFF"/>
              </w:rPr>
              <w:lastRenderedPageBreak/>
              <w:t xml:space="preserve">4. Đối tượng là người được bố trí tái định cư theo hình thức mua, thuê mua nhà ở xã hội hoặc hộ gia đình, cá nhân thuộc đối tượng được bồi thường, hỗ trợ, tái định cư khi Nhà nước thu hồi đất hoặc thỏa thuận </w:t>
            </w:r>
            <w:r w:rsidRPr="00426DD6">
              <w:rPr>
                <w:spacing w:val="-2"/>
                <w:szCs w:val="28"/>
                <w:shd w:val="clear" w:color="auto" w:fill="FFFFFF"/>
              </w:rPr>
              <w:lastRenderedPageBreak/>
              <w:t>chuyển nhượng quyền sử dụng đất cho chủ đầu tư dự án để phát triển nhà ở xã hội thì được ưu tiên mua, thuê mua nhà ở xã hội mà không phải đáp ứng điều kiện về nhà ở và điều kiện về thu nhập, trừ trường hợp đã được mua, thuê mua nhà ở xã hội theo quy định.</w:t>
            </w:r>
          </w:p>
          <w:p w14:paraId="576132F8" w14:textId="77777777" w:rsidR="00774EF0" w:rsidRPr="00426DD6" w:rsidRDefault="00774EF0" w:rsidP="00426DD6">
            <w:pPr>
              <w:spacing w:after="120"/>
              <w:ind w:firstLine="316"/>
              <w:jc w:val="both"/>
              <w:rPr>
                <w:b/>
                <w:bCs/>
                <w:szCs w:val="28"/>
              </w:rPr>
            </w:pPr>
          </w:p>
        </w:tc>
        <w:tc>
          <w:tcPr>
            <w:tcW w:w="1244" w:type="pct"/>
            <w:tcBorders>
              <w:top w:val="nil"/>
              <w:bottom w:val="single" w:sz="4" w:space="0" w:color="auto"/>
            </w:tcBorders>
            <w:shd w:val="clear" w:color="auto" w:fill="auto"/>
          </w:tcPr>
          <w:p w14:paraId="6EBA8913" w14:textId="77777777" w:rsidR="00774EF0" w:rsidRPr="00EF3AE0" w:rsidRDefault="00EF3AE0" w:rsidP="00CD207F">
            <w:pPr>
              <w:spacing w:before="0"/>
              <w:ind w:firstLine="174"/>
              <w:jc w:val="both"/>
              <w:rPr>
                <w:b/>
                <w:i/>
              </w:rPr>
            </w:pPr>
            <w:r w:rsidRPr="00EF3AE0">
              <w:rPr>
                <w:b/>
                <w:i/>
              </w:rPr>
              <w:lastRenderedPageBreak/>
              <w:t>Lý do:</w:t>
            </w:r>
          </w:p>
          <w:p w14:paraId="46ED4A2E" w14:textId="129E79F8" w:rsidR="00EF3AE0" w:rsidRPr="000D0918" w:rsidRDefault="00EF3AE0" w:rsidP="00CD207F">
            <w:pPr>
              <w:spacing w:before="0"/>
              <w:ind w:firstLine="174"/>
              <w:jc w:val="both"/>
            </w:pPr>
            <w:r>
              <w:t xml:space="preserve">Bổ sung thêm đối tượng ưu tiên là </w:t>
            </w:r>
            <w:r w:rsidRPr="003A65B7">
              <w:rPr>
                <w:spacing w:val="-2"/>
                <w:szCs w:val="28"/>
                <w:shd w:val="clear" w:color="auto" w:fill="FFFFFF"/>
              </w:rPr>
              <w:t xml:space="preserve">hộ gia đình, cá nhân thuộc đối tượng được bồi thường, hỗ trợ, tái định cư khi Nhà nước thu hồi đất hoặc thỏa </w:t>
            </w:r>
            <w:r w:rsidRPr="003A65B7">
              <w:rPr>
                <w:spacing w:val="-2"/>
                <w:szCs w:val="28"/>
                <w:shd w:val="clear" w:color="auto" w:fill="FFFFFF"/>
              </w:rPr>
              <w:lastRenderedPageBreak/>
              <w:t>thuận chuyển nhượng quyền sử dụng đất cho chủ đầu tư dự án để phát triển nhà ở xã hội</w:t>
            </w:r>
            <w:r>
              <w:rPr>
                <w:spacing w:val="-2"/>
                <w:szCs w:val="28"/>
                <w:shd w:val="clear" w:color="auto" w:fill="FFFFFF"/>
              </w:rPr>
              <w:t xml:space="preserve"> để đảm bảo đồng bộ, thống nhất với quy định như trường hợp đ</w:t>
            </w:r>
            <w:r w:rsidRPr="003A65B7">
              <w:rPr>
                <w:spacing w:val="-2"/>
                <w:szCs w:val="28"/>
                <w:shd w:val="clear" w:color="auto" w:fill="FFFFFF"/>
              </w:rPr>
              <w:t>ối tượng là người được bố trí tái định cư</w:t>
            </w:r>
            <w:r>
              <w:rPr>
                <w:spacing w:val="-2"/>
                <w:szCs w:val="28"/>
                <w:shd w:val="clear" w:color="auto" w:fill="FFFFFF"/>
              </w:rPr>
              <w:t>.</w:t>
            </w:r>
          </w:p>
        </w:tc>
      </w:tr>
      <w:tr w:rsidR="000D0918" w:rsidRPr="000D0918" w14:paraId="5170E366" w14:textId="77777777" w:rsidTr="00DE3071">
        <w:tc>
          <w:tcPr>
            <w:tcW w:w="2329" w:type="pct"/>
            <w:shd w:val="clear" w:color="auto" w:fill="CAEDFB" w:themeFill="accent4" w:themeFillTint="33"/>
          </w:tcPr>
          <w:p w14:paraId="7D200F6A" w14:textId="2D48BF61" w:rsidR="00A43574" w:rsidRPr="00426DD6" w:rsidRDefault="00A43574" w:rsidP="00426DD6">
            <w:pPr>
              <w:suppressLineNumbers/>
              <w:suppressAutoHyphens/>
              <w:spacing w:after="120"/>
              <w:ind w:firstLine="313"/>
              <w:jc w:val="both"/>
              <w:rPr>
                <w:b/>
                <w:bCs/>
                <w:spacing w:val="-6"/>
                <w:szCs w:val="28"/>
              </w:rPr>
            </w:pPr>
            <w:r w:rsidRPr="00426DD6">
              <w:rPr>
                <w:rFonts w:eastAsia="Times New Roman"/>
                <w:b/>
                <w:spacing w:val="-6"/>
                <w:szCs w:val="28"/>
                <w:lang w:val="pt-BR"/>
              </w:rPr>
              <w:lastRenderedPageBreak/>
              <w:t>Khoản 1, khoản 2 Điều 7 Nghị quyết số 201/2025/QH15 của Quốc hội và điểm h khoản 2 Điều 89 Luật Xây dựng 2014 đã được sửa đổi, bổ sung tại Luật Đường sắt số 95/2025/QH15</w:t>
            </w:r>
          </w:p>
        </w:tc>
        <w:tc>
          <w:tcPr>
            <w:tcW w:w="1427" w:type="pct"/>
            <w:tcBorders>
              <w:top w:val="single" w:sz="4" w:space="0" w:color="auto"/>
              <w:bottom w:val="nil"/>
            </w:tcBorders>
            <w:shd w:val="clear" w:color="auto" w:fill="CAEDFB" w:themeFill="accent4" w:themeFillTint="33"/>
          </w:tcPr>
          <w:p w14:paraId="51FC62E6" w14:textId="274E587E" w:rsidR="00A43574" w:rsidRPr="00426DD6" w:rsidRDefault="00A43574" w:rsidP="00426DD6">
            <w:pPr>
              <w:suppressLineNumbers/>
              <w:suppressAutoHyphens/>
              <w:spacing w:after="120"/>
              <w:ind w:firstLine="316"/>
              <w:jc w:val="both"/>
              <w:rPr>
                <w:rFonts w:eastAsia="Times New Roman"/>
                <w:b/>
                <w:spacing w:val="-6"/>
                <w:szCs w:val="28"/>
                <w:lang w:val="pt-BR"/>
              </w:rPr>
            </w:pPr>
            <w:r w:rsidRPr="00426DD6">
              <w:rPr>
                <w:rFonts w:eastAsia="Times New Roman"/>
                <w:b/>
                <w:spacing w:val="-6"/>
                <w:szCs w:val="28"/>
                <w:lang w:val="pt-BR"/>
              </w:rPr>
              <w:t>Khoản 5 Điều 2: Bổ sung quy định cho phép chủ đầu tư được lựa chọn thủ tục về đầu tư xây dựng theo hướng thuận lợi hơn</w:t>
            </w:r>
          </w:p>
        </w:tc>
        <w:tc>
          <w:tcPr>
            <w:tcW w:w="1244" w:type="pct"/>
            <w:tcBorders>
              <w:top w:val="single" w:sz="4" w:space="0" w:color="auto"/>
              <w:bottom w:val="nil"/>
            </w:tcBorders>
            <w:shd w:val="clear" w:color="auto" w:fill="CAEDFB" w:themeFill="accent4" w:themeFillTint="33"/>
          </w:tcPr>
          <w:p w14:paraId="5A6AE21A" w14:textId="77777777" w:rsidR="00A43574" w:rsidRPr="000D0918" w:rsidRDefault="00A43574" w:rsidP="00CD207F">
            <w:pPr>
              <w:ind w:firstLine="174"/>
              <w:jc w:val="both"/>
            </w:pPr>
          </w:p>
        </w:tc>
      </w:tr>
      <w:tr w:rsidR="000D0918" w:rsidRPr="000D0918" w14:paraId="4741E53A" w14:textId="77777777" w:rsidTr="00DE3071">
        <w:tc>
          <w:tcPr>
            <w:tcW w:w="2329" w:type="pct"/>
            <w:shd w:val="clear" w:color="auto" w:fill="auto"/>
          </w:tcPr>
          <w:p w14:paraId="1762346F" w14:textId="19A31765" w:rsidR="0068791F" w:rsidRPr="00426DD6" w:rsidRDefault="00A43574" w:rsidP="00426DD6">
            <w:pPr>
              <w:spacing w:after="120"/>
              <w:ind w:firstLine="313"/>
              <w:jc w:val="both"/>
              <w:rPr>
                <w:spacing w:val="-6"/>
                <w:szCs w:val="28"/>
              </w:rPr>
            </w:pPr>
            <w:r w:rsidRPr="00426DD6">
              <w:rPr>
                <w:spacing w:val="-6"/>
                <w:szCs w:val="28"/>
              </w:rPr>
              <w:t xml:space="preserve">(1) </w:t>
            </w:r>
            <w:r w:rsidR="0068791F" w:rsidRPr="00426DD6">
              <w:rPr>
                <w:spacing w:val="-6"/>
                <w:szCs w:val="28"/>
              </w:rPr>
              <w:t>Khoản 1, khoản 2 Điều 7 Nghị quyết số 201/2025/QH15 của Quốc hội</w:t>
            </w:r>
          </w:p>
          <w:p w14:paraId="3EC5AEAD" w14:textId="30556E28" w:rsidR="0068791F" w:rsidRPr="00426DD6" w:rsidRDefault="0068791F" w:rsidP="00426DD6">
            <w:pPr>
              <w:spacing w:after="120"/>
              <w:ind w:firstLine="313"/>
              <w:jc w:val="both"/>
              <w:rPr>
                <w:spacing w:val="-6"/>
                <w:szCs w:val="28"/>
              </w:rPr>
            </w:pPr>
            <w:r w:rsidRPr="00426DD6">
              <w:rPr>
                <w:spacing w:val="-6"/>
                <w:szCs w:val="28"/>
              </w:rPr>
              <w:t>“1. Dự án đầu tư xây dựng nhà ở xã hội không phải thực hiện thẩm định báo cáo nghiên cứu khả thi đầu tư xây dựng tại cơ quan chuyên môn về xây dựng theo quy định của pháp luật về xây dựng. Chủ đầu tư, người quyết định đầu tư tự tổ chức thẩm định, phê duyệt báo cáo nghiên cứu khả thi và chịu trách nhiệm bảo đảm tuân thủ quy định của pháp luật về xây dựng.</w:t>
            </w:r>
          </w:p>
          <w:p w14:paraId="6BB68231" w14:textId="77777777" w:rsidR="00A43574" w:rsidRPr="00426DD6" w:rsidRDefault="0068791F" w:rsidP="00426DD6">
            <w:pPr>
              <w:spacing w:after="120"/>
              <w:ind w:firstLine="313"/>
              <w:jc w:val="both"/>
              <w:rPr>
                <w:spacing w:val="-6"/>
                <w:szCs w:val="28"/>
              </w:rPr>
            </w:pPr>
            <w:r w:rsidRPr="00426DD6">
              <w:rPr>
                <w:spacing w:val="-6"/>
                <w:szCs w:val="28"/>
              </w:rPr>
              <w:t xml:space="preserve">2. Việc thẩm định thiết kế về phòng cháy và chữa cháy tại cơ quan chuyên môn về xây dựng theo quy định của pháp luật về phòng cháy, chữa cháy và cứu nạn, cứu hộ được thực hiện lồng </w:t>
            </w:r>
            <w:r w:rsidRPr="00426DD6">
              <w:rPr>
                <w:spacing w:val="-6"/>
                <w:szCs w:val="28"/>
              </w:rPr>
              <w:lastRenderedPageBreak/>
              <w:t>ghép trong thủ tục cấp giấy phép xây dựng đối với trường hợp yêu cầu phải cấp giấy phép xây dựng và do cơ quan có thẩm quyền cấp giấy phép xây dựng thực hiện trong thời hạn 30 ngày kể từ ngày nhận đủ hồ sơ hợp lệ”.</w:t>
            </w:r>
          </w:p>
          <w:p w14:paraId="79B28766" w14:textId="77777777" w:rsidR="0068791F" w:rsidRPr="00426DD6" w:rsidRDefault="0068791F" w:rsidP="00426DD6">
            <w:pPr>
              <w:spacing w:after="120"/>
              <w:ind w:firstLine="313"/>
              <w:jc w:val="both"/>
              <w:rPr>
                <w:rFonts w:eastAsia="Times New Roman"/>
                <w:b/>
                <w:spacing w:val="-6"/>
                <w:szCs w:val="28"/>
                <w:lang w:val="pt-BR"/>
              </w:rPr>
            </w:pPr>
            <w:r w:rsidRPr="00426DD6">
              <w:rPr>
                <w:spacing w:val="-6"/>
                <w:szCs w:val="28"/>
              </w:rPr>
              <w:t>(2) Điểm h khoản 2 Điều 89 Luật Xây dựng 2014 đã được sửa đổi, bổ sung tại Luật Đường sắt số 95/2025/QH15</w:t>
            </w:r>
          </w:p>
          <w:p w14:paraId="4972E36E" w14:textId="07282856" w:rsidR="0068791F" w:rsidRPr="00426DD6" w:rsidRDefault="0068791F" w:rsidP="00426DD6">
            <w:pPr>
              <w:spacing w:after="120"/>
              <w:ind w:firstLine="313"/>
              <w:jc w:val="both"/>
              <w:rPr>
                <w:bCs/>
                <w:szCs w:val="28"/>
              </w:rPr>
            </w:pPr>
            <w:r w:rsidRPr="00426DD6">
              <w:rPr>
                <w:spacing w:val="-6"/>
                <w:szCs w:val="28"/>
              </w:rPr>
              <w:t>“h) Công trình thuộc dự án đầu tư xây dựng đã được cơ quan chuyên môn về xây dựng thẩm định Báo cáo nghiên cứu khả thi đầu tư xây dựng tại khu vực có quy hoạch chi tiết tỷ lệ 1/500 hoặc thiết kế đô thị đã được cơ quan có thẩm quyền phê duyệt;”</w:t>
            </w:r>
          </w:p>
        </w:tc>
        <w:tc>
          <w:tcPr>
            <w:tcW w:w="1427" w:type="pct"/>
            <w:tcBorders>
              <w:top w:val="nil"/>
              <w:bottom w:val="single" w:sz="4" w:space="0" w:color="auto"/>
            </w:tcBorders>
            <w:shd w:val="clear" w:color="auto" w:fill="auto"/>
          </w:tcPr>
          <w:p w14:paraId="20C6FABA" w14:textId="4DB2BF01" w:rsidR="00A43574" w:rsidRPr="00426DD6" w:rsidRDefault="00A43574" w:rsidP="00426DD6">
            <w:pPr>
              <w:spacing w:after="120"/>
              <w:ind w:firstLine="316"/>
              <w:jc w:val="both"/>
              <w:rPr>
                <w:rStyle w:val="fontstyle01"/>
                <w:rFonts w:ascii="Times New Roman" w:hAnsi="Times New Roman"/>
                <w:color w:val="auto"/>
              </w:rPr>
            </w:pPr>
            <w:r w:rsidRPr="00426DD6">
              <w:rPr>
                <w:szCs w:val="28"/>
                <w:shd w:val="clear" w:color="auto" w:fill="FFFFFF"/>
              </w:rPr>
              <w:lastRenderedPageBreak/>
              <w:t xml:space="preserve">5. Chủ đầu tư dự án được lựa chọn </w:t>
            </w:r>
            <w:r w:rsidRPr="00426DD6">
              <w:rPr>
                <w:iCs/>
                <w:szCs w:val="28"/>
                <w:shd w:val="clear" w:color="auto" w:fill="FFFFFF"/>
              </w:rPr>
              <w:t xml:space="preserve">áp dụng </w:t>
            </w:r>
            <w:r w:rsidRPr="00426DD6">
              <w:rPr>
                <w:szCs w:val="28"/>
                <w:shd w:val="clear" w:color="auto" w:fill="FFFFFF"/>
              </w:rPr>
              <w:t xml:space="preserve">quy định tại </w:t>
            </w:r>
            <w:r w:rsidRPr="00426DD6">
              <w:rPr>
                <w:iCs/>
                <w:szCs w:val="28"/>
                <w:shd w:val="clear" w:color="auto" w:fill="FFFFFF"/>
              </w:rPr>
              <w:t xml:space="preserve">khoản 1, khoản 2 Điều 7 Nghị quyết số 201/2025/QH15 của Quốc hội để thực hiện </w:t>
            </w:r>
            <w:r w:rsidRPr="00426DD6">
              <w:rPr>
                <w:szCs w:val="28"/>
                <w:shd w:val="clear" w:color="auto" w:fill="FFFFFF"/>
              </w:rPr>
              <w:t xml:space="preserve">cấp giấy phép xây dựng </w:t>
            </w:r>
            <w:r w:rsidRPr="00426DD6">
              <w:rPr>
                <w:iCs/>
                <w:szCs w:val="28"/>
                <w:shd w:val="clear" w:color="auto" w:fill="FFFFFF"/>
              </w:rPr>
              <w:t>hoặc áp dụng quy định tại điểm h khoản 2 Điều 89 Luật Xây dựng 2014 đã được sửa đổi, bổ sung tại Luật Đường sắt số 95/2025/QH15 để được miễn giấy phép xây dựng.</w:t>
            </w:r>
          </w:p>
          <w:p w14:paraId="2953A51D" w14:textId="77777777" w:rsidR="00A43574" w:rsidRPr="00426DD6" w:rsidRDefault="00A43574" w:rsidP="00426DD6">
            <w:pPr>
              <w:spacing w:after="120"/>
              <w:ind w:firstLine="316"/>
              <w:jc w:val="both"/>
              <w:rPr>
                <w:b/>
                <w:bCs/>
                <w:szCs w:val="28"/>
              </w:rPr>
            </w:pPr>
          </w:p>
        </w:tc>
        <w:tc>
          <w:tcPr>
            <w:tcW w:w="1244" w:type="pct"/>
            <w:tcBorders>
              <w:top w:val="nil"/>
              <w:bottom w:val="single" w:sz="4" w:space="0" w:color="auto"/>
            </w:tcBorders>
            <w:shd w:val="clear" w:color="auto" w:fill="auto"/>
          </w:tcPr>
          <w:p w14:paraId="6351F61C" w14:textId="237EBF2E" w:rsidR="00A43574" w:rsidRPr="003A65B7" w:rsidRDefault="003A65B7" w:rsidP="00CD207F">
            <w:pPr>
              <w:spacing w:before="0"/>
              <w:ind w:firstLine="174"/>
              <w:jc w:val="both"/>
              <w:rPr>
                <w:b/>
                <w:i/>
              </w:rPr>
            </w:pPr>
            <w:r w:rsidRPr="003A65B7">
              <w:rPr>
                <w:b/>
                <w:i/>
              </w:rPr>
              <w:t xml:space="preserve">Lý do: </w:t>
            </w:r>
          </w:p>
          <w:p w14:paraId="220BD898" w14:textId="228E36A4" w:rsidR="003A65B7" w:rsidRDefault="003A65B7" w:rsidP="00CD207F">
            <w:pPr>
              <w:spacing w:before="0"/>
              <w:ind w:firstLine="174"/>
              <w:jc w:val="both"/>
            </w:pPr>
            <w:r>
              <w:t>Tại khoản 2 Điều 3 Nghị quyết số 201/2025/QH15 đã có quy định:</w:t>
            </w:r>
          </w:p>
          <w:p w14:paraId="7660C270" w14:textId="77777777" w:rsidR="003A65B7" w:rsidRDefault="003A65B7" w:rsidP="00CD207F">
            <w:pPr>
              <w:spacing w:before="0"/>
              <w:ind w:firstLine="174"/>
              <w:jc w:val="both"/>
              <w:rPr>
                <w:i/>
              </w:rPr>
            </w:pPr>
            <w:r w:rsidRPr="003A65B7">
              <w:rPr>
                <w:i/>
              </w:rPr>
              <w:t>“2. Trường hợp văn bản quy phạm pháp luật khác có quy định cơ chế, chính sách hỗ trợ, ưu đãi thuận lợi hơn Nghị quyết này thì đối tượng được hưởng hỗ trợ, ưu đãi được lựa chọn áp dụng cơ chế, chính sách hỗ trợ, ưu đãi đó”.</w:t>
            </w:r>
          </w:p>
          <w:p w14:paraId="08F201F6" w14:textId="619E43AD" w:rsidR="003A65B7" w:rsidRPr="003A65B7" w:rsidRDefault="003A65B7" w:rsidP="00CD207F">
            <w:pPr>
              <w:spacing w:before="0"/>
              <w:ind w:firstLine="174"/>
              <w:jc w:val="both"/>
            </w:pPr>
            <w:r>
              <w:lastRenderedPageBreak/>
              <w:t>Tuy nhiên, các địa phương vẫn còn lúng túng trong việc tổ chức thực hiện. Do đó cần quy định rõ rang hơn để có cơ sở thực hiện.</w:t>
            </w:r>
          </w:p>
        </w:tc>
      </w:tr>
      <w:tr w:rsidR="000D0918" w:rsidRPr="000D0918" w14:paraId="2052879F" w14:textId="77777777" w:rsidTr="000D0918">
        <w:tblPrEx>
          <w:tblBorders>
            <w:insideH w:val="single" w:sz="4" w:space="0" w:color="auto"/>
          </w:tblBorders>
        </w:tblPrEx>
        <w:tc>
          <w:tcPr>
            <w:tcW w:w="2329" w:type="pct"/>
          </w:tcPr>
          <w:p w14:paraId="20D53BBB" w14:textId="36F7FB48" w:rsidR="000D0918" w:rsidRPr="00426DD6" w:rsidRDefault="000D0918" w:rsidP="00426DD6">
            <w:pPr>
              <w:suppressLineNumbers/>
              <w:suppressAutoHyphens/>
              <w:spacing w:after="120"/>
              <w:ind w:firstLine="313"/>
              <w:jc w:val="both"/>
              <w:rPr>
                <w:b/>
                <w:bCs/>
                <w:spacing w:val="-6"/>
                <w:szCs w:val="28"/>
              </w:rPr>
            </w:pPr>
            <w:r w:rsidRPr="00426DD6">
              <w:rPr>
                <w:b/>
                <w:bCs/>
                <w:spacing w:val="-6"/>
                <w:szCs w:val="28"/>
              </w:rPr>
              <w:lastRenderedPageBreak/>
              <w:t>Khoản 3 Điều 5 Nghị quyết số 201/2025/QH15 và khoản 2 khoản 3 Điều 5 Nghị định số 192/2025/NĐ-CP</w:t>
            </w:r>
          </w:p>
        </w:tc>
        <w:tc>
          <w:tcPr>
            <w:tcW w:w="1427" w:type="pct"/>
          </w:tcPr>
          <w:p w14:paraId="2F613539" w14:textId="7A919DD8" w:rsidR="000D0918" w:rsidRPr="00426DD6" w:rsidRDefault="000D0918" w:rsidP="00426DD6">
            <w:pPr>
              <w:suppressLineNumbers/>
              <w:suppressAutoHyphens/>
              <w:spacing w:after="120"/>
              <w:ind w:firstLine="316"/>
              <w:jc w:val="both"/>
              <w:rPr>
                <w:rFonts w:eastAsia="Times New Roman"/>
                <w:b/>
                <w:spacing w:val="-6"/>
                <w:szCs w:val="28"/>
                <w:lang w:val="pt-BR"/>
              </w:rPr>
            </w:pPr>
            <w:r w:rsidRPr="00426DD6">
              <w:rPr>
                <w:rFonts w:eastAsia="Times New Roman"/>
                <w:b/>
                <w:spacing w:val="-6"/>
                <w:szCs w:val="28"/>
                <w:lang w:val="pt-BR"/>
              </w:rPr>
              <w:t>Khoản 6 Điều 2: Ưu tiên giao chủ đầu tư dự án nhà ở xã hội</w:t>
            </w:r>
          </w:p>
        </w:tc>
        <w:tc>
          <w:tcPr>
            <w:tcW w:w="1244" w:type="pct"/>
          </w:tcPr>
          <w:p w14:paraId="3F439FB4" w14:textId="77777777" w:rsidR="000D0918" w:rsidRPr="000D0918" w:rsidRDefault="000D0918" w:rsidP="00CD207F">
            <w:pPr>
              <w:ind w:firstLine="174"/>
              <w:jc w:val="both"/>
            </w:pPr>
          </w:p>
        </w:tc>
      </w:tr>
      <w:tr w:rsidR="000D0918" w:rsidRPr="000D0918" w14:paraId="3B6739B0" w14:textId="77777777" w:rsidTr="000D0918">
        <w:tblPrEx>
          <w:tblBorders>
            <w:insideH w:val="single" w:sz="4" w:space="0" w:color="auto"/>
          </w:tblBorders>
        </w:tblPrEx>
        <w:tc>
          <w:tcPr>
            <w:tcW w:w="2329" w:type="pct"/>
          </w:tcPr>
          <w:p w14:paraId="335C0E2E" w14:textId="77777777" w:rsidR="000D0918" w:rsidRPr="00426DD6" w:rsidRDefault="000D0918" w:rsidP="00426DD6">
            <w:pPr>
              <w:spacing w:after="120"/>
              <w:ind w:firstLine="313"/>
              <w:jc w:val="both"/>
              <w:rPr>
                <w:b/>
                <w:bCs/>
                <w:spacing w:val="-6"/>
                <w:szCs w:val="28"/>
              </w:rPr>
            </w:pPr>
            <w:r w:rsidRPr="00426DD6">
              <w:rPr>
                <w:spacing w:val="-6"/>
                <w:szCs w:val="28"/>
              </w:rPr>
              <w:t>(1) Khoản 3 Điều 5 Nghị quyết số 201/2025/QH15</w:t>
            </w:r>
            <w:r w:rsidRPr="00426DD6">
              <w:rPr>
                <w:b/>
                <w:bCs/>
                <w:spacing w:val="-6"/>
                <w:szCs w:val="28"/>
              </w:rPr>
              <w:t xml:space="preserve"> </w:t>
            </w:r>
          </w:p>
          <w:p w14:paraId="34307B44" w14:textId="56A5D7FE" w:rsidR="000D0918" w:rsidRPr="00426DD6" w:rsidRDefault="000D0918" w:rsidP="00426DD6">
            <w:pPr>
              <w:spacing w:after="120"/>
              <w:ind w:firstLine="313"/>
              <w:jc w:val="both"/>
              <w:rPr>
                <w:spacing w:val="-6"/>
                <w:szCs w:val="28"/>
              </w:rPr>
            </w:pPr>
            <w:r w:rsidRPr="00426DD6">
              <w:rPr>
                <w:spacing w:val="-6"/>
                <w:szCs w:val="28"/>
              </w:rPr>
              <w:t>“3. Điều kiện giao chủ đầu tư là nhà đầu tư phải đáp ứng điều kiện đối với tổ chức kinh doanh bất động sản theo quy định của pháp luật về kinh doanh bất động sản.</w:t>
            </w:r>
          </w:p>
          <w:p w14:paraId="4F86B56F" w14:textId="77777777" w:rsidR="000D0918" w:rsidRPr="00426DD6" w:rsidRDefault="000D0918" w:rsidP="00426DD6">
            <w:pPr>
              <w:spacing w:after="120"/>
              <w:ind w:firstLine="313"/>
              <w:jc w:val="both"/>
              <w:rPr>
                <w:spacing w:val="-6"/>
                <w:szCs w:val="28"/>
              </w:rPr>
            </w:pPr>
            <w:r w:rsidRPr="00426DD6">
              <w:rPr>
                <w:spacing w:val="-6"/>
                <w:szCs w:val="28"/>
              </w:rPr>
              <w:t>Trường hợp có từ 02 nhà đầu tư trở lên đăng ký làm chủ đầu tư, tiêu chí ưu tiên giao chủ đầu tư bao gồm: kinh nghiệm đã thực hiện dự án đầu tư xây dựng nhà ở; năng lực tài chính để thực hiện dự án; tiêu chí khác theo quy định của Chính phủ”.</w:t>
            </w:r>
          </w:p>
          <w:p w14:paraId="52F20B3E" w14:textId="37C0A24C" w:rsidR="000D0918" w:rsidRPr="00426DD6" w:rsidRDefault="000D0918" w:rsidP="00426DD6">
            <w:pPr>
              <w:spacing w:after="120"/>
              <w:ind w:firstLine="313"/>
              <w:jc w:val="both"/>
              <w:rPr>
                <w:spacing w:val="-6"/>
                <w:szCs w:val="28"/>
              </w:rPr>
            </w:pPr>
            <w:r w:rsidRPr="00426DD6">
              <w:rPr>
                <w:spacing w:val="-6"/>
                <w:szCs w:val="28"/>
              </w:rPr>
              <w:t>(2) Khoản 2 khoản 3 Điều 5 Nghị định số 192/2025/NĐ-CP</w:t>
            </w:r>
          </w:p>
          <w:p w14:paraId="2D997490" w14:textId="56EEA9B7" w:rsidR="000D0918" w:rsidRPr="00426DD6" w:rsidRDefault="000D0918" w:rsidP="00426DD6">
            <w:pPr>
              <w:spacing w:after="120"/>
              <w:ind w:firstLine="313"/>
              <w:jc w:val="both"/>
              <w:rPr>
                <w:spacing w:val="-6"/>
                <w:szCs w:val="28"/>
              </w:rPr>
            </w:pPr>
            <w:r w:rsidRPr="00426DD6">
              <w:rPr>
                <w:szCs w:val="28"/>
              </w:rPr>
              <w:lastRenderedPageBreak/>
              <w:t>“</w:t>
            </w:r>
            <w:r w:rsidRPr="00426DD6">
              <w:rPr>
                <w:spacing w:val="-6"/>
                <w:szCs w:val="28"/>
              </w:rPr>
              <w:t>2. Tiêu chí ưu tiên giao chủ đầu tư đối với trường hợp có từ 02 nhà đầu tư trở lên đáp ứng điều kiện giao chủ đầu tư được quy định như sau:</w:t>
            </w:r>
          </w:p>
          <w:p w14:paraId="73198E54" w14:textId="77777777" w:rsidR="000D0918" w:rsidRPr="00426DD6" w:rsidRDefault="000D0918" w:rsidP="00426DD6">
            <w:pPr>
              <w:spacing w:after="120"/>
              <w:ind w:firstLine="313"/>
              <w:jc w:val="both"/>
              <w:rPr>
                <w:spacing w:val="-6"/>
                <w:szCs w:val="28"/>
              </w:rPr>
            </w:pPr>
            <w:r w:rsidRPr="00426DD6">
              <w:rPr>
                <w:spacing w:val="-6"/>
                <w:szCs w:val="28"/>
              </w:rPr>
              <w:t>a) Tiêu chí về năng lực tài chính: ưu tiên nhà đầu tư có vốn chủ sở hữu phân bổ cho dự án theo quy định của pháp luật về kinh doanh bất động sản cao hơn. Trường hợp nhà đầu tư liên danh thì xác định năng lực tài chính theo tổng vốn chủ sở hữu phân bổ cho dự án của các thành viên trong liên danh;</w:t>
            </w:r>
          </w:p>
          <w:p w14:paraId="36761A70" w14:textId="77777777" w:rsidR="000D0918" w:rsidRPr="00426DD6" w:rsidRDefault="000D0918" w:rsidP="00426DD6">
            <w:pPr>
              <w:spacing w:after="120"/>
              <w:ind w:firstLine="313"/>
              <w:jc w:val="both"/>
              <w:rPr>
                <w:spacing w:val="-6"/>
                <w:szCs w:val="28"/>
              </w:rPr>
            </w:pPr>
            <w:r w:rsidRPr="00426DD6">
              <w:rPr>
                <w:spacing w:val="-6"/>
                <w:szCs w:val="28"/>
              </w:rPr>
              <w:t>b) Tiêu chí về kinh nghiệm: ưu tiên nhà đầu tư có kinh nghiệm đã làm chủ đầu tư, hoàn thành số lượng dự án đầu tư xây dựng nhà ở nhiều hơn, với quy mô sử dụng đất, tổng mức đầu tư tương đương hoặc lớn hơn. Trường hợp nhà đầu tư liên danh thì xác định tiêu chí về kinh nghiệm theo kinh nghiệm của nhà đầu tư do liên danh đề xuất làm chủ đầu tư;</w:t>
            </w:r>
          </w:p>
          <w:p w14:paraId="6BE10025" w14:textId="77777777" w:rsidR="000D0918" w:rsidRPr="00426DD6" w:rsidRDefault="000D0918" w:rsidP="00426DD6">
            <w:pPr>
              <w:spacing w:after="120"/>
              <w:ind w:firstLine="313"/>
              <w:jc w:val="both"/>
              <w:rPr>
                <w:spacing w:val="-6"/>
                <w:szCs w:val="28"/>
              </w:rPr>
            </w:pPr>
            <w:r w:rsidRPr="00426DD6">
              <w:rPr>
                <w:spacing w:val="-6"/>
                <w:szCs w:val="28"/>
              </w:rPr>
              <w:t>c) Nhà đầu tư là doanh nghiệp nhà nước theo quy định của pháp luật về doanh nghiệp.</w:t>
            </w:r>
          </w:p>
          <w:p w14:paraId="31CF73E5" w14:textId="2CFC253A" w:rsidR="000D0918" w:rsidRPr="00426DD6" w:rsidRDefault="000D0918" w:rsidP="00426DD6">
            <w:pPr>
              <w:spacing w:after="120"/>
              <w:ind w:firstLine="313"/>
              <w:jc w:val="both"/>
              <w:rPr>
                <w:spacing w:val="-6"/>
                <w:szCs w:val="28"/>
              </w:rPr>
            </w:pPr>
            <w:r w:rsidRPr="00426DD6">
              <w:rPr>
                <w:spacing w:val="-6"/>
                <w:szCs w:val="28"/>
              </w:rPr>
              <w:t>3. Việc giao chủ đầu tư được xác định theo thứ tự ưu tiên lần lượt từ điểm a đến điểm c khoản 2 Điều này”.</w:t>
            </w:r>
          </w:p>
          <w:p w14:paraId="615C46BD" w14:textId="0FC35073" w:rsidR="000D0918" w:rsidRPr="00426DD6" w:rsidRDefault="000D0918" w:rsidP="00426DD6">
            <w:pPr>
              <w:spacing w:after="120"/>
              <w:ind w:firstLine="313"/>
              <w:jc w:val="both"/>
              <w:rPr>
                <w:bCs/>
                <w:szCs w:val="28"/>
              </w:rPr>
            </w:pPr>
          </w:p>
        </w:tc>
        <w:tc>
          <w:tcPr>
            <w:tcW w:w="1427" w:type="pct"/>
          </w:tcPr>
          <w:p w14:paraId="283E82D6" w14:textId="43E316E9" w:rsidR="000D0918" w:rsidRPr="00426DD6" w:rsidRDefault="000D0918" w:rsidP="00426DD6">
            <w:pPr>
              <w:pStyle w:val="NormalWeb"/>
              <w:shd w:val="clear" w:color="auto" w:fill="FFFFFF"/>
              <w:spacing w:before="120" w:beforeAutospacing="0" w:after="120" w:afterAutospacing="0"/>
              <w:ind w:firstLine="316"/>
              <w:jc w:val="both"/>
              <w:rPr>
                <w:sz w:val="28"/>
                <w:szCs w:val="28"/>
              </w:rPr>
            </w:pPr>
            <w:r w:rsidRPr="00426DD6">
              <w:rPr>
                <w:sz w:val="28"/>
                <w:szCs w:val="28"/>
                <w:shd w:val="clear" w:color="auto" w:fill="FFFFFF"/>
              </w:rPr>
              <w:lastRenderedPageBreak/>
              <w:t xml:space="preserve">“6. </w:t>
            </w:r>
            <w:r w:rsidRPr="00426DD6">
              <w:rPr>
                <w:sz w:val="28"/>
                <w:szCs w:val="28"/>
              </w:rPr>
              <w:t>Ủy ban nhân dân cấp tỉnh tổ chức lập, phê duyệt danh mục vị trí khu đất đã được xác định để phát triển nhà ở xã hội, các dự án nhà ở xã hội kêu gọi đầu tư và thực hiện giao chủ đầu tư, chấp thuận chủ trương đầu tư đồng thời giao chủ đầu tư theo quy định của Nghị quyết số </w:t>
            </w:r>
            <w:hyperlink r:id="rId8" w:tgtFrame="_blank" w:history="1">
              <w:r w:rsidRPr="00426DD6">
                <w:rPr>
                  <w:sz w:val="28"/>
                  <w:szCs w:val="28"/>
                </w:rPr>
                <w:t>201/2025/QH15</w:t>
              </w:r>
            </w:hyperlink>
            <w:r w:rsidRPr="00426DD6">
              <w:rPr>
                <w:sz w:val="28"/>
                <w:szCs w:val="28"/>
              </w:rPr>
              <w:t xml:space="preserve"> và Nghị định và 192/2025/NĐ-CP. </w:t>
            </w:r>
          </w:p>
          <w:p w14:paraId="012E09B6" w14:textId="6D1156BF" w:rsidR="000D0918" w:rsidRPr="00426DD6" w:rsidRDefault="000D0918" w:rsidP="00426DD6">
            <w:pPr>
              <w:pStyle w:val="NormalWeb"/>
              <w:shd w:val="clear" w:color="auto" w:fill="FFFFFF"/>
              <w:spacing w:before="120" w:beforeAutospacing="0" w:after="120" w:afterAutospacing="0"/>
              <w:ind w:firstLine="316"/>
              <w:jc w:val="both"/>
              <w:rPr>
                <w:sz w:val="28"/>
                <w:szCs w:val="28"/>
              </w:rPr>
            </w:pPr>
            <w:r w:rsidRPr="00426DD6">
              <w:rPr>
                <w:sz w:val="28"/>
                <w:szCs w:val="28"/>
              </w:rPr>
              <w:t xml:space="preserve">Ủy ban nhân dân cấp tỉnh quyết định lựa chọn chủ đầu tư, ưu tiên </w:t>
            </w:r>
            <w:r w:rsidRPr="00426DD6">
              <w:rPr>
                <w:sz w:val="28"/>
                <w:szCs w:val="28"/>
              </w:rPr>
              <w:lastRenderedPageBreak/>
              <w:t>giao doanh nghiệp có năng lực tài chính, kinh nghiệm đã triển khai các dự án nhà ở và có cam kết hoàn thành dự án không quá 03 năm kể từ ngày được nhà nước giao đất, cho thuê đất, cho phép chuyển mục đích sử dụng đất để thực hiện dự án đầu tư xây dựng nhà ở xã hội; tổng hợp danh mục khu đất dự kiến thực hiện dự án đầu tư xây dựng nhà ở xã hội theo cơ chế, chính sách đột phá theo quy định tại Nghị quyết này”.</w:t>
            </w:r>
          </w:p>
          <w:p w14:paraId="63EE4D71" w14:textId="77777777" w:rsidR="000D0918" w:rsidRPr="00426DD6" w:rsidRDefault="000D0918" w:rsidP="00426DD6">
            <w:pPr>
              <w:spacing w:after="120"/>
              <w:ind w:firstLine="316"/>
              <w:jc w:val="both"/>
              <w:rPr>
                <w:b/>
                <w:bCs/>
                <w:szCs w:val="28"/>
              </w:rPr>
            </w:pPr>
          </w:p>
        </w:tc>
        <w:tc>
          <w:tcPr>
            <w:tcW w:w="1244" w:type="pct"/>
          </w:tcPr>
          <w:p w14:paraId="481DD452" w14:textId="77777777" w:rsidR="000D0918" w:rsidRPr="000D0918" w:rsidRDefault="000D0918" w:rsidP="00CD207F">
            <w:pPr>
              <w:spacing w:before="0"/>
              <w:ind w:firstLine="174"/>
              <w:jc w:val="both"/>
            </w:pPr>
          </w:p>
        </w:tc>
      </w:tr>
    </w:tbl>
    <w:p w14:paraId="4603B803" w14:textId="77777777" w:rsidR="00A43574" w:rsidRPr="000D0918" w:rsidRDefault="00A43574" w:rsidP="00A43574"/>
    <w:p w14:paraId="057BDAD7" w14:textId="77777777" w:rsidR="006A78DE" w:rsidRPr="000D0918" w:rsidRDefault="006A78DE"/>
    <w:sectPr w:rsidR="006A78DE" w:rsidRPr="000D0918" w:rsidSect="005406D9">
      <w:headerReference w:type="default" r:id="rId9"/>
      <w:pgSz w:w="16841" w:h="11906" w:orient="landscape" w:code="9"/>
      <w:pgMar w:top="1021" w:right="964" w:bottom="851" w:left="96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1CFDE" w14:textId="77777777" w:rsidR="0041647B" w:rsidRDefault="0041647B">
      <w:pPr>
        <w:spacing w:before="0"/>
      </w:pPr>
      <w:r>
        <w:separator/>
      </w:r>
    </w:p>
  </w:endnote>
  <w:endnote w:type="continuationSeparator" w:id="0">
    <w:p w14:paraId="53D63B60" w14:textId="77777777" w:rsidR="0041647B" w:rsidRDefault="004164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DF67C" w14:textId="77777777" w:rsidR="0041647B" w:rsidRDefault="0041647B">
      <w:pPr>
        <w:spacing w:before="0"/>
      </w:pPr>
      <w:r>
        <w:separator/>
      </w:r>
    </w:p>
  </w:footnote>
  <w:footnote w:type="continuationSeparator" w:id="0">
    <w:p w14:paraId="63B5F206" w14:textId="77777777" w:rsidR="0041647B" w:rsidRDefault="0041647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423480"/>
    </w:sdtPr>
    <w:sdtEndPr>
      <w:rPr>
        <w:sz w:val="26"/>
        <w:szCs w:val="26"/>
      </w:rPr>
    </w:sdtEndPr>
    <w:sdtContent>
      <w:p w14:paraId="057BDADA" w14:textId="6D305BA1" w:rsidR="006A78DE" w:rsidRDefault="006D6C25">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FA1414">
          <w:rPr>
            <w:noProof/>
            <w:sz w:val="26"/>
            <w:szCs w:val="26"/>
          </w:rPr>
          <w:t>2</w:t>
        </w:r>
        <w:r>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4B6416"/>
    <w:multiLevelType w:val="multilevel"/>
    <w:tmpl w:val="7E4B6416"/>
    <w:lvl w:ilvl="0">
      <w:start w:val="1"/>
      <w:numFmt w:val="decimal"/>
      <w:pStyle w:val="dieu"/>
      <w:suff w:val="nothing"/>
      <w:lvlText w:val="Điều %1."/>
      <w:lvlJc w:val="left"/>
      <w:pPr>
        <w:ind w:left="360" w:hanging="360"/>
      </w:pPr>
      <w:rPr>
        <w:rFonts w:cs="Times New Roman"/>
        <w:b/>
        <w:bCs/>
        <w:i w:val="0"/>
        <w:iCs w:val="0"/>
        <w:caps w:val="0"/>
        <w:smallCaps w:val="0"/>
        <w:strike w:val="0"/>
        <w:dstrike w:val="0"/>
        <w:vanish w:val="0"/>
        <w:color w:val="000000"/>
        <w:spacing w:val="0"/>
        <w:kern w:val="0"/>
        <w:position w:val="0"/>
        <w:u w:val="none"/>
        <w:vertAlign w:val="baseline"/>
      </w:rPr>
    </w:lvl>
    <w:lvl w:ilvl="1">
      <w:start w:val="1"/>
      <w:numFmt w:val="decimal"/>
      <w:suff w:val="space"/>
      <w:lvlText w:val="%2."/>
      <w:lvlJc w:val="left"/>
      <w:pPr>
        <w:ind w:left="1260" w:hanging="360"/>
      </w:pPr>
      <w:rPr>
        <w:rFonts w:cs="Times New Roman" w:hint="default"/>
        <w:i w:val="0"/>
        <w:iCs w:val="0"/>
      </w:rPr>
    </w:lvl>
    <w:lvl w:ilvl="2">
      <w:start w:val="1"/>
      <w:numFmt w:val="lowerLetter"/>
      <w:suff w:val="space"/>
      <w:lvlText w:val="%3)"/>
      <w:lvlJc w:val="left"/>
      <w:pPr>
        <w:ind w:left="967" w:hanging="825"/>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AD"/>
    <w:rsid w:val="00017AFB"/>
    <w:rsid w:val="00027A58"/>
    <w:rsid w:val="00032093"/>
    <w:rsid w:val="00041F6B"/>
    <w:rsid w:val="00043F6B"/>
    <w:rsid w:val="00085148"/>
    <w:rsid w:val="000868BF"/>
    <w:rsid w:val="000876CC"/>
    <w:rsid w:val="00096B5C"/>
    <w:rsid w:val="000A087B"/>
    <w:rsid w:val="000A4F65"/>
    <w:rsid w:val="000A6965"/>
    <w:rsid w:val="000C5B90"/>
    <w:rsid w:val="000D0918"/>
    <w:rsid w:val="000D3E61"/>
    <w:rsid w:val="000D4FA7"/>
    <w:rsid w:val="000E3C58"/>
    <w:rsid w:val="00100E67"/>
    <w:rsid w:val="0010554E"/>
    <w:rsid w:val="00106383"/>
    <w:rsid w:val="001102DA"/>
    <w:rsid w:val="00122799"/>
    <w:rsid w:val="00136F68"/>
    <w:rsid w:val="00152BC7"/>
    <w:rsid w:val="00157095"/>
    <w:rsid w:val="00160035"/>
    <w:rsid w:val="00163B36"/>
    <w:rsid w:val="00180BF1"/>
    <w:rsid w:val="0018172B"/>
    <w:rsid w:val="0018241D"/>
    <w:rsid w:val="0019720A"/>
    <w:rsid w:val="001A6DD3"/>
    <w:rsid w:val="001B55D9"/>
    <w:rsid w:val="001C0677"/>
    <w:rsid w:val="001C7BC0"/>
    <w:rsid w:val="001E5382"/>
    <w:rsid w:val="001F4017"/>
    <w:rsid w:val="002145D1"/>
    <w:rsid w:val="0022161F"/>
    <w:rsid w:val="002301B9"/>
    <w:rsid w:val="0023713C"/>
    <w:rsid w:val="00251087"/>
    <w:rsid w:val="00255441"/>
    <w:rsid w:val="00270E96"/>
    <w:rsid w:val="00283D20"/>
    <w:rsid w:val="002860C3"/>
    <w:rsid w:val="00292F59"/>
    <w:rsid w:val="002940E8"/>
    <w:rsid w:val="00296FC1"/>
    <w:rsid w:val="002A12E6"/>
    <w:rsid w:val="002B0FA0"/>
    <w:rsid w:val="002C330F"/>
    <w:rsid w:val="002D1795"/>
    <w:rsid w:val="002D1977"/>
    <w:rsid w:val="002D275E"/>
    <w:rsid w:val="002D518A"/>
    <w:rsid w:val="00305F90"/>
    <w:rsid w:val="00357974"/>
    <w:rsid w:val="00357D2B"/>
    <w:rsid w:val="003641D1"/>
    <w:rsid w:val="0036752F"/>
    <w:rsid w:val="0037411D"/>
    <w:rsid w:val="003743BF"/>
    <w:rsid w:val="00377096"/>
    <w:rsid w:val="0038138B"/>
    <w:rsid w:val="00395E0E"/>
    <w:rsid w:val="003A1711"/>
    <w:rsid w:val="003A3B62"/>
    <w:rsid w:val="003A65B7"/>
    <w:rsid w:val="003B6F50"/>
    <w:rsid w:val="003D3155"/>
    <w:rsid w:val="003D53CC"/>
    <w:rsid w:val="003D55D6"/>
    <w:rsid w:val="003D6154"/>
    <w:rsid w:val="003D66EB"/>
    <w:rsid w:val="003D7D07"/>
    <w:rsid w:val="003F5CC3"/>
    <w:rsid w:val="003F777D"/>
    <w:rsid w:val="00407A86"/>
    <w:rsid w:val="0041647B"/>
    <w:rsid w:val="00417391"/>
    <w:rsid w:val="00422548"/>
    <w:rsid w:val="00426DD6"/>
    <w:rsid w:val="004332AE"/>
    <w:rsid w:val="004377F6"/>
    <w:rsid w:val="004441EE"/>
    <w:rsid w:val="0045533A"/>
    <w:rsid w:val="00457D59"/>
    <w:rsid w:val="0046389A"/>
    <w:rsid w:val="00464794"/>
    <w:rsid w:val="00465AD7"/>
    <w:rsid w:val="004719C5"/>
    <w:rsid w:val="004829E2"/>
    <w:rsid w:val="004869C1"/>
    <w:rsid w:val="004A6315"/>
    <w:rsid w:val="004A6D2F"/>
    <w:rsid w:val="004A6D46"/>
    <w:rsid w:val="004C51E0"/>
    <w:rsid w:val="004D081D"/>
    <w:rsid w:val="004D0C0D"/>
    <w:rsid w:val="004D4A8F"/>
    <w:rsid w:val="004D65C1"/>
    <w:rsid w:val="004E792F"/>
    <w:rsid w:val="00505717"/>
    <w:rsid w:val="00505EF4"/>
    <w:rsid w:val="00506189"/>
    <w:rsid w:val="0051385E"/>
    <w:rsid w:val="00517EA5"/>
    <w:rsid w:val="00526CF0"/>
    <w:rsid w:val="005319DC"/>
    <w:rsid w:val="005406D9"/>
    <w:rsid w:val="00540F18"/>
    <w:rsid w:val="0055266F"/>
    <w:rsid w:val="00561E96"/>
    <w:rsid w:val="00572E6C"/>
    <w:rsid w:val="005B6671"/>
    <w:rsid w:val="005C2047"/>
    <w:rsid w:val="005D2BFB"/>
    <w:rsid w:val="005D6E8B"/>
    <w:rsid w:val="005E207F"/>
    <w:rsid w:val="005F29AC"/>
    <w:rsid w:val="005F7B07"/>
    <w:rsid w:val="006074FD"/>
    <w:rsid w:val="00616ADE"/>
    <w:rsid w:val="0063734E"/>
    <w:rsid w:val="00644EBA"/>
    <w:rsid w:val="00647701"/>
    <w:rsid w:val="0067035E"/>
    <w:rsid w:val="0068791F"/>
    <w:rsid w:val="006917DC"/>
    <w:rsid w:val="006A2275"/>
    <w:rsid w:val="006A768E"/>
    <w:rsid w:val="006A78DE"/>
    <w:rsid w:val="006B36F0"/>
    <w:rsid w:val="006B4815"/>
    <w:rsid w:val="006C794F"/>
    <w:rsid w:val="006D262F"/>
    <w:rsid w:val="006D6781"/>
    <w:rsid w:val="006D6C25"/>
    <w:rsid w:val="006E33D8"/>
    <w:rsid w:val="006E4BA9"/>
    <w:rsid w:val="006F217F"/>
    <w:rsid w:val="007026DC"/>
    <w:rsid w:val="00707A8D"/>
    <w:rsid w:val="00716577"/>
    <w:rsid w:val="0074342C"/>
    <w:rsid w:val="00754457"/>
    <w:rsid w:val="00766F59"/>
    <w:rsid w:val="00774EF0"/>
    <w:rsid w:val="0079020F"/>
    <w:rsid w:val="0079240F"/>
    <w:rsid w:val="007B3269"/>
    <w:rsid w:val="007B543A"/>
    <w:rsid w:val="007C0918"/>
    <w:rsid w:val="007C58D0"/>
    <w:rsid w:val="007D058A"/>
    <w:rsid w:val="007D32BA"/>
    <w:rsid w:val="007D5158"/>
    <w:rsid w:val="007F2002"/>
    <w:rsid w:val="00803B29"/>
    <w:rsid w:val="00803CAE"/>
    <w:rsid w:val="00820DB0"/>
    <w:rsid w:val="00832FE3"/>
    <w:rsid w:val="00835977"/>
    <w:rsid w:val="00853D33"/>
    <w:rsid w:val="00854BEE"/>
    <w:rsid w:val="0085649B"/>
    <w:rsid w:val="00862362"/>
    <w:rsid w:val="00863EF5"/>
    <w:rsid w:val="00864D02"/>
    <w:rsid w:val="00870054"/>
    <w:rsid w:val="00870D76"/>
    <w:rsid w:val="008821EF"/>
    <w:rsid w:val="00882485"/>
    <w:rsid w:val="00884171"/>
    <w:rsid w:val="008A346C"/>
    <w:rsid w:val="008C7411"/>
    <w:rsid w:val="008E2609"/>
    <w:rsid w:val="008F504E"/>
    <w:rsid w:val="0091320D"/>
    <w:rsid w:val="00915262"/>
    <w:rsid w:val="00915EA4"/>
    <w:rsid w:val="00921E9B"/>
    <w:rsid w:val="009251E6"/>
    <w:rsid w:val="00927E1A"/>
    <w:rsid w:val="00945AC4"/>
    <w:rsid w:val="00983BC7"/>
    <w:rsid w:val="00985A7E"/>
    <w:rsid w:val="009876E9"/>
    <w:rsid w:val="00994AD3"/>
    <w:rsid w:val="009A088C"/>
    <w:rsid w:val="009A1435"/>
    <w:rsid w:val="009C5986"/>
    <w:rsid w:val="009E333A"/>
    <w:rsid w:val="00A02341"/>
    <w:rsid w:val="00A0340F"/>
    <w:rsid w:val="00A1651D"/>
    <w:rsid w:val="00A20E75"/>
    <w:rsid w:val="00A23C5E"/>
    <w:rsid w:val="00A37717"/>
    <w:rsid w:val="00A43574"/>
    <w:rsid w:val="00A47D97"/>
    <w:rsid w:val="00A5600D"/>
    <w:rsid w:val="00A57529"/>
    <w:rsid w:val="00A6137E"/>
    <w:rsid w:val="00A722ED"/>
    <w:rsid w:val="00A82DD5"/>
    <w:rsid w:val="00A85575"/>
    <w:rsid w:val="00AA1311"/>
    <w:rsid w:val="00AB5345"/>
    <w:rsid w:val="00AB6907"/>
    <w:rsid w:val="00AC1F2F"/>
    <w:rsid w:val="00AC2FFA"/>
    <w:rsid w:val="00AC33F5"/>
    <w:rsid w:val="00AD073C"/>
    <w:rsid w:val="00AD2DF4"/>
    <w:rsid w:val="00AD623D"/>
    <w:rsid w:val="00AE774C"/>
    <w:rsid w:val="00AF5C1D"/>
    <w:rsid w:val="00B07ACA"/>
    <w:rsid w:val="00B15B88"/>
    <w:rsid w:val="00B1721E"/>
    <w:rsid w:val="00B3104C"/>
    <w:rsid w:val="00B31D11"/>
    <w:rsid w:val="00B33998"/>
    <w:rsid w:val="00B36F95"/>
    <w:rsid w:val="00B41CFF"/>
    <w:rsid w:val="00B44C14"/>
    <w:rsid w:val="00B55503"/>
    <w:rsid w:val="00B60547"/>
    <w:rsid w:val="00B64BAB"/>
    <w:rsid w:val="00B66BAE"/>
    <w:rsid w:val="00B70A1C"/>
    <w:rsid w:val="00B75628"/>
    <w:rsid w:val="00B81571"/>
    <w:rsid w:val="00B8188A"/>
    <w:rsid w:val="00B859E9"/>
    <w:rsid w:val="00BD3E6A"/>
    <w:rsid w:val="00BF0C96"/>
    <w:rsid w:val="00C06BC9"/>
    <w:rsid w:val="00C1087E"/>
    <w:rsid w:val="00C13246"/>
    <w:rsid w:val="00C17523"/>
    <w:rsid w:val="00C24344"/>
    <w:rsid w:val="00C303A0"/>
    <w:rsid w:val="00C43775"/>
    <w:rsid w:val="00C516A5"/>
    <w:rsid w:val="00C51943"/>
    <w:rsid w:val="00C561A9"/>
    <w:rsid w:val="00C80F08"/>
    <w:rsid w:val="00C82B38"/>
    <w:rsid w:val="00C84DDD"/>
    <w:rsid w:val="00C87162"/>
    <w:rsid w:val="00C915BD"/>
    <w:rsid w:val="00CA2CF8"/>
    <w:rsid w:val="00CB0589"/>
    <w:rsid w:val="00CC487F"/>
    <w:rsid w:val="00CD207F"/>
    <w:rsid w:val="00CD31CA"/>
    <w:rsid w:val="00CE4410"/>
    <w:rsid w:val="00CF3A8F"/>
    <w:rsid w:val="00D03AF0"/>
    <w:rsid w:val="00D136DB"/>
    <w:rsid w:val="00D16A28"/>
    <w:rsid w:val="00D216D8"/>
    <w:rsid w:val="00D25469"/>
    <w:rsid w:val="00D30C2B"/>
    <w:rsid w:val="00D3670A"/>
    <w:rsid w:val="00D41D50"/>
    <w:rsid w:val="00D42063"/>
    <w:rsid w:val="00D449A9"/>
    <w:rsid w:val="00D761C7"/>
    <w:rsid w:val="00D81531"/>
    <w:rsid w:val="00D8509E"/>
    <w:rsid w:val="00DA3EFB"/>
    <w:rsid w:val="00DA4786"/>
    <w:rsid w:val="00DB0B09"/>
    <w:rsid w:val="00DC0949"/>
    <w:rsid w:val="00DC0E18"/>
    <w:rsid w:val="00DD69F6"/>
    <w:rsid w:val="00DF3833"/>
    <w:rsid w:val="00DF468A"/>
    <w:rsid w:val="00E26546"/>
    <w:rsid w:val="00E501E3"/>
    <w:rsid w:val="00E51BD9"/>
    <w:rsid w:val="00E6045F"/>
    <w:rsid w:val="00E834EF"/>
    <w:rsid w:val="00E84CDD"/>
    <w:rsid w:val="00E90275"/>
    <w:rsid w:val="00E913D2"/>
    <w:rsid w:val="00EA4C76"/>
    <w:rsid w:val="00EC5493"/>
    <w:rsid w:val="00EC682E"/>
    <w:rsid w:val="00ED1A89"/>
    <w:rsid w:val="00ED671F"/>
    <w:rsid w:val="00ED6D33"/>
    <w:rsid w:val="00EF3AE0"/>
    <w:rsid w:val="00F0030D"/>
    <w:rsid w:val="00F01767"/>
    <w:rsid w:val="00F0423B"/>
    <w:rsid w:val="00F24885"/>
    <w:rsid w:val="00F27C26"/>
    <w:rsid w:val="00F33F0D"/>
    <w:rsid w:val="00F3441A"/>
    <w:rsid w:val="00F36DD8"/>
    <w:rsid w:val="00F5018D"/>
    <w:rsid w:val="00F502FE"/>
    <w:rsid w:val="00F5131A"/>
    <w:rsid w:val="00F656EA"/>
    <w:rsid w:val="00F65D16"/>
    <w:rsid w:val="00F915AD"/>
    <w:rsid w:val="00FA1414"/>
    <w:rsid w:val="00FC0CAC"/>
    <w:rsid w:val="00FF2345"/>
    <w:rsid w:val="00FF785D"/>
    <w:rsid w:val="2D76418B"/>
    <w:rsid w:val="37B214EF"/>
    <w:rsid w:val="4FEF4047"/>
    <w:rsid w:val="50517D4F"/>
    <w:rsid w:val="53255C84"/>
    <w:rsid w:val="6CDB6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D91A"/>
  <w15:docId w15:val="{AC73B44B-5778-4446-A3B1-61D80138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kern w:val="2"/>
      <w:sz w:val="28"/>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before="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before="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pPr>
  </w:style>
  <w:style w:type="paragraph" w:styleId="Header">
    <w:name w:val="header"/>
    <w:basedOn w:val="Normal"/>
    <w:link w:val="HeaderChar"/>
    <w:uiPriority w:val="99"/>
    <w:unhideWhenUsed/>
    <w:pPr>
      <w:tabs>
        <w:tab w:val="center" w:pos="4680"/>
        <w:tab w:val="right" w:pos="9360"/>
      </w:tabs>
      <w:spacing w:before="0"/>
    </w:pPr>
  </w:style>
  <w:style w:type="paragraph" w:styleId="Subtitle">
    <w:name w:val="Subtitle"/>
    <w:basedOn w:val="Normal"/>
    <w:next w:val="Normal"/>
    <w:link w:val="SubtitleChar"/>
    <w:uiPriority w:val="11"/>
    <w:qFormat/>
    <w:pPr>
      <w:spacing w:after="160"/>
    </w:pPr>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before="0"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odyText4">
    <w:name w:val="Body Text4"/>
    <w:basedOn w:val="Normal"/>
    <w:link w:val="Bodytext"/>
    <w:pPr>
      <w:widowControl w:val="0"/>
      <w:shd w:val="clear" w:color="auto" w:fill="FFFFFF"/>
      <w:spacing w:after="120" w:line="379" w:lineRule="exact"/>
      <w:ind w:firstLine="567"/>
      <w:jc w:val="both"/>
    </w:pPr>
    <w:rPr>
      <w:rFonts w:eastAsia="Calibri"/>
      <w:i/>
      <w:iCs/>
      <w:kern w:val="0"/>
      <w:sz w:val="26"/>
      <w:szCs w:val="26"/>
      <w:lang w:eastAsia="en-GB"/>
      <w14:ligatures w14:val="none"/>
    </w:rPr>
  </w:style>
  <w:style w:type="character" w:customStyle="1" w:styleId="Bodytext">
    <w:name w:val="Body text_"/>
    <w:link w:val="BodyText4"/>
    <w:qFormat/>
    <w:rPr>
      <w:rFonts w:eastAsia="Calibri"/>
      <w:i/>
      <w:iCs/>
      <w:kern w:val="0"/>
      <w:sz w:val="26"/>
      <w:szCs w:val="26"/>
      <w:shd w:val="clear" w:color="auto" w:fill="FFFFFF"/>
      <w:lang w:eastAsia="en-GB"/>
      <w14:ligatures w14:val="none"/>
    </w:rPr>
  </w:style>
  <w:style w:type="paragraph" w:customStyle="1" w:styleId="dieu">
    <w:name w:val="dieu"/>
    <w:basedOn w:val="Normal"/>
    <w:uiPriority w:val="99"/>
    <w:qFormat/>
    <w:pPr>
      <w:numPr>
        <w:numId w:val="1"/>
      </w:numPr>
      <w:tabs>
        <w:tab w:val="left" w:pos="900"/>
      </w:tabs>
      <w:spacing w:before="60" w:after="60" w:line="312" w:lineRule="auto"/>
    </w:pPr>
    <w:rPr>
      <w:rFonts w:ascii="Calibri" w:eastAsia="Times New Roman" w:hAnsi="Calibri"/>
      <w:b/>
      <w:kern w:val="0"/>
      <w:szCs w:val="20"/>
      <w:lang w:eastAsia="ko-KR"/>
      <w14:ligatures w14:val="none"/>
    </w:rPr>
  </w:style>
  <w:style w:type="table" w:customStyle="1" w:styleId="2">
    <w:name w:val="2"/>
    <w:basedOn w:val="TableNormal"/>
    <w:pPr>
      <w:jc w:val="both"/>
    </w:pPr>
    <w:rPr>
      <w:rFonts w:eastAsia="Times New Roman"/>
      <w:szCs w:val="28"/>
    </w:rPr>
    <w:tblPr>
      <w:tblInd w:w="0" w:type="dxa"/>
      <w:tblCellMar>
        <w:top w:w="0" w:type="dxa"/>
        <w:left w:w="115" w:type="dxa"/>
        <w:bottom w:w="0" w:type="dxa"/>
        <w:right w:w="115" w:type="dxa"/>
      </w:tblCellMar>
    </w:tblPr>
  </w:style>
  <w:style w:type="character" w:customStyle="1" w:styleId="normal-h">
    <w:name w:val="normal-h"/>
    <w:basedOn w:val="DefaultParagraphFont"/>
  </w:style>
  <w:style w:type="character" w:customStyle="1" w:styleId="fontstyle01">
    <w:name w:val="fontstyle01"/>
    <w:rsid w:val="00A4357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0D0918"/>
    <w:pPr>
      <w:spacing w:before="100" w:beforeAutospacing="1" w:after="100" w:afterAutospacing="1"/>
    </w:pPr>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8251">
      <w:bodyDiv w:val="1"/>
      <w:marLeft w:val="0"/>
      <w:marRight w:val="0"/>
      <w:marTop w:val="0"/>
      <w:marBottom w:val="0"/>
      <w:divBdr>
        <w:top w:val="none" w:sz="0" w:space="0" w:color="auto"/>
        <w:left w:val="none" w:sz="0" w:space="0" w:color="auto"/>
        <w:bottom w:val="none" w:sz="0" w:space="0" w:color="auto"/>
        <w:right w:val="none" w:sz="0" w:space="0" w:color="auto"/>
      </w:divBdr>
      <w:divsChild>
        <w:div w:id="1378317881">
          <w:marLeft w:val="0"/>
          <w:marRight w:val="0"/>
          <w:marTop w:val="0"/>
          <w:marBottom w:val="0"/>
          <w:divBdr>
            <w:top w:val="none" w:sz="0" w:space="0" w:color="auto"/>
            <w:left w:val="none" w:sz="0" w:space="0" w:color="auto"/>
            <w:bottom w:val="none" w:sz="0" w:space="0" w:color="auto"/>
            <w:right w:val="none" w:sz="0" w:space="0" w:color="auto"/>
          </w:divBdr>
        </w:div>
        <w:div w:id="1407532274">
          <w:marLeft w:val="0"/>
          <w:marRight w:val="0"/>
          <w:marTop w:val="0"/>
          <w:marBottom w:val="0"/>
          <w:divBdr>
            <w:top w:val="none" w:sz="0" w:space="0" w:color="auto"/>
            <w:left w:val="none" w:sz="0" w:space="0" w:color="auto"/>
            <w:bottom w:val="none" w:sz="0" w:space="0" w:color="auto"/>
            <w:right w:val="none" w:sz="0" w:space="0" w:color="auto"/>
          </w:divBdr>
          <w:divsChild>
            <w:div w:id="277757845">
              <w:marLeft w:val="0"/>
              <w:marRight w:val="0"/>
              <w:marTop w:val="0"/>
              <w:marBottom w:val="0"/>
              <w:divBdr>
                <w:top w:val="none" w:sz="0" w:space="0" w:color="auto"/>
                <w:left w:val="none" w:sz="0" w:space="0" w:color="auto"/>
                <w:bottom w:val="none" w:sz="0" w:space="0" w:color="auto"/>
                <w:right w:val="none" w:sz="0" w:space="0" w:color="auto"/>
              </w:divBdr>
            </w:div>
          </w:divsChild>
        </w:div>
        <w:div w:id="118651572">
          <w:marLeft w:val="0"/>
          <w:marRight w:val="0"/>
          <w:marTop w:val="0"/>
          <w:marBottom w:val="0"/>
          <w:divBdr>
            <w:top w:val="none" w:sz="0" w:space="0" w:color="auto"/>
            <w:left w:val="none" w:sz="0" w:space="0" w:color="auto"/>
            <w:bottom w:val="none" w:sz="0" w:space="0" w:color="auto"/>
            <w:right w:val="none" w:sz="0" w:space="0" w:color="auto"/>
          </w:divBdr>
          <w:divsChild>
            <w:div w:id="8171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7966">
      <w:bodyDiv w:val="1"/>
      <w:marLeft w:val="0"/>
      <w:marRight w:val="0"/>
      <w:marTop w:val="0"/>
      <w:marBottom w:val="0"/>
      <w:divBdr>
        <w:top w:val="none" w:sz="0" w:space="0" w:color="auto"/>
        <w:left w:val="none" w:sz="0" w:space="0" w:color="auto"/>
        <w:bottom w:val="none" w:sz="0" w:space="0" w:color="auto"/>
        <w:right w:val="none" w:sz="0" w:space="0" w:color="auto"/>
      </w:divBdr>
    </w:div>
    <w:div w:id="287858926">
      <w:bodyDiv w:val="1"/>
      <w:marLeft w:val="0"/>
      <w:marRight w:val="0"/>
      <w:marTop w:val="0"/>
      <w:marBottom w:val="0"/>
      <w:divBdr>
        <w:top w:val="none" w:sz="0" w:space="0" w:color="auto"/>
        <w:left w:val="none" w:sz="0" w:space="0" w:color="auto"/>
        <w:bottom w:val="none" w:sz="0" w:space="0" w:color="auto"/>
        <w:right w:val="none" w:sz="0" w:space="0" w:color="auto"/>
      </w:divBdr>
    </w:div>
    <w:div w:id="323822386">
      <w:bodyDiv w:val="1"/>
      <w:marLeft w:val="0"/>
      <w:marRight w:val="0"/>
      <w:marTop w:val="0"/>
      <w:marBottom w:val="0"/>
      <w:divBdr>
        <w:top w:val="none" w:sz="0" w:space="0" w:color="auto"/>
        <w:left w:val="none" w:sz="0" w:space="0" w:color="auto"/>
        <w:bottom w:val="none" w:sz="0" w:space="0" w:color="auto"/>
        <w:right w:val="none" w:sz="0" w:space="0" w:color="auto"/>
      </w:divBdr>
    </w:div>
    <w:div w:id="816722850">
      <w:bodyDiv w:val="1"/>
      <w:marLeft w:val="0"/>
      <w:marRight w:val="0"/>
      <w:marTop w:val="0"/>
      <w:marBottom w:val="0"/>
      <w:divBdr>
        <w:top w:val="none" w:sz="0" w:space="0" w:color="auto"/>
        <w:left w:val="none" w:sz="0" w:space="0" w:color="auto"/>
        <w:bottom w:val="none" w:sz="0" w:space="0" w:color="auto"/>
        <w:right w:val="none" w:sz="0" w:space="0" w:color="auto"/>
      </w:divBdr>
    </w:div>
    <w:div w:id="841093474">
      <w:bodyDiv w:val="1"/>
      <w:marLeft w:val="0"/>
      <w:marRight w:val="0"/>
      <w:marTop w:val="0"/>
      <w:marBottom w:val="0"/>
      <w:divBdr>
        <w:top w:val="none" w:sz="0" w:space="0" w:color="auto"/>
        <w:left w:val="none" w:sz="0" w:space="0" w:color="auto"/>
        <w:bottom w:val="none" w:sz="0" w:space="0" w:color="auto"/>
        <w:right w:val="none" w:sz="0" w:space="0" w:color="auto"/>
      </w:divBdr>
    </w:div>
    <w:div w:id="1609658168">
      <w:bodyDiv w:val="1"/>
      <w:marLeft w:val="0"/>
      <w:marRight w:val="0"/>
      <w:marTop w:val="0"/>
      <w:marBottom w:val="0"/>
      <w:divBdr>
        <w:top w:val="none" w:sz="0" w:space="0" w:color="auto"/>
        <w:left w:val="none" w:sz="0" w:space="0" w:color="auto"/>
        <w:bottom w:val="none" w:sz="0" w:space="0" w:color="auto"/>
        <w:right w:val="none" w:sz="0" w:space="0" w:color="auto"/>
      </w:divBdr>
    </w:div>
    <w:div w:id="1868450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quyet-201-2025-QH15-thi-diem-co-che-chinh-sach-dac-thu-phat-trien-nha-o-xa-hoi-65899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8CED-07ED-49D1-906B-2707F0CA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Anh TU</dc:creator>
  <cp:lastModifiedBy>DELL</cp:lastModifiedBy>
  <cp:revision>2</cp:revision>
  <dcterms:created xsi:type="dcterms:W3CDTF">2025-10-28T10:00:00Z</dcterms:created>
  <dcterms:modified xsi:type="dcterms:W3CDTF">2025-10-28T10:00:00Z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C581455B8A6441728CF77ACAA60BF669_12</vt:lpwstr>
  </property>
</Properties>
</file>