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ayout w:type="fixed"/>
        <w:tblLook w:val="0000"/>
      </w:tblPr>
      <w:tblGrid>
        <w:gridCol w:w="3960"/>
        <w:gridCol w:w="5760"/>
      </w:tblGrid>
      <w:tr w:rsidR="00464B77" w:rsidRPr="003442D0" w:rsidTr="00A306B2">
        <w:trPr>
          <w:trHeight w:hRule="exact" w:val="1079"/>
        </w:trPr>
        <w:tc>
          <w:tcPr>
            <w:tcW w:w="3960" w:type="dxa"/>
          </w:tcPr>
          <w:p w:rsidR="00464B77" w:rsidRPr="003442D0" w:rsidRDefault="00464B77" w:rsidP="00B41646">
            <w:pPr>
              <w:pStyle w:val="abc"/>
              <w:jc w:val="center"/>
              <w:rPr>
                <w:rFonts w:ascii="Times New Roman" w:hAnsi="Times New Roman"/>
                <w:b/>
                <w:bCs/>
                <w:sz w:val="26"/>
                <w:szCs w:val="26"/>
                <w:lang w:val="fr-FR"/>
              </w:rPr>
            </w:pPr>
            <w:bookmarkStart w:id="0" w:name="_Hlk149638839"/>
            <w:r w:rsidRPr="003442D0">
              <w:rPr>
                <w:rFonts w:ascii="Times New Roman" w:hAnsi="Times New Roman"/>
                <w:b/>
                <w:bCs/>
                <w:sz w:val="26"/>
                <w:szCs w:val="26"/>
                <w:lang w:val="fr-FR"/>
              </w:rPr>
              <w:t>BỘ TÀI CHÍNH</w:t>
            </w:r>
          </w:p>
          <w:p w:rsidR="00464B77" w:rsidRPr="003442D0" w:rsidRDefault="00464B77" w:rsidP="00B41646">
            <w:pPr>
              <w:pStyle w:val="abc"/>
              <w:jc w:val="center"/>
              <w:rPr>
                <w:rFonts w:ascii="Times New Roman" w:hAnsi="Times New Roman"/>
                <w:b/>
                <w:bCs/>
                <w:sz w:val="16"/>
                <w:szCs w:val="16"/>
                <w:vertAlign w:val="superscript"/>
                <w:lang w:val="fr-FR"/>
              </w:rPr>
            </w:pPr>
            <w:r w:rsidRPr="003442D0">
              <w:rPr>
                <w:rFonts w:ascii="Times New Roman" w:hAnsi="Times New Roman"/>
                <w:b/>
                <w:bCs/>
                <w:sz w:val="16"/>
                <w:szCs w:val="16"/>
                <w:vertAlign w:val="superscript"/>
                <w:lang w:val="fr-FR"/>
              </w:rPr>
              <w:t>_________________________</w:t>
            </w:r>
          </w:p>
          <w:p w:rsidR="00464B77" w:rsidRPr="003442D0" w:rsidRDefault="00464B77" w:rsidP="000503A0">
            <w:pPr>
              <w:pStyle w:val="abc"/>
              <w:jc w:val="center"/>
              <w:rPr>
                <w:rFonts w:ascii="Times New Roman" w:hAnsi="Times New Roman"/>
                <w:b/>
                <w:sz w:val="26"/>
                <w:szCs w:val="26"/>
                <w:u w:val="single"/>
                <w:lang w:val="fr-FR"/>
              </w:rPr>
            </w:pPr>
          </w:p>
        </w:tc>
        <w:tc>
          <w:tcPr>
            <w:tcW w:w="5760" w:type="dxa"/>
          </w:tcPr>
          <w:p w:rsidR="00464B77" w:rsidRPr="003442D0" w:rsidRDefault="00464B77" w:rsidP="00B41646">
            <w:pPr>
              <w:pStyle w:val="abc"/>
              <w:ind w:right="-52"/>
              <w:rPr>
                <w:rFonts w:ascii="Times New Roman" w:hAnsi="Times New Roman"/>
                <w:b/>
                <w:bCs/>
                <w:sz w:val="26"/>
                <w:szCs w:val="26"/>
                <w:lang w:val="fr-FR"/>
              </w:rPr>
            </w:pPr>
            <w:r w:rsidRPr="003442D0">
              <w:rPr>
                <w:rFonts w:ascii="Times New Roman" w:hAnsi="Times New Roman"/>
                <w:b/>
                <w:bCs/>
                <w:sz w:val="26"/>
                <w:szCs w:val="26"/>
                <w:lang w:val="fr-FR"/>
              </w:rPr>
              <w:t>CỘNG HOÀ XÃ HỘI CHỦ NGHĨA VIỆT NAM</w:t>
            </w:r>
          </w:p>
          <w:p w:rsidR="00464B77" w:rsidRPr="003442D0" w:rsidRDefault="00464B77" w:rsidP="00B41646">
            <w:pPr>
              <w:pStyle w:val="abc"/>
              <w:jc w:val="center"/>
              <w:rPr>
                <w:rFonts w:ascii="Times New Roman" w:hAnsi="Times New Roman"/>
                <w:b/>
                <w:bCs/>
                <w:sz w:val="28"/>
                <w:szCs w:val="28"/>
              </w:rPr>
            </w:pPr>
            <w:r w:rsidRPr="003442D0">
              <w:rPr>
                <w:rFonts w:ascii="Times New Roman" w:hAnsi="Times New Roman"/>
                <w:b/>
                <w:bCs/>
                <w:sz w:val="28"/>
                <w:szCs w:val="28"/>
              </w:rPr>
              <w:t>Độc lập - Tự do - Hạnh phúc</w:t>
            </w:r>
          </w:p>
          <w:p w:rsidR="00464B77" w:rsidRPr="003442D0" w:rsidRDefault="00464B77" w:rsidP="00B41646">
            <w:pPr>
              <w:pStyle w:val="abc"/>
              <w:jc w:val="center"/>
              <w:rPr>
                <w:rFonts w:ascii="Times New Roman" w:hAnsi="Times New Roman"/>
                <w:b/>
                <w:bCs/>
                <w:sz w:val="16"/>
                <w:szCs w:val="16"/>
                <w:vertAlign w:val="superscript"/>
              </w:rPr>
            </w:pPr>
            <w:r w:rsidRPr="003442D0">
              <w:rPr>
                <w:rFonts w:ascii="Times New Roman" w:hAnsi="Times New Roman"/>
                <w:b/>
                <w:bCs/>
                <w:sz w:val="16"/>
                <w:szCs w:val="16"/>
                <w:vertAlign w:val="superscript"/>
              </w:rPr>
              <w:t>______________________________</w:t>
            </w:r>
            <w:r w:rsidR="003B2EA0" w:rsidRPr="003442D0">
              <w:rPr>
                <w:rFonts w:ascii="Times New Roman" w:hAnsi="Times New Roman"/>
                <w:b/>
                <w:bCs/>
                <w:sz w:val="16"/>
                <w:szCs w:val="16"/>
                <w:vertAlign w:val="superscript"/>
              </w:rPr>
              <w:t>______</w:t>
            </w:r>
            <w:r w:rsidRPr="003442D0">
              <w:rPr>
                <w:rFonts w:ascii="Times New Roman" w:hAnsi="Times New Roman"/>
                <w:b/>
                <w:bCs/>
                <w:sz w:val="16"/>
                <w:szCs w:val="16"/>
                <w:vertAlign w:val="superscript"/>
              </w:rPr>
              <w:t>________________________________</w:t>
            </w:r>
          </w:p>
          <w:p w:rsidR="00464B77" w:rsidRPr="003442D0" w:rsidRDefault="00464B77" w:rsidP="00B41646">
            <w:pPr>
              <w:pStyle w:val="abc"/>
              <w:jc w:val="center"/>
              <w:rPr>
                <w:rFonts w:ascii="Times New Roman" w:hAnsi="Times New Roman"/>
                <w:b/>
                <w:bCs/>
                <w:sz w:val="26"/>
                <w:szCs w:val="26"/>
              </w:rPr>
            </w:pPr>
          </w:p>
          <w:p w:rsidR="00464B77" w:rsidRPr="003442D0" w:rsidRDefault="00464B77" w:rsidP="00B41646">
            <w:pPr>
              <w:pStyle w:val="abc"/>
              <w:jc w:val="center"/>
              <w:rPr>
                <w:rFonts w:ascii="Times New Roman" w:hAnsi="Times New Roman"/>
                <w:b/>
                <w:bCs/>
                <w:sz w:val="26"/>
                <w:szCs w:val="26"/>
              </w:rPr>
            </w:pPr>
          </w:p>
        </w:tc>
      </w:tr>
      <w:tr w:rsidR="00464B77" w:rsidRPr="003442D0" w:rsidTr="00A306B2">
        <w:tc>
          <w:tcPr>
            <w:tcW w:w="3960" w:type="dxa"/>
          </w:tcPr>
          <w:p w:rsidR="00464B77" w:rsidRPr="003442D0" w:rsidRDefault="000503A0" w:rsidP="000503A0">
            <w:pPr>
              <w:pStyle w:val="abc"/>
              <w:jc w:val="center"/>
              <w:rPr>
                <w:rFonts w:ascii="Times New Roman" w:hAnsi="Times New Roman"/>
                <w:sz w:val="26"/>
                <w:szCs w:val="26"/>
                <w:lang w:val="fr-FR"/>
              </w:rPr>
            </w:pPr>
            <w:r w:rsidRPr="003442D0">
              <w:rPr>
                <w:rFonts w:ascii="Times New Roman" w:hAnsi="Times New Roman"/>
                <w:sz w:val="26"/>
                <w:szCs w:val="26"/>
                <w:lang w:val="fr-FR"/>
              </w:rPr>
              <w:t>Số:          /BC-BTC</w:t>
            </w:r>
          </w:p>
        </w:tc>
        <w:tc>
          <w:tcPr>
            <w:tcW w:w="5760" w:type="dxa"/>
          </w:tcPr>
          <w:p w:rsidR="00464B77" w:rsidRPr="003442D0" w:rsidRDefault="00464B77" w:rsidP="0005793B">
            <w:pPr>
              <w:pStyle w:val="abc"/>
              <w:jc w:val="center"/>
              <w:rPr>
                <w:rFonts w:ascii="Times New Roman" w:hAnsi="Times New Roman"/>
                <w:i/>
                <w:sz w:val="26"/>
                <w:szCs w:val="26"/>
              </w:rPr>
            </w:pPr>
            <w:r w:rsidRPr="003442D0">
              <w:rPr>
                <w:rFonts w:ascii="Times New Roman" w:hAnsi="Times New Roman"/>
                <w:i/>
                <w:iCs/>
                <w:sz w:val="26"/>
                <w:szCs w:val="26"/>
              </w:rPr>
              <w:t xml:space="preserve">Hà Nội, ngày     tháng </w:t>
            </w:r>
            <w:r w:rsidR="005D2C11">
              <w:rPr>
                <w:rFonts w:ascii="Times New Roman" w:hAnsi="Times New Roman"/>
                <w:i/>
                <w:iCs/>
                <w:sz w:val="26"/>
                <w:szCs w:val="26"/>
              </w:rPr>
              <w:t xml:space="preserve">   </w:t>
            </w:r>
            <w:r w:rsidRPr="003442D0">
              <w:rPr>
                <w:rFonts w:ascii="Times New Roman" w:hAnsi="Times New Roman"/>
                <w:i/>
                <w:iCs/>
                <w:sz w:val="26"/>
                <w:szCs w:val="26"/>
              </w:rPr>
              <w:t xml:space="preserve"> năm 20</w:t>
            </w:r>
            <w:r w:rsidRPr="003442D0">
              <w:rPr>
                <w:rFonts w:ascii="Times New Roman" w:hAnsi="Times New Roman"/>
                <w:i/>
                <w:iCs/>
                <w:sz w:val="26"/>
                <w:szCs w:val="26"/>
                <w:lang w:val="vi-VN"/>
              </w:rPr>
              <w:t>2</w:t>
            </w:r>
            <w:r w:rsidRPr="003442D0">
              <w:rPr>
                <w:rFonts w:ascii="Times New Roman" w:hAnsi="Times New Roman"/>
                <w:i/>
                <w:iCs/>
                <w:sz w:val="26"/>
                <w:szCs w:val="26"/>
              </w:rPr>
              <w:t>5</w:t>
            </w:r>
          </w:p>
        </w:tc>
      </w:tr>
    </w:tbl>
    <w:p w:rsidR="00464B77" w:rsidRPr="003442D0" w:rsidRDefault="00464B77" w:rsidP="00464B77">
      <w:pPr>
        <w:pStyle w:val="normal-p"/>
        <w:widowControl w:val="0"/>
        <w:jc w:val="center"/>
        <w:rPr>
          <w:b/>
          <w:sz w:val="28"/>
          <w:szCs w:val="28"/>
        </w:rPr>
      </w:pPr>
    </w:p>
    <w:p w:rsidR="00464B77" w:rsidRPr="003442D0" w:rsidRDefault="00464B77" w:rsidP="00464B77">
      <w:pPr>
        <w:pStyle w:val="normal-p"/>
        <w:widowControl w:val="0"/>
        <w:jc w:val="center"/>
        <w:rPr>
          <w:b/>
          <w:sz w:val="28"/>
          <w:szCs w:val="28"/>
          <w:lang w:val="it-IT"/>
        </w:rPr>
      </w:pPr>
    </w:p>
    <w:p w:rsidR="00464B77" w:rsidRPr="003442D0" w:rsidRDefault="00464B77" w:rsidP="00464B77">
      <w:pPr>
        <w:pStyle w:val="normal-p"/>
        <w:widowControl w:val="0"/>
        <w:jc w:val="center"/>
        <w:rPr>
          <w:b/>
          <w:sz w:val="28"/>
          <w:szCs w:val="28"/>
          <w:lang w:val="it-IT"/>
        </w:rPr>
      </w:pPr>
      <w:r w:rsidRPr="003442D0">
        <w:rPr>
          <w:b/>
          <w:sz w:val="28"/>
          <w:szCs w:val="28"/>
          <w:lang w:val="it-IT"/>
        </w:rPr>
        <w:t>BÁO CÁO</w:t>
      </w:r>
    </w:p>
    <w:p w:rsidR="00464B77" w:rsidRPr="003442D0" w:rsidRDefault="00464B77" w:rsidP="00464B77">
      <w:pPr>
        <w:pStyle w:val="normal-p"/>
        <w:widowControl w:val="0"/>
        <w:jc w:val="center"/>
        <w:rPr>
          <w:b/>
          <w:sz w:val="28"/>
          <w:szCs w:val="28"/>
          <w:lang w:val="it-IT"/>
        </w:rPr>
      </w:pPr>
      <w:r w:rsidRPr="003442D0">
        <w:rPr>
          <w:b/>
          <w:sz w:val="28"/>
          <w:szCs w:val="28"/>
          <w:lang w:val="it-IT"/>
        </w:rPr>
        <w:t xml:space="preserve">Về rà soát các chủ trương, đường lối của Đảng, văn bản quy phạm pháp luật, điều ước quốc tế có liên quan đến dự thảo Nghị định của Chính phủ quy định </w:t>
      </w:r>
      <w:r w:rsidR="009779EC" w:rsidRPr="003442D0">
        <w:rPr>
          <w:b/>
          <w:sz w:val="28"/>
          <w:szCs w:val="28"/>
          <w:lang w:val="it-IT"/>
        </w:rPr>
        <w:t>về thanh toán, quyết toán vốn ngân s</w:t>
      </w:r>
      <w:r w:rsidR="00835F34">
        <w:rPr>
          <w:b/>
          <w:sz w:val="28"/>
          <w:szCs w:val="28"/>
          <w:lang w:val="it-IT"/>
        </w:rPr>
        <w:t>ách nhà nước để cấp bù lãi suất</w:t>
      </w:r>
      <w:r w:rsidR="009779EC" w:rsidRPr="003442D0">
        <w:rPr>
          <w:b/>
          <w:sz w:val="28"/>
          <w:szCs w:val="28"/>
          <w:lang w:val="it-IT"/>
        </w:rPr>
        <w:t xml:space="preserve"> </w:t>
      </w:r>
      <w:r w:rsidR="00835F34">
        <w:rPr>
          <w:b/>
          <w:sz w:val="28"/>
          <w:szCs w:val="28"/>
          <w:lang w:val="it-IT"/>
        </w:rPr>
        <w:t>cho</w:t>
      </w:r>
      <w:r w:rsidR="009779EC" w:rsidRPr="003442D0">
        <w:rPr>
          <w:b/>
          <w:sz w:val="28"/>
          <w:szCs w:val="28"/>
          <w:lang w:val="it-IT"/>
        </w:rPr>
        <w:t xml:space="preserve"> các ngân hàng thương mại thực hiện các chính sách tín dụng ưu đãi của </w:t>
      </w:r>
      <w:r w:rsidR="0005793B">
        <w:rPr>
          <w:b/>
          <w:sz w:val="28"/>
          <w:szCs w:val="28"/>
          <w:lang w:val="it-IT"/>
        </w:rPr>
        <w:t>N</w:t>
      </w:r>
      <w:r w:rsidR="009779EC" w:rsidRPr="003442D0">
        <w:rPr>
          <w:b/>
          <w:sz w:val="28"/>
          <w:szCs w:val="28"/>
          <w:lang w:val="it-IT"/>
        </w:rPr>
        <w:t>hà nước</w:t>
      </w:r>
    </w:p>
    <w:p w:rsidR="00464B77" w:rsidRPr="003442D0" w:rsidRDefault="00464B77" w:rsidP="00464B77">
      <w:pPr>
        <w:pStyle w:val="normal-p"/>
        <w:widowControl w:val="0"/>
        <w:jc w:val="center"/>
        <w:rPr>
          <w:b/>
          <w:sz w:val="28"/>
          <w:szCs w:val="28"/>
          <w:vertAlign w:val="superscript"/>
          <w:lang w:val="it-IT"/>
        </w:rPr>
      </w:pPr>
      <w:r w:rsidRPr="003442D0">
        <w:rPr>
          <w:b/>
          <w:sz w:val="28"/>
          <w:szCs w:val="28"/>
          <w:vertAlign w:val="superscript"/>
          <w:lang w:val="it-IT"/>
        </w:rPr>
        <w:t>______________________________</w:t>
      </w:r>
    </w:p>
    <w:p w:rsidR="00464B77" w:rsidRPr="003442D0" w:rsidRDefault="00464B77" w:rsidP="00464B77">
      <w:pPr>
        <w:pStyle w:val="normal-p"/>
        <w:widowControl w:val="0"/>
        <w:jc w:val="center"/>
        <w:rPr>
          <w:rFonts w:eastAsia="MS Mincho"/>
          <w:bCs/>
          <w:spacing w:val="4"/>
          <w:sz w:val="28"/>
          <w:szCs w:val="28"/>
          <w:lang w:val="it-IT" w:eastAsia="ja-JP"/>
        </w:rPr>
      </w:pPr>
    </w:p>
    <w:p w:rsidR="00DB5FBD" w:rsidRPr="003442D0" w:rsidRDefault="00DB5FBD" w:rsidP="00464B77">
      <w:pPr>
        <w:pStyle w:val="normal-p"/>
        <w:widowControl w:val="0"/>
        <w:jc w:val="center"/>
        <w:rPr>
          <w:rFonts w:eastAsia="MS Mincho"/>
          <w:bCs/>
          <w:spacing w:val="4"/>
          <w:sz w:val="28"/>
          <w:szCs w:val="28"/>
          <w:lang w:val="it-IT" w:eastAsia="ja-JP"/>
        </w:rPr>
      </w:pPr>
      <w:r w:rsidRPr="003442D0">
        <w:rPr>
          <w:rFonts w:eastAsia="MS Mincho"/>
          <w:bCs/>
          <w:spacing w:val="4"/>
          <w:sz w:val="28"/>
          <w:szCs w:val="28"/>
          <w:lang w:val="it-IT" w:eastAsia="ja-JP"/>
        </w:rPr>
        <w:t>Kính gửi: Chính phủ</w:t>
      </w:r>
    </w:p>
    <w:p w:rsidR="00DB5FBD" w:rsidRPr="003442D0" w:rsidRDefault="00DB5FBD" w:rsidP="00464B77">
      <w:pPr>
        <w:pStyle w:val="normal-p"/>
        <w:widowControl w:val="0"/>
        <w:jc w:val="center"/>
        <w:rPr>
          <w:rFonts w:eastAsia="MS Mincho"/>
          <w:bCs/>
          <w:spacing w:val="4"/>
          <w:sz w:val="28"/>
          <w:szCs w:val="28"/>
          <w:lang w:val="it-IT" w:eastAsia="ja-JP"/>
        </w:rPr>
      </w:pPr>
    </w:p>
    <w:bookmarkEnd w:id="0"/>
    <w:p w:rsidR="00464B77" w:rsidRPr="003442D0" w:rsidRDefault="00464B77" w:rsidP="00CB3906">
      <w:pPr>
        <w:spacing w:before="120" w:after="120" w:line="320" w:lineRule="exact"/>
        <w:ind w:firstLine="567"/>
        <w:jc w:val="both"/>
        <w:rPr>
          <w:sz w:val="28"/>
          <w:szCs w:val="28"/>
          <w:lang w:val="it-IT"/>
        </w:rPr>
      </w:pPr>
      <w:r w:rsidRPr="003442D0">
        <w:rPr>
          <w:sz w:val="28"/>
          <w:szCs w:val="28"/>
          <w:lang w:val="it-IT"/>
        </w:rPr>
        <w:t>Thực hiện quy định của Luật Ban hành văn bản quy phạm pháp luật</w:t>
      </w:r>
      <w:r w:rsidR="0005793B">
        <w:rPr>
          <w:sz w:val="28"/>
          <w:szCs w:val="28"/>
          <w:lang w:val="it-IT"/>
        </w:rPr>
        <w:t xml:space="preserve"> và các văn bản hướng dẫn</w:t>
      </w:r>
      <w:r w:rsidRPr="003442D0">
        <w:rPr>
          <w:sz w:val="28"/>
          <w:szCs w:val="28"/>
          <w:lang w:val="it-IT"/>
        </w:rPr>
        <w:t xml:space="preserve">, Bộ Tài chính đã tiến hành </w:t>
      </w:r>
      <w:r w:rsidR="00FC2342" w:rsidRPr="003442D0">
        <w:rPr>
          <w:sz w:val="28"/>
          <w:szCs w:val="28"/>
          <w:lang w:val="it-IT"/>
        </w:rPr>
        <w:t xml:space="preserve">rà soát các chủ trương, đường lối của Đảng, văn bản quy phạm pháp luật, điều ước quốc tế có liên quan đến dự thảo Nghị định của Chính phủ quy định </w:t>
      </w:r>
      <w:r w:rsidR="009779EC" w:rsidRPr="003442D0">
        <w:rPr>
          <w:sz w:val="28"/>
          <w:szCs w:val="28"/>
          <w:lang w:val="it-IT"/>
        </w:rPr>
        <w:t>về thanh toán, quyết toán vốn ngân sách nhà nước để cấp bù lãi suấ</w:t>
      </w:r>
      <w:r w:rsidR="00835F34">
        <w:rPr>
          <w:sz w:val="28"/>
          <w:szCs w:val="28"/>
          <w:lang w:val="it-IT"/>
        </w:rPr>
        <w:t>t</w:t>
      </w:r>
      <w:r w:rsidR="009779EC" w:rsidRPr="003442D0">
        <w:rPr>
          <w:sz w:val="28"/>
          <w:szCs w:val="28"/>
          <w:lang w:val="it-IT"/>
        </w:rPr>
        <w:t xml:space="preserve"> </w:t>
      </w:r>
      <w:r w:rsidR="00835F34">
        <w:rPr>
          <w:sz w:val="28"/>
          <w:szCs w:val="28"/>
          <w:lang w:val="it-IT"/>
        </w:rPr>
        <w:t>cho</w:t>
      </w:r>
      <w:r w:rsidR="009779EC" w:rsidRPr="003442D0">
        <w:rPr>
          <w:sz w:val="28"/>
          <w:szCs w:val="28"/>
          <w:lang w:val="it-IT"/>
        </w:rPr>
        <w:t xml:space="preserve"> các ngân hàng thương mại thực hiện các chính sách tín dụng ưu đãi của </w:t>
      </w:r>
      <w:r w:rsidR="001D2667">
        <w:rPr>
          <w:sz w:val="28"/>
          <w:szCs w:val="28"/>
          <w:lang w:val="it-IT"/>
        </w:rPr>
        <w:t>N</w:t>
      </w:r>
      <w:r w:rsidR="009779EC" w:rsidRPr="003442D0">
        <w:rPr>
          <w:sz w:val="28"/>
          <w:szCs w:val="28"/>
          <w:lang w:val="it-IT"/>
        </w:rPr>
        <w:t>hà nước</w:t>
      </w:r>
      <w:r w:rsidR="00FC2342" w:rsidRPr="003442D0">
        <w:rPr>
          <w:sz w:val="28"/>
          <w:szCs w:val="28"/>
          <w:lang w:val="it-IT"/>
        </w:rPr>
        <w:t xml:space="preserve"> (sau đây gọi là dự thảo Nghị định)</w:t>
      </w:r>
      <w:r w:rsidRPr="003442D0">
        <w:rPr>
          <w:sz w:val="28"/>
          <w:szCs w:val="28"/>
          <w:lang w:val="it-IT"/>
        </w:rPr>
        <w:t>. Kết quả</w:t>
      </w:r>
      <w:r w:rsidR="00FC2342" w:rsidRPr="003442D0">
        <w:rPr>
          <w:sz w:val="28"/>
          <w:szCs w:val="28"/>
          <w:lang w:val="it-IT"/>
        </w:rPr>
        <w:t xml:space="preserve"> rà soát</w:t>
      </w:r>
      <w:r w:rsidRPr="003442D0">
        <w:rPr>
          <w:sz w:val="28"/>
          <w:szCs w:val="28"/>
          <w:lang w:val="it-IT"/>
        </w:rPr>
        <w:t xml:space="preserve"> như sau:</w:t>
      </w:r>
    </w:p>
    <w:p w:rsidR="00464B77" w:rsidRPr="003442D0" w:rsidRDefault="00464B77" w:rsidP="00CB3906">
      <w:pPr>
        <w:spacing w:before="120" w:after="120" w:line="320" w:lineRule="exact"/>
        <w:ind w:firstLine="567"/>
        <w:jc w:val="both"/>
        <w:rPr>
          <w:b/>
          <w:sz w:val="26"/>
          <w:szCs w:val="26"/>
          <w:lang w:val="it-IT"/>
        </w:rPr>
      </w:pPr>
      <w:r w:rsidRPr="003442D0">
        <w:rPr>
          <w:b/>
          <w:sz w:val="26"/>
          <w:szCs w:val="26"/>
          <w:lang w:val="it-IT"/>
        </w:rPr>
        <w:t xml:space="preserve">I. </w:t>
      </w:r>
      <w:r w:rsidR="00FC2342" w:rsidRPr="003442D0">
        <w:rPr>
          <w:b/>
          <w:sz w:val="26"/>
          <w:szCs w:val="26"/>
          <w:lang w:val="it-IT"/>
        </w:rPr>
        <w:t>TỔ CHỨC THỰC HIỆN RÀ SOÁT</w:t>
      </w:r>
    </w:p>
    <w:p w:rsidR="00FC2342" w:rsidRPr="003442D0" w:rsidRDefault="00464B77" w:rsidP="00CB3906">
      <w:pPr>
        <w:spacing w:before="120" w:after="120" w:line="320" w:lineRule="exact"/>
        <w:ind w:firstLine="567"/>
        <w:jc w:val="both"/>
        <w:rPr>
          <w:rFonts w:eastAsia="Calibri"/>
          <w:b/>
          <w:sz w:val="28"/>
          <w:szCs w:val="28"/>
          <w:lang w:val="nb-NO"/>
        </w:rPr>
      </w:pPr>
      <w:r w:rsidRPr="003442D0">
        <w:rPr>
          <w:rFonts w:eastAsia="Calibri"/>
          <w:b/>
          <w:sz w:val="28"/>
          <w:szCs w:val="28"/>
          <w:lang w:val="nb-NO"/>
        </w:rPr>
        <w:t xml:space="preserve">1. </w:t>
      </w:r>
      <w:r w:rsidR="00FC2342" w:rsidRPr="003442D0">
        <w:rPr>
          <w:rFonts w:eastAsia="Calibri"/>
          <w:b/>
          <w:sz w:val="28"/>
          <w:szCs w:val="28"/>
          <w:lang w:val="nb-NO"/>
        </w:rPr>
        <w:t>Mục đích, yêu cầu rà soát</w:t>
      </w:r>
    </w:p>
    <w:p w:rsidR="00E07B5F" w:rsidRPr="003442D0" w:rsidRDefault="000A220B" w:rsidP="00CB3906">
      <w:pPr>
        <w:spacing w:before="120" w:after="120" w:line="320" w:lineRule="exact"/>
        <w:ind w:firstLine="567"/>
        <w:jc w:val="both"/>
        <w:rPr>
          <w:sz w:val="28"/>
          <w:szCs w:val="28"/>
        </w:rPr>
      </w:pPr>
      <w:r w:rsidRPr="003442D0">
        <w:rPr>
          <w:sz w:val="28"/>
          <w:szCs w:val="28"/>
        </w:rPr>
        <w:t>a)</w:t>
      </w:r>
      <w:r w:rsidR="00E07B5F" w:rsidRPr="003442D0">
        <w:rPr>
          <w:sz w:val="28"/>
          <w:szCs w:val="28"/>
        </w:rPr>
        <w:t xml:space="preserve"> Mục đích rà soát: </w:t>
      </w:r>
    </w:p>
    <w:p w:rsidR="000A220B" w:rsidRPr="003442D0" w:rsidRDefault="000A220B" w:rsidP="00CB3906">
      <w:pPr>
        <w:spacing w:before="120" w:after="120" w:line="320" w:lineRule="exact"/>
        <w:ind w:firstLine="567"/>
        <w:jc w:val="both"/>
        <w:rPr>
          <w:sz w:val="28"/>
          <w:szCs w:val="28"/>
        </w:rPr>
      </w:pPr>
      <w:r w:rsidRPr="003442D0">
        <w:rPr>
          <w:sz w:val="28"/>
          <w:szCs w:val="28"/>
        </w:rPr>
        <w:t xml:space="preserve">- </w:t>
      </w:r>
      <w:r w:rsidR="00653B07" w:rsidRPr="003442D0">
        <w:rPr>
          <w:sz w:val="28"/>
          <w:szCs w:val="28"/>
        </w:rPr>
        <w:t xml:space="preserve">Nhằm khẩn trương thể chế hóa các chủ trương, đường lối của Đảng; bảo đảm tính tương thích các quy định mới của dự thảo Nghị định với các điều ước quốc tế </w:t>
      </w:r>
      <w:r w:rsidR="009E2448" w:rsidRPr="003442D0">
        <w:rPr>
          <w:sz w:val="28"/>
          <w:szCs w:val="28"/>
        </w:rPr>
        <w:t xml:space="preserve">mà Việt Nam là thành viên </w:t>
      </w:r>
      <w:r w:rsidR="00653B07" w:rsidRPr="003442D0">
        <w:rPr>
          <w:sz w:val="28"/>
          <w:szCs w:val="28"/>
        </w:rPr>
        <w:t>và các văn bản quy phạm pháp luật khác trong hệ thống pháp luật có liên quan</w:t>
      </w:r>
      <w:r w:rsidRPr="003442D0">
        <w:rPr>
          <w:sz w:val="28"/>
          <w:szCs w:val="28"/>
        </w:rPr>
        <w:t>.</w:t>
      </w:r>
    </w:p>
    <w:p w:rsidR="00653B07" w:rsidRPr="003442D0" w:rsidRDefault="000A220B" w:rsidP="00CB3906">
      <w:pPr>
        <w:spacing w:before="120" w:after="120" w:line="320" w:lineRule="exact"/>
        <w:ind w:firstLine="567"/>
        <w:jc w:val="both"/>
        <w:rPr>
          <w:sz w:val="28"/>
          <w:szCs w:val="28"/>
        </w:rPr>
      </w:pPr>
      <w:r w:rsidRPr="003442D0">
        <w:rPr>
          <w:sz w:val="28"/>
          <w:szCs w:val="28"/>
        </w:rPr>
        <w:t>- Kịp thời</w:t>
      </w:r>
      <w:r w:rsidR="00653B07" w:rsidRPr="003442D0">
        <w:rPr>
          <w:sz w:val="28"/>
          <w:szCs w:val="28"/>
        </w:rPr>
        <w:t xml:space="preserve"> phát hiện, xử lý những nội dung chồng chéo hoặc không phù hợp với văn bản quy phạm pháp luật khác, các Điều ước quốc tế </w:t>
      </w:r>
      <w:r w:rsidR="009E2448" w:rsidRPr="003442D0">
        <w:rPr>
          <w:sz w:val="28"/>
          <w:szCs w:val="28"/>
        </w:rPr>
        <w:t xml:space="preserve">để kịp thời điều chỉnh, bổ sung hoặc thay thế, tạo cơ sở pháp lý vững chắc, phục vụ tốt cho công tác quản lý nhà nước </w:t>
      </w:r>
      <w:r w:rsidR="00E07B5F" w:rsidRPr="003442D0">
        <w:rPr>
          <w:sz w:val="28"/>
          <w:szCs w:val="28"/>
        </w:rPr>
        <w:t>đối với</w:t>
      </w:r>
      <w:r w:rsidR="00EC52C8" w:rsidRPr="003442D0">
        <w:rPr>
          <w:sz w:val="28"/>
          <w:szCs w:val="28"/>
        </w:rPr>
        <w:t xml:space="preserve"> việc thanh toán, quyết toán vốn ngân sách nhà nước để cấp bù lãi suấ</w:t>
      </w:r>
      <w:r w:rsidR="00835F34">
        <w:rPr>
          <w:sz w:val="28"/>
          <w:szCs w:val="28"/>
        </w:rPr>
        <w:t>t</w:t>
      </w:r>
      <w:r w:rsidR="00EC52C8" w:rsidRPr="003442D0">
        <w:rPr>
          <w:sz w:val="28"/>
          <w:szCs w:val="28"/>
        </w:rPr>
        <w:t xml:space="preserve"> </w:t>
      </w:r>
      <w:r w:rsidR="00835F34">
        <w:rPr>
          <w:sz w:val="28"/>
          <w:szCs w:val="28"/>
        </w:rPr>
        <w:t>cho</w:t>
      </w:r>
      <w:r w:rsidR="00EC52C8" w:rsidRPr="003442D0">
        <w:rPr>
          <w:sz w:val="28"/>
          <w:szCs w:val="28"/>
        </w:rPr>
        <w:t xml:space="preserve"> các ngân hàng thương mại thực hiện các chính sách tín dụng ưu đãi của nhà nước</w:t>
      </w:r>
      <w:r w:rsidR="00E07B5F" w:rsidRPr="003442D0">
        <w:rPr>
          <w:sz w:val="28"/>
          <w:szCs w:val="28"/>
        </w:rPr>
        <w:t>.</w:t>
      </w:r>
    </w:p>
    <w:p w:rsidR="00E07B5F" w:rsidRPr="003442D0" w:rsidRDefault="000A220B" w:rsidP="00CB3906">
      <w:pPr>
        <w:spacing w:before="120" w:after="120" w:line="320" w:lineRule="exact"/>
        <w:ind w:firstLine="567"/>
        <w:jc w:val="both"/>
        <w:rPr>
          <w:sz w:val="28"/>
          <w:szCs w:val="28"/>
        </w:rPr>
      </w:pPr>
      <w:r w:rsidRPr="003442D0">
        <w:rPr>
          <w:sz w:val="28"/>
          <w:szCs w:val="28"/>
        </w:rPr>
        <w:t>b)</w:t>
      </w:r>
      <w:r w:rsidR="00E07B5F" w:rsidRPr="003442D0">
        <w:rPr>
          <w:sz w:val="28"/>
          <w:szCs w:val="28"/>
        </w:rPr>
        <w:t xml:space="preserve"> Y</w:t>
      </w:r>
      <w:r w:rsidR="00457536" w:rsidRPr="003442D0">
        <w:rPr>
          <w:sz w:val="28"/>
          <w:szCs w:val="28"/>
        </w:rPr>
        <w:t>ê</w:t>
      </w:r>
      <w:r w:rsidR="00E07B5F" w:rsidRPr="003442D0">
        <w:rPr>
          <w:sz w:val="28"/>
          <w:szCs w:val="28"/>
        </w:rPr>
        <w:t>u cầu rà soát:</w:t>
      </w:r>
    </w:p>
    <w:p w:rsidR="00C21C23" w:rsidRPr="003442D0" w:rsidRDefault="00C21C23" w:rsidP="00CB3906">
      <w:pPr>
        <w:spacing w:before="120" w:after="120" w:line="320" w:lineRule="exact"/>
        <w:ind w:firstLine="567"/>
        <w:jc w:val="both"/>
        <w:rPr>
          <w:sz w:val="28"/>
          <w:szCs w:val="28"/>
        </w:rPr>
      </w:pPr>
      <w:r w:rsidRPr="003442D0">
        <w:rPr>
          <w:sz w:val="28"/>
          <w:szCs w:val="28"/>
        </w:rPr>
        <w:t>- Việc rà soát phải toàn diện, khách quan, chính xác, bám sát các định hướng, chỉ đạo tại các văn kiện của Đảng, Nghị quyết của Quốc hội, Chính phủ, đồng thời tuân thủ các cam kết quốc tế, đặc biệt là trong bối cảnh hội nhập kinh tế sâu rộng và phát triển bền vững.</w:t>
      </w:r>
    </w:p>
    <w:p w:rsidR="009E2448" w:rsidRPr="003442D0" w:rsidRDefault="00C21C23" w:rsidP="00CB3906">
      <w:pPr>
        <w:spacing w:before="120" w:after="120" w:line="320" w:lineRule="exact"/>
        <w:ind w:firstLine="567"/>
        <w:jc w:val="both"/>
        <w:rPr>
          <w:sz w:val="28"/>
          <w:szCs w:val="28"/>
        </w:rPr>
      </w:pPr>
      <w:r w:rsidRPr="003442D0">
        <w:rPr>
          <w:sz w:val="28"/>
          <w:szCs w:val="28"/>
        </w:rPr>
        <w:lastRenderedPageBreak/>
        <w:t xml:space="preserve">- </w:t>
      </w:r>
      <w:r w:rsidR="00653B07" w:rsidRPr="003442D0">
        <w:rPr>
          <w:sz w:val="28"/>
          <w:szCs w:val="28"/>
        </w:rPr>
        <w:t>Bảo đảm thực hiện các yêu cầu tại khoản 2 Điều 3 Luật Ban hành văn bản quy phạm pháp luật số 64/2025/QH15, khoản 3 Điều 6 Nghị định số 78/2025/NĐ-CP ngày 01</w:t>
      </w:r>
      <w:r w:rsidR="00BF040E">
        <w:rPr>
          <w:sz w:val="28"/>
          <w:szCs w:val="28"/>
        </w:rPr>
        <w:t>/</w:t>
      </w:r>
      <w:r w:rsidR="00653B07" w:rsidRPr="003442D0">
        <w:rPr>
          <w:sz w:val="28"/>
          <w:szCs w:val="28"/>
        </w:rPr>
        <w:t>4</w:t>
      </w:r>
      <w:r w:rsidR="00BF040E">
        <w:rPr>
          <w:sz w:val="28"/>
          <w:szCs w:val="28"/>
        </w:rPr>
        <w:t>/</w:t>
      </w:r>
      <w:r w:rsidR="00653B07" w:rsidRPr="003442D0">
        <w:rPr>
          <w:sz w:val="28"/>
          <w:szCs w:val="28"/>
        </w:rPr>
        <w:t xml:space="preserve">2025 của Chính phủ quy định chi tiết một số điều và biện pháp để tổ chức, hướng dẫn thi hành Luật Ban hành văn bản quy phạm pháp luật. </w:t>
      </w:r>
    </w:p>
    <w:p w:rsidR="00464B77" w:rsidRPr="003442D0" w:rsidRDefault="00464B77" w:rsidP="00CB3906">
      <w:pPr>
        <w:spacing w:before="120" w:after="120" w:line="320" w:lineRule="exact"/>
        <w:ind w:firstLine="567"/>
        <w:jc w:val="both"/>
        <w:rPr>
          <w:rFonts w:eastAsia="Calibri"/>
          <w:b/>
          <w:i/>
          <w:iCs/>
          <w:sz w:val="28"/>
          <w:szCs w:val="28"/>
          <w:lang w:val="nb-NO"/>
        </w:rPr>
      </w:pPr>
      <w:r w:rsidRPr="003442D0">
        <w:rPr>
          <w:rFonts w:eastAsia="Calibri"/>
          <w:b/>
          <w:sz w:val="28"/>
          <w:szCs w:val="28"/>
          <w:lang w:val="nb-NO"/>
        </w:rPr>
        <w:t xml:space="preserve">2. </w:t>
      </w:r>
      <w:r w:rsidR="00FC2342" w:rsidRPr="003442D0">
        <w:rPr>
          <w:rFonts w:eastAsia="Calibri"/>
          <w:b/>
          <w:sz w:val="28"/>
          <w:szCs w:val="28"/>
          <w:lang w:val="nb-NO"/>
        </w:rPr>
        <w:t>Phạm vi, nội dung, đối tượng rà soát</w:t>
      </w:r>
    </w:p>
    <w:p w:rsidR="00E874FA" w:rsidRPr="003442D0" w:rsidRDefault="00E874FA" w:rsidP="00CB3906">
      <w:pPr>
        <w:spacing w:before="120" w:after="120" w:line="320" w:lineRule="exact"/>
        <w:ind w:firstLine="567"/>
        <w:jc w:val="both"/>
        <w:rPr>
          <w:iCs/>
          <w:sz w:val="28"/>
          <w:szCs w:val="28"/>
        </w:rPr>
      </w:pPr>
      <w:r w:rsidRPr="003442D0">
        <w:rPr>
          <w:iCs/>
          <w:sz w:val="28"/>
          <w:szCs w:val="28"/>
        </w:rPr>
        <w:t xml:space="preserve">a) Phạm </w:t>
      </w:r>
      <w:proofErr w:type="gramStart"/>
      <w:r w:rsidRPr="003442D0">
        <w:rPr>
          <w:iCs/>
          <w:sz w:val="28"/>
          <w:szCs w:val="28"/>
        </w:rPr>
        <w:t>vi</w:t>
      </w:r>
      <w:proofErr w:type="gramEnd"/>
      <w:r w:rsidRPr="003442D0">
        <w:rPr>
          <w:iCs/>
          <w:sz w:val="28"/>
          <w:szCs w:val="28"/>
        </w:rPr>
        <w:t xml:space="preserve"> rà soát:</w:t>
      </w:r>
    </w:p>
    <w:p w:rsidR="00DF4CE0" w:rsidRDefault="00C21C23" w:rsidP="00CB3906">
      <w:pPr>
        <w:spacing w:before="120" w:after="120" w:line="320" w:lineRule="exact"/>
        <w:ind w:firstLine="567"/>
        <w:jc w:val="both"/>
        <w:rPr>
          <w:iCs/>
          <w:sz w:val="28"/>
          <w:szCs w:val="28"/>
        </w:rPr>
      </w:pPr>
      <w:r w:rsidRPr="003442D0">
        <w:rPr>
          <w:iCs/>
          <w:sz w:val="28"/>
          <w:szCs w:val="28"/>
        </w:rPr>
        <w:t>- Các Nghị quyết của Bộ Chính trị</w:t>
      </w:r>
      <w:r w:rsidR="00BF040E">
        <w:rPr>
          <w:iCs/>
          <w:sz w:val="28"/>
          <w:szCs w:val="28"/>
        </w:rPr>
        <w:t xml:space="preserve"> (</w:t>
      </w:r>
      <w:r w:rsidR="00DF4CE0" w:rsidRPr="003442D0">
        <w:rPr>
          <w:spacing w:val="-6"/>
          <w:sz w:val="28"/>
          <w:szCs w:val="28"/>
        </w:rPr>
        <w:t>Nghị quyết số 66-NQ/TW ngày 30</w:t>
      </w:r>
      <w:r w:rsidR="00DF4CE0">
        <w:rPr>
          <w:spacing w:val="-6"/>
          <w:sz w:val="28"/>
          <w:szCs w:val="28"/>
        </w:rPr>
        <w:t>/</w:t>
      </w:r>
      <w:r w:rsidR="00DF4CE0" w:rsidRPr="003442D0">
        <w:rPr>
          <w:spacing w:val="-6"/>
          <w:sz w:val="28"/>
          <w:szCs w:val="28"/>
        </w:rPr>
        <w:t>4</w:t>
      </w:r>
      <w:r w:rsidR="00DF4CE0">
        <w:rPr>
          <w:spacing w:val="-6"/>
          <w:sz w:val="28"/>
          <w:szCs w:val="28"/>
        </w:rPr>
        <w:t>/</w:t>
      </w:r>
      <w:r w:rsidR="00DF4CE0" w:rsidRPr="003442D0">
        <w:rPr>
          <w:spacing w:val="-6"/>
          <w:sz w:val="28"/>
          <w:szCs w:val="28"/>
        </w:rPr>
        <w:t>2025</w:t>
      </w:r>
      <w:r w:rsidR="00DF4CE0">
        <w:rPr>
          <w:spacing w:val="-6"/>
          <w:sz w:val="28"/>
          <w:szCs w:val="28"/>
        </w:rPr>
        <w:t xml:space="preserve">, </w:t>
      </w:r>
      <w:r w:rsidR="00DF4CE0" w:rsidRPr="003442D0">
        <w:rPr>
          <w:sz w:val="28"/>
          <w:szCs w:val="28"/>
        </w:rPr>
        <w:t>Nghị quyết số</w:t>
      </w:r>
      <w:r w:rsidR="00DF4CE0">
        <w:rPr>
          <w:sz w:val="28"/>
          <w:szCs w:val="28"/>
        </w:rPr>
        <w:t xml:space="preserve"> 68-NQ/TW ngày 04/5/</w:t>
      </w:r>
      <w:r w:rsidR="00DF4CE0" w:rsidRPr="003442D0">
        <w:rPr>
          <w:sz w:val="28"/>
          <w:szCs w:val="28"/>
        </w:rPr>
        <w:t>2025</w:t>
      </w:r>
      <w:r w:rsidRPr="003442D0">
        <w:rPr>
          <w:iCs/>
          <w:sz w:val="28"/>
          <w:szCs w:val="28"/>
        </w:rPr>
        <w:t>,</w:t>
      </w:r>
      <w:r w:rsidR="00DF4CE0">
        <w:rPr>
          <w:iCs/>
          <w:sz w:val="28"/>
          <w:szCs w:val="28"/>
        </w:rPr>
        <w:t xml:space="preserve"> </w:t>
      </w:r>
      <w:r w:rsidR="00DF4CE0" w:rsidRPr="003442D0">
        <w:rPr>
          <w:sz w:val="28"/>
          <w:szCs w:val="28"/>
        </w:rPr>
        <w:t>Nghị quyết số 19-NQ/TW ngày 16/6/2022</w:t>
      </w:r>
      <w:r w:rsidR="00DF4CE0">
        <w:rPr>
          <w:sz w:val="28"/>
          <w:szCs w:val="28"/>
        </w:rPr>
        <w:t>,</w:t>
      </w:r>
      <w:r w:rsidR="00DF4CE0" w:rsidRPr="00DF4CE0">
        <w:rPr>
          <w:sz w:val="28"/>
          <w:szCs w:val="28"/>
        </w:rPr>
        <w:t xml:space="preserve"> </w:t>
      </w:r>
      <w:r w:rsidR="00DF4CE0" w:rsidRPr="003442D0">
        <w:rPr>
          <w:sz w:val="28"/>
          <w:szCs w:val="28"/>
        </w:rPr>
        <w:t>Nghị quyết số</w:t>
      </w:r>
      <w:r w:rsidR="00DF4CE0">
        <w:rPr>
          <w:sz w:val="28"/>
          <w:szCs w:val="28"/>
        </w:rPr>
        <w:t xml:space="preserve"> 26-NQ/TW ngày 05/8/2008</w:t>
      </w:r>
      <w:r w:rsidR="00DF4CE0">
        <w:rPr>
          <w:iCs/>
          <w:sz w:val="28"/>
          <w:szCs w:val="28"/>
        </w:rPr>
        <w:t>),</w:t>
      </w:r>
      <w:r w:rsidRPr="003442D0">
        <w:rPr>
          <w:iCs/>
          <w:sz w:val="28"/>
          <w:szCs w:val="28"/>
        </w:rPr>
        <w:t xml:space="preserve"> </w:t>
      </w:r>
      <w:r w:rsidR="00DF4CE0">
        <w:rPr>
          <w:iCs/>
          <w:sz w:val="28"/>
          <w:szCs w:val="28"/>
        </w:rPr>
        <w:t>Quy định của Bộ Chính trị (</w:t>
      </w:r>
      <w:r w:rsidR="00DF4CE0" w:rsidRPr="003442D0">
        <w:rPr>
          <w:rFonts w:eastAsia="Calibri"/>
          <w:sz w:val="28"/>
          <w:szCs w:val="28"/>
          <w:lang w:val="nl-NL"/>
        </w:rPr>
        <w:t>Quy định số 178-QĐ/TW ngày 27</w:t>
      </w:r>
      <w:r w:rsidR="00DF4CE0">
        <w:rPr>
          <w:rFonts w:eastAsia="Calibri"/>
          <w:sz w:val="28"/>
          <w:szCs w:val="28"/>
          <w:lang w:val="nl-NL"/>
        </w:rPr>
        <w:t>/</w:t>
      </w:r>
      <w:r w:rsidR="00DF4CE0" w:rsidRPr="003442D0">
        <w:rPr>
          <w:rFonts w:eastAsia="Calibri"/>
          <w:sz w:val="28"/>
          <w:szCs w:val="28"/>
          <w:lang w:val="nl-NL"/>
        </w:rPr>
        <w:t>6</w:t>
      </w:r>
      <w:r w:rsidR="00DF4CE0">
        <w:rPr>
          <w:rFonts w:eastAsia="Calibri"/>
          <w:sz w:val="28"/>
          <w:szCs w:val="28"/>
          <w:lang w:val="nl-NL"/>
        </w:rPr>
        <w:t>/</w:t>
      </w:r>
      <w:r w:rsidR="00DF4CE0" w:rsidRPr="003442D0">
        <w:rPr>
          <w:rFonts w:eastAsia="Calibri"/>
          <w:sz w:val="28"/>
          <w:szCs w:val="28"/>
          <w:lang w:val="nl-NL"/>
        </w:rPr>
        <w:t>2024</w:t>
      </w:r>
      <w:r w:rsidR="00DF4CE0">
        <w:rPr>
          <w:rFonts w:eastAsia="Calibri"/>
          <w:sz w:val="28"/>
          <w:szCs w:val="28"/>
          <w:lang w:val="nl-NL"/>
        </w:rPr>
        <w:t>),</w:t>
      </w:r>
      <w:r w:rsidR="00DF4CE0" w:rsidRPr="003442D0">
        <w:rPr>
          <w:rFonts w:eastAsia="Calibri"/>
          <w:sz w:val="28"/>
          <w:szCs w:val="28"/>
          <w:lang w:val="nl-NL"/>
        </w:rPr>
        <w:t xml:space="preserve"> </w:t>
      </w:r>
      <w:r w:rsidRPr="003442D0">
        <w:rPr>
          <w:iCs/>
          <w:sz w:val="28"/>
          <w:szCs w:val="28"/>
        </w:rPr>
        <w:t>Kết luận của Tổng bí thư</w:t>
      </w:r>
      <w:r w:rsidR="00DF4CE0">
        <w:rPr>
          <w:iCs/>
          <w:sz w:val="28"/>
          <w:szCs w:val="28"/>
        </w:rPr>
        <w:t xml:space="preserve"> (</w:t>
      </w:r>
      <w:r w:rsidR="00DF4CE0" w:rsidRPr="003442D0">
        <w:rPr>
          <w:spacing w:val="-6"/>
          <w:sz w:val="28"/>
          <w:szCs w:val="28"/>
        </w:rPr>
        <w:t xml:space="preserve">Văn bản số </w:t>
      </w:r>
      <w:r w:rsidR="00DF4CE0" w:rsidRPr="003442D0">
        <w:rPr>
          <w:sz w:val="28"/>
          <w:szCs w:val="28"/>
        </w:rPr>
        <w:t>108-KL/VPTW ngày 18</w:t>
      </w:r>
      <w:r w:rsidR="00DF4CE0">
        <w:rPr>
          <w:sz w:val="28"/>
          <w:szCs w:val="28"/>
        </w:rPr>
        <w:t>/</w:t>
      </w:r>
      <w:r w:rsidR="00DF4CE0" w:rsidRPr="003442D0">
        <w:rPr>
          <w:sz w:val="28"/>
          <w:szCs w:val="28"/>
        </w:rPr>
        <w:t>11</w:t>
      </w:r>
      <w:r w:rsidR="00DF4CE0">
        <w:rPr>
          <w:sz w:val="28"/>
          <w:szCs w:val="28"/>
        </w:rPr>
        <w:t>/</w:t>
      </w:r>
      <w:r w:rsidR="00DF4CE0" w:rsidRPr="003442D0">
        <w:rPr>
          <w:sz w:val="28"/>
          <w:szCs w:val="28"/>
        </w:rPr>
        <w:t>2024</w:t>
      </w:r>
      <w:r w:rsidR="00DF4CE0">
        <w:rPr>
          <w:sz w:val="28"/>
          <w:szCs w:val="28"/>
        </w:rPr>
        <w:t>)</w:t>
      </w:r>
      <w:r w:rsidR="00DF4CE0">
        <w:rPr>
          <w:iCs/>
          <w:sz w:val="28"/>
          <w:szCs w:val="28"/>
        </w:rPr>
        <w:t xml:space="preserve"> </w:t>
      </w:r>
      <w:r w:rsidRPr="003442D0">
        <w:rPr>
          <w:iCs/>
          <w:sz w:val="28"/>
          <w:szCs w:val="28"/>
        </w:rPr>
        <w:t>có nêu chủ trương, đường lối, nhiệm vụ, biện pháp quản lý nhà nước có liên quan đến nội dung của dự thảo Nghị định.</w:t>
      </w:r>
    </w:p>
    <w:p w:rsidR="00C21C23" w:rsidRPr="003442D0" w:rsidRDefault="00C21C23" w:rsidP="00CB3906">
      <w:pPr>
        <w:spacing w:before="120" w:after="120" w:line="320" w:lineRule="exact"/>
        <w:ind w:firstLine="567"/>
        <w:jc w:val="both"/>
        <w:rPr>
          <w:iCs/>
          <w:sz w:val="28"/>
          <w:szCs w:val="28"/>
        </w:rPr>
      </w:pPr>
      <w:r w:rsidRPr="003442D0">
        <w:rPr>
          <w:iCs/>
          <w:sz w:val="28"/>
          <w:szCs w:val="28"/>
        </w:rPr>
        <w:t>- Nhóm các Luật, Nghị định chuyên ngành có liên quan đến nội dung dự thảo Nghị định</w:t>
      </w:r>
      <w:r w:rsidR="00DF4CE0">
        <w:rPr>
          <w:iCs/>
          <w:sz w:val="28"/>
          <w:szCs w:val="28"/>
        </w:rPr>
        <w:t>: Luật Ngân sách nhà nước, Luật Đầu tư công, Luật Các tổ chức tín dụng, Nghị định quy định chi tiết thi hành một số điều của Luật Đầu tư công</w:t>
      </w:r>
      <w:r w:rsidRPr="003442D0">
        <w:rPr>
          <w:iCs/>
          <w:sz w:val="28"/>
          <w:szCs w:val="28"/>
        </w:rPr>
        <w:t>.</w:t>
      </w:r>
    </w:p>
    <w:p w:rsidR="00C21C23" w:rsidRPr="003442D0" w:rsidRDefault="00C21C23" w:rsidP="00CB3906">
      <w:pPr>
        <w:spacing w:before="120" w:after="120" w:line="320" w:lineRule="exact"/>
        <w:ind w:firstLine="567"/>
        <w:jc w:val="both"/>
        <w:rPr>
          <w:iCs/>
          <w:sz w:val="28"/>
          <w:szCs w:val="28"/>
        </w:rPr>
      </w:pPr>
      <w:r w:rsidRPr="003442D0">
        <w:rPr>
          <w:iCs/>
          <w:sz w:val="28"/>
          <w:szCs w:val="28"/>
        </w:rPr>
        <w:t>- Các Điều ước quốc tế mà Việt Nam là thành viên có liên quan đến các nội dung tại dự thảo Nghị định.</w:t>
      </w:r>
    </w:p>
    <w:p w:rsidR="00E874FA" w:rsidRPr="003442D0" w:rsidRDefault="00E874FA" w:rsidP="00CB3906">
      <w:pPr>
        <w:spacing w:before="120" w:after="120" w:line="320" w:lineRule="exact"/>
        <w:ind w:firstLine="567"/>
        <w:jc w:val="both"/>
        <w:rPr>
          <w:iCs/>
          <w:sz w:val="28"/>
          <w:szCs w:val="28"/>
        </w:rPr>
      </w:pPr>
      <w:r w:rsidRPr="003442D0">
        <w:rPr>
          <w:iCs/>
          <w:sz w:val="28"/>
          <w:szCs w:val="28"/>
        </w:rPr>
        <w:t>b) Nội dung rà soát:</w:t>
      </w:r>
    </w:p>
    <w:p w:rsidR="00530D3C" w:rsidRPr="003442D0" w:rsidRDefault="00E874FA" w:rsidP="00CB3906">
      <w:pPr>
        <w:spacing w:before="120" w:after="120" w:line="320" w:lineRule="exact"/>
        <w:ind w:firstLine="567"/>
        <w:jc w:val="both"/>
        <w:rPr>
          <w:sz w:val="28"/>
          <w:szCs w:val="28"/>
        </w:rPr>
      </w:pPr>
      <w:r w:rsidRPr="003442D0">
        <w:rPr>
          <w:sz w:val="28"/>
          <w:szCs w:val="28"/>
        </w:rPr>
        <w:t xml:space="preserve">- Rà soát, phát hiện các </w:t>
      </w:r>
      <w:r w:rsidR="00530D3C" w:rsidRPr="003442D0">
        <w:rPr>
          <w:sz w:val="28"/>
          <w:szCs w:val="28"/>
        </w:rPr>
        <w:t xml:space="preserve">nội dung tại dự thảo Nghị định còn mâu thuẫn, chồng chéo so với các </w:t>
      </w:r>
      <w:r w:rsidRPr="003442D0">
        <w:rPr>
          <w:sz w:val="28"/>
          <w:szCs w:val="28"/>
        </w:rPr>
        <w:t xml:space="preserve">quy định pháp luật </w:t>
      </w:r>
      <w:r w:rsidR="00530D3C" w:rsidRPr="003442D0">
        <w:rPr>
          <w:sz w:val="28"/>
          <w:szCs w:val="28"/>
        </w:rPr>
        <w:t>hiện hành về quản lý ngân sách nhà nước, quản lý đầu tư công, ban hành văn bản quy phạm pháp luật và các quy định có liên quan.</w:t>
      </w:r>
    </w:p>
    <w:p w:rsidR="00E874FA" w:rsidRPr="003442D0" w:rsidRDefault="00530D3C" w:rsidP="00CB3906">
      <w:pPr>
        <w:spacing w:before="120" w:after="120" w:line="320" w:lineRule="exact"/>
        <w:ind w:firstLine="567"/>
        <w:jc w:val="both"/>
        <w:rPr>
          <w:sz w:val="28"/>
          <w:szCs w:val="28"/>
        </w:rPr>
      </w:pPr>
      <w:r w:rsidRPr="003442D0">
        <w:rPr>
          <w:sz w:val="28"/>
          <w:szCs w:val="28"/>
        </w:rPr>
        <w:t xml:space="preserve">- </w:t>
      </w:r>
      <w:r w:rsidR="00E874FA" w:rsidRPr="003442D0">
        <w:rPr>
          <w:sz w:val="28"/>
          <w:szCs w:val="28"/>
        </w:rPr>
        <w:t xml:space="preserve">Rà soát, phát hiện các </w:t>
      </w:r>
      <w:r w:rsidRPr="003442D0">
        <w:rPr>
          <w:sz w:val="28"/>
          <w:szCs w:val="28"/>
        </w:rPr>
        <w:t>nội dung dự thảo Nghị định vẫn</w:t>
      </w:r>
      <w:r w:rsidR="00E54595">
        <w:rPr>
          <w:sz w:val="28"/>
          <w:szCs w:val="28"/>
        </w:rPr>
        <w:t xml:space="preserve"> </w:t>
      </w:r>
      <w:r w:rsidR="002257A7" w:rsidRPr="003442D0">
        <w:rPr>
          <w:sz w:val="28"/>
          <w:szCs w:val="28"/>
        </w:rPr>
        <w:t xml:space="preserve">còn </w:t>
      </w:r>
      <w:r w:rsidR="00E874FA" w:rsidRPr="003442D0">
        <w:rPr>
          <w:sz w:val="28"/>
          <w:szCs w:val="28"/>
        </w:rPr>
        <w:t>bất cập, không phù hợp</w:t>
      </w:r>
      <w:r w:rsidR="002257A7" w:rsidRPr="003442D0">
        <w:rPr>
          <w:sz w:val="28"/>
          <w:szCs w:val="28"/>
        </w:rPr>
        <w:t xml:space="preserve">, </w:t>
      </w:r>
      <w:r w:rsidRPr="003442D0">
        <w:rPr>
          <w:sz w:val="28"/>
          <w:szCs w:val="28"/>
        </w:rPr>
        <w:t>như</w:t>
      </w:r>
      <w:r w:rsidR="00E874FA" w:rsidRPr="003442D0">
        <w:rPr>
          <w:sz w:val="28"/>
          <w:szCs w:val="28"/>
        </w:rPr>
        <w:t xml:space="preserve">: </w:t>
      </w:r>
      <w:r w:rsidRPr="003442D0">
        <w:rPr>
          <w:sz w:val="28"/>
          <w:szCs w:val="28"/>
        </w:rPr>
        <w:t>(1) q</w:t>
      </w:r>
      <w:r w:rsidR="00E874FA" w:rsidRPr="003442D0">
        <w:rPr>
          <w:sz w:val="28"/>
          <w:szCs w:val="28"/>
        </w:rPr>
        <w:t>uy định không cụ thể, không rõ ràng, dẫn đến các cách hiểu khác nhau hoặc không thể thực hiện được trên thực tế</w:t>
      </w:r>
      <w:r w:rsidRPr="003442D0">
        <w:rPr>
          <w:sz w:val="28"/>
          <w:szCs w:val="28"/>
        </w:rPr>
        <w:t>; (2) q</w:t>
      </w:r>
      <w:r w:rsidR="00E874FA" w:rsidRPr="003442D0">
        <w:rPr>
          <w:sz w:val="28"/>
          <w:szCs w:val="28"/>
        </w:rPr>
        <w:t>uy định điều kiện, thủ tục hành chính không cần thiết, không đúng quy định pháp luật</w:t>
      </w:r>
      <w:r w:rsidRPr="003442D0">
        <w:rPr>
          <w:sz w:val="28"/>
          <w:szCs w:val="28"/>
        </w:rPr>
        <w:t>; (3) m</w:t>
      </w:r>
      <w:r w:rsidR="00E874FA" w:rsidRPr="003442D0">
        <w:rPr>
          <w:sz w:val="28"/>
          <w:szCs w:val="28"/>
        </w:rPr>
        <w:t>ột phần hoặc toàn bộ văn bản không còn được áp dụng trên thực tế nhưng chưa có cơ sở pháp lý để xác định hết hiệu lực theo quy định của Luật Ban hành văn bản quy phạm pháp luật</w:t>
      </w:r>
      <w:r w:rsidRPr="003442D0">
        <w:rPr>
          <w:sz w:val="28"/>
          <w:szCs w:val="28"/>
        </w:rPr>
        <w:t xml:space="preserve">; (4) </w:t>
      </w:r>
      <w:r w:rsidR="00E874FA" w:rsidRPr="003442D0">
        <w:rPr>
          <w:sz w:val="28"/>
          <w:szCs w:val="28"/>
        </w:rPr>
        <w:t>quy định không còn phù hợp với thực tiễn thông qua theo dõi quản lý nhà nước và tiếp nhận thông tin, phản ánh từ cơ quan, tổ chức</w:t>
      </w:r>
      <w:r w:rsidRPr="003442D0">
        <w:rPr>
          <w:sz w:val="28"/>
          <w:szCs w:val="28"/>
        </w:rPr>
        <w:t xml:space="preserve"> các cấp và các</w:t>
      </w:r>
      <w:r w:rsidR="00E874FA" w:rsidRPr="003442D0">
        <w:rPr>
          <w:sz w:val="28"/>
          <w:szCs w:val="28"/>
        </w:rPr>
        <w:t xml:space="preserve"> cá nhân</w:t>
      </w:r>
      <w:r w:rsidRPr="003442D0">
        <w:rPr>
          <w:sz w:val="28"/>
          <w:szCs w:val="28"/>
        </w:rPr>
        <w:t xml:space="preserve"> có liên quan</w:t>
      </w:r>
      <w:r w:rsidR="00E874FA" w:rsidRPr="003442D0">
        <w:rPr>
          <w:sz w:val="28"/>
          <w:szCs w:val="28"/>
        </w:rPr>
        <w:t>.</w:t>
      </w:r>
    </w:p>
    <w:p w:rsidR="00E874FA" w:rsidRPr="003442D0" w:rsidRDefault="00E874FA" w:rsidP="00CB3906">
      <w:pPr>
        <w:spacing w:before="120" w:after="120" w:line="320" w:lineRule="exact"/>
        <w:ind w:firstLine="567"/>
        <w:jc w:val="both"/>
        <w:rPr>
          <w:iCs/>
          <w:sz w:val="28"/>
          <w:szCs w:val="28"/>
        </w:rPr>
      </w:pPr>
      <w:r w:rsidRPr="003442D0">
        <w:rPr>
          <w:iCs/>
          <w:sz w:val="28"/>
          <w:szCs w:val="28"/>
        </w:rPr>
        <w:t xml:space="preserve">c) Đối tượng rà soát: </w:t>
      </w:r>
    </w:p>
    <w:p w:rsidR="00E874FA" w:rsidRPr="003442D0" w:rsidRDefault="00530D3C" w:rsidP="00CB3906">
      <w:pPr>
        <w:spacing w:before="120" w:after="120" w:line="320" w:lineRule="exact"/>
        <w:ind w:firstLine="567"/>
        <w:jc w:val="both"/>
        <w:rPr>
          <w:sz w:val="28"/>
          <w:szCs w:val="28"/>
        </w:rPr>
      </w:pPr>
      <w:r w:rsidRPr="003442D0">
        <w:rPr>
          <w:sz w:val="28"/>
          <w:szCs w:val="28"/>
        </w:rPr>
        <w:t>N</w:t>
      </w:r>
      <w:r w:rsidR="00E874FA" w:rsidRPr="003442D0">
        <w:rPr>
          <w:sz w:val="28"/>
          <w:szCs w:val="28"/>
        </w:rPr>
        <w:t>ội dung của dự thảo Nghị định.</w:t>
      </w:r>
    </w:p>
    <w:p w:rsidR="00464B77" w:rsidRPr="003442D0" w:rsidRDefault="00464B77" w:rsidP="00CB3906">
      <w:pPr>
        <w:pStyle w:val="Heading1"/>
        <w:spacing w:before="120" w:after="120" w:line="320" w:lineRule="exact"/>
        <w:ind w:firstLine="567"/>
        <w:jc w:val="both"/>
        <w:rPr>
          <w:rFonts w:ascii="Times New Roman" w:hAnsi="Times New Roman" w:cs="Times New Roman"/>
          <w:b/>
          <w:bCs/>
          <w:color w:val="auto"/>
          <w:sz w:val="26"/>
          <w:szCs w:val="26"/>
          <w:lang w:val="it-IT"/>
        </w:rPr>
      </w:pPr>
      <w:bookmarkStart w:id="1" w:name="_Hlk149639018"/>
      <w:r w:rsidRPr="003442D0">
        <w:rPr>
          <w:rFonts w:ascii="Times New Roman" w:hAnsi="Times New Roman" w:cs="Times New Roman"/>
          <w:b/>
          <w:bCs/>
          <w:color w:val="auto"/>
          <w:sz w:val="26"/>
          <w:szCs w:val="26"/>
          <w:lang w:val="it-IT"/>
        </w:rPr>
        <w:t xml:space="preserve">II. KẾT QUẢ </w:t>
      </w:r>
      <w:r w:rsidR="00FC2342" w:rsidRPr="003442D0">
        <w:rPr>
          <w:rFonts w:ascii="Times New Roman" w:hAnsi="Times New Roman" w:cs="Times New Roman"/>
          <w:b/>
          <w:bCs/>
          <w:color w:val="auto"/>
          <w:sz w:val="26"/>
          <w:szCs w:val="26"/>
          <w:lang w:val="it-IT"/>
        </w:rPr>
        <w:t>RÀ SOÁT</w:t>
      </w:r>
    </w:p>
    <w:p w:rsidR="007C4D76" w:rsidRPr="003442D0" w:rsidRDefault="007C4D76" w:rsidP="00CB3906">
      <w:pPr>
        <w:spacing w:before="120" w:after="120" w:line="320" w:lineRule="exact"/>
        <w:ind w:firstLineChars="202" w:firstLine="568"/>
        <w:jc w:val="both"/>
        <w:rPr>
          <w:b/>
          <w:bCs/>
          <w:sz w:val="28"/>
          <w:szCs w:val="28"/>
        </w:rPr>
      </w:pPr>
      <w:bookmarkStart w:id="2" w:name="_Hlk148087568"/>
      <w:bookmarkEnd w:id="1"/>
      <w:r w:rsidRPr="003442D0">
        <w:rPr>
          <w:b/>
          <w:bCs/>
          <w:sz w:val="28"/>
          <w:szCs w:val="28"/>
        </w:rPr>
        <w:t>1. Chủ trương, đường lối của Đảng có liên quan đến dự thảo Nghị định</w:t>
      </w:r>
    </w:p>
    <w:bookmarkEnd w:id="2"/>
    <w:p w:rsidR="00A57EBD" w:rsidRPr="003442D0" w:rsidRDefault="00A57EBD" w:rsidP="00CB3906">
      <w:pPr>
        <w:spacing w:before="120" w:after="120" w:line="320" w:lineRule="exact"/>
        <w:ind w:firstLineChars="202" w:firstLine="566"/>
        <w:jc w:val="both"/>
        <w:rPr>
          <w:iCs/>
          <w:sz w:val="28"/>
          <w:szCs w:val="28"/>
        </w:rPr>
      </w:pPr>
      <w:r w:rsidRPr="003442D0">
        <w:rPr>
          <w:iCs/>
          <w:sz w:val="28"/>
          <w:szCs w:val="28"/>
        </w:rPr>
        <w:t>a) Các văn bản của Đảng có chủ trương, đường lối liên quan đến dự thảo Nghị định đã được rà soát:</w:t>
      </w:r>
    </w:p>
    <w:p w:rsidR="007C4D76" w:rsidRPr="003442D0" w:rsidRDefault="00A57EBD" w:rsidP="00CB3906">
      <w:pPr>
        <w:spacing w:before="120" w:after="120" w:line="320" w:lineRule="exact"/>
        <w:ind w:firstLineChars="202" w:firstLine="566"/>
        <w:jc w:val="both"/>
        <w:rPr>
          <w:iCs/>
          <w:sz w:val="28"/>
          <w:szCs w:val="28"/>
        </w:rPr>
      </w:pPr>
      <w:r w:rsidRPr="003442D0">
        <w:rPr>
          <w:iCs/>
          <w:sz w:val="28"/>
          <w:szCs w:val="28"/>
        </w:rPr>
        <w:lastRenderedPageBreak/>
        <w:t>-</w:t>
      </w:r>
      <w:r w:rsidR="007C4D76" w:rsidRPr="003442D0">
        <w:rPr>
          <w:iCs/>
          <w:sz w:val="28"/>
          <w:szCs w:val="28"/>
        </w:rPr>
        <w:t xml:space="preserve"> Các chủ trương, đường lối </w:t>
      </w:r>
      <w:proofErr w:type="gramStart"/>
      <w:r w:rsidR="007C4D76" w:rsidRPr="003442D0">
        <w:rPr>
          <w:iCs/>
          <w:sz w:val="28"/>
          <w:szCs w:val="28"/>
        </w:rPr>
        <w:t>chung</w:t>
      </w:r>
      <w:proofErr w:type="gramEnd"/>
      <w:r w:rsidR="007C4D76" w:rsidRPr="003442D0">
        <w:rPr>
          <w:iCs/>
          <w:sz w:val="28"/>
          <w:szCs w:val="28"/>
        </w:rPr>
        <w:t xml:space="preserve"> về xây dựng thể chế, tăng cường phân cấp, phân quyền, đơn giản hóa các thủ tục hành chính</w:t>
      </w:r>
      <w:r w:rsidR="00B61678" w:rsidRPr="003442D0">
        <w:rPr>
          <w:iCs/>
          <w:sz w:val="28"/>
          <w:szCs w:val="28"/>
        </w:rPr>
        <w:t>:</w:t>
      </w:r>
    </w:p>
    <w:p w:rsidR="007C4D76" w:rsidRPr="003442D0" w:rsidRDefault="00A57EBD" w:rsidP="00CB3906">
      <w:pPr>
        <w:spacing w:before="120" w:after="120" w:line="320" w:lineRule="exact"/>
        <w:ind w:firstLineChars="202" w:firstLine="566"/>
        <w:jc w:val="both"/>
        <w:rPr>
          <w:rFonts w:eastAsia="Calibri"/>
          <w:sz w:val="28"/>
          <w:szCs w:val="28"/>
          <w:lang w:val="nl-NL"/>
        </w:rPr>
      </w:pPr>
      <w:r w:rsidRPr="003442D0">
        <w:rPr>
          <w:sz w:val="28"/>
          <w:szCs w:val="28"/>
        </w:rPr>
        <w:t>+</w:t>
      </w:r>
      <w:r w:rsidR="00E54595">
        <w:rPr>
          <w:sz w:val="28"/>
          <w:szCs w:val="28"/>
        </w:rPr>
        <w:t xml:space="preserve"> </w:t>
      </w:r>
      <w:r w:rsidR="007C4D76" w:rsidRPr="003442D0">
        <w:rPr>
          <w:rFonts w:eastAsia="Calibri"/>
          <w:sz w:val="28"/>
          <w:szCs w:val="28"/>
          <w:lang w:val="nl-NL"/>
        </w:rPr>
        <w:t>Quy định số 178-QĐ/TW ngày 27</w:t>
      </w:r>
      <w:r w:rsidR="00BF040E">
        <w:rPr>
          <w:rFonts w:eastAsia="Calibri"/>
          <w:sz w:val="28"/>
          <w:szCs w:val="28"/>
          <w:lang w:val="nl-NL"/>
        </w:rPr>
        <w:t>/</w:t>
      </w:r>
      <w:r w:rsidR="007C4D76" w:rsidRPr="003442D0">
        <w:rPr>
          <w:rFonts w:eastAsia="Calibri"/>
          <w:sz w:val="28"/>
          <w:szCs w:val="28"/>
          <w:lang w:val="nl-NL"/>
        </w:rPr>
        <w:t>6</w:t>
      </w:r>
      <w:r w:rsidR="00BF040E">
        <w:rPr>
          <w:rFonts w:eastAsia="Calibri"/>
          <w:sz w:val="28"/>
          <w:szCs w:val="28"/>
          <w:lang w:val="nl-NL"/>
        </w:rPr>
        <w:t>/</w:t>
      </w:r>
      <w:r w:rsidR="007C4D76" w:rsidRPr="003442D0">
        <w:rPr>
          <w:rFonts w:eastAsia="Calibri"/>
          <w:sz w:val="28"/>
          <w:szCs w:val="28"/>
          <w:lang w:val="nl-NL"/>
        </w:rPr>
        <w:t>2024 của Bộ Chính trị quy định về kiểm soát quyền lực, phòng, chống tham nhũng, tiêu cực trong công tác xây dựng pháp luật</w:t>
      </w:r>
      <w:r w:rsidRPr="003442D0">
        <w:rPr>
          <w:rFonts w:eastAsia="Calibri"/>
          <w:sz w:val="28"/>
          <w:szCs w:val="28"/>
          <w:lang w:val="nl-NL"/>
        </w:rPr>
        <w:t xml:space="preserve"> (được gọi là Nghị quyết số 178-QĐ/TW)</w:t>
      </w:r>
      <w:r w:rsidR="00B61678" w:rsidRPr="003442D0">
        <w:rPr>
          <w:rFonts w:eastAsia="Calibri"/>
          <w:sz w:val="28"/>
          <w:szCs w:val="28"/>
          <w:lang w:val="nl-NL"/>
        </w:rPr>
        <w:t>.</w:t>
      </w:r>
    </w:p>
    <w:p w:rsidR="007C4D76" w:rsidRPr="003442D0" w:rsidRDefault="00A57EBD" w:rsidP="00CB3906">
      <w:pPr>
        <w:spacing w:before="120" w:after="120" w:line="320" w:lineRule="exact"/>
        <w:ind w:firstLineChars="202" w:firstLine="566"/>
        <w:jc w:val="both"/>
        <w:rPr>
          <w:spacing w:val="-6"/>
          <w:sz w:val="28"/>
          <w:szCs w:val="28"/>
        </w:rPr>
      </w:pPr>
      <w:r w:rsidRPr="003442D0">
        <w:rPr>
          <w:sz w:val="28"/>
          <w:szCs w:val="28"/>
        </w:rPr>
        <w:t>+</w:t>
      </w:r>
      <w:r w:rsidR="00E54595">
        <w:rPr>
          <w:sz w:val="28"/>
          <w:szCs w:val="28"/>
        </w:rPr>
        <w:t xml:space="preserve"> </w:t>
      </w:r>
      <w:r w:rsidR="007C4D76" w:rsidRPr="003442D0">
        <w:rPr>
          <w:spacing w:val="-6"/>
          <w:sz w:val="28"/>
          <w:szCs w:val="28"/>
        </w:rPr>
        <w:t>Nghị quyết số 66-NQ/TW ngày 30</w:t>
      </w:r>
      <w:r w:rsidR="00BF040E">
        <w:rPr>
          <w:spacing w:val="-6"/>
          <w:sz w:val="28"/>
          <w:szCs w:val="28"/>
        </w:rPr>
        <w:t>/</w:t>
      </w:r>
      <w:r w:rsidR="007C4D76" w:rsidRPr="003442D0">
        <w:rPr>
          <w:spacing w:val="-6"/>
          <w:sz w:val="28"/>
          <w:szCs w:val="28"/>
        </w:rPr>
        <w:t>4</w:t>
      </w:r>
      <w:r w:rsidR="00BF040E">
        <w:rPr>
          <w:spacing w:val="-6"/>
          <w:sz w:val="28"/>
          <w:szCs w:val="28"/>
        </w:rPr>
        <w:t>/</w:t>
      </w:r>
      <w:r w:rsidR="007C4D76" w:rsidRPr="003442D0">
        <w:rPr>
          <w:spacing w:val="-6"/>
          <w:sz w:val="28"/>
          <w:szCs w:val="28"/>
        </w:rPr>
        <w:t>2025 của Bộ Chính trị về đổi mới công tác xây dựng và thi hành pháp luật đáp ứng yêu cầu phát triển đất nước trong kỷ nguyên mới</w:t>
      </w:r>
      <w:r w:rsidRPr="003442D0">
        <w:rPr>
          <w:spacing w:val="-6"/>
          <w:sz w:val="28"/>
          <w:szCs w:val="28"/>
        </w:rPr>
        <w:t xml:space="preserve"> (được gọi là Nghị quyết số 66-NQ/TW). Trong đó</w:t>
      </w:r>
      <w:r w:rsidR="007C4D76" w:rsidRPr="003442D0">
        <w:rPr>
          <w:spacing w:val="-6"/>
          <w:sz w:val="28"/>
          <w:szCs w:val="28"/>
        </w:rPr>
        <w:t xml:space="preserve">: </w:t>
      </w:r>
      <w:r w:rsidR="00B20D32" w:rsidRPr="003442D0">
        <w:rPr>
          <w:spacing w:val="-6"/>
          <w:sz w:val="28"/>
          <w:szCs w:val="28"/>
        </w:rPr>
        <w:t>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xã hội chủ nghĩa Việt Nam của Nhân dân, do Nhân dân và vì Nhân dân, dưới sự lãnh đạo của Đảng</w:t>
      </w:r>
      <w:r w:rsidR="00B61678" w:rsidRPr="003442D0">
        <w:rPr>
          <w:spacing w:val="-6"/>
          <w:sz w:val="28"/>
          <w:szCs w:val="28"/>
        </w:rPr>
        <w:t>.</w:t>
      </w:r>
    </w:p>
    <w:p w:rsidR="007C4D76" w:rsidRPr="003442D0" w:rsidRDefault="00A57EBD" w:rsidP="00CB3906">
      <w:pPr>
        <w:spacing w:before="120" w:after="120" w:line="320" w:lineRule="exact"/>
        <w:ind w:firstLineChars="202" w:firstLine="553"/>
        <w:jc w:val="both"/>
        <w:rPr>
          <w:sz w:val="28"/>
          <w:szCs w:val="28"/>
        </w:rPr>
      </w:pPr>
      <w:r w:rsidRPr="003442D0">
        <w:rPr>
          <w:spacing w:val="-6"/>
          <w:sz w:val="28"/>
          <w:szCs w:val="28"/>
        </w:rPr>
        <w:t>+</w:t>
      </w:r>
      <w:r w:rsidR="007C4D76" w:rsidRPr="003442D0">
        <w:rPr>
          <w:spacing w:val="-6"/>
          <w:sz w:val="28"/>
          <w:szCs w:val="28"/>
        </w:rPr>
        <w:t xml:space="preserve"> Văn bản số </w:t>
      </w:r>
      <w:r w:rsidR="007C4D76" w:rsidRPr="003442D0">
        <w:rPr>
          <w:sz w:val="28"/>
          <w:szCs w:val="28"/>
        </w:rPr>
        <w:t>108-KL/VPTW ngày 18</w:t>
      </w:r>
      <w:r w:rsidR="00BF040E">
        <w:rPr>
          <w:sz w:val="28"/>
          <w:szCs w:val="28"/>
        </w:rPr>
        <w:t>/</w:t>
      </w:r>
      <w:r w:rsidR="007C4D76" w:rsidRPr="003442D0">
        <w:rPr>
          <w:sz w:val="28"/>
          <w:szCs w:val="28"/>
        </w:rPr>
        <w:t>11</w:t>
      </w:r>
      <w:r w:rsidR="00BF040E">
        <w:rPr>
          <w:sz w:val="28"/>
          <w:szCs w:val="28"/>
        </w:rPr>
        <w:t>/</w:t>
      </w:r>
      <w:r w:rsidR="007C4D76" w:rsidRPr="003442D0">
        <w:rPr>
          <w:sz w:val="28"/>
          <w:szCs w:val="28"/>
        </w:rPr>
        <w:t xml:space="preserve">2024 của Văn phòng Trung ương Đảng, Tổng bí </w:t>
      </w:r>
      <w:proofErr w:type="gramStart"/>
      <w:r w:rsidR="007C4D76" w:rsidRPr="003442D0">
        <w:rPr>
          <w:sz w:val="28"/>
          <w:szCs w:val="28"/>
        </w:rPr>
        <w:t>thư</w:t>
      </w:r>
      <w:proofErr w:type="gramEnd"/>
      <w:r w:rsidR="007C4D76" w:rsidRPr="003442D0">
        <w:rPr>
          <w:sz w:val="28"/>
          <w:szCs w:val="28"/>
        </w:rPr>
        <w:t xml:space="preserve"> Tô Lâm đã chỉ đạo phải đổi mới mạnh mẽ cả về tư duy và quy trình xây dựng pháp luật. Trong đó, tư duy xây dựng pháp luật phải chuyển đổi </w:t>
      </w:r>
      <w:proofErr w:type="gramStart"/>
      <w:r w:rsidR="007C4D76" w:rsidRPr="003442D0">
        <w:rPr>
          <w:sz w:val="28"/>
          <w:szCs w:val="28"/>
        </w:rPr>
        <w:t>theo</w:t>
      </w:r>
      <w:proofErr w:type="gramEnd"/>
      <w:r w:rsidR="007C4D76" w:rsidRPr="003442D0">
        <w:rPr>
          <w:sz w:val="28"/>
          <w:szCs w:val="28"/>
        </w:rPr>
        <w:t xml:space="preserve"> hướng vừa bảo đảm yêu cầu quản lý nhà nước, vừa khuyến khích sáng tạo, khơi thông mọi nguồn lực để phát triển, phải phản ánh hơi thở thực tiễn, bám sát, giải quyết vấn đề thực tiễn. Đối với quy trình xây dựng pháp luật phải đảm bảo dân chủ, minh bạch, kịp thời, khả thi, hiệu quả, dễ áp dụng trên thực tế, tiết kiệm thời gian, nâng cao “năng suất và chất lượng” xây dựng pháp luật</w:t>
      </w:r>
      <w:r w:rsidR="00B61678" w:rsidRPr="003442D0">
        <w:rPr>
          <w:sz w:val="28"/>
          <w:szCs w:val="28"/>
        </w:rPr>
        <w:t>.</w:t>
      </w:r>
    </w:p>
    <w:p w:rsidR="007C4D76" w:rsidRPr="003442D0" w:rsidRDefault="00A57EBD" w:rsidP="00CB3906">
      <w:pPr>
        <w:spacing w:before="120" w:after="120" w:line="320" w:lineRule="exact"/>
        <w:ind w:firstLineChars="202" w:firstLine="566"/>
        <w:jc w:val="both"/>
        <w:rPr>
          <w:color w:val="000000"/>
          <w:sz w:val="28"/>
          <w:szCs w:val="28"/>
          <w:shd w:val="clear" w:color="auto" w:fill="FFFFFF"/>
        </w:rPr>
      </w:pPr>
      <w:r w:rsidRPr="003442D0">
        <w:rPr>
          <w:sz w:val="28"/>
          <w:szCs w:val="28"/>
        </w:rPr>
        <w:t>+</w:t>
      </w:r>
      <w:r w:rsidR="00E86726">
        <w:rPr>
          <w:sz w:val="28"/>
          <w:szCs w:val="28"/>
        </w:rPr>
        <w:t xml:space="preserve"> </w:t>
      </w:r>
      <w:r w:rsidRPr="003442D0">
        <w:rPr>
          <w:bCs/>
          <w:spacing w:val="-2"/>
          <w:sz w:val="28"/>
          <w:szCs w:val="28"/>
        </w:rPr>
        <w:t>K</w:t>
      </w:r>
      <w:r w:rsidR="007C4D76" w:rsidRPr="003442D0">
        <w:rPr>
          <w:bCs/>
          <w:spacing w:val="-2"/>
          <w:sz w:val="28"/>
          <w:szCs w:val="28"/>
        </w:rPr>
        <w:t>ết luận số 119-KL/TW ngày 20</w:t>
      </w:r>
      <w:r w:rsidR="00BF040E">
        <w:rPr>
          <w:bCs/>
          <w:spacing w:val="-2"/>
          <w:sz w:val="28"/>
          <w:szCs w:val="28"/>
        </w:rPr>
        <w:t>/</w:t>
      </w:r>
      <w:r w:rsidR="007C4D76" w:rsidRPr="003442D0">
        <w:rPr>
          <w:bCs/>
          <w:spacing w:val="-2"/>
          <w:sz w:val="28"/>
          <w:szCs w:val="28"/>
        </w:rPr>
        <w:t>01</w:t>
      </w:r>
      <w:r w:rsidR="00BF040E">
        <w:rPr>
          <w:bCs/>
          <w:spacing w:val="-2"/>
          <w:sz w:val="28"/>
          <w:szCs w:val="28"/>
        </w:rPr>
        <w:t>/</w:t>
      </w:r>
      <w:r w:rsidR="007C4D76" w:rsidRPr="003442D0">
        <w:rPr>
          <w:bCs/>
          <w:spacing w:val="-2"/>
          <w:sz w:val="28"/>
          <w:szCs w:val="28"/>
        </w:rPr>
        <w:t>2025 của Bộ Chính trị về định hướng đổi mới, hoàn thiện quy trình xây dựng pháp luật</w:t>
      </w:r>
      <w:r w:rsidR="009C10FA" w:rsidRPr="003442D0">
        <w:rPr>
          <w:bCs/>
          <w:spacing w:val="-2"/>
          <w:sz w:val="28"/>
          <w:szCs w:val="28"/>
        </w:rPr>
        <w:t xml:space="preserve"> (được gọi là Kết luận số 119-KL/TW)</w:t>
      </w:r>
      <w:r w:rsidR="007C4D76" w:rsidRPr="003442D0">
        <w:rPr>
          <w:bCs/>
          <w:spacing w:val="-2"/>
          <w:sz w:val="28"/>
          <w:szCs w:val="28"/>
        </w:rPr>
        <w:t xml:space="preserve"> yêu cầu đ</w:t>
      </w:r>
      <w:r w:rsidR="007C4D76" w:rsidRPr="003442D0">
        <w:rPr>
          <w:color w:val="000000"/>
          <w:sz w:val="28"/>
          <w:szCs w:val="28"/>
          <w:shd w:val="clear" w:color="auto" w:fill="FFFFFF"/>
        </w:rPr>
        <w:t>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w:t>
      </w:r>
      <w:r w:rsidR="00B61678" w:rsidRPr="003442D0">
        <w:rPr>
          <w:color w:val="000000"/>
          <w:sz w:val="28"/>
          <w:szCs w:val="28"/>
          <w:shd w:val="clear" w:color="auto" w:fill="FFFFFF"/>
        </w:rPr>
        <w:t>.</w:t>
      </w:r>
    </w:p>
    <w:p w:rsidR="00DC5225" w:rsidRPr="003442D0" w:rsidRDefault="00DC5225" w:rsidP="00CB3906">
      <w:pPr>
        <w:spacing w:before="120" w:after="120" w:line="320" w:lineRule="exact"/>
        <w:ind w:firstLineChars="202" w:firstLine="566"/>
        <w:jc w:val="both"/>
        <w:rPr>
          <w:sz w:val="28"/>
          <w:szCs w:val="28"/>
        </w:rPr>
      </w:pPr>
      <w:r w:rsidRPr="003442D0">
        <w:rPr>
          <w:sz w:val="28"/>
          <w:szCs w:val="28"/>
        </w:rPr>
        <w:t>- Chủ trương, đường lối về thúc đẩy phát triển kinh tế tư nhân:</w:t>
      </w:r>
    </w:p>
    <w:p w:rsidR="00DC5225" w:rsidRPr="003442D0" w:rsidRDefault="00677030" w:rsidP="00CB3906">
      <w:pPr>
        <w:spacing w:before="120" w:after="120" w:line="320" w:lineRule="exact"/>
        <w:ind w:firstLineChars="202" w:firstLine="566"/>
        <w:jc w:val="both"/>
        <w:rPr>
          <w:sz w:val="28"/>
          <w:szCs w:val="28"/>
        </w:rPr>
      </w:pPr>
      <w:r w:rsidRPr="003442D0">
        <w:rPr>
          <w:sz w:val="28"/>
          <w:szCs w:val="28"/>
        </w:rPr>
        <w:t xml:space="preserve">+ </w:t>
      </w:r>
      <w:r w:rsidR="00DC5225" w:rsidRPr="003442D0">
        <w:rPr>
          <w:sz w:val="28"/>
          <w:szCs w:val="28"/>
        </w:rPr>
        <w:t>Nghị quyết số</w:t>
      </w:r>
      <w:r w:rsidR="00DF4CE0">
        <w:rPr>
          <w:sz w:val="28"/>
          <w:szCs w:val="28"/>
        </w:rPr>
        <w:t xml:space="preserve"> 68-NQ/TW ngày 04/5/</w:t>
      </w:r>
      <w:r w:rsidR="00DC5225" w:rsidRPr="003442D0">
        <w:rPr>
          <w:sz w:val="28"/>
          <w:szCs w:val="28"/>
        </w:rPr>
        <w:t xml:space="preserve">2025 của Bộ Chính trị về phát triển kinh tế tư nhân (được gọi là Nghị quyết số 68-NQ/TW). Trong đó đặt ra nhiệm vụ </w:t>
      </w:r>
      <w:r w:rsidR="007B46AF" w:rsidRPr="003442D0">
        <w:rPr>
          <w:sz w:val="28"/>
          <w:szCs w:val="28"/>
        </w:rPr>
        <w:t xml:space="preserve">tạo thuận lợi cho kinh tế tư nhân tiếp cận các nguồn lực về đất </w:t>
      </w:r>
      <w:proofErr w:type="gramStart"/>
      <w:r w:rsidR="007B46AF" w:rsidRPr="003442D0">
        <w:rPr>
          <w:sz w:val="28"/>
          <w:szCs w:val="28"/>
        </w:rPr>
        <w:t>đai</w:t>
      </w:r>
      <w:proofErr w:type="gramEnd"/>
      <w:r w:rsidR="007B46AF" w:rsidRPr="003442D0">
        <w:rPr>
          <w:sz w:val="28"/>
          <w:szCs w:val="28"/>
        </w:rPr>
        <w:t>, vốn, nhân lực chất lượng cao</w:t>
      </w:r>
      <w:r w:rsidR="00DC5225" w:rsidRPr="003442D0">
        <w:rPr>
          <w:sz w:val="28"/>
          <w:szCs w:val="28"/>
        </w:rPr>
        <w:t>.</w:t>
      </w:r>
    </w:p>
    <w:p w:rsidR="00677030" w:rsidRPr="003442D0" w:rsidRDefault="00677030" w:rsidP="00CB3906">
      <w:pPr>
        <w:spacing w:before="120" w:after="120" w:line="320" w:lineRule="exact"/>
        <w:ind w:firstLineChars="202" w:firstLine="566"/>
        <w:jc w:val="both"/>
        <w:rPr>
          <w:sz w:val="28"/>
          <w:szCs w:val="28"/>
        </w:rPr>
      </w:pPr>
      <w:r w:rsidRPr="003442D0">
        <w:rPr>
          <w:sz w:val="28"/>
          <w:szCs w:val="28"/>
        </w:rPr>
        <w:t>- Chủ trương đường lối</w:t>
      </w:r>
      <w:r w:rsidR="00E86726">
        <w:rPr>
          <w:sz w:val="28"/>
          <w:szCs w:val="28"/>
        </w:rPr>
        <w:t xml:space="preserve"> phát triển kinh tế,</w:t>
      </w:r>
      <w:r w:rsidRPr="003442D0">
        <w:rPr>
          <w:sz w:val="28"/>
          <w:szCs w:val="28"/>
        </w:rPr>
        <w:t xml:space="preserve"> nông nghiệp, nông dân, nông thôn: </w:t>
      </w:r>
    </w:p>
    <w:p w:rsidR="00677030" w:rsidRPr="003442D0" w:rsidRDefault="00677030" w:rsidP="00CB3906">
      <w:pPr>
        <w:spacing w:before="120" w:after="120" w:line="320" w:lineRule="exact"/>
        <w:ind w:firstLineChars="202" w:firstLine="566"/>
        <w:jc w:val="both"/>
        <w:rPr>
          <w:sz w:val="28"/>
          <w:szCs w:val="28"/>
        </w:rPr>
      </w:pPr>
      <w:r w:rsidRPr="003442D0">
        <w:rPr>
          <w:sz w:val="28"/>
          <w:szCs w:val="28"/>
        </w:rPr>
        <w:t xml:space="preserve">+ Nghị quyết số 26-NQ/TW ngày 05/8/2008 của Hội nghị lần thứ bẩy của Ban Chấp hành Trung ương Đảng khóa X về nông nghiệp, nông dân, nông thôn đề ra nhiệm vụ </w:t>
      </w:r>
      <w:r w:rsidR="007B46AF" w:rsidRPr="003442D0">
        <w:rPr>
          <w:sz w:val="28"/>
          <w:szCs w:val="28"/>
        </w:rPr>
        <w:t>đổi mới mạnh mẽ cơ chế, chính sách để huy động cao các nguồn lực, phát triển nhanh kinh tế nông thôn, nâng cao đời sống vật chất, tinh thần của nông dân</w:t>
      </w:r>
      <w:r w:rsidRPr="003442D0">
        <w:rPr>
          <w:sz w:val="28"/>
          <w:szCs w:val="28"/>
        </w:rPr>
        <w:t>.</w:t>
      </w:r>
    </w:p>
    <w:p w:rsidR="00677030" w:rsidRPr="003442D0" w:rsidRDefault="00677030" w:rsidP="00CB3906">
      <w:pPr>
        <w:spacing w:before="120" w:after="120" w:line="320" w:lineRule="exact"/>
        <w:ind w:firstLineChars="202" w:firstLine="566"/>
        <w:jc w:val="both"/>
        <w:rPr>
          <w:sz w:val="28"/>
          <w:szCs w:val="28"/>
        </w:rPr>
      </w:pPr>
      <w:r w:rsidRPr="003442D0">
        <w:rPr>
          <w:sz w:val="28"/>
          <w:szCs w:val="28"/>
        </w:rPr>
        <w:lastRenderedPageBreak/>
        <w:t xml:space="preserve">+ Nghị quyết số 19-NQ/TW ngày 16/6/2022 của Hội nghị lần thứ năm Ban Chấp hành Trung ương Đảng khóa XIII về nông nghiệp, nông dân, nông thôn đến năm 2030, tầm nhìn đến năm 2045 </w:t>
      </w:r>
      <w:r w:rsidR="007B46AF" w:rsidRPr="003442D0">
        <w:rPr>
          <w:sz w:val="28"/>
          <w:szCs w:val="28"/>
        </w:rPr>
        <w:t>đề ra nhiệm vụ hoàn thiện thể chế, chính sách về nông nghiệp, nông dân, nông thôn</w:t>
      </w:r>
      <w:r w:rsidRPr="003442D0">
        <w:rPr>
          <w:sz w:val="28"/>
          <w:szCs w:val="28"/>
        </w:rPr>
        <w:t>.</w:t>
      </w:r>
    </w:p>
    <w:p w:rsidR="00A57EBD" w:rsidRPr="003442D0" w:rsidRDefault="00A57EBD" w:rsidP="00CB3906">
      <w:pPr>
        <w:spacing w:before="120" w:after="120" w:line="320" w:lineRule="exact"/>
        <w:ind w:firstLineChars="202" w:firstLine="566"/>
        <w:jc w:val="both"/>
        <w:rPr>
          <w:sz w:val="28"/>
          <w:szCs w:val="28"/>
        </w:rPr>
      </w:pPr>
      <w:r w:rsidRPr="003442D0">
        <w:rPr>
          <w:sz w:val="28"/>
          <w:szCs w:val="28"/>
        </w:rPr>
        <w:t>b) Đánh giá sự phù hợp của dự thảo Nghị định với các chủ trương, đường lối của Đảng:</w:t>
      </w:r>
    </w:p>
    <w:p w:rsidR="00A57EBD" w:rsidRPr="003442D0" w:rsidRDefault="00A57EBD" w:rsidP="00CB3906">
      <w:pPr>
        <w:spacing w:before="120" w:after="120" w:line="320" w:lineRule="exact"/>
        <w:ind w:firstLineChars="202" w:firstLine="566"/>
        <w:jc w:val="both"/>
        <w:rPr>
          <w:sz w:val="28"/>
          <w:szCs w:val="28"/>
        </w:rPr>
      </w:pPr>
      <w:r w:rsidRPr="003442D0">
        <w:rPr>
          <w:sz w:val="28"/>
          <w:szCs w:val="28"/>
        </w:rPr>
        <w:t xml:space="preserve">Nội dung dự thảo Nghị định đã cụ thể toàn bộ hoặc một phần chủ trương, đường lối của Đảng về: (1) </w:t>
      </w:r>
      <w:r w:rsidRPr="003442D0">
        <w:rPr>
          <w:iCs/>
          <w:sz w:val="28"/>
          <w:szCs w:val="28"/>
        </w:rPr>
        <w:t xml:space="preserve">xây dựng thể chế, tăng cường phân cấp, phân quyền, đơn giản hóa các thủ tục hành chính theo </w:t>
      </w:r>
      <w:r w:rsidRPr="003442D0">
        <w:rPr>
          <w:rFonts w:eastAsia="Calibri"/>
          <w:sz w:val="28"/>
          <w:szCs w:val="28"/>
          <w:lang w:val="nl-NL"/>
        </w:rPr>
        <w:t xml:space="preserve">Quy định số 178-QĐ/TW, </w:t>
      </w:r>
      <w:r w:rsidRPr="003442D0">
        <w:rPr>
          <w:spacing w:val="-6"/>
          <w:sz w:val="28"/>
          <w:szCs w:val="28"/>
        </w:rPr>
        <w:t xml:space="preserve">Nghị quyết số 66-NQ/TW, văn bản số </w:t>
      </w:r>
      <w:r w:rsidRPr="003442D0">
        <w:rPr>
          <w:sz w:val="28"/>
          <w:szCs w:val="28"/>
        </w:rPr>
        <w:t xml:space="preserve">108-KL/VPTW, </w:t>
      </w:r>
      <w:r w:rsidRPr="003442D0">
        <w:rPr>
          <w:bCs/>
          <w:spacing w:val="-2"/>
          <w:sz w:val="28"/>
          <w:szCs w:val="28"/>
        </w:rPr>
        <w:t xml:space="preserve">Kết luận số 119-KL/TW; (2) </w:t>
      </w:r>
      <w:r w:rsidR="00DC5225" w:rsidRPr="003442D0">
        <w:rPr>
          <w:iCs/>
          <w:sz w:val="28"/>
          <w:szCs w:val="28"/>
        </w:rPr>
        <w:t>hoàn thiện</w:t>
      </w:r>
      <w:r w:rsidR="00DF4CE0">
        <w:rPr>
          <w:iCs/>
          <w:sz w:val="28"/>
          <w:szCs w:val="28"/>
        </w:rPr>
        <w:t xml:space="preserve"> </w:t>
      </w:r>
      <w:r w:rsidR="007B46AF" w:rsidRPr="003442D0">
        <w:rPr>
          <w:iCs/>
          <w:sz w:val="28"/>
          <w:szCs w:val="28"/>
        </w:rPr>
        <w:t xml:space="preserve">đường lối nông nghiệp, nông dân, nông thôn theo </w:t>
      </w:r>
      <w:r w:rsidR="007B46AF" w:rsidRPr="003442D0">
        <w:rPr>
          <w:sz w:val="28"/>
          <w:szCs w:val="28"/>
        </w:rPr>
        <w:t>Nghị quyết số 26-NQ/TW, Nghị quyết số 19-NQ/TW</w:t>
      </w:r>
      <w:r w:rsidR="00DC5225" w:rsidRPr="003442D0">
        <w:rPr>
          <w:sz w:val="28"/>
          <w:szCs w:val="28"/>
        </w:rPr>
        <w:t>; (</w:t>
      </w:r>
      <w:r w:rsidR="007B46AF" w:rsidRPr="003442D0">
        <w:rPr>
          <w:sz w:val="28"/>
          <w:szCs w:val="28"/>
        </w:rPr>
        <w:t>3</w:t>
      </w:r>
      <w:r w:rsidR="00DC5225" w:rsidRPr="003442D0">
        <w:rPr>
          <w:sz w:val="28"/>
          <w:szCs w:val="28"/>
        </w:rPr>
        <w:t>) hoàn thiện thể chế, góp phần thúc đẩy phát triển kinh tế tư nhân theo Nghị quyết số 68-NQ/TW</w:t>
      </w:r>
      <w:r w:rsidR="007B46AF" w:rsidRPr="003442D0">
        <w:rPr>
          <w:sz w:val="28"/>
          <w:szCs w:val="28"/>
        </w:rPr>
        <w:t>.</w:t>
      </w:r>
    </w:p>
    <w:p w:rsidR="00D63F64" w:rsidRPr="003442D0" w:rsidRDefault="00D63F64" w:rsidP="00CB3906">
      <w:pPr>
        <w:spacing w:before="120" w:after="120" w:line="320" w:lineRule="exact"/>
        <w:ind w:firstLineChars="202" w:firstLine="566"/>
        <w:jc w:val="both"/>
        <w:rPr>
          <w:sz w:val="28"/>
          <w:szCs w:val="28"/>
        </w:rPr>
      </w:pPr>
      <w:r w:rsidRPr="003442D0">
        <w:rPr>
          <w:sz w:val="28"/>
          <w:szCs w:val="28"/>
        </w:rPr>
        <w:t>(Chi tiết n</w:t>
      </w:r>
      <w:r w:rsidR="009577F9" w:rsidRPr="003442D0">
        <w:rPr>
          <w:sz w:val="28"/>
          <w:szCs w:val="28"/>
        </w:rPr>
        <w:t>ộ</w:t>
      </w:r>
      <w:r w:rsidRPr="003442D0">
        <w:rPr>
          <w:sz w:val="28"/>
          <w:szCs w:val="28"/>
        </w:rPr>
        <w:t xml:space="preserve">i dung đánh giá tại Phụ lục kèm </w:t>
      </w:r>
      <w:proofErr w:type="gramStart"/>
      <w:r w:rsidRPr="003442D0">
        <w:rPr>
          <w:sz w:val="28"/>
          <w:szCs w:val="28"/>
        </w:rPr>
        <w:t>theo</w:t>
      </w:r>
      <w:proofErr w:type="gramEnd"/>
      <w:r w:rsidRPr="003442D0">
        <w:rPr>
          <w:sz w:val="28"/>
          <w:szCs w:val="28"/>
        </w:rPr>
        <w:t>)</w:t>
      </w:r>
    </w:p>
    <w:p w:rsidR="007C4D76" w:rsidRPr="003442D0" w:rsidRDefault="007C4D76" w:rsidP="00CB3906">
      <w:pPr>
        <w:spacing w:before="120" w:after="120" w:line="320" w:lineRule="exact"/>
        <w:ind w:firstLineChars="202" w:firstLine="568"/>
        <w:rPr>
          <w:b/>
          <w:bCs/>
          <w:iCs/>
          <w:sz w:val="28"/>
          <w:szCs w:val="28"/>
        </w:rPr>
      </w:pPr>
      <w:r w:rsidRPr="003442D0">
        <w:rPr>
          <w:b/>
          <w:iCs/>
          <w:sz w:val="28"/>
          <w:szCs w:val="28"/>
        </w:rPr>
        <w:t>2. Văn bản quy phạm pháp luật có liên quan đến dự thảo Nghị định</w:t>
      </w:r>
    </w:p>
    <w:p w:rsidR="007C4D76" w:rsidRPr="003442D0" w:rsidRDefault="007C4D76" w:rsidP="00CB3906">
      <w:pPr>
        <w:spacing w:before="120" w:after="120" w:line="320" w:lineRule="exact"/>
        <w:ind w:firstLineChars="202" w:firstLine="566"/>
        <w:jc w:val="both"/>
        <w:rPr>
          <w:sz w:val="28"/>
          <w:szCs w:val="28"/>
        </w:rPr>
      </w:pPr>
      <w:r w:rsidRPr="003442D0">
        <w:rPr>
          <w:sz w:val="28"/>
          <w:szCs w:val="28"/>
        </w:rPr>
        <w:t>Qua rà soát, Bộ Tài chính xác định được một số văn bản pháp luật có nội dung liên quan đến dự thảo Nghị định: Luật Ngân sách nhà nước</w:t>
      </w:r>
      <w:r w:rsidR="00E90E33" w:rsidRPr="003442D0">
        <w:rPr>
          <w:sz w:val="28"/>
          <w:szCs w:val="28"/>
        </w:rPr>
        <w:t>;</w:t>
      </w:r>
      <w:r w:rsidR="008F3928">
        <w:rPr>
          <w:sz w:val="28"/>
          <w:szCs w:val="28"/>
        </w:rPr>
        <w:t xml:space="preserve"> </w:t>
      </w:r>
      <w:r w:rsidR="00E90E33" w:rsidRPr="003442D0">
        <w:rPr>
          <w:sz w:val="28"/>
          <w:szCs w:val="28"/>
        </w:rPr>
        <w:t>Luật Đầu tư công;</w:t>
      </w:r>
      <w:r w:rsidR="008F3928">
        <w:rPr>
          <w:sz w:val="28"/>
          <w:szCs w:val="28"/>
        </w:rPr>
        <w:t xml:space="preserve"> </w:t>
      </w:r>
      <w:r w:rsidRPr="003442D0">
        <w:rPr>
          <w:sz w:val="28"/>
          <w:szCs w:val="28"/>
        </w:rPr>
        <w:t xml:space="preserve">Luật </w:t>
      </w:r>
      <w:r w:rsidR="00B20D32" w:rsidRPr="003442D0">
        <w:rPr>
          <w:sz w:val="28"/>
          <w:szCs w:val="28"/>
        </w:rPr>
        <w:t>Các tổ chức tín dụng</w:t>
      </w:r>
      <w:r w:rsidR="00DE1C4F" w:rsidRPr="003442D0">
        <w:rPr>
          <w:sz w:val="28"/>
          <w:szCs w:val="28"/>
        </w:rPr>
        <w:t xml:space="preserve">; </w:t>
      </w:r>
      <w:r w:rsidR="00E90E33" w:rsidRPr="003442D0">
        <w:rPr>
          <w:sz w:val="28"/>
          <w:szCs w:val="28"/>
        </w:rPr>
        <w:t xml:space="preserve">Nghị định quy định chi tiết </w:t>
      </w:r>
      <w:r w:rsidR="00B41646">
        <w:rPr>
          <w:sz w:val="28"/>
          <w:szCs w:val="28"/>
        </w:rPr>
        <w:t xml:space="preserve">thi hành một số điều của </w:t>
      </w:r>
      <w:r w:rsidR="00E90E33" w:rsidRPr="003442D0">
        <w:rPr>
          <w:sz w:val="28"/>
          <w:szCs w:val="28"/>
        </w:rPr>
        <w:t>Luậ</w:t>
      </w:r>
      <w:r w:rsidR="00B41646">
        <w:rPr>
          <w:sz w:val="28"/>
          <w:szCs w:val="28"/>
        </w:rPr>
        <w:t xml:space="preserve">t Đầu tư công. </w:t>
      </w:r>
      <w:r w:rsidR="00DE1C4F" w:rsidRPr="003442D0">
        <w:rPr>
          <w:sz w:val="28"/>
          <w:szCs w:val="28"/>
        </w:rPr>
        <w:t>Kết quả rà soát như sau:</w:t>
      </w:r>
    </w:p>
    <w:p w:rsidR="007C4D76" w:rsidRPr="003442D0" w:rsidRDefault="007C4D76" w:rsidP="00CB3906">
      <w:pPr>
        <w:spacing w:before="120" w:after="120" w:line="320" w:lineRule="exact"/>
        <w:ind w:firstLineChars="202" w:firstLine="566"/>
        <w:jc w:val="both"/>
        <w:rPr>
          <w:sz w:val="28"/>
          <w:szCs w:val="28"/>
        </w:rPr>
      </w:pPr>
      <w:r w:rsidRPr="003442D0">
        <w:rPr>
          <w:sz w:val="28"/>
          <w:szCs w:val="28"/>
        </w:rPr>
        <w:t xml:space="preserve">a) Kết quả </w:t>
      </w:r>
      <w:proofErr w:type="gramStart"/>
      <w:r w:rsidRPr="003442D0">
        <w:rPr>
          <w:sz w:val="28"/>
          <w:szCs w:val="28"/>
        </w:rPr>
        <w:t>chung</w:t>
      </w:r>
      <w:proofErr w:type="gramEnd"/>
      <w:r w:rsidR="00B61678" w:rsidRPr="003442D0">
        <w:rPr>
          <w:sz w:val="28"/>
          <w:szCs w:val="28"/>
        </w:rPr>
        <w:t>:</w:t>
      </w:r>
    </w:p>
    <w:p w:rsidR="007C4D76" w:rsidRPr="003442D0" w:rsidRDefault="00970B51" w:rsidP="00CB3906">
      <w:pPr>
        <w:spacing w:before="120" w:after="120" w:line="320" w:lineRule="exact"/>
        <w:ind w:firstLineChars="202" w:firstLine="566"/>
        <w:jc w:val="both"/>
        <w:rPr>
          <w:sz w:val="28"/>
          <w:szCs w:val="28"/>
        </w:rPr>
      </w:pPr>
      <w:r w:rsidRPr="003442D0">
        <w:rPr>
          <w:sz w:val="28"/>
          <w:szCs w:val="28"/>
        </w:rPr>
        <w:t xml:space="preserve">Có </w:t>
      </w:r>
      <w:r w:rsidR="00EC52C8" w:rsidRPr="003442D0">
        <w:rPr>
          <w:sz w:val="28"/>
          <w:szCs w:val="28"/>
        </w:rPr>
        <w:t>03</w:t>
      </w:r>
      <w:r w:rsidRPr="003442D0">
        <w:rPr>
          <w:sz w:val="28"/>
          <w:szCs w:val="28"/>
        </w:rPr>
        <w:t xml:space="preserve"> Luật</w:t>
      </w:r>
      <w:r w:rsidR="008217DD" w:rsidRPr="003442D0">
        <w:rPr>
          <w:sz w:val="28"/>
          <w:szCs w:val="28"/>
        </w:rPr>
        <w:t xml:space="preserve"> (</w:t>
      </w:r>
      <w:r w:rsidR="00C507AC" w:rsidRPr="003442D0">
        <w:rPr>
          <w:sz w:val="28"/>
          <w:szCs w:val="28"/>
        </w:rPr>
        <w:t xml:space="preserve">rà soát các </w:t>
      </w:r>
      <w:r w:rsidR="008217DD" w:rsidRPr="003442D0">
        <w:rPr>
          <w:sz w:val="28"/>
          <w:szCs w:val="28"/>
        </w:rPr>
        <w:t>Luật đã được hợp nhất quy định Luật gốc và các luật sửa đổi, bổ sung)</w:t>
      </w:r>
      <w:r w:rsidR="00EC52C8" w:rsidRPr="003442D0">
        <w:rPr>
          <w:sz w:val="28"/>
          <w:szCs w:val="28"/>
        </w:rPr>
        <w:t>,</w:t>
      </w:r>
      <w:r w:rsidR="00B41646">
        <w:rPr>
          <w:sz w:val="28"/>
          <w:szCs w:val="28"/>
        </w:rPr>
        <w:t xml:space="preserve"> </w:t>
      </w:r>
      <w:r w:rsidR="00EC52C8" w:rsidRPr="003442D0">
        <w:rPr>
          <w:sz w:val="28"/>
          <w:szCs w:val="28"/>
        </w:rPr>
        <w:t>01</w:t>
      </w:r>
      <w:r w:rsidRPr="003442D0">
        <w:rPr>
          <w:sz w:val="28"/>
          <w:szCs w:val="28"/>
        </w:rPr>
        <w:t xml:space="preserve">Nghị định của Chính phủ </w:t>
      </w:r>
      <w:r w:rsidR="007C4D76" w:rsidRPr="003442D0">
        <w:rPr>
          <w:sz w:val="28"/>
          <w:szCs w:val="28"/>
        </w:rPr>
        <w:t>liên quan đến dự thảo Nghị định.</w:t>
      </w:r>
    </w:p>
    <w:p w:rsidR="007C4D76" w:rsidRPr="003442D0" w:rsidRDefault="007C4D76" w:rsidP="00CB3906">
      <w:pPr>
        <w:spacing w:before="120" w:after="120" w:line="320" w:lineRule="exact"/>
        <w:ind w:firstLineChars="202" w:firstLine="566"/>
        <w:jc w:val="both"/>
        <w:rPr>
          <w:sz w:val="28"/>
          <w:szCs w:val="28"/>
        </w:rPr>
      </w:pPr>
      <w:r w:rsidRPr="003442D0">
        <w:rPr>
          <w:sz w:val="28"/>
          <w:szCs w:val="28"/>
        </w:rPr>
        <w:t>b) Kết quả cụ thể</w:t>
      </w:r>
      <w:r w:rsidR="00B61678" w:rsidRPr="003442D0">
        <w:rPr>
          <w:sz w:val="28"/>
          <w:szCs w:val="28"/>
        </w:rPr>
        <w:t>:</w:t>
      </w:r>
    </w:p>
    <w:p w:rsidR="007C4D76" w:rsidRPr="003442D0" w:rsidRDefault="007C4D76" w:rsidP="00CB3906">
      <w:pPr>
        <w:spacing w:before="120" w:after="120" w:line="320" w:lineRule="exact"/>
        <w:ind w:firstLineChars="202" w:firstLine="566"/>
        <w:jc w:val="both"/>
        <w:rPr>
          <w:sz w:val="28"/>
          <w:szCs w:val="28"/>
        </w:rPr>
      </w:pPr>
      <w:r w:rsidRPr="003442D0">
        <w:rPr>
          <w:sz w:val="28"/>
          <w:szCs w:val="28"/>
        </w:rPr>
        <w:t>Qua rà soát, Bộ Tài chính nhận thấy các nội dung chính sách của dự thảo Nghị định thống nhất với các văn bản quy phạm pháp luật đã được ban hành, cụ thể như sau:</w:t>
      </w:r>
    </w:p>
    <w:p w:rsidR="00B61D03" w:rsidRPr="003442D0" w:rsidRDefault="00B61D03" w:rsidP="00CB3906">
      <w:pPr>
        <w:spacing w:before="120" w:after="120" w:line="320" w:lineRule="exact"/>
        <w:ind w:firstLineChars="202" w:firstLine="566"/>
        <w:jc w:val="both"/>
        <w:rPr>
          <w:sz w:val="28"/>
          <w:szCs w:val="28"/>
        </w:rPr>
      </w:pPr>
      <w:r w:rsidRPr="003442D0">
        <w:rPr>
          <w:sz w:val="28"/>
          <w:szCs w:val="28"/>
        </w:rPr>
        <w:t>- Tính hợp hiến, hợp pháp, thống nhất và đồng bộ:</w:t>
      </w:r>
    </w:p>
    <w:p w:rsidR="007C4D76" w:rsidRPr="003442D0" w:rsidRDefault="00B61D03" w:rsidP="00CB3906">
      <w:pPr>
        <w:spacing w:before="120" w:after="120" w:line="320" w:lineRule="exact"/>
        <w:ind w:firstLineChars="202" w:firstLine="566"/>
        <w:jc w:val="both"/>
        <w:rPr>
          <w:sz w:val="28"/>
          <w:szCs w:val="28"/>
        </w:rPr>
      </w:pPr>
      <w:r w:rsidRPr="003442D0">
        <w:rPr>
          <w:sz w:val="28"/>
          <w:szCs w:val="28"/>
        </w:rPr>
        <w:t xml:space="preserve">Nội dung dự thảo Nghị định tuân thủ quy định của Hiến pháp, pháp luật về đầu tư công, </w:t>
      </w:r>
      <w:proofErr w:type="gramStart"/>
      <w:r w:rsidRPr="003442D0">
        <w:rPr>
          <w:sz w:val="28"/>
          <w:szCs w:val="28"/>
        </w:rPr>
        <w:t>ngân</w:t>
      </w:r>
      <w:proofErr w:type="gramEnd"/>
      <w:r w:rsidRPr="003442D0">
        <w:rPr>
          <w:sz w:val="28"/>
          <w:szCs w:val="28"/>
        </w:rPr>
        <w:t xml:space="preserve"> sách nhà nước. Do vậy, </w:t>
      </w:r>
      <w:r w:rsidR="007C4D76" w:rsidRPr="003442D0">
        <w:rPr>
          <w:sz w:val="28"/>
          <w:szCs w:val="28"/>
        </w:rPr>
        <w:t>dự thảo Nghị định đảm bảo tính</w:t>
      </w:r>
      <w:r w:rsidRPr="003442D0">
        <w:rPr>
          <w:sz w:val="28"/>
          <w:szCs w:val="28"/>
        </w:rPr>
        <w:t xml:space="preserve"> hợp hiến, hợp pháp,</w:t>
      </w:r>
      <w:r w:rsidR="007C4D76" w:rsidRPr="003442D0">
        <w:rPr>
          <w:sz w:val="28"/>
          <w:szCs w:val="28"/>
        </w:rPr>
        <w:t xml:space="preserve"> thống nhất</w:t>
      </w:r>
      <w:r w:rsidRPr="003442D0">
        <w:rPr>
          <w:sz w:val="28"/>
          <w:szCs w:val="28"/>
        </w:rPr>
        <w:t>, đồng bộ với hệ thống pháp luật hiện hành</w:t>
      </w:r>
      <w:r w:rsidR="007C4D76" w:rsidRPr="003442D0">
        <w:rPr>
          <w:sz w:val="28"/>
          <w:szCs w:val="28"/>
        </w:rPr>
        <w:t>.</w:t>
      </w:r>
    </w:p>
    <w:p w:rsidR="007C4D76" w:rsidRPr="003442D0" w:rsidRDefault="007C4D76" w:rsidP="00CB3906">
      <w:pPr>
        <w:spacing w:before="120" w:after="120" w:line="320" w:lineRule="exact"/>
        <w:ind w:firstLineChars="202" w:firstLine="566"/>
        <w:jc w:val="both"/>
        <w:rPr>
          <w:sz w:val="28"/>
          <w:szCs w:val="28"/>
        </w:rPr>
      </w:pPr>
      <w:r w:rsidRPr="003442D0">
        <w:rPr>
          <w:sz w:val="28"/>
          <w:szCs w:val="28"/>
        </w:rPr>
        <w:t>- Về tính phù hợp, khả thi</w:t>
      </w:r>
      <w:r w:rsidR="00B61678" w:rsidRPr="003442D0">
        <w:rPr>
          <w:sz w:val="28"/>
          <w:szCs w:val="28"/>
        </w:rPr>
        <w:t>:</w:t>
      </w:r>
    </w:p>
    <w:p w:rsidR="007C4D76" w:rsidRPr="003442D0" w:rsidRDefault="007C4D76" w:rsidP="00CB3906">
      <w:pPr>
        <w:spacing w:before="120" w:after="120" w:line="320" w:lineRule="exact"/>
        <w:ind w:firstLineChars="202" w:firstLine="566"/>
        <w:jc w:val="both"/>
        <w:rPr>
          <w:sz w:val="28"/>
          <w:szCs w:val="28"/>
        </w:rPr>
      </w:pPr>
      <w:r w:rsidRPr="003442D0">
        <w:rPr>
          <w:sz w:val="28"/>
          <w:szCs w:val="28"/>
        </w:rPr>
        <w:t>Các nội dung chính sách của dự thảo Nghị định cơ bản bảo đảm tính phù hợp, khả thi và đáp ứng được yêu cầu của thực tiễn, giải quyết kịp thời các vấn đề vướng mắc</w:t>
      </w:r>
      <w:r w:rsidR="003F42B0" w:rsidRPr="003442D0">
        <w:rPr>
          <w:sz w:val="28"/>
          <w:szCs w:val="28"/>
        </w:rPr>
        <w:t xml:space="preserve">, đề xuất, kiến nghị của các </w:t>
      </w:r>
      <w:r w:rsidR="004874D7" w:rsidRPr="003442D0">
        <w:rPr>
          <w:sz w:val="28"/>
          <w:szCs w:val="28"/>
        </w:rPr>
        <w:t>ngân hàng thương mại</w:t>
      </w:r>
      <w:r w:rsidRPr="003442D0">
        <w:rPr>
          <w:sz w:val="28"/>
          <w:szCs w:val="28"/>
        </w:rPr>
        <w:t xml:space="preserve"> trong quá trình triển khai</w:t>
      </w:r>
      <w:r w:rsidR="00227D17" w:rsidRPr="003442D0">
        <w:rPr>
          <w:sz w:val="28"/>
          <w:szCs w:val="28"/>
        </w:rPr>
        <w:t xml:space="preserve"> thực hiện</w:t>
      </w:r>
      <w:r w:rsidR="004874D7" w:rsidRPr="003442D0">
        <w:rPr>
          <w:sz w:val="28"/>
          <w:szCs w:val="28"/>
        </w:rPr>
        <w:t xml:space="preserve"> việc</w:t>
      </w:r>
      <w:r w:rsidR="00B41646">
        <w:rPr>
          <w:sz w:val="28"/>
          <w:szCs w:val="28"/>
        </w:rPr>
        <w:t xml:space="preserve"> </w:t>
      </w:r>
      <w:r w:rsidR="004874D7" w:rsidRPr="003442D0">
        <w:rPr>
          <w:sz w:val="28"/>
          <w:szCs w:val="28"/>
        </w:rPr>
        <w:t>thanh toán, quyết toán vốn ngân sách nhà nước để cấp bù lãi suấ</w:t>
      </w:r>
      <w:r w:rsidR="00835F34">
        <w:rPr>
          <w:sz w:val="28"/>
          <w:szCs w:val="28"/>
        </w:rPr>
        <w:t>t</w:t>
      </w:r>
      <w:r w:rsidRPr="003442D0">
        <w:rPr>
          <w:sz w:val="28"/>
          <w:szCs w:val="28"/>
        </w:rPr>
        <w:t>.</w:t>
      </w:r>
    </w:p>
    <w:p w:rsidR="00970B51" w:rsidRDefault="00970B51" w:rsidP="00CB3906">
      <w:pPr>
        <w:spacing w:before="120" w:after="120" w:line="320" w:lineRule="exact"/>
        <w:ind w:firstLineChars="202" w:firstLine="566"/>
        <w:jc w:val="both"/>
        <w:rPr>
          <w:sz w:val="28"/>
          <w:szCs w:val="28"/>
        </w:rPr>
      </w:pPr>
      <w:r w:rsidRPr="003442D0">
        <w:rPr>
          <w:sz w:val="28"/>
          <w:szCs w:val="28"/>
        </w:rPr>
        <w:t>(Chi tiết n</w:t>
      </w:r>
      <w:r w:rsidR="00947534" w:rsidRPr="003442D0">
        <w:rPr>
          <w:sz w:val="28"/>
          <w:szCs w:val="28"/>
        </w:rPr>
        <w:t>ộ</w:t>
      </w:r>
      <w:r w:rsidRPr="003442D0">
        <w:rPr>
          <w:sz w:val="28"/>
          <w:szCs w:val="28"/>
        </w:rPr>
        <w:t xml:space="preserve">i dung đánh giá tại Phụ lục kèm </w:t>
      </w:r>
      <w:proofErr w:type="gramStart"/>
      <w:r w:rsidRPr="003442D0">
        <w:rPr>
          <w:sz w:val="28"/>
          <w:szCs w:val="28"/>
        </w:rPr>
        <w:t>theo</w:t>
      </w:r>
      <w:proofErr w:type="gramEnd"/>
      <w:r w:rsidRPr="003442D0">
        <w:rPr>
          <w:sz w:val="28"/>
          <w:szCs w:val="28"/>
        </w:rPr>
        <w:t>)</w:t>
      </w:r>
    </w:p>
    <w:p w:rsidR="00CB3906" w:rsidRPr="003442D0" w:rsidRDefault="00CB3906" w:rsidP="00CB3906">
      <w:pPr>
        <w:spacing w:before="120" w:after="120" w:line="320" w:lineRule="exact"/>
        <w:ind w:firstLineChars="202" w:firstLine="566"/>
        <w:jc w:val="both"/>
        <w:rPr>
          <w:sz w:val="28"/>
          <w:szCs w:val="28"/>
        </w:rPr>
      </w:pPr>
    </w:p>
    <w:p w:rsidR="007C4D76" w:rsidRPr="003442D0" w:rsidRDefault="007C4D76" w:rsidP="00CB3906">
      <w:pPr>
        <w:spacing w:before="120" w:after="120" w:line="320" w:lineRule="exact"/>
        <w:ind w:firstLineChars="202" w:firstLine="568"/>
        <w:rPr>
          <w:b/>
          <w:bCs/>
          <w:iCs/>
          <w:sz w:val="28"/>
          <w:szCs w:val="28"/>
        </w:rPr>
      </w:pPr>
      <w:r w:rsidRPr="003442D0">
        <w:rPr>
          <w:b/>
          <w:iCs/>
          <w:sz w:val="28"/>
          <w:szCs w:val="28"/>
        </w:rPr>
        <w:lastRenderedPageBreak/>
        <w:t>3. Điều ước quốc tế có liên quan đến dự thảo Nghị định</w:t>
      </w:r>
    </w:p>
    <w:p w:rsidR="007C4D76" w:rsidRPr="003442D0" w:rsidRDefault="007C4D76" w:rsidP="00CB3906">
      <w:pPr>
        <w:spacing w:before="120" w:after="120" w:line="320" w:lineRule="exact"/>
        <w:ind w:firstLineChars="202" w:firstLine="566"/>
        <w:jc w:val="both"/>
        <w:rPr>
          <w:sz w:val="28"/>
          <w:szCs w:val="28"/>
        </w:rPr>
      </w:pPr>
      <w:r w:rsidRPr="003442D0">
        <w:rPr>
          <w:sz w:val="28"/>
          <w:szCs w:val="28"/>
        </w:rPr>
        <w:t xml:space="preserve">Nội dung tại dự thảo Nghị định </w:t>
      </w:r>
      <w:r w:rsidR="00A527F5" w:rsidRPr="003442D0">
        <w:rPr>
          <w:sz w:val="28"/>
          <w:szCs w:val="28"/>
        </w:rPr>
        <w:t>không có nội dung liên quan đến các điều ước quốc tế.</w:t>
      </w:r>
    </w:p>
    <w:p w:rsidR="00464B77" w:rsidRPr="003442D0" w:rsidRDefault="00464B77" w:rsidP="00CB3906">
      <w:pPr>
        <w:pStyle w:val="normal-p"/>
        <w:widowControl w:val="0"/>
        <w:spacing w:before="120" w:after="120" w:line="320" w:lineRule="exact"/>
        <w:ind w:firstLine="567"/>
        <w:jc w:val="both"/>
        <w:rPr>
          <w:rFonts w:eastAsia="MS Mincho"/>
          <w:bCs/>
          <w:spacing w:val="4"/>
          <w:sz w:val="28"/>
          <w:szCs w:val="28"/>
          <w:lang w:val="it-IT" w:eastAsia="ja-JP"/>
        </w:rPr>
      </w:pPr>
      <w:r w:rsidRPr="003442D0">
        <w:rPr>
          <w:spacing w:val="1"/>
          <w:sz w:val="28"/>
          <w:szCs w:val="28"/>
          <w:lang w:val="nb-NO"/>
        </w:rPr>
        <w:t>Bộ Tài chính kính báo cáo Chính phủ, Thủ tướng Chính phủ</w:t>
      </w:r>
      <w:r w:rsidRPr="003442D0">
        <w:rPr>
          <w:bCs/>
          <w:spacing w:val="1"/>
          <w:sz w:val="28"/>
          <w:szCs w:val="28"/>
          <w:lang w:val="nb-NO"/>
        </w:rPr>
        <w:t>.</w:t>
      </w:r>
      <w:r w:rsidRPr="003442D0">
        <w:rPr>
          <w:bCs/>
          <w:sz w:val="28"/>
          <w:szCs w:val="28"/>
          <w:lang w:val="nb-NO"/>
        </w:rPr>
        <w:t>/</w:t>
      </w:r>
    </w:p>
    <w:p w:rsidR="003F227D" w:rsidRPr="003442D0" w:rsidRDefault="003F227D"/>
    <w:tbl>
      <w:tblPr>
        <w:tblW w:w="0" w:type="auto"/>
        <w:tblLook w:val="01E0"/>
      </w:tblPr>
      <w:tblGrid>
        <w:gridCol w:w="4111"/>
        <w:gridCol w:w="4960"/>
      </w:tblGrid>
      <w:tr w:rsidR="00EF6354" w:rsidRPr="003442D0" w:rsidTr="00B41646">
        <w:tc>
          <w:tcPr>
            <w:tcW w:w="4111" w:type="dxa"/>
          </w:tcPr>
          <w:p w:rsidR="00EF6354" w:rsidRPr="003442D0" w:rsidRDefault="00EF6354" w:rsidP="00B41646">
            <w:pPr>
              <w:pStyle w:val="normal-p"/>
              <w:spacing w:line="264" w:lineRule="auto"/>
              <w:rPr>
                <w:b/>
                <w:i/>
                <w:sz w:val="24"/>
                <w:szCs w:val="24"/>
                <w:lang w:val="nb-NO"/>
              </w:rPr>
            </w:pPr>
            <w:r w:rsidRPr="003442D0">
              <w:rPr>
                <w:b/>
                <w:i/>
                <w:sz w:val="24"/>
                <w:szCs w:val="24"/>
                <w:lang w:val="nb-NO"/>
              </w:rPr>
              <w:t>Nơi nhận:</w:t>
            </w:r>
          </w:p>
          <w:p w:rsidR="00EF6354" w:rsidRPr="003442D0" w:rsidRDefault="00EF6354" w:rsidP="00B41646">
            <w:pPr>
              <w:pStyle w:val="normal-p"/>
              <w:rPr>
                <w:sz w:val="24"/>
                <w:szCs w:val="24"/>
                <w:lang w:val="nb-NO"/>
              </w:rPr>
            </w:pPr>
            <w:r w:rsidRPr="003442D0">
              <w:rPr>
                <w:sz w:val="24"/>
                <w:szCs w:val="24"/>
                <w:lang w:val="nb-NO"/>
              </w:rPr>
              <w:t>- Chính phủ;</w:t>
            </w:r>
          </w:p>
          <w:p w:rsidR="00EF6354" w:rsidRPr="003442D0" w:rsidRDefault="00EF6354" w:rsidP="00B41646">
            <w:pPr>
              <w:pStyle w:val="normal-p"/>
              <w:rPr>
                <w:sz w:val="24"/>
                <w:szCs w:val="24"/>
                <w:lang w:val="vi-VN"/>
              </w:rPr>
            </w:pPr>
            <w:r w:rsidRPr="003442D0">
              <w:rPr>
                <w:sz w:val="24"/>
                <w:szCs w:val="24"/>
                <w:lang w:val="vi-VN"/>
              </w:rPr>
              <w:t>-</w:t>
            </w:r>
            <w:r w:rsidRPr="003442D0">
              <w:rPr>
                <w:sz w:val="24"/>
                <w:szCs w:val="24"/>
              </w:rPr>
              <w:t xml:space="preserve"> Thủ tướng Chính phủ và</w:t>
            </w:r>
            <w:r w:rsidR="00B41646">
              <w:rPr>
                <w:sz w:val="24"/>
                <w:szCs w:val="24"/>
              </w:rPr>
              <w:t xml:space="preserve"> </w:t>
            </w:r>
            <w:r w:rsidRPr="003442D0">
              <w:rPr>
                <w:sz w:val="24"/>
                <w:szCs w:val="24"/>
              </w:rPr>
              <w:t xml:space="preserve">các </w:t>
            </w:r>
            <w:r w:rsidRPr="003442D0">
              <w:rPr>
                <w:sz w:val="24"/>
                <w:szCs w:val="24"/>
                <w:lang w:val="nb-NO"/>
              </w:rPr>
              <w:t>Phó Thủ tướng Chính phủ</w:t>
            </w:r>
            <w:r w:rsidRPr="003442D0">
              <w:rPr>
                <w:sz w:val="24"/>
                <w:szCs w:val="24"/>
                <w:lang w:val="vi-VN"/>
              </w:rPr>
              <w:t>;</w:t>
            </w:r>
          </w:p>
          <w:p w:rsidR="00EF6354" w:rsidRPr="003442D0" w:rsidRDefault="00EF6354" w:rsidP="00B41646">
            <w:pPr>
              <w:ind w:hanging="2"/>
              <w:rPr>
                <w:rFonts w:eastAsia="Times New Roman"/>
                <w:sz w:val="22"/>
                <w:szCs w:val="22"/>
              </w:rPr>
            </w:pPr>
            <w:r w:rsidRPr="003442D0">
              <w:rPr>
                <w:rFonts w:eastAsia="Times New Roman"/>
                <w:sz w:val="22"/>
                <w:szCs w:val="22"/>
              </w:rPr>
              <w:t xml:space="preserve">- Các Bộ, cơ quan Trung ương: VPCP, TP, NNMT, DTTG, XD, CA, </w:t>
            </w:r>
            <w:r w:rsidR="00B41646">
              <w:rPr>
                <w:rFonts w:eastAsia="Times New Roman"/>
                <w:sz w:val="22"/>
                <w:szCs w:val="22"/>
              </w:rPr>
              <w:t>QP, CT</w:t>
            </w:r>
            <w:r w:rsidRPr="003442D0">
              <w:rPr>
                <w:rFonts w:eastAsia="Times New Roman"/>
                <w:sz w:val="22"/>
                <w:szCs w:val="22"/>
              </w:rPr>
              <w:t>, NV, NHNN;</w:t>
            </w:r>
          </w:p>
          <w:p w:rsidR="00EF6354" w:rsidRPr="003442D0" w:rsidRDefault="00EF6354" w:rsidP="00B41646">
            <w:pPr>
              <w:pStyle w:val="normal-p"/>
              <w:rPr>
                <w:sz w:val="28"/>
                <w:szCs w:val="28"/>
                <w:lang w:val="nb-NO"/>
              </w:rPr>
            </w:pPr>
            <w:r w:rsidRPr="003442D0">
              <w:rPr>
                <w:sz w:val="22"/>
                <w:szCs w:val="22"/>
              </w:rPr>
              <w:t>- Bộ Tài chính: Lãnh đạo Bộ, các đơ</w:t>
            </w:r>
            <w:r w:rsidR="00B41646">
              <w:rPr>
                <w:sz w:val="22"/>
                <w:szCs w:val="22"/>
              </w:rPr>
              <w:t>n vị: NSNN, PTHT, PC</w:t>
            </w:r>
            <w:r w:rsidRPr="003442D0">
              <w:rPr>
                <w:sz w:val="22"/>
                <w:szCs w:val="22"/>
              </w:rPr>
              <w:t xml:space="preserve">, </w:t>
            </w:r>
            <w:r w:rsidR="00B41646">
              <w:rPr>
                <w:sz w:val="22"/>
                <w:szCs w:val="22"/>
              </w:rPr>
              <w:t>VP</w:t>
            </w:r>
            <w:r w:rsidRPr="003442D0">
              <w:rPr>
                <w:sz w:val="22"/>
                <w:szCs w:val="22"/>
              </w:rPr>
              <w:t>, CNTT, KBNN;</w:t>
            </w:r>
            <w:r w:rsidRPr="003442D0">
              <w:rPr>
                <w:sz w:val="22"/>
                <w:szCs w:val="22"/>
              </w:rPr>
              <w:br/>
              <w:t xml:space="preserve">- Lưu: VT, </w:t>
            </w:r>
            <w:r w:rsidR="00EC52C8" w:rsidRPr="003442D0">
              <w:rPr>
                <w:sz w:val="22"/>
                <w:szCs w:val="22"/>
              </w:rPr>
              <w:t>ĐCTC</w:t>
            </w:r>
            <w:r w:rsidRPr="003442D0">
              <w:rPr>
                <w:sz w:val="22"/>
                <w:szCs w:val="22"/>
                <w:vertAlign w:val="subscript"/>
              </w:rPr>
              <w:t xml:space="preserve">(  </w:t>
            </w:r>
            <w:r w:rsidR="00B41646">
              <w:rPr>
                <w:sz w:val="22"/>
                <w:szCs w:val="22"/>
                <w:vertAlign w:val="subscript"/>
              </w:rPr>
              <w:t xml:space="preserve"> </w:t>
            </w:r>
            <w:r w:rsidRPr="003442D0">
              <w:rPr>
                <w:sz w:val="22"/>
                <w:szCs w:val="22"/>
                <w:vertAlign w:val="subscript"/>
              </w:rPr>
              <w:t>b)</w:t>
            </w:r>
          </w:p>
        </w:tc>
        <w:tc>
          <w:tcPr>
            <w:tcW w:w="4960" w:type="dxa"/>
          </w:tcPr>
          <w:p w:rsidR="00EF6354" w:rsidRPr="003442D0" w:rsidRDefault="00EF6354" w:rsidP="00B41646">
            <w:pPr>
              <w:pStyle w:val="normal-p"/>
              <w:jc w:val="center"/>
              <w:rPr>
                <w:b/>
                <w:sz w:val="26"/>
                <w:szCs w:val="26"/>
                <w:lang w:val="nb-NO"/>
              </w:rPr>
            </w:pPr>
            <w:r w:rsidRPr="003442D0">
              <w:rPr>
                <w:b/>
                <w:sz w:val="26"/>
                <w:szCs w:val="26"/>
                <w:lang w:val="nb-NO"/>
              </w:rPr>
              <w:t>KT. BỘ TRƯỞNG</w:t>
            </w:r>
          </w:p>
          <w:p w:rsidR="00EF6354" w:rsidRPr="003442D0" w:rsidRDefault="00EF6354" w:rsidP="00B41646">
            <w:pPr>
              <w:pStyle w:val="normal-p"/>
              <w:jc w:val="center"/>
              <w:rPr>
                <w:b/>
                <w:sz w:val="26"/>
                <w:szCs w:val="26"/>
                <w:lang w:val="nb-NO"/>
              </w:rPr>
            </w:pPr>
            <w:r w:rsidRPr="003442D0">
              <w:rPr>
                <w:b/>
                <w:sz w:val="26"/>
                <w:szCs w:val="26"/>
                <w:lang w:val="nb-NO"/>
              </w:rPr>
              <w:t>THỨ TRƯỞNG</w:t>
            </w:r>
          </w:p>
          <w:p w:rsidR="00EF6354" w:rsidRPr="003442D0" w:rsidRDefault="00EF6354" w:rsidP="00B41646">
            <w:pPr>
              <w:pStyle w:val="normal-p"/>
              <w:spacing w:before="60" w:line="264" w:lineRule="auto"/>
              <w:jc w:val="center"/>
              <w:rPr>
                <w:b/>
                <w:sz w:val="28"/>
                <w:szCs w:val="28"/>
                <w:lang w:val="nb-NO"/>
              </w:rPr>
            </w:pPr>
          </w:p>
          <w:p w:rsidR="00EF6354" w:rsidRPr="003442D0" w:rsidRDefault="00EF6354" w:rsidP="00B41646">
            <w:pPr>
              <w:pStyle w:val="normal-p"/>
              <w:spacing w:before="60" w:line="264" w:lineRule="auto"/>
              <w:jc w:val="center"/>
              <w:rPr>
                <w:b/>
                <w:sz w:val="28"/>
                <w:szCs w:val="28"/>
                <w:lang w:val="nb-NO"/>
              </w:rPr>
            </w:pPr>
          </w:p>
          <w:p w:rsidR="00EF6354" w:rsidRPr="003442D0" w:rsidRDefault="00EF6354" w:rsidP="00B41646">
            <w:pPr>
              <w:pStyle w:val="normal-p"/>
              <w:spacing w:before="60" w:line="264" w:lineRule="auto"/>
              <w:jc w:val="center"/>
              <w:rPr>
                <w:b/>
                <w:sz w:val="28"/>
                <w:szCs w:val="28"/>
                <w:lang w:val="nb-NO"/>
              </w:rPr>
            </w:pPr>
          </w:p>
          <w:p w:rsidR="00EF6354" w:rsidRPr="003442D0" w:rsidRDefault="00EF6354" w:rsidP="00B41646">
            <w:pPr>
              <w:pStyle w:val="normal-p"/>
              <w:spacing w:before="60" w:line="264" w:lineRule="auto"/>
              <w:jc w:val="center"/>
              <w:rPr>
                <w:b/>
                <w:sz w:val="28"/>
                <w:szCs w:val="28"/>
                <w:lang w:val="nb-NO"/>
              </w:rPr>
            </w:pPr>
          </w:p>
          <w:p w:rsidR="00EF6354" w:rsidRPr="003442D0" w:rsidRDefault="00B41646" w:rsidP="00B41646">
            <w:pPr>
              <w:pStyle w:val="normal-p"/>
              <w:spacing w:before="60" w:line="264" w:lineRule="auto"/>
              <w:jc w:val="center"/>
              <w:rPr>
                <w:b/>
                <w:bCs/>
                <w:sz w:val="28"/>
                <w:szCs w:val="28"/>
                <w:lang w:val="nb-NO"/>
              </w:rPr>
            </w:pPr>
            <w:r>
              <w:rPr>
                <w:b/>
                <w:bCs/>
                <w:sz w:val="28"/>
                <w:szCs w:val="28"/>
                <w:lang w:val="nb-NO"/>
              </w:rPr>
              <w:t>Nguyễn Đức Ch</w:t>
            </w:r>
            <w:r w:rsidR="00EC52C8" w:rsidRPr="003442D0">
              <w:rPr>
                <w:b/>
                <w:bCs/>
                <w:sz w:val="28"/>
                <w:szCs w:val="28"/>
                <w:lang w:val="nb-NO"/>
              </w:rPr>
              <w:t>i</w:t>
            </w:r>
          </w:p>
        </w:tc>
      </w:tr>
    </w:tbl>
    <w:p w:rsidR="007C4D76" w:rsidRPr="003442D0" w:rsidRDefault="007C4D76"/>
    <w:p w:rsidR="007C4D76" w:rsidRPr="003442D0" w:rsidRDefault="007C4D76"/>
    <w:p w:rsidR="007C4D76" w:rsidRPr="003442D0" w:rsidRDefault="007C4D76">
      <w:pPr>
        <w:sectPr w:rsidR="007C4D76" w:rsidRPr="003442D0" w:rsidSect="00D63F64">
          <w:headerReference w:type="default" r:id="rId7"/>
          <w:pgSz w:w="11906" w:h="16838"/>
          <w:pgMar w:top="1134" w:right="1134" w:bottom="1134" w:left="1701" w:header="709" w:footer="709" w:gutter="0"/>
          <w:cols w:space="720"/>
          <w:titlePg/>
          <w:docGrid w:linePitch="360"/>
        </w:sectPr>
      </w:pPr>
    </w:p>
    <w:p w:rsidR="007C4D76" w:rsidRPr="003442D0" w:rsidRDefault="007C4D76" w:rsidP="007C4D76">
      <w:pPr>
        <w:spacing w:before="120"/>
        <w:jc w:val="center"/>
        <w:rPr>
          <w:b/>
          <w:bCs/>
          <w:sz w:val="28"/>
          <w:szCs w:val="28"/>
        </w:rPr>
      </w:pPr>
      <w:r w:rsidRPr="003442D0">
        <w:rPr>
          <w:b/>
          <w:bCs/>
          <w:sz w:val="28"/>
          <w:szCs w:val="28"/>
        </w:rPr>
        <w:lastRenderedPageBreak/>
        <w:t>Phụ lục</w:t>
      </w:r>
    </w:p>
    <w:p w:rsidR="007C4D76" w:rsidRPr="003442D0" w:rsidRDefault="007C4D76" w:rsidP="007C4D76">
      <w:pPr>
        <w:spacing w:before="120"/>
        <w:jc w:val="center"/>
        <w:rPr>
          <w:bCs/>
          <w:i/>
          <w:sz w:val="28"/>
          <w:szCs w:val="28"/>
        </w:rPr>
      </w:pPr>
      <w:r w:rsidRPr="003442D0">
        <w:rPr>
          <w:bCs/>
          <w:i/>
          <w:sz w:val="28"/>
          <w:szCs w:val="28"/>
        </w:rPr>
        <w:t xml:space="preserve">(Kèm </w:t>
      </w:r>
      <w:proofErr w:type="gramStart"/>
      <w:r w:rsidRPr="003442D0">
        <w:rPr>
          <w:bCs/>
          <w:i/>
          <w:sz w:val="28"/>
          <w:szCs w:val="28"/>
        </w:rPr>
        <w:t>theo</w:t>
      </w:r>
      <w:proofErr w:type="gramEnd"/>
      <w:r w:rsidRPr="003442D0">
        <w:rPr>
          <w:bCs/>
          <w:i/>
          <w:sz w:val="28"/>
          <w:szCs w:val="28"/>
        </w:rPr>
        <w:t xml:space="preserve"> </w:t>
      </w:r>
      <w:r w:rsidR="00227D17" w:rsidRPr="003442D0">
        <w:rPr>
          <w:bCs/>
          <w:i/>
          <w:sz w:val="28"/>
          <w:szCs w:val="28"/>
        </w:rPr>
        <w:t>B</w:t>
      </w:r>
      <w:r w:rsidRPr="003442D0">
        <w:rPr>
          <w:bCs/>
          <w:i/>
          <w:sz w:val="28"/>
          <w:szCs w:val="28"/>
        </w:rPr>
        <w:t xml:space="preserve">áo cáo số       /BC-BTC ngày      tháng </w:t>
      </w:r>
      <w:r w:rsidR="00CB3906">
        <w:rPr>
          <w:bCs/>
          <w:i/>
          <w:sz w:val="28"/>
          <w:szCs w:val="28"/>
        </w:rPr>
        <w:t xml:space="preserve">   </w:t>
      </w:r>
      <w:r w:rsidRPr="003442D0">
        <w:rPr>
          <w:bCs/>
          <w:i/>
          <w:sz w:val="28"/>
          <w:szCs w:val="28"/>
        </w:rPr>
        <w:t xml:space="preserve"> năm 2025 của Bộ Tài chính)</w:t>
      </w:r>
    </w:p>
    <w:p w:rsidR="00033914" w:rsidRPr="003442D0" w:rsidRDefault="00033914" w:rsidP="007C4D76">
      <w:pPr>
        <w:spacing w:before="120"/>
        <w:jc w:val="center"/>
        <w:rPr>
          <w:bCs/>
          <w:iCs/>
          <w:sz w:val="16"/>
          <w:szCs w:val="16"/>
          <w:vertAlign w:val="superscript"/>
        </w:rPr>
      </w:pPr>
      <w:r w:rsidRPr="003442D0">
        <w:rPr>
          <w:bCs/>
          <w:iCs/>
          <w:sz w:val="16"/>
          <w:szCs w:val="16"/>
          <w:vertAlign w:val="superscript"/>
        </w:rPr>
        <w:t>_________________________________________</w:t>
      </w:r>
    </w:p>
    <w:p w:rsidR="005D4D8E" w:rsidRPr="003442D0" w:rsidRDefault="005D4D8E" w:rsidP="007C4D76">
      <w:pPr>
        <w:spacing w:before="120"/>
        <w:rPr>
          <w:b/>
          <w:bCs/>
        </w:rPr>
      </w:pPr>
    </w:p>
    <w:p w:rsidR="007C4D76" w:rsidRPr="001D2667" w:rsidRDefault="007C4D76" w:rsidP="00D74204">
      <w:pPr>
        <w:spacing w:before="120" w:after="120"/>
        <w:rPr>
          <w:b/>
          <w:bCs/>
          <w:sz w:val="26"/>
          <w:szCs w:val="26"/>
        </w:rPr>
      </w:pPr>
      <w:r w:rsidRPr="001D2667">
        <w:rPr>
          <w:b/>
          <w:bCs/>
          <w:sz w:val="26"/>
          <w:szCs w:val="26"/>
        </w:rPr>
        <w:t>1. Chủ trương, đường lối của Đảng có liên quan đến chính sách/dự thảo</w:t>
      </w:r>
    </w:p>
    <w:tbl>
      <w:tblPr>
        <w:tblOverlap w:val="never"/>
        <w:tblW w:w="508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tblPr>
      <w:tblGrid>
        <w:gridCol w:w="4762"/>
        <w:gridCol w:w="5588"/>
        <w:gridCol w:w="2383"/>
        <w:gridCol w:w="2104"/>
      </w:tblGrid>
      <w:tr w:rsidR="007C4D76" w:rsidRPr="003442D0" w:rsidTr="00CB3906">
        <w:trPr>
          <w:tblHeader/>
        </w:trPr>
        <w:tc>
          <w:tcPr>
            <w:tcW w:w="1605" w:type="pct"/>
            <w:shd w:val="clear" w:color="auto" w:fill="FFFFFF"/>
            <w:vAlign w:val="center"/>
          </w:tcPr>
          <w:p w:rsidR="007C4D76" w:rsidRPr="003442D0" w:rsidRDefault="007C4D76" w:rsidP="001D2667">
            <w:pPr>
              <w:spacing w:before="60" w:after="60"/>
              <w:ind w:left="142" w:right="144"/>
              <w:jc w:val="center"/>
              <w:rPr>
                <w:b/>
                <w:bCs/>
              </w:rPr>
            </w:pPr>
            <w:r w:rsidRPr="003442D0">
              <w:rPr>
                <w:b/>
                <w:bCs/>
              </w:rPr>
              <w:t xml:space="preserve">CHỦ TRƯƠNG, ĐƯỜNG </w:t>
            </w:r>
          </w:p>
          <w:p w:rsidR="007C4D76" w:rsidRPr="003442D0" w:rsidRDefault="007C4D76" w:rsidP="001D2667">
            <w:pPr>
              <w:spacing w:before="60" w:after="60"/>
              <w:ind w:left="142" w:right="144"/>
              <w:jc w:val="center"/>
              <w:rPr>
                <w:b/>
                <w:bCs/>
              </w:rPr>
            </w:pPr>
            <w:r w:rsidRPr="003442D0">
              <w:rPr>
                <w:b/>
                <w:bCs/>
              </w:rPr>
              <w:t>LỐI CỦA ĐẢNG</w:t>
            </w:r>
          </w:p>
        </w:tc>
        <w:tc>
          <w:tcPr>
            <w:tcW w:w="1883" w:type="pct"/>
            <w:shd w:val="clear" w:color="auto" w:fill="FFFFFF"/>
            <w:vAlign w:val="center"/>
          </w:tcPr>
          <w:p w:rsidR="007C4D76" w:rsidRPr="003442D0" w:rsidRDefault="007C4D76" w:rsidP="001D2667">
            <w:pPr>
              <w:spacing w:before="60" w:after="60"/>
              <w:ind w:left="140" w:right="136"/>
              <w:jc w:val="center"/>
              <w:rPr>
                <w:b/>
                <w:bCs/>
              </w:rPr>
            </w:pPr>
            <w:r w:rsidRPr="003442D0">
              <w:rPr>
                <w:b/>
                <w:bCs/>
              </w:rPr>
              <w:t>DỰ THẢO NGHỊ ĐỊNH</w:t>
            </w:r>
          </w:p>
        </w:tc>
        <w:tc>
          <w:tcPr>
            <w:tcW w:w="803" w:type="pct"/>
            <w:shd w:val="clear" w:color="auto" w:fill="FFFFFF"/>
            <w:vAlign w:val="center"/>
          </w:tcPr>
          <w:p w:rsidR="007C4D76" w:rsidRPr="003442D0" w:rsidRDefault="007C4D76" w:rsidP="001D2667">
            <w:pPr>
              <w:spacing w:before="60" w:after="60"/>
              <w:ind w:left="142" w:right="144"/>
              <w:jc w:val="center"/>
              <w:rPr>
                <w:b/>
                <w:bCs/>
              </w:rPr>
            </w:pPr>
            <w:r w:rsidRPr="003442D0">
              <w:rPr>
                <w:b/>
                <w:bCs/>
              </w:rPr>
              <w:t>ĐÁNH GIÁ</w:t>
            </w:r>
            <w:r w:rsidRPr="003442D0">
              <w:rPr>
                <w:b/>
                <w:bCs/>
              </w:rPr>
              <w:br/>
              <w:t>(Đã thể chế đầy đủ hoặc một phần)</w:t>
            </w:r>
          </w:p>
        </w:tc>
        <w:tc>
          <w:tcPr>
            <w:tcW w:w="709" w:type="pct"/>
            <w:shd w:val="clear" w:color="auto" w:fill="FFFFFF"/>
            <w:vAlign w:val="center"/>
          </w:tcPr>
          <w:p w:rsidR="007C4D76" w:rsidRPr="003442D0" w:rsidRDefault="007C4D76" w:rsidP="001D2667">
            <w:pPr>
              <w:spacing w:before="60" w:after="60"/>
              <w:jc w:val="center"/>
              <w:rPr>
                <w:b/>
                <w:bCs/>
              </w:rPr>
            </w:pPr>
            <w:r w:rsidRPr="003442D0">
              <w:rPr>
                <w:b/>
                <w:bCs/>
              </w:rPr>
              <w:t>ĐỀ XUẤT XỬ LÝ</w:t>
            </w:r>
          </w:p>
        </w:tc>
      </w:tr>
      <w:tr w:rsidR="00C91E50" w:rsidRPr="003442D0" w:rsidTr="00CB3906">
        <w:tc>
          <w:tcPr>
            <w:tcW w:w="1605" w:type="pct"/>
            <w:shd w:val="clear" w:color="auto" w:fill="FFFFFF"/>
          </w:tcPr>
          <w:p w:rsidR="00C91E50" w:rsidRPr="003442D0" w:rsidRDefault="00C91E50" w:rsidP="00B41646">
            <w:pPr>
              <w:spacing w:before="60"/>
              <w:ind w:left="142" w:right="144"/>
              <w:jc w:val="both"/>
            </w:pPr>
            <w:r w:rsidRPr="003442D0">
              <w:rPr>
                <w:rFonts w:eastAsia="Calibri"/>
                <w:lang w:val="nl-NL"/>
              </w:rPr>
              <w:t xml:space="preserve">Quy định số 178-QĐ/TW ngày 27/6/2024 của Bộ Chính trị quy định về kiểm soát quyền lực, phòng, chống tham nhũng, tiêu cực trong công tác xây dựng pháp luật. </w:t>
            </w:r>
          </w:p>
        </w:tc>
        <w:tc>
          <w:tcPr>
            <w:tcW w:w="1883" w:type="pct"/>
            <w:shd w:val="clear" w:color="auto" w:fill="FFFFFF"/>
          </w:tcPr>
          <w:p w:rsidR="00C91E50" w:rsidRPr="003442D0" w:rsidRDefault="00C91E50" w:rsidP="00B41646">
            <w:pPr>
              <w:spacing w:before="60"/>
              <w:ind w:left="142" w:right="144"/>
              <w:jc w:val="both"/>
            </w:pPr>
            <w:r w:rsidRPr="003442D0">
              <w:t>Dự thảo Nghị định đã thể chế đầy đủ các nguyên tắc, phương thức kiểm soát quyền lực, phòng, chống tham nhũng, tiêu cực, lợi ích nhóm, cục bộ trong công tác xây dựng pháp luật thông qua các quy định về:</w:t>
            </w:r>
          </w:p>
          <w:p w:rsidR="00C91E50" w:rsidRPr="003442D0" w:rsidRDefault="00C91E50" w:rsidP="00B41646">
            <w:pPr>
              <w:spacing w:before="60"/>
              <w:ind w:left="142" w:right="144"/>
              <w:jc w:val="both"/>
            </w:pPr>
            <w:r w:rsidRPr="003442D0">
              <w:t>- Nguyên tắc quản lý: tuân thủ quy định Hiến pháp, Luật Ngân sách nhà nước, Luật Đầu tư công và các quy định pháp luật chuyên ngành có liên quan; quy định rõ nhiệm vụ, quyền hạn, thẩm quyền của cơ quan trung ương và các đối tượ</w:t>
            </w:r>
            <w:r w:rsidR="00B41646">
              <w:t>ng liên quan</w:t>
            </w:r>
            <w:r w:rsidRPr="003442D0">
              <w:t>; sử dụng nguồn lực tiết kiệm, hiệu quả, tránh thất thoát, lãng phí; thực hiện công khai, minh bạch trong thanh toán, quyết toán vốn ngân sách nhà nước để cấp bù lãi suất</w:t>
            </w:r>
            <w:r w:rsidR="00835F34">
              <w:t>.</w:t>
            </w:r>
          </w:p>
          <w:p w:rsidR="00C91E50" w:rsidRPr="003442D0" w:rsidRDefault="00C91E50" w:rsidP="00B41646">
            <w:pPr>
              <w:spacing w:before="60"/>
              <w:ind w:left="142" w:right="144"/>
              <w:jc w:val="both"/>
            </w:pPr>
            <w:r w:rsidRPr="003442D0">
              <w:t>- Trong phân bổ, sử dụng nguồn lực, đặc biệt là nguồn lực ngân sách nhà nước phải rõ tiêu chí, rõ đối tượng để ngăn chặn tham nhũng, tiêu cực, tránh thất thoát, lãng phí nguồn lực.</w:t>
            </w:r>
          </w:p>
          <w:p w:rsidR="00C91E50" w:rsidRPr="003442D0" w:rsidRDefault="00C91E50" w:rsidP="00B41646">
            <w:pPr>
              <w:spacing w:before="60"/>
              <w:ind w:left="142" w:right="144"/>
              <w:jc w:val="both"/>
            </w:pPr>
            <w:r w:rsidRPr="003442D0">
              <w:t>- Ban hành các cơ chế theo hướng đơn giản quy trình, thủ tục để người dân có thể tham gia thực hiện các chương trình.</w:t>
            </w:r>
          </w:p>
          <w:p w:rsidR="00C91E50" w:rsidRDefault="00C91E50" w:rsidP="00B41646">
            <w:pPr>
              <w:spacing w:before="60"/>
              <w:ind w:left="140" w:right="136"/>
              <w:jc w:val="both"/>
            </w:pPr>
            <w:r w:rsidRPr="003442D0">
              <w:t>- Phân công, phân cấp rõ trách nhiệm của các Bộ</w:t>
            </w:r>
            <w:r w:rsidR="00B41646">
              <w:t>, cơ quan</w:t>
            </w:r>
            <w:r w:rsidRPr="003442D0">
              <w:t>.</w:t>
            </w:r>
          </w:p>
          <w:p w:rsidR="001D2667" w:rsidRPr="003442D0" w:rsidRDefault="001D2667" w:rsidP="001D2667">
            <w:pPr>
              <w:spacing w:before="60"/>
              <w:ind w:right="136"/>
              <w:jc w:val="both"/>
            </w:pPr>
          </w:p>
        </w:tc>
        <w:tc>
          <w:tcPr>
            <w:tcW w:w="803" w:type="pct"/>
            <w:shd w:val="clear" w:color="auto" w:fill="FFFFFF"/>
          </w:tcPr>
          <w:p w:rsidR="00C91E50" w:rsidRPr="003442D0" w:rsidRDefault="00C91E50" w:rsidP="00B41646">
            <w:pPr>
              <w:spacing w:before="60"/>
              <w:ind w:left="142" w:right="144"/>
              <w:jc w:val="both"/>
            </w:pPr>
            <w:r w:rsidRPr="003442D0">
              <w:t>Thể chế hóa đầy đủ</w:t>
            </w:r>
          </w:p>
        </w:tc>
        <w:tc>
          <w:tcPr>
            <w:tcW w:w="709" w:type="pct"/>
            <w:shd w:val="clear" w:color="auto" w:fill="FFFFFF"/>
          </w:tcPr>
          <w:p w:rsidR="00C91E50" w:rsidRPr="003442D0" w:rsidRDefault="00C91E50" w:rsidP="00B41646">
            <w:pPr>
              <w:spacing w:before="60"/>
              <w:ind w:left="146" w:right="104"/>
              <w:jc w:val="both"/>
            </w:pPr>
            <w:r w:rsidRPr="003442D0">
              <w:t>Nội dung quy định tại dự thảo Nghị định.</w:t>
            </w:r>
          </w:p>
        </w:tc>
      </w:tr>
      <w:tr w:rsidR="007C4D76" w:rsidRPr="003442D0" w:rsidTr="00CB3906">
        <w:tc>
          <w:tcPr>
            <w:tcW w:w="1605" w:type="pct"/>
            <w:shd w:val="clear" w:color="auto" w:fill="FFFFFF"/>
          </w:tcPr>
          <w:p w:rsidR="007C4D76" w:rsidRPr="003442D0" w:rsidRDefault="007C4D76" w:rsidP="00B41646">
            <w:pPr>
              <w:spacing w:before="60"/>
              <w:ind w:left="142" w:right="144"/>
              <w:jc w:val="both"/>
            </w:pPr>
            <w:r w:rsidRPr="003442D0">
              <w:lastRenderedPageBreak/>
              <w:t>Nghị quyết số 66-NQ/TW ngày 30/4/2025 của Bộ Chính trị về đổi mới công tác xây dựng và thi hành pháp luật đáp ứng yêu cầu phát triển đất nước trong kỷ nguyên mới</w:t>
            </w:r>
            <w:r w:rsidR="0065542F" w:rsidRPr="003442D0">
              <w:t>.</w:t>
            </w:r>
          </w:p>
          <w:p w:rsidR="0065542F" w:rsidRPr="003442D0" w:rsidRDefault="0065542F" w:rsidP="00B41646">
            <w:pPr>
              <w:spacing w:before="60"/>
              <w:ind w:left="142" w:right="144"/>
              <w:jc w:val="both"/>
            </w:pPr>
            <w:r w:rsidRPr="003442D0">
              <w:rPr>
                <w:bCs/>
                <w:spacing w:val="-2"/>
              </w:rPr>
              <w:t>Kết luận số 119-KL/TW ngày 20/01/2025 của Bộ Chính trị về định hướng đổi mới, hoàn thiện quy trình xây dựng pháp luật.</w:t>
            </w:r>
          </w:p>
        </w:tc>
        <w:tc>
          <w:tcPr>
            <w:tcW w:w="1883" w:type="pct"/>
            <w:shd w:val="clear" w:color="auto" w:fill="FFFFFF"/>
          </w:tcPr>
          <w:p w:rsidR="007C4D76" w:rsidRPr="003442D0" w:rsidRDefault="009646BD" w:rsidP="00B41646">
            <w:pPr>
              <w:spacing w:before="60"/>
              <w:ind w:left="140" w:right="136"/>
              <w:jc w:val="both"/>
            </w:pPr>
            <w:r w:rsidRPr="003442D0">
              <w:t xml:space="preserve">Nội dung dự thảo Nghị định đảm bảo thực hiện mục tiêu dân chủ, công bằng, đồng bộ, thống nhất, công khai, minh bạch, khả thi với cơ chế tổ chức thực hiện nghiêm minh, nhất quán, bảo đảm cơ sở pháp lý để </w:t>
            </w:r>
            <w:r w:rsidR="00C13F88" w:rsidRPr="003442D0">
              <w:t>thanh toán, quyết toán vốn ngân sách nhà nước để cấp bù lãi suấ</w:t>
            </w:r>
            <w:r w:rsidR="00835F34">
              <w:t>t cho</w:t>
            </w:r>
            <w:r w:rsidR="00C13F88" w:rsidRPr="003442D0">
              <w:t xml:space="preserve"> các ngân hàng thương mại thực hiện các chính sách tín dụng ưu đãi của nhà nước</w:t>
            </w:r>
            <w:r w:rsidRPr="003442D0">
              <w:t xml:space="preserve"> theo đúng chủ trương tại Nghị quyết số 66-NQ/TW.</w:t>
            </w:r>
          </w:p>
        </w:tc>
        <w:tc>
          <w:tcPr>
            <w:tcW w:w="803" w:type="pct"/>
            <w:shd w:val="clear" w:color="auto" w:fill="FFFFFF"/>
          </w:tcPr>
          <w:p w:rsidR="007C4D76" w:rsidRPr="003442D0" w:rsidRDefault="001C0186" w:rsidP="00B41646">
            <w:pPr>
              <w:spacing w:before="60"/>
              <w:ind w:left="142" w:right="144"/>
              <w:jc w:val="both"/>
            </w:pPr>
            <w:r w:rsidRPr="003442D0">
              <w:t>T</w:t>
            </w:r>
            <w:r w:rsidR="009646BD" w:rsidRPr="003442D0">
              <w:t>hể chế</w:t>
            </w:r>
            <w:r w:rsidR="00C91E50" w:rsidRPr="003442D0">
              <w:t xml:space="preserve"> hóa</w:t>
            </w:r>
            <w:r w:rsidR="009646BD" w:rsidRPr="003442D0">
              <w:t xml:space="preserve"> đầy đủ</w:t>
            </w:r>
          </w:p>
        </w:tc>
        <w:tc>
          <w:tcPr>
            <w:tcW w:w="709" w:type="pct"/>
            <w:shd w:val="clear" w:color="auto" w:fill="FFFFFF"/>
          </w:tcPr>
          <w:p w:rsidR="007C4D76" w:rsidRPr="003442D0" w:rsidRDefault="009646BD" w:rsidP="00B41646">
            <w:pPr>
              <w:spacing w:before="60"/>
              <w:ind w:left="146" w:right="104"/>
              <w:jc w:val="both"/>
            </w:pPr>
            <w:r w:rsidRPr="003442D0">
              <w:t>Nội dung quy định tại dự thảo Nghị định.</w:t>
            </w:r>
          </w:p>
        </w:tc>
      </w:tr>
      <w:tr w:rsidR="001C0AB8" w:rsidRPr="003442D0" w:rsidTr="00CB3906">
        <w:tc>
          <w:tcPr>
            <w:tcW w:w="1605" w:type="pct"/>
            <w:shd w:val="clear" w:color="auto" w:fill="FFFFFF"/>
          </w:tcPr>
          <w:p w:rsidR="001C0AB8" w:rsidRPr="003442D0" w:rsidRDefault="003B2951" w:rsidP="00B41646">
            <w:pPr>
              <w:spacing w:before="60"/>
              <w:ind w:left="142" w:right="144"/>
              <w:jc w:val="both"/>
            </w:pPr>
            <w:r w:rsidRPr="003442D0">
              <w:t xml:space="preserve">Nghị quyết số </w:t>
            </w:r>
            <w:r w:rsidR="001A31F8" w:rsidRPr="003442D0">
              <w:t>26</w:t>
            </w:r>
            <w:r w:rsidRPr="003442D0">
              <w:t xml:space="preserve">-NQ/TW ngày </w:t>
            </w:r>
            <w:r w:rsidR="001A31F8" w:rsidRPr="003442D0">
              <w:t>05</w:t>
            </w:r>
            <w:r w:rsidR="00D352A2" w:rsidRPr="003442D0">
              <w:t>/</w:t>
            </w:r>
            <w:r w:rsidR="001A31F8" w:rsidRPr="003442D0">
              <w:t>8</w:t>
            </w:r>
            <w:r w:rsidR="00D352A2" w:rsidRPr="003442D0">
              <w:t>/</w:t>
            </w:r>
            <w:r w:rsidR="001A31F8" w:rsidRPr="003442D0">
              <w:t>2008</w:t>
            </w:r>
            <w:r w:rsidRPr="003442D0">
              <w:t xml:space="preserve"> của </w:t>
            </w:r>
            <w:r w:rsidR="001A31F8" w:rsidRPr="003442D0">
              <w:t>Ban Chấp hành Trung ương Đảng khóa X về nông nghiệp, nông dân, nông thôn</w:t>
            </w:r>
            <w:r w:rsidRPr="003442D0">
              <w:t>.</w:t>
            </w:r>
          </w:p>
        </w:tc>
        <w:tc>
          <w:tcPr>
            <w:tcW w:w="1883" w:type="pct"/>
            <w:shd w:val="clear" w:color="auto" w:fill="FFFFFF"/>
          </w:tcPr>
          <w:p w:rsidR="001C0AB8" w:rsidRPr="003442D0" w:rsidRDefault="003B2951" w:rsidP="00B41646">
            <w:pPr>
              <w:spacing w:before="60"/>
              <w:ind w:left="140" w:right="136"/>
              <w:jc w:val="both"/>
            </w:pPr>
            <w:r w:rsidRPr="003442D0">
              <w:t xml:space="preserve">Dự thảo Nghị định đã thể chế hóa </w:t>
            </w:r>
            <w:r w:rsidR="006B4ADE" w:rsidRPr="003442D0">
              <w:t xml:space="preserve">nhiệm vụ giải pháp tiếp tục dành nguồn vốn tín dụng ưu đãi và khuyến khích các ngân hàng, định chế tài chính cho vay đối với nông nghiệp, nông thôn </w:t>
            </w:r>
            <w:r w:rsidRPr="003442D0">
              <w:t>để thực hiện chủ trương theo Nghị quyết số 68-NQ/TW.</w:t>
            </w:r>
          </w:p>
        </w:tc>
        <w:tc>
          <w:tcPr>
            <w:tcW w:w="803" w:type="pct"/>
            <w:shd w:val="clear" w:color="auto" w:fill="FFFFFF"/>
          </w:tcPr>
          <w:p w:rsidR="001C0AB8" w:rsidRPr="003442D0" w:rsidRDefault="008217DD" w:rsidP="00B41646">
            <w:pPr>
              <w:spacing w:before="60"/>
              <w:ind w:left="142" w:right="144"/>
              <w:jc w:val="both"/>
            </w:pPr>
            <w:r w:rsidRPr="003442D0">
              <w:t>Thể chế hóa đầy đủ.</w:t>
            </w:r>
          </w:p>
        </w:tc>
        <w:tc>
          <w:tcPr>
            <w:tcW w:w="709" w:type="pct"/>
            <w:shd w:val="clear" w:color="auto" w:fill="FFFFFF"/>
          </w:tcPr>
          <w:p w:rsidR="001C0AB8" w:rsidRPr="003442D0" w:rsidRDefault="008217DD" w:rsidP="00B41646">
            <w:pPr>
              <w:spacing w:before="60"/>
              <w:ind w:left="146" w:right="104"/>
              <w:jc w:val="both"/>
            </w:pPr>
            <w:r w:rsidRPr="003442D0">
              <w:t>Nội dung quy định tại dự thảo Nghị định.</w:t>
            </w:r>
          </w:p>
        </w:tc>
      </w:tr>
      <w:tr w:rsidR="006B4ADE" w:rsidRPr="003442D0" w:rsidTr="00CB3906">
        <w:tc>
          <w:tcPr>
            <w:tcW w:w="1605" w:type="pct"/>
            <w:shd w:val="clear" w:color="auto" w:fill="FFFFFF"/>
          </w:tcPr>
          <w:p w:rsidR="006B4ADE" w:rsidRPr="003442D0" w:rsidRDefault="006B4ADE" w:rsidP="00B41646">
            <w:pPr>
              <w:spacing w:before="60"/>
              <w:ind w:left="142" w:right="144"/>
              <w:jc w:val="both"/>
            </w:pPr>
            <w:r w:rsidRPr="003442D0">
              <w:t>Nghị quyết số 19-NQ/TW ngày 16/6/2022 của Hội nghị lần thứ năm Ban Chấp hành Trung ương Đảng khóa XIII về nông nghiệp, nông dân, nông thôn đến năm 2030, tầm nhìn đến năm 2045</w:t>
            </w:r>
            <w:r w:rsidR="00C91E50" w:rsidRPr="003442D0">
              <w:t>.</w:t>
            </w:r>
          </w:p>
        </w:tc>
        <w:tc>
          <w:tcPr>
            <w:tcW w:w="1883" w:type="pct"/>
            <w:shd w:val="clear" w:color="auto" w:fill="FFFFFF"/>
          </w:tcPr>
          <w:p w:rsidR="006B4ADE" w:rsidRPr="003442D0" w:rsidRDefault="006B4ADE" w:rsidP="00B41646">
            <w:pPr>
              <w:spacing w:before="60"/>
              <w:ind w:left="140" w:right="136"/>
              <w:jc w:val="both"/>
            </w:pPr>
            <w:r w:rsidRPr="003442D0">
              <w:t xml:space="preserve">Dự thảo Nghị định đã </w:t>
            </w:r>
            <w:r w:rsidR="00C91E50" w:rsidRPr="003442D0">
              <w:t>thể chế hóa nhiệm vụ giải pháp tiếp tục dành nguồn vốn tín dụng ưu đãi, khuyến khích các tổ chức tín dụng cho vay đối với nông nghiệp, nông dân, nông thôn để thực hiện chủ trương theo Nghị quyết số 19-NQ/TW.</w:t>
            </w:r>
          </w:p>
        </w:tc>
        <w:tc>
          <w:tcPr>
            <w:tcW w:w="803" w:type="pct"/>
            <w:shd w:val="clear" w:color="auto" w:fill="FFFFFF"/>
          </w:tcPr>
          <w:p w:rsidR="006B4ADE" w:rsidRPr="003442D0" w:rsidRDefault="006B4ADE" w:rsidP="00B41646">
            <w:pPr>
              <w:spacing w:before="60"/>
              <w:ind w:left="142" w:right="144"/>
              <w:jc w:val="both"/>
            </w:pPr>
            <w:r w:rsidRPr="003442D0">
              <w:t>Thể chế hóa đầy đủ.</w:t>
            </w:r>
          </w:p>
        </w:tc>
        <w:tc>
          <w:tcPr>
            <w:tcW w:w="709" w:type="pct"/>
            <w:shd w:val="clear" w:color="auto" w:fill="FFFFFF"/>
          </w:tcPr>
          <w:p w:rsidR="006B4ADE" w:rsidRPr="003442D0" w:rsidRDefault="00C91E50" w:rsidP="00B41646">
            <w:pPr>
              <w:spacing w:before="60"/>
              <w:ind w:left="146" w:right="104"/>
              <w:jc w:val="both"/>
            </w:pPr>
            <w:r w:rsidRPr="003442D0">
              <w:t>Nội dung quy định tại dự thảo Nghị định.</w:t>
            </w:r>
          </w:p>
        </w:tc>
      </w:tr>
      <w:tr w:rsidR="00C91E50" w:rsidRPr="003442D0" w:rsidTr="00CB3906">
        <w:tc>
          <w:tcPr>
            <w:tcW w:w="1605" w:type="pct"/>
            <w:shd w:val="clear" w:color="auto" w:fill="FFFFFF"/>
          </w:tcPr>
          <w:p w:rsidR="00C91E50" w:rsidRPr="003442D0" w:rsidRDefault="00C91E50" w:rsidP="00B41646">
            <w:pPr>
              <w:spacing w:before="60"/>
              <w:ind w:left="142" w:right="144"/>
              <w:jc w:val="both"/>
            </w:pPr>
            <w:r w:rsidRPr="003442D0">
              <w:rPr>
                <w:rFonts w:eastAsia="Calibri"/>
              </w:rPr>
              <w:t>Nghị quyết số 68-NQ/TW ngày 4/5/2025 của Bộ Chính trị về phát triển kinh tế tư nhân</w:t>
            </w:r>
          </w:p>
        </w:tc>
        <w:tc>
          <w:tcPr>
            <w:tcW w:w="1883" w:type="pct"/>
            <w:shd w:val="clear" w:color="auto" w:fill="FFFFFF"/>
          </w:tcPr>
          <w:p w:rsidR="00C91E50" w:rsidRPr="003442D0" w:rsidRDefault="00C91E50" w:rsidP="00B41646">
            <w:pPr>
              <w:spacing w:before="60"/>
              <w:ind w:left="140" w:right="136"/>
              <w:jc w:val="both"/>
            </w:pPr>
            <w:r w:rsidRPr="003442D0">
              <w:t>Dự thảo Nghị định đã thể chế hóa cơ chế</w:t>
            </w:r>
            <w:r w:rsidR="00835F34">
              <w:t xml:space="preserve"> cấp bù</w:t>
            </w:r>
            <w:r w:rsidRPr="003442D0">
              <w:t xml:space="preserve"> lãi suất và khuyến khích các tổ chức tín dụng giảm lãi suất cho doanh nghiệp tư nhân vay để triển khai các dự án xanh, tuần hoàn và áp dụng khung tiêu chuẩn môi trường, xã hội, quản trị (ESG).</w:t>
            </w:r>
          </w:p>
        </w:tc>
        <w:tc>
          <w:tcPr>
            <w:tcW w:w="803" w:type="pct"/>
            <w:shd w:val="clear" w:color="auto" w:fill="FFFFFF"/>
          </w:tcPr>
          <w:p w:rsidR="00C91E50" w:rsidRPr="003442D0" w:rsidRDefault="00C91E50" w:rsidP="00B41646">
            <w:pPr>
              <w:spacing w:before="60"/>
              <w:ind w:left="142" w:right="144"/>
              <w:jc w:val="both"/>
            </w:pPr>
            <w:r w:rsidRPr="003442D0">
              <w:t>Thể chế hóa đầy đủ.</w:t>
            </w:r>
          </w:p>
        </w:tc>
        <w:tc>
          <w:tcPr>
            <w:tcW w:w="709" w:type="pct"/>
            <w:shd w:val="clear" w:color="auto" w:fill="FFFFFF"/>
          </w:tcPr>
          <w:p w:rsidR="00C91E50" w:rsidRPr="003442D0" w:rsidRDefault="00C91E50" w:rsidP="00B41646">
            <w:pPr>
              <w:spacing w:before="60"/>
              <w:ind w:left="146" w:right="104"/>
              <w:jc w:val="both"/>
            </w:pPr>
            <w:r w:rsidRPr="003442D0">
              <w:t>Nội dung quy định tại dự thảo Nghị định.</w:t>
            </w:r>
          </w:p>
        </w:tc>
      </w:tr>
    </w:tbl>
    <w:p w:rsidR="007C4D76" w:rsidRPr="003442D0" w:rsidRDefault="00DD7D1D" w:rsidP="007C4D76">
      <w:pPr>
        <w:rPr>
          <w:b/>
        </w:rPr>
      </w:pPr>
      <w:r w:rsidRPr="003442D0">
        <w:rPr>
          <w:b/>
        </w:rPr>
        <w:tab/>
      </w:r>
      <w:r w:rsidRPr="003442D0">
        <w:rPr>
          <w:b/>
        </w:rPr>
        <w:tab/>
      </w:r>
    </w:p>
    <w:p w:rsidR="00D74204" w:rsidRPr="003442D0" w:rsidRDefault="00D74204">
      <w:pPr>
        <w:spacing w:after="160" w:line="278" w:lineRule="auto"/>
        <w:rPr>
          <w:b/>
        </w:rPr>
      </w:pPr>
      <w:r w:rsidRPr="003442D0">
        <w:rPr>
          <w:b/>
        </w:rPr>
        <w:br w:type="page"/>
      </w:r>
    </w:p>
    <w:p w:rsidR="007C4D76" w:rsidRPr="003442D0" w:rsidRDefault="007C4D76" w:rsidP="007C4D76">
      <w:pPr>
        <w:rPr>
          <w:b/>
        </w:rPr>
      </w:pPr>
      <w:r w:rsidRPr="003442D0">
        <w:rPr>
          <w:b/>
        </w:rPr>
        <w:lastRenderedPageBreak/>
        <w:t>2. Văn bản quy phạm pháp luật có liên quan đến dự thảo Nghị định:</w:t>
      </w:r>
    </w:p>
    <w:p w:rsidR="00555759" w:rsidRPr="003442D0" w:rsidRDefault="00555759" w:rsidP="007C4D76">
      <w:pPr>
        <w:rPr>
          <w:b/>
        </w:rPr>
      </w:pPr>
    </w:p>
    <w:tbl>
      <w:tblPr>
        <w:tblOverlap w:val="never"/>
        <w:tblW w:w="50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tblPr>
      <w:tblGrid>
        <w:gridCol w:w="4678"/>
        <w:gridCol w:w="4685"/>
        <w:gridCol w:w="3140"/>
        <w:gridCol w:w="2127"/>
      </w:tblGrid>
      <w:tr w:rsidR="007C4D76" w:rsidRPr="003442D0" w:rsidTr="004610FF">
        <w:trPr>
          <w:tblHeader/>
        </w:trPr>
        <w:tc>
          <w:tcPr>
            <w:tcW w:w="1599" w:type="pct"/>
            <w:tcBorders>
              <w:bottom w:val="single" w:sz="2" w:space="0" w:color="auto"/>
            </w:tcBorders>
            <w:shd w:val="clear" w:color="auto" w:fill="FFFFFF"/>
            <w:vAlign w:val="center"/>
          </w:tcPr>
          <w:p w:rsidR="007C4D76" w:rsidRPr="003442D0" w:rsidRDefault="007C4D76" w:rsidP="00B41646">
            <w:pPr>
              <w:ind w:left="139" w:right="141"/>
              <w:jc w:val="center"/>
              <w:rPr>
                <w:b/>
                <w:bCs/>
              </w:rPr>
            </w:pPr>
            <w:r w:rsidRPr="003442D0">
              <w:rPr>
                <w:b/>
                <w:bCs/>
              </w:rPr>
              <w:t>QUY ĐỊNH CỦA PHÁP LUẬT HIỆN HÀNH CÓ LIÊN QUAN</w:t>
            </w:r>
          </w:p>
        </w:tc>
        <w:tc>
          <w:tcPr>
            <w:tcW w:w="1601" w:type="pct"/>
            <w:tcBorders>
              <w:bottom w:val="single" w:sz="2" w:space="0" w:color="auto"/>
            </w:tcBorders>
            <w:shd w:val="clear" w:color="auto" w:fill="FFFFFF"/>
            <w:vAlign w:val="center"/>
          </w:tcPr>
          <w:p w:rsidR="007C4D76" w:rsidRPr="003442D0" w:rsidRDefault="007C4D76" w:rsidP="00B41646">
            <w:pPr>
              <w:ind w:left="143" w:right="140"/>
              <w:jc w:val="center"/>
              <w:rPr>
                <w:b/>
                <w:bCs/>
              </w:rPr>
            </w:pPr>
            <w:r w:rsidRPr="003442D0">
              <w:rPr>
                <w:b/>
                <w:bCs/>
              </w:rPr>
              <w:t>DỰ THẢO NGHỊ ĐỊNH</w:t>
            </w:r>
          </w:p>
        </w:tc>
        <w:tc>
          <w:tcPr>
            <w:tcW w:w="1073" w:type="pct"/>
            <w:tcBorders>
              <w:bottom w:val="single" w:sz="2" w:space="0" w:color="auto"/>
            </w:tcBorders>
            <w:shd w:val="clear" w:color="auto" w:fill="FFFFFF"/>
            <w:vAlign w:val="center"/>
          </w:tcPr>
          <w:p w:rsidR="007C4D76" w:rsidRPr="003442D0" w:rsidRDefault="007C4D76" w:rsidP="00B41646">
            <w:pPr>
              <w:ind w:left="144" w:right="141"/>
              <w:jc w:val="center"/>
              <w:rPr>
                <w:b/>
                <w:bCs/>
              </w:rPr>
            </w:pPr>
            <w:r w:rsidRPr="003442D0">
              <w:rPr>
                <w:b/>
                <w:bCs/>
              </w:rPr>
              <w:t>ĐÁNH GIÁ</w:t>
            </w:r>
            <w:r w:rsidRPr="003442D0">
              <w:rPr>
                <w:b/>
                <w:bCs/>
              </w:rPr>
              <w:br/>
              <w:t>(Tính hợp hiến, tính hợp pháp, tính thống nhất của dự thảo Nghị định)</w:t>
            </w:r>
          </w:p>
        </w:tc>
        <w:tc>
          <w:tcPr>
            <w:tcW w:w="727" w:type="pct"/>
            <w:tcBorders>
              <w:bottom w:val="single" w:sz="2" w:space="0" w:color="auto"/>
            </w:tcBorders>
            <w:shd w:val="clear" w:color="auto" w:fill="FFFFFF"/>
            <w:vAlign w:val="center"/>
          </w:tcPr>
          <w:p w:rsidR="007C4D76" w:rsidRPr="003442D0" w:rsidRDefault="007C4D76" w:rsidP="00B41646">
            <w:pPr>
              <w:ind w:left="144" w:right="110"/>
              <w:jc w:val="center"/>
              <w:rPr>
                <w:b/>
                <w:bCs/>
              </w:rPr>
            </w:pPr>
            <w:r w:rsidRPr="003442D0">
              <w:rPr>
                <w:b/>
                <w:bCs/>
              </w:rPr>
              <w:t>ĐỀ XUẤT XỬ LÝ</w:t>
            </w:r>
          </w:p>
        </w:tc>
      </w:tr>
      <w:tr w:rsidR="004610FF" w:rsidRPr="003442D0" w:rsidTr="00EC52C8">
        <w:trPr>
          <w:trHeight w:val="346"/>
        </w:trPr>
        <w:tc>
          <w:tcPr>
            <w:tcW w:w="5000" w:type="pct"/>
            <w:gridSpan w:val="4"/>
            <w:tcBorders>
              <w:bottom w:val="single" w:sz="4" w:space="0" w:color="auto"/>
            </w:tcBorders>
            <w:shd w:val="clear" w:color="auto" w:fill="FFFFFF"/>
          </w:tcPr>
          <w:p w:rsidR="004610FF" w:rsidRPr="003442D0" w:rsidRDefault="004610FF" w:rsidP="00B41646">
            <w:pPr>
              <w:ind w:left="139" w:right="141"/>
              <w:jc w:val="both"/>
              <w:rPr>
                <w:rFonts w:eastAsia="Calibri"/>
                <w:b/>
                <w:lang w:val="nl-NL"/>
              </w:rPr>
            </w:pPr>
            <w:r w:rsidRPr="003442D0">
              <w:rPr>
                <w:rFonts w:eastAsia="Calibri"/>
                <w:b/>
                <w:lang w:val="nl-NL"/>
              </w:rPr>
              <w:t>I. Các Luật</w:t>
            </w:r>
          </w:p>
        </w:tc>
      </w:tr>
      <w:tr w:rsidR="003C6823" w:rsidRPr="003442D0" w:rsidTr="00EC52C8">
        <w:trPr>
          <w:trHeight w:val="608"/>
        </w:trPr>
        <w:tc>
          <w:tcPr>
            <w:tcW w:w="1599" w:type="pct"/>
            <w:tcBorders>
              <w:top w:val="single" w:sz="4" w:space="0" w:color="auto"/>
              <w:left w:val="single" w:sz="4" w:space="0" w:color="auto"/>
              <w:bottom w:val="nil"/>
              <w:right w:val="nil"/>
            </w:tcBorders>
            <w:shd w:val="clear" w:color="auto" w:fill="FFFFFF"/>
          </w:tcPr>
          <w:p w:rsidR="003C6823" w:rsidRPr="003442D0" w:rsidRDefault="00C507AC" w:rsidP="00B41646">
            <w:pPr>
              <w:ind w:left="139" w:right="141"/>
              <w:jc w:val="both"/>
              <w:rPr>
                <w:rFonts w:eastAsia="Calibri"/>
                <w:b/>
                <w:lang w:val="nl-NL"/>
              </w:rPr>
            </w:pPr>
            <w:r w:rsidRPr="003442D0">
              <w:rPr>
                <w:rFonts w:eastAsia="Calibri"/>
                <w:b/>
                <w:lang w:val="nl-NL"/>
              </w:rPr>
              <w:t xml:space="preserve">1. </w:t>
            </w:r>
            <w:r w:rsidR="003C6823" w:rsidRPr="003442D0">
              <w:rPr>
                <w:rFonts w:eastAsia="Calibri"/>
                <w:b/>
                <w:lang w:val="nl-NL"/>
              </w:rPr>
              <w:t>Luật Đầu tư công số 58/2024/QH15 (được sửa đổi, bổ sung tại Luật số 90/2025/QH15</w:t>
            </w:r>
          </w:p>
        </w:tc>
        <w:tc>
          <w:tcPr>
            <w:tcW w:w="1601" w:type="pct"/>
            <w:tcBorders>
              <w:top w:val="single" w:sz="4" w:space="0" w:color="auto"/>
              <w:left w:val="nil"/>
              <w:bottom w:val="nil"/>
              <w:right w:val="nil"/>
            </w:tcBorders>
            <w:shd w:val="clear" w:color="auto" w:fill="FFFFFF"/>
          </w:tcPr>
          <w:p w:rsidR="003C6823" w:rsidRPr="003442D0" w:rsidRDefault="003C6823" w:rsidP="00B41646">
            <w:pPr>
              <w:ind w:left="143" w:right="140"/>
            </w:pPr>
          </w:p>
          <w:p w:rsidR="003C6823" w:rsidRPr="003442D0" w:rsidRDefault="003C6823" w:rsidP="00B41646">
            <w:pPr>
              <w:ind w:right="140"/>
              <w:jc w:val="both"/>
            </w:pPr>
          </w:p>
        </w:tc>
        <w:tc>
          <w:tcPr>
            <w:tcW w:w="1073" w:type="pct"/>
            <w:vMerge w:val="restart"/>
            <w:tcBorders>
              <w:top w:val="single" w:sz="4" w:space="0" w:color="auto"/>
              <w:left w:val="nil"/>
              <w:bottom w:val="nil"/>
              <w:right w:val="nil"/>
            </w:tcBorders>
            <w:shd w:val="clear" w:color="auto" w:fill="FFFFFF"/>
          </w:tcPr>
          <w:p w:rsidR="003C6823" w:rsidRPr="003442D0" w:rsidRDefault="003C6823" w:rsidP="00B41646">
            <w:pPr>
              <w:ind w:left="144" w:right="141"/>
              <w:jc w:val="both"/>
            </w:pPr>
            <w:r w:rsidRPr="003442D0">
              <w:t>Dự thảo Nghị định đảm bảo tính hợp pháp, tính thống nhất với quy định của Luật Đầu tư công.</w:t>
            </w:r>
          </w:p>
        </w:tc>
        <w:tc>
          <w:tcPr>
            <w:tcW w:w="727" w:type="pct"/>
            <w:tcBorders>
              <w:top w:val="single" w:sz="4" w:space="0" w:color="auto"/>
              <w:left w:val="nil"/>
              <w:bottom w:val="nil"/>
              <w:right w:val="single" w:sz="4" w:space="0" w:color="auto"/>
            </w:tcBorders>
            <w:shd w:val="clear" w:color="auto" w:fill="FFFFFF"/>
          </w:tcPr>
          <w:p w:rsidR="003C6823" w:rsidRPr="003442D0" w:rsidRDefault="003C6823" w:rsidP="00B41646">
            <w:pPr>
              <w:ind w:left="144" w:right="110"/>
              <w:jc w:val="center"/>
            </w:pPr>
          </w:p>
        </w:tc>
      </w:tr>
      <w:tr w:rsidR="003C6823" w:rsidRPr="003442D0" w:rsidTr="00EC52C8">
        <w:tc>
          <w:tcPr>
            <w:tcW w:w="1599" w:type="pct"/>
            <w:tcBorders>
              <w:top w:val="nil"/>
              <w:left w:val="single" w:sz="4" w:space="0" w:color="auto"/>
              <w:bottom w:val="nil"/>
              <w:right w:val="nil"/>
            </w:tcBorders>
            <w:shd w:val="clear" w:color="auto" w:fill="FFFFFF"/>
          </w:tcPr>
          <w:p w:rsidR="003C6823" w:rsidRPr="003442D0" w:rsidRDefault="003C6823" w:rsidP="00B41646">
            <w:pPr>
              <w:ind w:left="142" w:right="142"/>
              <w:jc w:val="both"/>
            </w:pPr>
            <w:r w:rsidRPr="003442D0">
              <w:t xml:space="preserve">- </w:t>
            </w:r>
            <w:r w:rsidR="00396EC6" w:rsidRPr="003442D0">
              <w:t>Kh</w:t>
            </w:r>
            <w:r w:rsidR="009A542A" w:rsidRPr="003442D0">
              <w:t>oản 3 Điều 86</w:t>
            </w:r>
            <w:r w:rsidRPr="003442D0">
              <w:t xml:space="preserve"> Luật quy định </w:t>
            </w:r>
            <w:r w:rsidR="009A542A" w:rsidRPr="003442D0">
              <w:t xml:space="preserve">giao nhiệm vụ Bộ Tài chính: “Chủ trì trình cấp có thẩm quyền ban hành hoặc ban hành theo thẩm quyền quy định về quản lý, thanh toán, quyết toán dự </w:t>
            </w:r>
            <w:proofErr w:type="gramStart"/>
            <w:r w:rsidR="009A542A" w:rsidRPr="003442D0">
              <w:t>án</w:t>
            </w:r>
            <w:proofErr w:type="gramEnd"/>
            <w:r w:rsidR="009A542A" w:rsidRPr="003442D0">
              <w:t xml:space="preserve"> sử dụng vốn đầu tư công”.</w:t>
            </w:r>
          </w:p>
        </w:tc>
        <w:tc>
          <w:tcPr>
            <w:tcW w:w="1601" w:type="pct"/>
            <w:tcBorders>
              <w:top w:val="nil"/>
              <w:left w:val="nil"/>
              <w:bottom w:val="nil"/>
              <w:right w:val="nil"/>
            </w:tcBorders>
            <w:shd w:val="clear" w:color="auto" w:fill="FFFFFF"/>
          </w:tcPr>
          <w:p w:rsidR="003C6823" w:rsidRPr="003442D0" w:rsidRDefault="003C6823" w:rsidP="00B41646">
            <w:pPr>
              <w:ind w:left="143" w:right="140"/>
              <w:jc w:val="both"/>
            </w:pPr>
            <w:r w:rsidRPr="003442D0">
              <w:t xml:space="preserve">- Tại Điều </w:t>
            </w:r>
            <w:r w:rsidR="009A542A" w:rsidRPr="003442D0">
              <w:t>1</w:t>
            </w:r>
            <w:r w:rsidRPr="003442D0">
              <w:t xml:space="preserve"> quy định </w:t>
            </w:r>
            <w:r w:rsidR="009A542A" w:rsidRPr="003442D0">
              <w:t xml:space="preserve">về </w:t>
            </w:r>
            <w:r w:rsidR="005D2C11">
              <w:t xml:space="preserve">lập kế hoạch, </w:t>
            </w:r>
            <w:r w:rsidR="009A542A" w:rsidRPr="003442D0">
              <w:t xml:space="preserve">thanh toán, quyết toán vốn ngân sách nhà nước </w:t>
            </w:r>
            <w:r w:rsidR="005D2C11">
              <w:t xml:space="preserve">nguồn ngân sách trung ương </w:t>
            </w:r>
            <w:r w:rsidR="009A542A" w:rsidRPr="003442D0">
              <w:t xml:space="preserve">để </w:t>
            </w:r>
            <w:r w:rsidR="001D2667">
              <w:t>cấp bù lãi suất cho</w:t>
            </w:r>
            <w:r w:rsidR="009A542A" w:rsidRPr="003442D0">
              <w:t xml:space="preserve"> các ngân hàng thương mại thực hiện các chính sách tín dụng ưu đãi của nhà nước.</w:t>
            </w:r>
          </w:p>
          <w:p w:rsidR="003C6823" w:rsidRPr="003442D0" w:rsidRDefault="003C6823" w:rsidP="00B41646">
            <w:pPr>
              <w:ind w:right="142"/>
              <w:jc w:val="both"/>
              <w:rPr>
                <w:lang w:val="nl-NL"/>
              </w:rPr>
            </w:pPr>
          </w:p>
        </w:tc>
        <w:tc>
          <w:tcPr>
            <w:tcW w:w="1073" w:type="pct"/>
            <w:vMerge/>
            <w:tcBorders>
              <w:top w:val="nil"/>
              <w:left w:val="nil"/>
              <w:bottom w:val="nil"/>
              <w:right w:val="nil"/>
            </w:tcBorders>
            <w:shd w:val="clear" w:color="auto" w:fill="FFFFFF"/>
          </w:tcPr>
          <w:p w:rsidR="003C6823" w:rsidRPr="003442D0" w:rsidRDefault="003C6823" w:rsidP="00B41646">
            <w:pPr>
              <w:ind w:left="144" w:right="141"/>
              <w:jc w:val="both"/>
            </w:pPr>
          </w:p>
        </w:tc>
        <w:tc>
          <w:tcPr>
            <w:tcW w:w="727" w:type="pct"/>
            <w:tcBorders>
              <w:top w:val="nil"/>
              <w:left w:val="nil"/>
              <w:bottom w:val="nil"/>
              <w:right w:val="single" w:sz="4" w:space="0" w:color="auto"/>
            </w:tcBorders>
            <w:shd w:val="clear" w:color="auto" w:fill="FFFFFF"/>
          </w:tcPr>
          <w:p w:rsidR="003C6823" w:rsidRPr="003442D0" w:rsidRDefault="003C6823" w:rsidP="00B41646">
            <w:pPr>
              <w:ind w:left="144" w:right="110"/>
              <w:jc w:val="center"/>
            </w:pPr>
          </w:p>
        </w:tc>
      </w:tr>
      <w:tr w:rsidR="00DE1C4F" w:rsidRPr="003442D0" w:rsidTr="00EC52C8">
        <w:tc>
          <w:tcPr>
            <w:tcW w:w="1599" w:type="pct"/>
            <w:tcBorders>
              <w:top w:val="nil"/>
              <w:left w:val="single" w:sz="4" w:space="0" w:color="auto"/>
              <w:bottom w:val="nil"/>
              <w:right w:val="nil"/>
            </w:tcBorders>
            <w:shd w:val="clear" w:color="auto" w:fill="FFFFFF"/>
          </w:tcPr>
          <w:p w:rsidR="00670C9F" w:rsidRPr="003442D0" w:rsidRDefault="00670C9F" w:rsidP="00B41646">
            <w:pPr>
              <w:ind w:left="139" w:right="141"/>
              <w:jc w:val="both"/>
            </w:pPr>
            <w:r w:rsidRPr="003442D0">
              <w:t>- Điều 59, 60 của Luật Đầu tư công quy định trình tự lập, phê duyệt, giao kế hoạch đầu tư công trung hạn và hằng năm vốn NSNN.</w:t>
            </w:r>
          </w:p>
          <w:p w:rsidR="00763042" w:rsidRPr="003442D0" w:rsidRDefault="00763042" w:rsidP="00B41646">
            <w:pPr>
              <w:ind w:left="139" w:right="141"/>
              <w:jc w:val="both"/>
            </w:pPr>
            <w:r w:rsidRPr="003442D0">
              <w:t xml:space="preserve">- Khoản 6 Điều 60 Luật quy định: Trước ngày 31/12 hằng năm, các Bộ, cơ quan trung ương và địa phương phân bổ chi tiết mức vốn kế hoạch đầu tư vốn NSTW năm sau, …, gửi phương án phân bổ chi tiết cho Bộ Tài chính để tổng hợp, báo cáo Chính phủ và theo dõi thực hiện. </w:t>
            </w:r>
          </w:p>
          <w:p w:rsidR="00763042" w:rsidRPr="003442D0" w:rsidRDefault="00763042" w:rsidP="00B41646">
            <w:pPr>
              <w:ind w:left="139" w:right="141"/>
              <w:jc w:val="both"/>
            </w:pPr>
            <w:r w:rsidRPr="003442D0">
              <w:t xml:space="preserve">- Điểm a </w:t>
            </w:r>
            <w:r w:rsidR="00670C9F" w:rsidRPr="003442D0">
              <w:t>k</w:t>
            </w:r>
            <w:r w:rsidRPr="003442D0">
              <w:t xml:space="preserve">hoản 1 Điều 69 Luật quy định: Bộ, cơ quan trung ương… có trách nhiệm: Thông báo hoặc quyết định giao kế hoạch đầu tư công cho các cơ quan, đơn vị sử dụng vốn đầu tư công. </w:t>
            </w:r>
          </w:p>
          <w:p w:rsidR="00DE1C4F" w:rsidRPr="003442D0" w:rsidRDefault="00763042" w:rsidP="00B41646">
            <w:pPr>
              <w:ind w:left="139" w:right="141"/>
              <w:jc w:val="both"/>
            </w:pPr>
            <w:r w:rsidRPr="003442D0">
              <w:t xml:space="preserve">- Khoản 2 Điều 68 Luật quy định: Căn cứ quyết định giao kế hoạch của cấp có thẩm quyền, Bộ, cơ quan trung ương … quyết định </w:t>
            </w:r>
            <w:r w:rsidRPr="003442D0">
              <w:lastRenderedPageBreak/>
              <w:t>các giải pháp tổ chức điều hành kế hoạch đầu tư công thuộc nguồn vốn do cấp mình quản lý.</w:t>
            </w:r>
          </w:p>
        </w:tc>
        <w:tc>
          <w:tcPr>
            <w:tcW w:w="1601" w:type="pct"/>
            <w:tcBorders>
              <w:top w:val="nil"/>
              <w:left w:val="nil"/>
              <w:bottom w:val="nil"/>
              <w:right w:val="nil"/>
            </w:tcBorders>
            <w:shd w:val="clear" w:color="auto" w:fill="FFFFFF"/>
          </w:tcPr>
          <w:p w:rsidR="00DE1C4F" w:rsidRPr="003442D0" w:rsidRDefault="008F69D8" w:rsidP="00B41646">
            <w:pPr>
              <w:ind w:left="143" w:right="140"/>
              <w:jc w:val="both"/>
            </w:pPr>
            <w:r w:rsidRPr="003442D0">
              <w:lastRenderedPageBreak/>
              <w:t xml:space="preserve">- Tại Điều </w:t>
            </w:r>
            <w:r w:rsidR="00763042" w:rsidRPr="003442D0">
              <w:t>4</w:t>
            </w:r>
            <w:r w:rsidR="00DF17D5" w:rsidRPr="003442D0">
              <w:t>, Điều 5</w:t>
            </w:r>
            <w:r w:rsidRPr="003442D0">
              <w:t xml:space="preserve"> dự thảo Nghị định quy định </w:t>
            </w:r>
            <w:r w:rsidR="00763042" w:rsidRPr="003442D0">
              <w:t>chi tiết việc lập kế hoạch</w:t>
            </w:r>
            <w:r w:rsidR="00DF17D5" w:rsidRPr="003442D0">
              <w:t xml:space="preserve">, </w:t>
            </w:r>
            <w:r w:rsidR="00763042" w:rsidRPr="003442D0">
              <w:t xml:space="preserve">phân bổ </w:t>
            </w:r>
            <w:r w:rsidR="00DF17D5" w:rsidRPr="003442D0">
              <w:t>và tổ chức điều hành, chấp hành kế hoạch đầu tư công</w:t>
            </w:r>
            <w:r w:rsidR="00763042" w:rsidRPr="003442D0">
              <w:t xml:space="preserve"> để cấp bù lãi</w:t>
            </w:r>
            <w:r w:rsidR="00DF17D5" w:rsidRPr="003442D0">
              <w:t xml:space="preserve"> suất</w:t>
            </w:r>
            <w:r w:rsidR="00B41646">
              <w:t xml:space="preserve"> </w:t>
            </w:r>
            <w:r w:rsidR="00DF17D5" w:rsidRPr="003442D0">
              <w:t>theo quy định tại Luật Đầu tư công và các văn bản hướng dẫn</w:t>
            </w:r>
            <w:r w:rsidR="00763042" w:rsidRPr="003442D0">
              <w:t>.</w:t>
            </w:r>
          </w:p>
        </w:tc>
        <w:tc>
          <w:tcPr>
            <w:tcW w:w="1073" w:type="pct"/>
            <w:tcBorders>
              <w:top w:val="nil"/>
              <w:left w:val="nil"/>
              <w:bottom w:val="nil"/>
              <w:right w:val="nil"/>
            </w:tcBorders>
            <w:shd w:val="clear" w:color="auto" w:fill="FFFFFF"/>
          </w:tcPr>
          <w:p w:rsidR="00DE1C4F" w:rsidRPr="003442D0" w:rsidRDefault="00DE1C4F" w:rsidP="00B41646">
            <w:pPr>
              <w:ind w:left="144" w:right="141"/>
              <w:jc w:val="both"/>
            </w:pPr>
          </w:p>
        </w:tc>
        <w:tc>
          <w:tcPr>
            <w:tcW w:w="727" w:type="pct"/>
            <w:tcBorders>
              <w:top w:val="nil"/>
              <w:left w:val="nil"/>
              <w:bottom w:val="nil"/>
              <w:right w:val="single" w:sz="4" w:space="0" w:color="auto"/>
            </w:tcBorders>
            <w:shd w:val="clear" w:color="auto" w:fill="FFFFFF"/>
          </w:tcPr>
          <w:p w:rsidR="00DE1C4F" w:rsidRPr="003442D0" w:rsidRDefault="00DE1C4F" w:rsidP="00B41646">
            <w:pPr>
              <w:ind w:left="144" w:right="110"/>
              <w:jc w:val="center"/>
            </w:pPr>
          </w:p>
        </w:tc>
      </w:tr>
      <w:tr w:rsidR="003C6823" w:rsidRPr="003442D0" w:rsidTr="009B020B">
        <w:tc>
          <w:tcPr>
            <w:tcW w:w="1599" w:type="pct"/>
            <w:tcBorders>
              <w:top w:val="nil"/>
              <w:left w:val="single" w:sz="4" w:space="0" w:color="auto"/>
              <w:bottom w:val="single" w:sz="4" w:space="0" w:color="auto"/>
              <w:right w:val="nil"/>
            </w:tcBorders>
            <w:shd w:val="clear" w:color="auto" w:fill="FFFFFF"/>
          </w:tcPr>
          <w:p w:rsidR="003C6823" w:rsidRPr="003442D0" w:rsidRDefault="003C6823" w:rsidP="00B41646">
            <w:pPr>
              <w:ind w:left="139" w:right="141"/>
              <w:jc w:val="both"/>
            </w:pPr>
            <w:r w:rsidRPr="003442D0">
              <w:lastRenderedPageBreak/>
              <w:t xml:space="preserve">- </w:t>
            </w:r>
            <w:r w:rsidR="000C4DB1" w:rsidRPr="003442D0">
              <w:t>Điều 70</w:t>
            </w:r>
            <w:r w:rsidRPr="003442D0">
              <w:t xml:space="preserve"> Luật quy định </w:t>
            </w:r>
            <w:r w:rsidR="000C4DB1" w:rsidRPr="003442D0">
              <w:t>trách nhiệm của các Bộ, cơ quan trung ương và địa phương, Uỷ ban nhân dân cấp huyện, cấp xã, cơ quan, đơn vị sử dụng vốn đầu tư công</w:t>
            </w:r>
            <w:r w:rsidRPr="003442D0">
              <w:t>.</w:t>
            </w:r>
          </w:p>
          <w:p w:rsidR="000C4DB1" w:rsidRPr="003442D0" w:rsidRDefault="000C4DB1" w:rsidP="00B41646">
            <w:pPr>
              <w:ind w:left="139" w:right="141"/>
              <w:jc w:val="both"/>
            </w:pPr>
            <w:r w:rsidRPr="003442D0">
              <w:t>- Điều 71 Luật Đầu tư công quy định về điều chỉnh kế hoạch đầu tư công.</w:t>
            </w:r>
          </w:p>
          <w:p w:rsidR="000C4DB1" w:rsidRPr="003442D0" w:rsidRDefault="000C4DB1" w:rsidP="00B41646">
            <w:pPr>
              <w:ind w:left="139" w:right="141"/>
              <w:jc w:val="both"/>
            </w:pPr>
            <w:r w:rsidRPr="003442D0">
              <w:t>- Điều 72 Luật Đầu tư công quy định về thời gian thực hiện và giải ngân vốn kế hoạch đầu tư công hằng năm.</w:t>
            </w:r>
          </w:p>
        </w:tc>
        <w:tc>
          <w:tcPr>
            <w:tcW w:w="1601" w:type="pct"/>
            <w:tcBorders>
              <w:top w:val="nil"/>
              <w:left w:val="nil"/>
              <w:bottom w:val="single" w:sz="4" w:space="0" w:color="auto"/>
              <w:right w:val="nil"/>
            </w:tcBorders>
            <w:shd w:val="clear" w:color="auto" w:fill="FFFFFF"/>
          </w:tcPr>
          <w:p w:rsidR="003C6823" w:rsidRPr="003442D0" w:rsidRDefault="003C6823" w:rsidP="00B41646">
            <w:pPr>
              <w:ind w:left="143" w:right="140"/>
              <w:jc w:val="both"/>
            </w:pPr>
          </w:p>
        </w:tc>
        <w:tc>
          <w:tcPr>
            <w:tcW w:w="1073" w:type="pct"/>
            <w:tcBorders>
              <w:top w:val="nil"/>
              <w:left w:val="nil"/>
              <w:bottom w:val="single" w:sz="4" w:space="0" w:color="auto"/>
              <w:right w:val="nil"/>
            </w:tcBorders>
            <w:shd w:val="clear" w:color="auto" w:fill="FFFFFF"/>
          </w:tcPr>
          <w:p w:rsidR="003C6823" w:rsidRPr="003442D0" w:rsidRDefault="003C6823" w:rsidP="00B41646">
            <w:pPr>
              <w:ind w:left="144" w:right="141"/>
              <w:jc w:val="both"/>
            </w:pPr>
          </w:p>
        </w:tc>
        <w:tc>
          <w:tcPr>
            <w:tcW w:w="727" w:type="pct"/>
            <w:tcBorders>
              <w:top w:val="nil"/>
              <w:left w:val="nil"/>
              <w:bottom w:val="single" w:sz="4" w:space="0" w:color="auto"/>
              <w:right w:val="single" w:sz="4" w:space="0" w:color="auto"/>
            </w:tcBorders>
            <w:shd w:val="clear" w:color="auto" w:fill="FFFFFF"/>
          </w:tcPr>
          <w:p w:rsidR="003C6823" w:rsidRPr="003442D0" w:rsidRDefault="003C6823" w:rsidP="00B41646">
            <w:pPr>
              <w:ind w:left="144" w:right="110"/>
              <w:jc w:val="center"/>
            </w:pPr>
          </w:p>
        </w:tc>
      </w:tr>
      <w:tr w:rsidR="003C6823" w:rsidRPr="003442D0" w:rsidTr="009B020B">
        <w:tc>
          <w:tcPr>
            <w:tcW w:w="1599" w:type="pct"/>
            <w:tcBorders>
              <w:top w:val="single" w:sz="4" w:space="0" w:color="auto"/>
              <w:left w:val="single" w:sz="4" w:space="0" w:color="auto"/>
              <w:bottom w:val="nil"/>
              <w:right w:val="nil"/>
            </w:tcBorders>
            <w:shd w:val="clear" w:color="auto" w:fill="FFFFFF"/>
          </w:tcPr>
          <w:p w:rsidR="003C6823" w:rsidRPr="003442D0" w:rsidRDefault="00C507AC" w:rsidP="00B41646">
            <w:pPr>
              <w:ind w:left="139" w:right="141"/>
              <w:jc w:val="both"/>
              <w:rPr>
                <w:b/>
              </w:rPr>
            </w:pPr>
            <w:r w:rsidRPr="003442D0">
              <w:rPr>
                <w:b/>
              </w:rPr>
              <w:t xml:space="preserve">2. </w:t>
            </w:r>
            <w:r w:rsidR="003C6823" w:rsidRPr="003442D0">
              <w:rPr>
                <w:b/>
              </w:rPr>
              <w:t>Luật Ngân sách nhà nước số 89/2025/QH15:</w:t>
            </w:r>
          </w:p>
        </w:tc>
        <w:tc>
          <w:tcPr>
            <w:tcW w:w="1601" w:type="pct"/>
            <w:tcBorders>
              <w:top w:val="single" w:sz="4" w:space="0" w:color="auto"/>
              <w:left w:val="nil"/>
              <w:bottom w:val="nil"/>
              <w:right w:val="nil"/>
            </w:tcBorders>
            <w:shd w:val="clear" w:color="auto" w:fill="FFFFFF"/>
          </w:tcPr>
          <w:p w:rsidR="003C6823" w:rsidRPr="003442D0" w:rsidRDefault="003C6823" w:rsidP="00B41646">
            <w:pPr>
              <w:ind w:left="143" w:right="142"/>
              <w:jc w:val="both"/>
              <w:rPr>
                <w:lang w:val="nl-NL"/>
              </w:rPr>
            </w:pPr>
          </w:p>
        </w:tc>
        <w:tc>
          <w:tcPr>
            <w:tcW w:w="1073" w:type="pct"/>
            <w:vMerge w:val="restart"/>
            <w:tcBorders>
              <w:top w:val="single" w:sz="4" w:space="0" w:color="auto"/>
              <w:left w:val="nil"/>
              <w:bottom w:val="nil"/>
              <w:right w:val="nil"/>
            </w:tcBorders>
            <w:shd w:val="clear" w:color="auto" w:fill="FFFFFF"/>
          </w:tcPr>
          <w:p w:rsidR="003C6823" w:rsidRPr="003442D0" w:rsidRDefault="003C6823" w:rsidP="00B41646">
            <w:pPr>
              <w:ind w:left="144" w:right="141"/>
              <w:jc w:val="both"/>
            </w:pPr>
            <w:r w:rsidRPr="003442D0">
              <w:t>Dự thảo Nghị định đảm bảo tính hợp pháp, tính thống nhất với quy định của Luật Ngân sách nhà nước.</w:t>
            </w:r>
          </w:p>
        </w:tc>
        <w:tc>
          <w:tcPr>
            <w:tcW w:w="727" w:type="pct"/>
            <w:tcBorders>
              <w:top w:val="single" w:sz="4" w:space="0" w:color="auto"/>
              <w:left w:val="nil"/>
              <w:bottom w:val="nil"/>
              <w:right w:val="single" w:sz="4" w:space="0" w:color="auto"/>
            </w:tcBorders>
            <w:shd w:val="clear" w:color="auto" w:fill="FFFFFF"/>
          </w:tcPr>
          <w:p w:rsidR="003C6823" w:rsidRPr="003442D0" w:rsidRDefault="003C6823" w:rsidP="00B41646">
            <w:pPr>
              <w:ind w:left="144" w:right="110"/>
              <w:jc w:val="center"/>
            </w:pPr>
          </w:p>
        </w:tc>
      </w:tr>
      <w:tr w:rsidR="003C6823" w:rsidRPr="003442D0" w:rsidTr="009B020B">
        <w:tc>
          <w:tcPr>
            <w:tcW w:w="1599" w:type="pct"/>
            <w:tcBorders>
              <w:top w:val="nil"/>
              <w:left w:val="single" w:sz="4" w:space="0" w:color="auto"/>
              <w:bottom w:val="nil"/>
              <w:right w:val="nil"/>
            </w:tcBorders>
            <w:shd w:val="clear" w:color="auto" w:fill="FFFFFF"/>
          </w:tcPr>
          <w:p w:rsidR="003C6823" w:rsidRPr="003442D0" w:rsidRDefault="003C6823" w:rsidP="00B41646">
            <w:pPr>
              <w:ind w:left="139" w:right="141"/>
              <w:jc w:val="both"/>
            </w:pPr>
            <w:r w:rsidRPr="003442D0">
              <w:t xml:space="preserve">- </w:t>
            </w:r>
            <w:r w:rsidR="00DF17D5" w:rsidRPr="003442D0">
              <w:rPr>
                <w:color w:val="000000" w:themeColor="text1"/>
              </w:rPr>
              <w:t>Điều 5</w:t>
            </w:r>
            <w:r w:rsidR="00151527">
              <w:rPr>
                <w:color w:val="000000" w:themeColor="text1"/>
              </w:rPr>
              <w:t>8</w:t>
            </w:r>
            <w:r w:rsidR="00DF17D5" w:rsidRPr="003442D0">
              <w:rPr>
                <w:color w:val="000000" w:themeColor="text1"/>
              </w:rPr>
              <w:t xml:space="preserve"> Luật</w:t>
            </w:r>
            <w:r w:rsidR="00904617" w:rsidRPr="003442D0">
              <w:rPr>
                <w:color w:val="000000" w:themeColor="text1"/>
              </w:rPr>
              <w:t xml:space="preserve"> quy định</w:t>
            </w:r>
            <w:r w:rsidR="00151527">
              <w:rPr>
                <w:color w:val="000000" w:themeColor="text1"/>
              </w:rPr>
              <w:t xml:space="preserve"> về tổ chức chi ngân sách nhà nước</w:t>
            </w:r>
          </w:p>
        </w:tc>
        <w:tc>
          <w:tcPr>
            <w:tcW w:w="1601" w:type="pct"/>
            <w:tcBorders>
              <w:top w:val="nil"/>
              <w:left w:val="nil"/>
              <w:bottom w:val="nil"/>
              <w:right w:val="nil"/>
            </w:tcBorders>
            <w:shd w:val="clear" w:color="auto" w:fill="FFFFFF"/>
          </w:tcPr>
          <w:p w:rsidR="003C6823" w:rsidRPr="003442D0" w:rsidRDefault="003C6823" w:rsidP="001D2667">
            <w:pPr>
              <w:ind w:left="143" w:right="142"/>
              <w:jc w:val="both"/>
            </w:pPr>
            <w:r w:rsidRPr="003442D0">
              <w:rPr>
                <w:lang w:val="nl-NL"/>
              </w:rPr>
              <w:t xml:space="preserve">- </w:t>
            </w:r>
            <w:r w:rsidR="00DF17D5" w:rsidRPr="003442D0">
              <w:rPr>
                <w:lang w:val="nl-NL"/>
              </w:rPr>
              <w:t xml:space="preserve">Điều 5 quy định </w:t>
            </w:r>
            <w:r w:rsidR="00151527">
              <w:rPr>
                <w:lang w:val="nl-NL"/>
              </w:rPr>
              <w:t xml:space="preserve">việc thanh toán  </w:t>
            </w:r>
            <w:r w:rsidR="001D2667">
              <w:rPr>
                <w:lang w:val="nl-NL"/>
              </w:rPr>
              <w:t xml:space="preserve">vốn </w:t>
            </w:r>
            <w:r w:rsidR="00151527">
              <w:rPr>
                <w:lang w:val="nl-NL"/>
              </w:rPr>
              <w:t>ngân sách nhà nước để cấp bù lãi suất</w:t>
            </w:r>
            <w:r w:rsidR="001D2667">
              <w:rPr>
                <w:lang w:val="nl-NL"/>
              </w:rPr>
              <w:t>.</w:t>
            </w:r>
            <w:r w:rsidR="00151527">
              <w:rPr>
                <w:lang w:val="nl-NL"/>
              </w:rPr>
              <w:t xml:space="preserve"> </w:t>
            </w:r>
          </w:p>
        </w:tc>
        <w:tc>
          <w:tcPr>
            <w:tcW w:w="1073" w:type="pct"/>
            <w:vMerge/>
            <w:tcBorders>
              <w:top w:val="nil"/>
              <w:left w:val="nil"/>
              <w:bottom w:val="nil"/>
              <w:right w:val="nil"/>
            </w:tcBorders>
            <w:shd w:val="clear" w:color="auto" w:fill="FFFFFF"/>
          </w:tcPr>
          <w:p w:rsidR="003C6823" w:rsidRPr="003442D0" w:rsidRDefault="003C6823" w:rsidP="00B41646">
            <w:pPr>
              <w:ind w:left="144" w:right="141"/>
              <w:jc w:val="both"/>
            </w:pPr>
          </w:p>
        </w:tc>
        <w:tc>
          <w:tcPr>
            <w:tcW w:w="727" w:type="pct"/>
            <w:tcBorders>
              <w:top w:val="nil"/>
              <w:left w:val="nil"/>
              <w:bottom w:val="nil"/>
              <w:right w:val="single" w:sz="4" w:space="0" w:color="auto"/>
            </w:tcBorders>
            <w:shd w:val="clear" w:color="auto" w:fill="FFFFFF"/>
          </w:tcPr>
          <w:p w:rsidR="003C6823" w:rsidRPr="003442D0" w:rsidRDefault="003C6823" w:rsidP="00B41646">
            <w:pPr>
              <w:ind w:left="144" w:right="110"/>
              <w:jc w:val="center"/>
            </w:pPr>
          </w:p>
        </w:tc>
      </w:tr>
      <w:tr w:rsidR="001D2667" w:rsidRPr="003442D0" w:rsidTr="007023AA">
        <w:tc>
          <w:tcPr>
            <w:tcW w:w="1599" w:type="pct"/>
            <w:tcBorders>
              <w:top w:val="nil"/>
              <w:left w:val="single" w:sz="4" w:space="0" w:color="auto"/>
              <w:bottom w:val="nil"/>
              <w:right w:val="nil"/>
            </w:tcBorders>
            <w:shd w:val="clear" w:color="auto" w:fill="FFFFFF"/>
          </w:tcPr>
          <w:p w:rsidR="001D2667" w:rsidRPr="003442D0" w:rsidRDefault="001D2667" w:rsidP="00B41646">
            <w:pPr>
              <w:ind w:left="139" w:right="141"/>
              <w:jc w:val="both"/>
            </w:pPr>
            <w:r w:rsidRPr="003442D0">
              <w:t>- Điều 67 Luật quy định quy định về yêu cầu quyết toán NSNN.</w:t>
            </w:r>
          </w:p>
          <w:p w:rsidR="001D2667" w:rsidRPr="003442D0" w:rsidRDefault="001D2667" w:rsidP="00B41646">
            <w:pPr>
              <w:ind w:left="139" w:right="141"/>
              <w:jc w:val="both"/>
            </w:pPr>
            <w:r w:rsidRPr="003442D0">
              <w:t>- Điều 68 Luật quy định về lập quyết toán NSNN của đơn vị sử dụng ngân sách và chủ đầu tư.</w:t>
            </w:r>
          </w:p>
        </w:tc>
        <w:tc>
          <w:tcPr>
            <w:tcW w:w="1601" w:type="pct"/>
            <w:vMerge w:val="restart"/>
            <w:tcBorders>
              <w:top w:val="nil"/>
              <w:left w:val="nil"/>
              <w:right w:val="nil"/>
            </w:tcBorders>
            <w:shd w:val="clear" w:color="auto" w:fill="FFFFFF"/>
          </w:tcPr>
          <w:p w:rsidR="001D2667" w:rsidRPr="003442D0" w:rsidRDefault="001D2667" w:rsidP="001D2667">
            <w:pPr>
              <w:ind w:left="143" w:right="142"/>
              <w:jc w:val="both"/>
            </w:pPr>
            <w:r w:rsidRPr="003442D0">
              <w:t xml:space="preserve">- Điều </w:t>
            </w:r>
            <w:r>
              <w:t>6</w:t>
            </w:r>
            <w:r w:rsidRPr="003442D0">
              <w:t xml:space="preserve"> quy định việc </w:t>
            </w:r>
            <w:r w:rsidRPr="003442D0">
              <w:rPr>
                <w:color w:val="000000" w:themeColor="text1"/>
              </w:rPr>
              <w:t xml:space="preserve">quyết toán </w:t>
            </w:r>
            <w:r>
              <w:rPr>
                <w:color w:val="000000" w:themeColor="text1"/>
              </w:rPr>
              <w:t xml:space="preserve">vốn </w:t>
            </w:r>
            <w:r w:rsidRPr="003442D0">
              <w:rPr>
                <w:color w:val="000000" w:themeColor="text1"/>
              </w:rPr>
              <w:t xml:space="preserve">ngân sách nhà nước để cấp bù lãi suất </w:t>
            </w:r>
            <w:r>
              <w:rPr>
                <w:color w:val="000000" w:themeColor="text1"/>
              </w:rPr>
              <w:t xml:space="preserve">cho </w:t>
            </w:r>
            <w:r w:rsidRPr="003442D0">
              <w:rPr>
                <w:color w:val="000000" w:themeColor="text1"/>
              </w:rPr>
              <w:t>các ngân hàng thương mại phải bảo đảm các yêu cầu quy định tại Điều 67 Luật NSNN</w:t>
            </w:r>
            <w:r w:rsidRPr="003442D0">
              <w:t>.</w:t>
            </w:r>
          </w:p>
        </w:tc>
        <w:tc>
          <w:tcPr>
            <w:tcW w:w="1073" w:type="pct"/>
            <w:tcBorders>
              <w:top w:val="nil"/>
              <w:left w:val="nil"/>
              <w:bottom w:val="nil"/>
              <w:right w:val="nil"/>
            </w:tcBorders>
            <w:shd w:val="clear" w:color="auto" w:fill="FFFFFF"/>
          </w:tcPr>
          <w:p w:rsidR="001D2667" w:rsidRPr="003442D0" w:rsidRDefault="001D2667" w:rsidP="00B41646">
            <w:pPr>
              <w:ind w:left="144" w:right="141"/>
              <w:jc w:val="both"/>
            </w:pPr>
          </w:p>
        </w:tc>
        <w:tc>
          <w:tcPr>
            <w:tcW w:w="727" w:type="pct"/>
            <w:tcBorders>
              <w:top w:val="nil"/>
              <w:left w:val="nil"/>
              <w:bottom w:val="nil"/>
              <w:right w:val="single" w:sz="4" w:space="0" w:color="auto"/>
            </w:tcBorders>
            <w:shd w:val="clear" w:color="auto" w:fill="FFFFFF"/>
          </w:tcPr>
          <w:p w:rsidR="001D2667" w:rsidRPr="003442D0" w:rsidRDefault="001D2667" w:rsidP="00B41646">
            <w:pPr>
              <w:ind w:left="144" w:right="110"/>
              <w:jc w:val="center"/>
            </w:pPr>
          </w:p>
        </w:tc>
      </w:tr>
      <w:tr w:rsidR="001D2667" w:rsidRPr="003442D0" w:rsidTr="007023AA">
        <w:tc>
          <w:tcPr>
            <w:tcW w:w="1599" w:type="pct"/>
            <w:tcBorders>
              <w:top w:val="nil"/>
              <w:left w:val="single" w:sz="4" w:space="0" w:color="auto"/>
              <w:bottom w:val="nil"/>
              <w:right w:val="nil"/>
            </w:tcBorders>
            <w:shd w:val="clear" w:color="auto" w:fill="FFFFFF"/>
          </w:tcPr>
          <w:p w:rsidR="001D2667" w:rsidRPr="003442D0" w:rsidRDefault="001D2667" w:rsidP="00B41646">
            <w:pPr>
              <w:ind w:left="139" w:right="141"/>
              <w:jc w:val="both"/>
            </w:pPr>
            <w:r w:rsidRPr="003442D0">
              <w:t>- Điều 69 Luật quy định về xét duyệt quyết toán NSNN năm.</w:t>
            </w:r>
          </w:p>
          <w:p w:rsidR="001D2667" w:rsidRPr="003442D0" w:rsidRDefault="001D2667" w:rsidP="00B41646">
            <w:pPr>
              <w:ind w:left="139" w:right="141"/>
              <w:jc w:val="both"/>
            </w:pPr>
            <w:r w:rsidRPr="003442D0">
              <w:t>- Điều 70 Luật quy định về tổng hợp quyết tóa</w:t>
            </w:r>
            <w:r>
              <w:t>n</w:t>
            </w:r>
            <w:r w:rsidRPr="003442D0">
              <w:t xml:space="preserve"> NSNN.</w:t>
            </w:r>
          </w:p>
        </w:tc>
        <w:tc>
          <w:tcPr>
            <w:tcW w:w="1601" w:type="pct"/>
            <w:vMerge/>
            <w:tcBorders>
              <w:left w:val="nil"/>
              <w:bottom w:val="nil"/>
              <w:right w:val="nil"/>
            </w:tcBorders>
            <w:shd w:val="clear" w:color="auto" w:fill="FFFFFF"/>
          </w:tcPr>
          <w:p w:rsidR="001D2667" w:rsidRPr="003442D0" w:rsidRDefault="001D2667" w:rsidP="001D2667">
            <w:pPr>
              <w:ind w:left="143" w:right="142"/>
              <w:jc w:val="both"/>
            </w:pPr>
          </w:p>
        </w:tc>
        <w:tc>
          <w:tcPr>
            <w:tcW w:w="1073" w:type="pct"/>
            <w:tcBorders>
              <w:top w:val="nil"/>
              <w:left w:val="nil"/>
              <w:bottom w:val="nil"/>
              <w:right w:val="nil"/>
            </w:tcBorders>
            <w:shd w:val="clear" w:color="auto" w:fill="FFFFFF"/>
          </w:tcPr>
          <w:p w:rsidR="001D2667" w:rsidRPr="003442D0" w:rsidRDefault="001D2667" w:rsidP="00B41646">
            <w:pPr>
              <w:ind w:left="144" w:right="141"/>
              <w:jc w:val="both"/>
            </w:pPr>
          </w:p>
        </w:tc>
        <w:tc>
          <w:tcPr>
            <w:tcW w:w="727" w:type="pct"/>
            <w:tcBorders>
              <w:top w:val="nil"/>
              <w:left w:val="nil"/>
              <w:bottom w:val="nil"/>
              <w:right w:val="single" w:sz="4" w:space="0" w:color="auto"/>
            </w:tcBorders>
            <w:shd w:val="clear" w:color="auto" w:fill="FFFFFF"/>
          </w:tcPr>
          <w:p w:rsidR="001D2667" w:rsidRPr="003442D0" w:rsidRDefault="001D2667" w:rsidP="00B41646">
            <w:pPr>
              <w:ind w:left="144" w:right="110"/>
              <w:jc w:val="center"/>
            </w:pPr>
          </w:p>
        </w:tc>
      </w:tr>
      <w:tr w:rsidR="003C6823" w:rsidRPr="003442D0" w:rsidTr="008C0DE2">
        <w:tc>
          <w:tcPr>
            <w:tcW w:w="1599" w:type="pct"/>
            <w:tcBorders>
              <w:top w:val="nil"/>
              <w:left w:val="single" w:sz="4" w:space="0" w:color="auto"/>
              <w:bottom w:val="single" w:sz="4" w:space="0" w:color="auto"/>
              <w:right w:val="nil"/>
            </w:tcBorders>
            <w:shd w:val="clear" w:color="auto" w:fill="FFFFFF"/>
          </w:tcPr>
          <w:p w:rsidR="003C6823" w:rsidRPr="003442D0" w:rsidRDefault="003C6823" w:rsidP="00B41646">
            <w:pPr>
              <w:ind w:left="139" w:right="141"/>
              <w:jc w:val="both"/>
            </w:pPr>
            <w:r w:rsidRPr="003442D0">
              <w:t xml:space="preserve">- </w:t>
            </w:r>
            <w:r w:rsidR="00484980" w:rsidRPr="003442D0">
              <w:t>Khoản 8 Điều 67 Luật quy định những khoản chi NSNN không đúng với quy định của pháp luật phải được thu hồi đầy đủ, kịp thời cho ngân sách; các khoản nộp trả ngân sách cấp trên phải nộp trả kịp thời.</w:t>
            </w:r>
          </w:p>
          <w:p w:rsidR="00484980" w:rsidRPr="003442D0" w:rsidRDefault="00484980" w:rsidP="00B41646">
            <w:pPr>
              <w:ind w:left="139" w:right="141"/>
              <w:jc w:val="both"/>
            </w:pPr>
            <w:r w:rsidRPr="003442D0">
              <w:lastRenderedPageBreak/>
              <w:t>- Điều 75 Luật quy định về xử lý các khoản thu, chi NSNN không đúng quy định sau khi quyết toán NSNN được phê chuẩn.</w:t>
            </w:r>
          </w:p>
        </w:tc>
        <w:tc>
          <w:tcPr>
            <w:tcW w:w="1601" w:type="pct"/>
            <w:tcBorders>
              <w:top w:val="nil"/>
              <w:left w:val="nil"/>
              <w:bottom w:val="single" w:sz="4" w:space="0" w:color="auto"/>
              <w:right w:val="nil"/>
            </w:tcBorders>
            <w:shd w:val="clear" w:color="auto" w:fill="FFFFFF"/>
          </w:tcPr>
          <w:p w:rsidR="003C6823" w:rsidRPr="003442D0" w:rsidRDefault="003C6823" w:rsidP="001D2667">
            <w:pPr>
              <w:ind w:left="143" w:right="142"/>
              <w:jc w:val="both"/>
            </w:pPr>
            <w:r w:rsidRPr="003442D0">
              <w:lastRenderedPageBreak/>
              <w:t xml:space="preserve">- </w:t>
            </w:r>
            <w:r w:rsidR="00AD2CFB" w:rsidRPr="003442D0">
              <w:t xml:space="preserve">Điều </w:t>
            </w:r>
            <w:r w:rsidR="001D2667">
              <w:t>7</w:t>
            </w:r>
            <w:r w:rsidR="00AD2CFB" w:rsidRPr="003442D0">
              <w:t xml:space="preserve"> quy định về việc xử lý thu hồ số tiền đã cấp bù lãi suất khi phát hiện khoản vay không thuộc </w:t>
            </w:r>
            <w:r w:rsidR="00AD2CFB" w:rsidRPr="003442D0">
              <w:rPr>
                <w:rFonts w:eastAsia="Cambria"/>
                <w:bCs/>
              </w:rPr>
              <w:t>đối tượng, sử dụng vốn vay sai mục đích hoặc không đáp ứng điều kiện được cấp bù lãi suất trong quá trình thực hiện.</w:t>
            </w:r>
          </w:p>
        </w:tc>
        <w:tc>
          <w:tcPr>
            <w:tcW w:w="1073" w:type="pct"/>
            <w:tcBorders>
              <w:top w:val="nil"/>
              <w:left w:val="nil"/>
              <w:bottom w:val="single" w:sz="4" w:space="0" w:color="auto"/>
              <w:right w:val="nil"/>
            </w:tcBorders>
            <w:shd w:val="clear" w:color="auto" w:fill="FFFFFF"/>
          </w:tcPr>
          <w:p w:rsidR="003C6823" w:rsidRPr="003442D0" w:rsidRDefault="003C6823" w:rsidP="00B41646">
            <w:pPr>
              <w:ind w:left="144" w:right="141"/>
              <w:jc w:val="both"/>
            </w:pPr>
          </w:p>
        </w:tc>
        <w:tc>
          <w:tcPr>
            <w:tcW w:w="727" w:type="pct"/>
            <w:tcBorders>
              <w:top w:val="nil"/>
              <w:left w:val="nil"/>
              <w:bottom w:val="single" w:sz="4" w:space="0" w:color="auto"/>
              <w:right w:val="single" w:sz="4" w:space="0" w:color="auto"/>
            </w:tcBorders>
            <w:shd w:val="clear" w:color="auto" w:fill="FFFFFF"/>
          </w:tcPr>
          <w:p w:rsidR="003C6823" w:rsidRPr="003442D0" w:rsidRDefault="003C6823" w:rsidP="00B41646">
            <w:pPr>
              <w:ind w:left="144" w:right="110"/>
              <w:jc w:val="center"/>
            </w:pPr>
          </w:p>
        </w:tc>
      </w:tr>
      <w:tr w:rsidR="00904617" w:rsidRPr="003442D0" w:rsidTr="008C0DE2">
        <w:tc>
          <w:tcPr>
            <w:tcW w:w="1599" w:type="pct"/>
            <w:tcBorders>
              <w:top w:val="single" w:sz="4" w:space="0" w:color="auto"/>
              <w:left w:val="single" w:sz="4" w:space="0" w:color="auto"/>
              <w:bottom w:val="single" w:sz="4" w:space="0" w:color="auto"/>
              <w:right w:val="nil"/>
            </w:tcBorders>
            <w:shd w:val="clear" w:color="auto" w:fill="FFFFFF"/>
          </w:tcPr>
          <w:p w:rsidR="00904617" w:rsidRPr="003442D0" w:rsidRDefault="00904617" w:rsidP="00B41646">
            <w:pPr>
              <w:ind w:left="139" w:right="141"/>
              <w:jc w:val="both"/>
              <w:rPr>
                <w:b/>
                <w:bCs/>
              </w:rPr>
            </w:pPr>
            <w:r w:rsidRPr="003442D0">
              <w:rPr>
                <w:b/>
                <w:bCs/>
              </w:rPr>
              <w:lastRenderedPageBreak/>
              <w:t>3. Luật Các tổ chức tín dụng số 32/2024/QH15</w:t>
            </w:r>
          </w:p>
        </w:tc>
        <w:tc>
          <w:tcPr>
            <w:tcW w:w="1601" w:type="pct"/>
            <w:tcBorders>
              <w:top w:val="single" w:sz="4" w:space="0" w:color="auto"/>
              <w:left w:val="nil"/>
              <w:bottom w:val="single" w:sz="4" w:space="0" w:color="auto"/>
              <w:right w:val="nil"/>
            </w:tcBorders>
            <w:shd w:val="clear" w:color="auto" w:fill="FFFFFF"/>
          </w:tcPr>
          <w:p w:rsidR="00904617" w:rsidRPr="003442D0" w:rsidRDefault="008C0DE2" w:rsidP="00B41646">
            <w:pPr>
              <w:ind w:right="142"/>
              <w:jc w:val="both"/>
            </w:pPr>
            <w:r w:rsidRPr="003442D0">
              <w:t xml:space="preserve">- Điều 2 quy định đối từng áp dụng gồm ngân hàng thương mại được thành lập và hoạt động theo quy định của Luật TCTD thực hiện các chính sách </w:t>
            </w:r>
            <w:r w:rsidR="001D2667">
              <w:t xml:space="preserve">tín dụng </w:t>
            </w:r>
            <w:r w:rsidRPr="003442D0">
              <w:t>ưu đãi của nhà nước</w:t>
            </w:r>
          </w:p>
        </w:tc>
        <w:tc>
          <w:tcPr>
            <w:tcW w:w="1073" w:type="pct"/>
            <w:tcBorders>
              <w:top w:val="single" w:sz="4" w:space="0" w:color="auto"/>
              <w:left w:val="nil"/>
              <w:bottom w:val="single" w:sz="4" w:space="0" w:color="auto"/>
              <w:right w:val="nil"/>
            </w:tcBorders>
            <w:shd w:val="clear" w:color="auto" w:fill="FFFFFF"/>
          </w:tcPr>
          <w:p w:rsidR="00904617" w:rsidRPr="003442D0" w:rsidRDefault="00904617" w:rsidP="00B41646">
            <w:pPr>
              <w:ind w:left="144" w:right="141"/>
              <w:jc w:val="both"/>
            </w:pPr>
            <w:r w:rsidRPr="003442D0">
              <w:t>Dự thảo Nghị định đảm bảo tính hợp pháp, tính thống nhất với quy định của Luật Các tổ chức tín dụng.</w:t>
            </w:r>
          </w:p>
        </w:tc>
        <w:tc>
          <w:tcPr>
            <w:tcW w:w="727" w:type="pct"/>
            <w:tcBorders>
              <w:top w:val="single" w:sz="4" w:space="0" w:color="auto"/>
              <w:left w:val="nil"/>
              <w:bottom w:val="single" w:sz="4" w:space="0" w:color="auto"/>
              <w:right w:val="single" w:sz="4" w:space="0" w:color="auto"/>
            </w:tcBorders>
            <w:shd w:val="clear" w:color="auto" w:fill="FFFFFF"/>
          </w:tcPr>
          <w:p w:rsidR="00904617" w:rsidRPr="003442D0" w:rsidRDefault="00904617" w:rsidP="00B41646">
            <w:pPr>
              <w:ind w:left="144" w:right="110"/>
              <w:jc w:val="center"/>
            </w:pPr>
          </w:p>
        </w:tc>
      </w:tr>
      <w:tr w:rsidR="003442D0" w:rsidRPr="003442D0" w:rsidTr="003442D0">
        <w:tc>
          <w:tcPr>
            <w:tcW w:w="5000" w:type="pct"/>
            <w:gridSpan w:val="4"/>
            <w:tcBorders>
              <w:top w:val="single" w:sz="4" w:space="0" w:color="auto"/>
              <w:bottom w:val="single" w:sz="4" w:space="0" w:color="auto"/>
            </w:tcBorders>
            <w:shd w:val="clear" w:color="auto" w:fill="FFFFFF"/>
          </w:tcPr>
          <w:p w:rsidR="003442D0" w:rsidRPr="003442D0" w:rsidRDefault="003442D0" w:rsidP="00B41646">
            <w:pPr>
              <w:spacing w:before="120" w:after="120"/>
              <w:ind w:left="142" w:right="108"/>
            </w:pPr>
            <w:r w:rsidRPr="003442D0">
              <w:rPr>
                <w:b/>
                <w:bCs/>
                <w:lang w:val="nl-NL"/>
              </w:rPr>
              <w:t>II. Các Nghị định của Chính phủ:</w:t>
            </w:r>
          </w:p>
        </w:tc>
      </w:tr>
      <w:tr w:rsidR="00904617" w:rsidRPr="00966B36" w:rsidTr="003442D0">
        <w:tc>
          <w:tcPr>
            <w:tcW w:w="1599" w:type="pct"/>
            <w:tcBorders>
              <w:top w:val="single" w:sz="4" w:space="0" w:color="auto"/>
              <w:left w:val="single" w:sz="4" w:space="0" w:color="auto"/>
              <w:bottom w:val="single" w:sz="4" w:space="0" w:color="auto"/>
              <w:right w:val="nil"/>
            </w:tcBorders>
            <w:shd w:val="clear" w:color="auto" w:fill="FFFFFF"/>
          </w:tcPr>
          <w:p w:rsidR="00904617" w:rsidRPr="003442D0" w:rsidRDefault="00635BCF" w:rsidP="00B41646">
            <w:pPr>
              <w:ind w:left="142" w:right="144"/>
              <w:jc w:val="both"/>
              <w:rPr>
                <w:b/>
                <w:bCs/>
                <w:lang w:val="nl-NL"/>
              </w:rPr>
            </w:pPr>
            <w:r w:rsidRPr="003442D0">
              <w:rPr>
                <w:b/>
                <w:bCs/>
                <w:lang w:val="nl-NL"/>
              </w:rPr>
              <w:t>1</w:t>
            </w:r>
            <w:r w:rsidR="00904617" w:rsidRPr="003442D0">
              <w:rPr>
                <w:b/>
                <w:bCs/>
                <w:lang w:val="nl-NL"/>
              </w:rPr>
              <w:t xml:space="preserve">. </w:t>
            </w:r>
            <w:r w:rsidR="00904617" w:rsidRPr="003442D0">
              <w:rPr>
                <w:b/>
                <w:bCs/>
                <w:color w:val="000000" w:themeColor="text1"/>
              </w:rPr>
              <w:t>Nghị định số 85/2025/NĐ-CP ngày 08/4/2025 quy định chi tiết một số điều của Luật Đầu tư công.</w:t>
            </w:r>
          </w:p>
          <w:p w:rsidR="002E6D2F" w:rsidRPr="005D2C11" w:rsidRDefault="009B020B" w:rsidP="00B41646">
            <w:pPr>
              <w:ind w:left="142" w:right="144"/>
              <w:jc w:val="both"/>
              <w:rPr>
                <w:rFonts w:eastAsia="Cambria"/>
                <w:i/>
              </w:rPr>
            </w:pPr>
            <w:r w:rsidRPr="003442D0">
              <w:rPr>
                <w:lang w:val="nl-NL"/>
              </w:rPr>
              <w:t xml:space="preserve">- Khoản 1 Điều 39 quy định </w:t>
            </w:r>
            <w:r w:rsidR="0077185C">
              <w:rPr>
                <w:rFonts w:eastAsia="Cambria"/>
                <w:iCs/>
              </w:rPr>
              <w:t>“</w:t>
            </w:r>
            <w:r w:rsidRPr="003442D0">
              <w:rPr>
                <w:rFonts w:eastAsia="Cambria"/>
                <w:iCs/>
              </w:rPr>
              <w:t>Ngân hàng Nhà nước Việt Nam chịu trách nhiệm tổng hợp nhu cầu cấp bù lãi suất của các ngân hàng thương mại thực hiện các chính sách được cấp có thẩm quyền quyết định trong kế hoạch đầu tư công trung hạn và hằng năm, lập báo cáo và gửi Bộ Tài chính để tổng hợp, báo cáo cấp có thẩm quyền”</w:t>
            </w:r>
          </w:p>
        </w:tc>
        <w:tc>
          <w:tcPr>
            <w:tcW w:w="1601" w:type="pct"/>
            <w:tcBorders>
              <w:top w:val="single" w:sz="4" w:space="0" w:color="auto"/>
              <w:left w:val="nil"/>
              <w:bottom w:val="single" w:sz="4" w:space="0" w:color="auto"/>
              <w:right w:val="nil"/>
            </w:tcBorders>
            <w:shd w:val="clear" w:color="auto" w:fill="FFFFFF"/>
          </w:tcPr>
          <w:p w:rsidR="00904617" w:rsidRPr="003442D0" w:rsidRDefault="00904617" w:rsidP="00B41646">
            <w:pPr>
              <w:ind w:left="143" w:right="140"/>
              <w:jc w:val="both"/>
              <w:rPr>
                <w:lang w:val="nl-NL"/>
              </w:rPr>
            </w:pPr>
          </w:p>
          <w:p w:rsidR="009B020B" w:rsidRPr="003442D0" w:rsidRDefault="009B020B" w:rsidP="00B41646">
            <w:pPr>
              <w:ind w:left="143" w:right="140"/>
              <w:jc w:val="both"/>
              <w:rPr>
                <w:lang w:val="nl-NL"/>
              </w:rPr>
            </w:pPr>
          </w:p>
          <w:p w:rsidR="009B020B" w:rsidRPr="003442D0" w:rsidRDefault="009B020B" w:rsidP="00B41646">
            <w:pPr>
              <w:ind w:left="143" w:right="140"/>
              <w:jc w:val="both"/>
              <w:rPr>
                <w:lang w:val="nl-NL"/>
              </w:rPr>
            </w:pPr>
          </w:p>
          <w:p w:rsidR="009B020B" w:rsidRDefault="009B020B" w:rsidP="00B41646">
            <w:pPr>
              <w:ind w:left="143" w:right="140"/>
              <w:jc w:val="both"/>
              <w:rPr>
                <w:lang w:val="nl-NL"/>
              </w:rPr>
            </w:pPr>
            <w:r w:rsidRPr="003442D0">
              <w:rPr>
                <w:lang w:val="nl-NL"/>
              </w:rPr>
              <w:t>- Điều 1 quy định về thanh toán, quyết toán vốn ngân sách nhà nước để cấp bù lãi suấ</w:t>
            </w:r>
            <w:r w:rsidR="001D2667">
              <w:rPr>
                <w:lang w:val="nl-NL"/>
              </w:rPr>
              <w:t>t</w:t>
            </w:r>
            <w:r w:rsidRPr="003442D0">
              <w:rPr>
                <w:lang w:val="nl-NL"/>
              </w:rPr>
              <w:t xml:space="preserve"> </w:t>
            </w:r>
            <w:r w:rsidR="001D2667">
              <w:rPr>
                <w:lang w:val="nl-NL"/>
              </w:rPr>
              <w:t>cho</w:t>
            </w:r>
            <w:r w:rsidRPr="003442D0">
              <w:rPr>
                <w:lang w:val="nl-NL"/>
              </w:rPr>
              <w:t xml:space="preserve"> các ngân hàng thương mại thực hiện các chính sách tín dụng ưu đãi của nhà nước.</w:t>
            </w:r>
          </w:p>
          <w:p w:rsidR="002E6D2F" w:rsidRPr="003442D0" w:rsidRDefault="0077185C" w:rsidP="00B41646">
            <w:pPr>
              <w:ind w:left="143" w:right="140"/>
              <w:jc w:val="both"/>
              <w:rPr>
                <w:lang w:val="nl-NL"/>
              </w:rPr>
            </w:pPr>
            <w:r>
              <w:rPr>
                <w:lang w:val="nl-NL"/>
              </w:rPr>
              <w:t xml:space="preserve">- Khoản 2 Điều 4 quy định </w:t>
            </w:r>
            <w:r w:rsidRPr="003442D0">
              <w:rPr>
                <w:rFonts w:eastAsia="Cambria"/>
                <w:iCs/>
              </w:rPr>
              <w:t xml:space="preserve">Ngân hàng Nhà nước Việt Nam tổng hợp nhu cầu cấp bù lãi suất của các ngân hàng thương mại thực hiện các chính sách </w:t>
            </w:r>
            <w:r>
              <w:rPr>
                <w:rFonts w:eastAsia="Cambria"/>
                <w:iCs/>
              </w:rPr>
              <w:t>tín dụng ưu đãi của nhà nước</w:t>
            </w:r>
            <w:r w:rsidRPr="003442D0">
              <w:rPr>
                <w:rFonts w:eastAsia="Cambria"/>
                <w:iCs/>
              </w:rPr>
              <w:t xml:space="preserve"> trong kế hoạch đầu tư công </w:t>
            </w:r>
            <w:r>
              <w:rPr>
                <w:rFonts w:eastAsia="Cambria"/>
                <w:iCs/>
              </w:rPr>
              <w:t xml:space="preserve">nguồn ngân sách nhà nước </w:t>
            </w:r>
            <w:r w:rsidRPr="003442D0">
              <w:rPr>
                <w:rFonts w:eastAsia="Cambria"/>
                <w:iCs/>
              </w:rPr>
              <w:t>trung hạn và hằng năm, lập báo cáo và gửi Bộ Tài chính để tổng hợp, báo cáo cấp có thẩm quyền</w:t>
            </w:r>
          </w:p>
          <w:p w:rsidR="002E6D2F" w:rsidRPr="003442D0" w:rsidRDefault="002E6D2F" w:rsidP="00B41646">
            <w:pPr>
              <w:ind w:left="143" w:right="140"/>
              <w:jc w:val="both"/>
              <w:rPr>
                <w:lang w:val="nl-NL"/>
              </w:rPr>
            </w:pPr>
          </w:p>
          <w:p w:rsidR="002E6D2F" w:rsidRPr="003442D0" w:rsidRDefault="002E6D2F" w:rsidP="00B41646">
            <w:pPr>
              <w:ind w:left="143" w:right="140"/>
              <w:jc w:val="both"/>
              <w:rPr>
                <w:lang w:val="nl-NL"/>
              </w:rPr>
            </w:pPr>
          </w:p>
        </w:tc>
        <w:tc>
          <w:tcPr>
            <w:tcW w:w="1073" w:type="pct"/>
            <w:tcBorders>
              <w:top w:val="single" w:sz="4" w:space="0" w:color="auto"/>
              <w:left w:val="nil"/>
              <w:bottom w:val="single" w:sz="4" w:space="0" w:color="auto"/>
              <w:right w:val="nil"/>
            </w:tcBorders>
            <w:shd w:val="clear" w:color="auto" w:fill="FFFFFF"/>
          </w:tcPr>
          <w:p w:rsidR="00904617" w:rsidRDefault="00904617" w:rsidP="00B41646">
            <w:pPr>
              <w:ind w:left="144" w:right="141"/>
              <w:jc w:val="both"/>
            </w:pPr>
            <w:r w:rsidRPr="003442D0">
              <w:t>Dự thảo Nghị định đảm bảo thống nhất với quy định tại Nghị định số 85/2025/NĐ-CP.</w:t>
            </w:r>
          </w:p>
        </w:tc>
        <w:tc>
          <w:tcPr>
            <w:tcW w:w="727" w:type="pct"/>
            <w:tcBorders>
              <w:top w:val="single" w:sz="4" w:space="0" w:color="auto"/>
              <w:left w:val="nil"/>
              <w:bottom w:val="single" w:sz="4" w:space="0" w:color="auto"/>
              <w:right w:val="single" w:sz="4" w:space="0" w:color="auto"/>
            </w:tcBorders>
            <w:shd w:val="clear" w:color="auto" w:fill="FFFFFF"/>
          </w:tcPr>
          <w:p w:rsidR="00904617" w:rsidRPr="00966B36" w:rsidRDefault="00904617" w:rsidP="00B41646">
            <w:pPr>
              <w:ind w:left="144" w:right="110"/>
              <w:jc w:val="center"/>
            </w:pPr>
          </w:p>
        </w:tc>
      </w:tr>
    </w:tbl>
    <w:p w:rsidR="00DB59E8" w:rsidRPr="00464B77" w:rsidRDefault="00DB59E8" w:rsidP="00EF6354"/>
    <w:sectPr w:rsidR="00DB59E8" w:rsidRPr="00464B77" w:rsidSect="00585306">
      <w:pgSz w:w="16840" w:h="11907" w:orient="landscape" w:code="9"/>
      <w:pgMar w:top="1134" w:right="1134" w:bottom="1134" w:left="1134"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40E" w:rsidRDefault="00BF040E" w:rsidP="007C4D76">
      <w:r>
        <w:separator/>
      </w:r>
    </w:p>
  </w:endnote>
  <w:endnote w:type="continuationSeparator" w:id="1">
    <w:p w:rsidR="00BF040E" w:rsidRDefault="00BF040E" w:rsidP="007C4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40E" w:rsidRDefault="00BF040E" w:rsidP="007C4D76">
      <w:r>
        <w:separator/>
      </w:r>
    </w:p>
  </w:footnote>
  <w:footnote w:type="continuationSeparator" w:id="1">
    <w:p w:rsidR="00BF040E" w:rsidRDefault="00BF040E" w:rsidP="007C4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978859"/>
      <w:docPartObj>
        <w:docPartGallery w:val="Page Numbers (Top of Page)"/>
        <w:docPartUnique/>
      </w:docPartObj>
    </w:sdtPr>
    <w:sdtEndPr>
      <w:rPr>
        <w:noProof/>
      </w:rPr>
    </w:sdtEndPr>
    <w:sdtContent>
      <w:p w:rsidR="00BF040E" w:rsidRDefault="007F2068">
        <w:pPr>
          <w:pStyle w:val="Header"/>
          <w:jc w:val="center"/>
        </w:pPr>
        <w:fldSimple w:instr=" PAGE   \* MERGEFORMAT ">
          <w:r w:rsidR="000E21C3">
            <w:rPr>
              <w:noProof/>
            </w:rPr>
            <w:t>5</w:t>
          </w:r>
        </w:fldSimple>
      </w:p>
    </w:sdtContent>
  </w:sdt>
  <w:p w:rsidR="00BF040E" w:rsidRDefault="00BF04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29DE"/>
    <w:multiLevelType w:val="hybridMultilevel"/>
    <w:tmpl w:val="9CA60F52"/>
    <w:lvl w:ilvl="0" w:tplc="D2BC1F8C">
      <w:start w:val="2"/>
      <w:numFmt w:val="bullet"/>
      <w:lvlText w:val="-"/>
      <w:lvlJc w:val="left"/>
      <w:pPr>
        <w:ind w:left="499" w:hanging="360"/>
      </w:pPr>
      <w:rPr>
        <w:rFonts w:ascii="Times New Roman" w:eastAsia="MS Mincho" w:hAnsi="Times New Roman" w:cs="Times New Roman"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
    <w:nsid w:val="63502DE3"/>
    <w:multiLevelType w:val="hybridMultilevel"/>
    <w:tmpl w:val="9E1C4534"/>
    <w:lvl w:ilvl="0" w:tplc="D7883B4E">
      <w:start w:val="1"/>
      <w:numFmt w:val="bullet"/>
      <w:lvlText w:val="-"/>
      <w:lvlJc w:val="left"/>
      <w:pPr>
        <w:ind w:left="502" w:hanging="360"/>
      </w:pPr>
      <w:rPr>
        <w:rFonts w:ascii="Times New Roman" w:eastAsia="MS Mincho"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3F227D"/>
    <w:rsid w:val="00000443"/>
    <w:rsid w:val="000007E6"/>
    <w:rsid w:val="00001AF6"/>
    <w:rsid w:val="00033914"/>
    <w:rsid w:val="00050323"/>
    <w:rsid w:val="000503A0"/>
    <w:rsid w:val="0005793B"/>
    <w:rsid w:val="00076969"/>
    <w:rsid w:val="00080959"/>
    <w:rsid w:val="000960EB"/>
    <w:rsid w:val="000A220B"/>
    <w:rsid w:val="000A3914"/>
    <w:rsid w:val="000B26B5"/>
    <w:rsid w:val="000C42B2"/>
    <w:rsid w:val="000C4DB1"/>
    <w:rsid w:val="000C5346"/>
    <w:rsid w:val="000D73A1"/>
    <w:rsid w:val="000E21C3"/>
    <w:rsid w:val="000F3064"/>
    <w:rsid w:val="00127BE3"/>
    <w:rsid w:val="00131185"/>
    <w:rsid w:val="00146A15"/>
    <w:rsid w:val="00151527"/>
    <w:rsid w:val="001A31F8"/>
    <w:rsid w:val="001C0186"/>
    <w:rsid w:val="001C0AB8"/>
    <w:rsid w:val="001C1717"/>
    <w:rsid w:val="001D2667"/>
    <w:rsid w:val="0021118D"/>
    <w:rsid w:val="00216049"/>
    <w:rsid w:val="002257A7"/>
    <w:rsid w:val="00227436"/>
    <w:rsid w:val="00227D17"/>
    <w:rsid w:val="00286DED"/>
    <w:rsid w:val="002B7CD3"/>
    <w:rsid w:val="002D0967"/>
    <w:rsid w:val="002E6D2F"/>
    <w:rsid w:val="002F22B7"/>
    <w:rsid w:val="00310E37"/>
    <w:rsid w:val="00313BDD"/>
    <w:rsid w:val="003442D0"/>
    <w:rsid w:val="00354050"/>
    <w:rsid w:val="00362C97"/>
    <w:rsid w:val="00373F5A"/>
    <w:rsid w:val="00376F93"/>
    <w:rsid w:val="0039196C"/>
    <w:rsid w:val="00396EC6"/>
    <w:rsid w:val="003B2951"/>
    <w:rsid w:val="003B2EA0"/>
    <w:rsid w:val="003C6823"/>
    <w:rsid w:val="003F227D"/>
    <w:rsid w:val="003F42B0"/>
    <w:rsid w:val="003F7DC4"/>
    <w:rsid w:val="004013C3"/>
    <w:rsid w:val="00404FD9"/>
    <w:rsid w:val="00425FBB"/>
    <w:rsid w:val="00427B38"/>
    <w:rsid w:val="00431E2F"/>
    <w:rsid w:val="00434CDA"/>
    <w:rsid w:val="00443A20"/>
    <w:rsid w:val="00457536"/>
    <w:rsid w:val="004610FF"/>
    <w:rsid w:val="00464B77"/>
    <w:rsid w:val="00474859"/>
    <w:rsid w:val="00484980"/>
    <w:rsid w:val="004874D7"/>
    <w:rsid w:val="004A654D"/>
    <w:rsid w:val="004D6888"/>
    <w:rsid w:val="00530540"/>
    <w:rsid w:val="00530D3C"/>
    <w:rsid w:val="0053419A"/>
    <w:rsid w:val="00551369"/>
    <w:rsid w:val="00555759"/>
    <w:rsid w:val="0057612C"/>
    <w:rsid w:val="00585306"/>
    <w:rsid w:val="005947E1"/>
    <w:rsid w:val="005B1BFD"/>
    <w:rsid w:val="005D2C11"/>
    <w:rsid w:val="005D4D8E"/>
    <w:rsid w:val="00611124"/>
    <w:rsid w:val="00625FE1"/>
    <w:rsid w:val="00635BCF"/>
    <w:rsid w:val="006442A7"/>
    <w:rsid w:val="00650EA9"/>
    <w:rsid w:val="00653B07"/>
    <w:rsid w:val="0065542F"/>
    <w:rsid w:val="0065562E"/>
    <w:rsid w:val="0065750B"/>
    <w:rsid w:val="00662E3C"/>
    <w:rsid w:val="00670C9F"/>
    <w:rsid w:val="00677030"/>
    <w:rsid w:val="00695E5A"/>
    <w:rsid w:val="00697AEB"/>
    <w:rsid w:val="006B4ADE"/>
    <w:rsid w:val="006C1520"/>
    <w:rsid w:val="006C52DF"/>
    <w:rsid w:val="006F45C6"/>
    <w:rsid w:val="007002EA"/>
    <w:rsid w:val="00706E50"/>
    <w:rsid w:val="00712564"/>
    <w:rsid w:val="00726347"/>
    <w:rsid w:val="007432FF"/>
    <w:rsid w:val="00763042"/>
    <w:rsid w:val="0077185C"/>
    <w:rsid w:val="00791065"/>
    <w:rsid w:val="00795837"/>
    <w:rsid w:val="007B46AF"/>
    <w:rsid w:val="007C4D76"/>
    <w:rsid w:val="007C76CE"/>
    <w:rsid w:val="007C7A7A"/>
    <w:rsid w:val="007F2068"/>
    <w:rsid w:val="007F3B66"/>
    <w:rsid w:val="00801C75"/>
    <w:rsid w:val="00814B06"/>
    <w:rsid w:val="00821219"/>
    <w:rsid w:val="008217DD"/>
    <w:rsid w:val="00835F34"/>
    <w:rsid w:val="00896BAA"/>
    <w:rsid w:val="008C0DE2"/>
    <w:rsid w:val="008E041D"/>
    <w:rsid w:val="008E25D0"/>
    <w:rsid w:val="008F07D7"/>
    <w:rsid w:val="008F3928"/>
    <w:rsid w:val="008F69D8"/>
    <w:rsid w:val="008F6F39"/>
    <w:rsid w:val="009044F8"/>
    <w:rsid w:val="00904617"/>
    <w:rsid w:val="00947534"/>
    <w:rsid w:val="00955E16"/>
    <w:rsid w:val="009577F9"/>
    <w:rsid w:val="009607DC"/>
    <w:rsid w:val="009633DF"/>
    <w:rsid w:val="009646BD"/>
    <w:rsid w:val="00970B51"/>
    <w:rsid w:val="009779EC"/>
    <w:rsid w:val="009A1AC3"/>
    <w:rsid w:val="009A542A"/>
    <w:rsid w:val="009B020B"/>
    <w:rsid w:val="009C10FA"/>
    <w:rsid w:val="009C3199"/>
    <w:rsid w:val="009D68AA"/>
    <w:rsid w:val="009E2448"/>
    <w:rsid w:val="009F7DCD"/>
    <w:rsid w:val="00A13C22"/>
    <w:rsid w:val="00A264E7"/>
    <w:rsid w:val="00A306B2"/>
    <w:rsid w:val="00A527F5"/>
    <w:rsid w:val="00A56264"/>
    <w:rsid w:val="00A56784"/>
    <w:rsid w:val="00A57EBD"/>
    <w:rsid w:val="00A80351"/>
    <w:rsid w:val="00AD2CFB"/>
    <w:rsid w:val="00AE1231"/>
    <w:rsid w:val="00B013C1"/>
    <w:rsid w:val="00B20D32"/>
    <w:rsid w:val="00B41646"/>
    <w:rsid w:val="00B42106"/>
    <w:rsid w:val="00B61678"/>
    <w:rsid w:val="00B61D03"/>
    <w:rsid w:val="00B633F0"/>
    <w:rsid w:val="00B74AD3"/>
    <w:rsid w:val="00B93F9A"/>
    <w:rsid w:val="00BB1E49"/>
    <w:rsid w:val="00BB2928"/>
    <w:rsid w:val="00BB7DFD"/>
    <w:rsid w:val="00BC373A"/>
    <w:rsid w:val="00BC7C5C"/>
    <w:rsid w:val="00BE234D"/>
    <w:rsid w:val="00BF040E"/>
    <w:rsid w:val="00BF7C86"/>
    <w:rsid w:val="00BF7E4A"/>
    <w:rsid w:val="00C0726D"/>
    <w:rsid w:val="00C13F88"/>
    <w:rsid w:val="00C21C23"/>
    <w:rsid w:val="00C507AC"/>
    <w:rsid w:val="00C60DE1"/>
    <w:rsid w:val="00C91E50"/>
    <w:rsid w:val="00CB242E"/>
    <w:rsid w:val="00CB3906"/>
    <w:rsid w:val="00CB42A3"/>
    <w:rsid w:val="00CC3CB1"/>
    <w:rsid w:val="00CD0249"/>
    <w:rsid w:val="00CD3B0E"/>
    <w:rsid w:val="00D327CB"/>
    <w:rsid w:val="00D352A2"/>
    <w:rsid w:val="00D63F64"/>
    <w:rsid w:val="00D74204"/>
    <w:rsid w:val="00DB59E8"/>
    <w:rsid w:val="00DB5FBD"/>
    <w:rsid w:val="00DC29BB"/>
    <w:rsid w:val="00DC5225"/>
    <w:rsid w:val="00DD4D3D"/>
    <w:rsid w:val="00DD4ED7"/>
    <w:rsid w:val="00DD7D1D"/>
    <w:rsid w:val="00DE020B"/>
    <w:rsid w:val="00DE1C4F"/>
    <w:rsid w:val="00DF17D5"/>
    <w:rsid w:val="00DF4CE0"/>
    <w:rsid w:val="00E07B5F"/>
    <w:rsid w:val="00E335C9"/>
    <w:rsid w:val="00E502A7"/>
    <w:rsid w:val="00E54595"/>
    <w:rsid w:val="00E61E8A"/>
    <w:rsid w:val="00E62430"/>
    <w:rsid w:val="00E86726"/>
    <w:rsid w:val="00E874FA"/>
    <w:rsid w:val="00E90E33"/>
    <w:rsid w:val="00EA49B1"/>
    <w:rsid w:val="00EB367C"/>
    <w:rsid w:val="00EC52C8"/>
    <w:rsid w:val="00EE0D20"/>
    <w:rsid w:val="00EE6665"/>
    <w:rsid w:val="00EE73C2"/>
    <w:rsid w:val="00EF6354"/>
    <w:rsid w:val="00F0122A"/>
    <w:rsid w:val="00F02FEB"/>
    <w:rsid w:val="00F12943"/>
    <w:rsid w:val="00F245D4"/>
    <w:rsid w:val="00F41997"/>
    <w:rsid w:val="00F43A2C"/>
    <w:rsid w:val="00F53FD1"/>
    <w:rsid w:val="00F61908"/>
    <w:rsid w:val="00FB0D54"/>
    <w:rsid w:val="00FC2342"/>
    <w:rsid w:val="00FC2D0F"/>
    <w:rsid w:val="00FC6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22A"/>
    <w:pPr>
      <w:spacing w:after="0" w:line="240" w:lineRule="auto"/>
    </w:pPr>
    <w:rPr>
      <w:rFonts w:ascii="Times New Roman" w:eastAsia="MS Mincho" w:hAnsi="Times New Roman" w:cs="Times New Roman"/>
      <w:kern w:val="0"/>
      <w:lang w:eastAsia="ja-JP"/>
    </w:rPr>
  </w:style>
  <w:style w:type="paragraph" w:styleId="Heading1">
    <w:name w:val="heading 1"/>
    <w:basedOn w:val="Normal"/>
    <w:next w:val="Normal"/>
    <w:link w:val="Heading1Char"/>
    <w:uiPriority w:val="9"/>
    <w:qFormat/>
    <w:rsid w:val="003F227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unhideWhenUsed/>
    <w:qFormat/>
    <w:rsid w:val="003F227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3F227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3F227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Heading5">
    <w:name w:val="heading 5"/>
    <w:basedOn w:val="Normal"/>
    <w:next w:val="Normal"/>
    <w:link w:val="Heading5Char"/>
    <w:uiPriority w:val="9"/>
    <w:semiHidden/>
    <w:unhideWhenUsed/>
    <w:qFormat/>
    <w:rsid w:val="003F227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Heading6">
    <w:name w:val="heading 6"/>
    <w:basedOn w:val="Normal"/>
    <w:next w:val="Normal"/>
    <w:link w:val="Heading6Char"/>
    <w:uiPriority w:val="9"/>
    <w:semiHidden/>
    <w:unhideWhenUsed/>
    <w:qFormat/>
    <w:rsid w:val="003F227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3F227D"/>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3F227D"/>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3F227D"/>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2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27D"/>
    <w:rPr>
      <w:rFonts w:eastAsiaTheme="majorEastAsia" w:cstheme="majorBidi"/>
      <w:color w:val="272727" w:themeColor="text1" w:themeTint="D8"/>
    </w:rPr>
  </w:style>
  <w:style w:type="paragraph" w:styleId="Title">
    <w:name w:val="Title"/>
    <w:basedOn w:val="Normal"/>
    <w:next w:val="Normal"/>
    <w:link w:val="TitleChar"/>
    <w:uiPriority w:val="10"/>
    <w:qFormat/>
    <w:rsid w:val="003F227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F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2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3F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27D"/>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3F227D"/>
    <w:rPr>
      <w:i/>
      <w:iCs/>
      <w:color w:val="404040" w:themeColor="text1" w:themeTint="BF"/>
    </w:rPr>
  </w:style>
  <w:style w:type="paragraph" w:styleId="ListParagraph">
    <w:name w:val="List Paragraph"/>
    <w:basedOn w:val="Normal"/>
    <w:uiPriority w:val="34"/>
    <w:qFormat/>
    <w:rsid w:val="003F227D"/>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3F227D"/>
    <w:rPr>
      <w:i/>
      <w:iCs/>
      <w:color w:val="2F5496" w:themeColor="accent1" w:themeShade="BF"/>
    </w:rPr>
  </w:style>
  <w:style w:type="paragraph" w:styleId="IntenseQuote">
    <w:name w:val="Intense Quote"/>
    <w:basedOn w:val="Normal"/>
    <w:next w:val="Normal"/>
    <w:link w:val="IntenseQuoteChar"/>
    <w:uiPriority w:val="30"/>
    <w:qFormat/>
    <w:rsid w:val="003F227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IntenseQuoteChar">
    <w:name w:val="Intense Quote Char"/>
    <w:basedOn w:val="DefaultParagraphFont"/>
    <w:link w:val="IntenseQuote"/>
    <w:uiPriority w:val="30"/>
    <w:rsid w:val="003F227D"/>
    <w:rPr>
      <w:i/>
      <w:iCs/>
      <w:color w:val="2F5496" w:themeColor="accent1" w:themeShade="BF"/>
    </w:rPr>
  </w:style>
  <w:style w:type="character" w:styleId="IntenseReference">
    <w:name w:val="Intense Reference"/>
    <w:basedOn w:val="DefaultParagraphFont"/>
    <w:uiPriority w:val="32"/>
    <w:qFormat/>
    <w:rsid w:val="003F227D"/>
    <w:rPr>
      <w:b/>
      <w:bCs/>
      <w:smallCaps/>
      <w:color w:val="2F5496" w:themeColor="accent1" w:themeShade="BF"/>
      <w:spacing w:val="5"/>
    </w:rPr>
  </w:style>
  <w:style w:type="paragraph" w:styleId="Header">
    <w:name w:val="header"/>
    <w:basedOn w:val="Normal"/>
    <w:link w:val="HeaderChar"/>
    <w:uiPriority w:val="99"/>
    <w:unhideWhenUsed/>
    <w:rsid w:val="00464B77"/>
    <w:pPr>
      <w:tabs>
        <w:tab w:val="center" w:pos="4513"/>
        <w:tab w:val="right" w:pos="9026"/>
      </w:tabs>
    </w:pPr>
  </w:style>
  <w:style w:type="character" w:customStyle="1" w:styleId="HeaderChar">
    <w:name w:val="Header Char"/>
    <w:basedOn w:val="DefaultParagraphFont"/>
    <w:link w:val="Header"/>
    <w:uiPriority w:val="99"/>
    <w:rsid w:val="00464B77"/>
    <w:rPr>
      <w:rFonts w:ascii="Times New Roman" w:eastAsia="MS Mincho" w:hAnsi="Times New Roman" w:cs="Times New Roman"/>
      <w:kern w:val="0"/>
      <w:lang w:eastAsia="ja-JP"/>
    </w:rPr>
  </w:style>
  <w:style w:type="paragraph" w:customStyle="1" w:styleId="normal-p">
    <w:name w:val="normal-p"/>
    <w:basedOn w:val="Normal"/>
    <w:qFormat/>
    <w:rsid w:val="00464B77"/>
    <w:rPr>
      <w:rFonts w:eastAsia="Times New Roman"/>
      <w:sz w:val="20"/>
      <w:szCs w:val="20"/>
      <w:lang w:eastAsia="en-US"/>
    </w:rPr>
  </w:style>
  <w:style w:type="paragraph" w:customStyle="1" w:styleId="abc">
    <w:name w:val="abc"/>
    <w:basedOn w:val="Normal"/>
    <w:rsid w:val="00464B77"/>
    <w:rPr>
      <w:rFonts w:ascii=".VnTime" w:eastAsia="Times New Roman" w:hAnsi=".VnTime"/>
      <w:szCs w:val="20"/>
      <w:lang w:eastAsia="en-US"/>
    </w:rPr>
  </w:style>
  <w:style w:type="paragraph" w:styleId="Footer">
    <w:name w:val="footer"/>
    <w:basedOn w:val="Normal"/>
    <w:link w:val="FooterChar"/>
    <w:uiPriority w:val="99"/>
    <w:unhideWhenUsed/>
    <w:rsid w:val="007C4D76"/>
    <w:pPr>
      <w:tabs>
        <w:tab w:val="center" w:pos="4680"/>
        <w:tab w:val="right" w:pos="9360"/>
      </w:tabs>
    </w:pPr>
  </w:style>
  <w:style w:type="character" w:customStyle="1" w:styleId="FooterChar">
    <w:name w:val="Footer Char"/>
    <w:basedOn w:val="DefaultParagraphFont"/>
    <w:link w:val="Footer"/>
    <w:uiPriority w:val="99"/>
    <w:rsid w:val="007C4D76"/>
    <w:rPr>
      <w:rFonts w:ascii="Times New Roman" w:eastAsia="MS Mincho" w:hAnsi="Times New Roman" w:cs="Times New Roman"/>
      <w:kern w:val="0"/>
      <w:lang w:eastAsia="ja-JP"/>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rsid w:val="007C4D76"/>
    <w:rPr>
      <w:rFonts w:eastAsia="Times New Roman"/>
      <w:sz w:val="20"/>
      <w:szCs w:val="20"/>
      <w:lang w:val="en-ZW"/>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rsid w:val="007C4D76"/>
    <w:rPr>
      <w:rFonts w:ascii="Times New Roman" w:eastAsia="Times New Roman" w:hAnsi="Times New Roman" w:cs="Times New Roman"/>
      <w:kern w:val="0"/>
      <w:sz w:val="20"/>
      <w:szCs w:val="20"/>
      <w:lang w:val="en-ZW"/>
    </w:rPr>
  </w:style>
  <w:style w:type="paragraph" w:styleId="NormalWeb">
    <w:name w:val="Normal (Web)"/>
    <w:basedOn w:val="Normal"/>
    <w:uiPriority w:val="99"/>
    <w:semiHidden/>
    <w:unhideWhenUsed/>
    <w:rsid w:val="00EE0D20"/>
  </w:style>
  <w:style w:type="character" w:styleId="Hyperlink">
    <w:name w:val="Hyperlink"/>
    <w:basedOn w:val="DefaultParagraphFont"/>
    <w:uiPriority w:val="99"/>
    <w:unhideWhenUsed/>
    <w:rsid w:val="00EE0D20"/>
    <w:rPr>
      <w:color w:val="0563C1" w:themeColor="hyperlink"/>
      <w:u w:val="single"/>
    </w:rPr>
  </w:style>
  <w:style w:type="character" w:customStyle="1" w:styleId="UnresolvedMention1">
    <w:name w:val="Unresolved Mention1"/>
    <w:basedOn w:val="DefaultParagraphFont"/>
    <w:uiPriority w:val="99"/>
    <w:semiHidden/>
    <w:unhideWhenUsed/>
    <w:rsid w:val="00EE0D2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10</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Kim Dung</dc:creator>
  <cp:keywords/>
  <dc:description/>
  <cp:lastModifiedBy>Administrator</cp:lastModifiedBy>
  <cp:revision>25</cp:revision>
  <cp:lastPrinted>2025-11-05T01:58:00Z</cp:lastPrinted>
  <dcterms:created xsi:type="dcterms:W3CDTF">2025-10-06T06:25:00Z</dcterms:created>
  <dcterms:modified xsi:type="dcterms:W3CDTF">2025-11-05T01:58:00Z</dcterms:modified>
</cp:coreProperties>
</file>