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jc w:val="center"/>
        <w:tblLook w:val="01E0" w:firstRow="1" w:lastRow="1" w:firstColumn="1" w:lastColumn="1" w:noHBand="0" w:noVBand="0"/>
      </w:tblPr>
      <w:tblGrid>
        <w:gridCol w:w="3677"/>
        <w:gridCol w:w="5701"/>
      </w:tblGrid>
      <w:tr w:rsidR="009A0788" w:rsidRPr="009A0788" w14:paraId="4F0104C2" w14:textId="77777777" w:rsidTr="009A0788">
        <w:trPr>
          <w:trHeight w:val="1112"/>
          <w:jc w:val="center"/>
        </w:trPr>
        <w:tc>
          <w:tcPr>
            <w:tcW w:w="3677" w:type="dxa"/>
          </w:tcPr>
          <w:p w14:paraId="6EAE7F1D" w14:textId="77777777" w:rsidR="000B7057" w:rsidRPr="009A0788" w:rsidRDefault="000B7057" w:rsidP="00AA7259">
            <w:pPr>
              <w:widowControl/>
              <w:jc w:val="center"/>
              <w:rPr>
                <w:rFonts w:ascii="Times New Roman" w:eastAsia="Calibri" w:hAnsi="Times New Roman" w:cs="Times New Roman"/>
                <w:noProof/>
                <w:color w:val="auto"/>
                <w:spacing w:val="-2"/>
                <w:sz w:val="26"/>
                <w:szCs w:val="26"/>
                <w:lang w:eastAsia="en-US"/>
              </w:rPr>
            </w:pPr>
            <w:bookmarkStart w:id="0" w:name="_Hlk211613039"/>
            <w:r w:rsidRPr="009A0788">
              <w:rPr>
                <w:rFonts w:ascii="Times New Roman" w:eastAsia="Calibri" w:hAnsi="Times New Roman" w:cs="Times New Roman"/>
                <w:noProof/>
                <w:color w:val="auto"/>
                <w:spacing w:val="-2"/>
                <w:sz w:val="26"/>
                <w:szCs w:val="26"/>
                <w:lang w:eastAsia="en-US"/>
              </w:rPr>
              <w:t>B</w:t>
            </w:r>
            <w:r w:rsidRPr="009A0788">
              <w:rPr>
                <w:rFonts w:ascii="Times New Roman" w:eastAsia="Calibri" w:hAnsi="Times New Roman" w:cs="Arial"/>
                <w:noProof/>
                <w:color w:val="auto"/>
                <w:spacing w:val="-2"/>
                <w:sz w:val="26"/>
                <w:szCs w:val="26"/>
                <w:lang w:eastAsia="en-US"/>
              </w:rPr>
              <w:t>Ộ</w:t>
            </w:r>
            <w:r w:rsidRPr="009A0788">
              <w:rPr>
                <w:rFonts w:ascii="Times New Roman" w:eastAsia="Calibri" w:hAnsi="Times New Roman" w:cs="Times New Roman"/>
                <w:noProof/>
                <w:color w:val="auto"/>
                <w:spacing w:val="-2"/>
                <w:sz w:val="26"/>
                <w:szCs w:val="26"/>
                <w:lang w:eastAsia="en-US"/>
              </w:rPr>
              <w:t xml:space="preserve"> CÔNG TH</w:t>
            </w:r>
            <w:r w:rsidRPr="009A0788">
              <w:rPr>
                <w:rFonts w:ascii="Times New Roman" w:eastAsia="Calibri" w:hAnsi="Times New Roman" w:cs="Arial"/>
                <w:noProof/>
                <w:color w:val="auto"/>
                <w:spacing w:val="-2"/>
                <w:sz w:val="26"/>
                <w:szCs w:val="26"/>
                <w:lang w:eastAsia="en-US"/>
              </w:rPr>
              <w:t>ƯƠ</w:t>
            </w:r>
            <w:r w:rsidRPr="009A0788">
              <w:rPr>
                <w:rFonts w:ascii="Times New Roman" w:eastAsia="Calibri" w:hAnsi="Times New Roman" w:cs="Times New Roman"/>
                <w:noProof/>
                <w:color w:val="auto"/>
                <w:spacing w:val="-2"/>
                <w:sz w:val="26"/>
                <w:szCs w:val="26"/>
                <w:lang w:eastAsia="en-US"/>
              </w:rPr>
              <w:t>NG</w:t>
            </w:r>
          </w:p>
          <w:p w14:paraId="374F718C" w14:textId="5EB62FEF" w:rsidR="000B7057" w:rsidRPr="009A0788" w:rsidRDefault="00961321" w:rsidP="00AA7259">
            <w:pPr>
              <w:widowControl/>
              <w:jc w:val="center"/>
              <w:rPr>
                <w:rFonts w:ascii="Times New Roman" w:hAnsi="Times New Roman" w:cs="Times New Roman"/>
                <w:color w:val="auto"/>
                <w:sz w:val="6"/>
                <w:szCs w:val="6"/>
                <w:lang w:val="en-US" w:eastAsia="en-US"/>
              </w:rPr>
            </w:pPr>
            <w:r>
              <w:rPr>
                <w:rFonts w:ascii=".VnTime" w:hAnsi=".VnTime" w:cs=".VnTime"/>
                <w:noProof/>
                <w:color w:val="auto"/>
                <w:lang w:val="en-US" w:eastAsia="en-US"/>
                <w14:ligatures w14:val="standardContextual"/>
              </w:rPr>
              <mc:AlternateContent>
                <mc:Choice Requires="wps">
                  <w:drawing>
                    <wp:anchor distT="0" distB="0" distL="114300" distR="114300" simplePos="0" relativeHeight="251660288" behindDoc="0" locked="0" layoutInCell="1" allowOverlap="1" wp14:anchorId="0E59CEFA" wp14:editId="39AE1E4A">
                      <wp:simplePos x="0" y="0"/>
                      <wp:positionH relativeFrom="column">
                        <wp:posOffset>-428930</wp:posOffset>
                      </wp:positionH>
                      <wp:positionV relativeFrom="paragraph">
                        <wp:posOffset>230987</wp:posOffset>
                      </wp:positionV>
                      <wp:extent cx="994867" cy="446227"/>
                      <wp:effectExtent l="0" t="0" r="15240" b="11430"/>
                      <wp:wrapNone/>
                      <wp:docPr id="2" name="Rounded Rectangle 2"/>
                      <wp:cNvGraphicFramePr/>
                      <a:graphic xmlns:a="http://schemas.openxmlformats.org/drawingml/2006/main">
                        <a:graphicData uri="http://schemas.microsoft.com/office/word/2010/wordprocessingShape">
                          <wps:wsp>
                            <wps:cNvSpPr/>
                            <wps:spPr>
                              <a:xfrm>
                                <a:off x="0" y="0"/>
                                <a:ext cx="994867" cy="446227"/>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B398A43" w14:textId="718FAB37" w:rsidR="00961321" w:rsidRPr="00000732" w:rsidRDefault="00961321" w:rsidP="00961321">
                                  <w:pPr>
                                    <w:jc w:val="center"/>
                                    <w:rPr>
                                      <w:rFonts w:ascii="Times New Roman" w:hAnsi="Times New Roman" w:cs="Times New Roman"/>
                                      <w:lang w:val="en-US"/>
                                    </w:rPr>
                                  </w:pPr>
                                  <w:r w:rsidRPr="00000732">
                                    <w:rPr>
                                      <w:rFonts w:ascii="Times New Roman" w:hAnsi="Times New Roman" w:cs="Times New Roman"/>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26" style="position:absolute;left:0;text-align:left;margin-left:-33.75pt;margin-top:18.2pt;width:78.35pt;height:35.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" fillcolor="#a5a5a5 [3206]" strokecolor="#525252 [1606]" strokeweight="1pt">
                      <v:stroke joinstyle="miter"/>
                      <v:textbox>
                        <w:txbxContent>
                          <w:p w14:paraId="0B398A43" w14:textId="718FAB37" w:rsidR="00961321" w:rsidRPr="00000732" w:rsidRDefault="00961321" w:rsidP="00961321">
                            <w:pPr>
                              <w:jc w:val="center"/>
                              <w:rPr>
                                <w:rFonts w:ascii="Times New Roman" w:hAnsi="Times New Roman" w:cs="Times New Roman"/>
                                <w:lang w:val="en-US"/>
                              </w:rPr>
                            </w:pPr>
                            <w:r w:rsidRPr="00000732">
                              <w:rPr>
                                <w:rFonts w:ascii="Times New Roman" w:hAnsi="Times New Roman" w:cs="Times New Roman"/>
                                <w:lang w:val="en-US"/>
                              </w:rPr>
                              <w:t>DỰ THẢO</w:t>
                            </w:r>
                          </w:p>
                        </w:txbxContent>
                      </v:textbox>
                    </v:roundrect>
                  </w:pict>
                </mc:Fallback>
              </mc:AlternateContent>
            </w:r>
            <w:r w:rsidR="000B7057" w:rsidRPr="009A0788">
              <w:rPr>
                <w:rFonts w:ascii=".VnTime" w:hAnsi=".VnTime" w:cs=".VnTime"/>
                <w:noProof/>
                <w:color w:val="auto"/>
                <w:lang w:val="en-US" w:eastAsia="en-US"/>
              </w:rPr>
              <mc:AlternateContent>
                <mc:Choice Requires="wps">
                  <w:drawing>
                    <wp:anchor distT="4294967294" distB="4294967294" distL="114300" distR="114300" simplePos="0" relativeHeight="251659264" behindDoc="0" locked="0" layoutInCell="1" allowOverlap="1" wp14:anchorId="72A1170C" wp14:editId="02EF66ED">
                      <wp:simplePos x="0" y="0"/>
                      <wp:positionH relativeFrom="column">
                        <wp:posOffset>815975</wp:posOffset>
                      </wp:positionH>
                      <wp:positionV relativeFrom="paragraph">
                        <wp:posOffset>231775</wp:posOffset>
                      </wp:positionV>
                      <wp:extent cx="428625" cy="0"/>
                      <wp:effectExtent l="0" t="0" r="9525" b="19050"/>
                      <wp:wrapNone/>
                      <wp:docPr id="56464529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64.25pt;margin-top:18.25pt;width:33.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"/>
                  </w:pict>
                </mc:Fallback>
              </mc:AlternateContent>
            </w:r>
            <w:r w:rsidR="009A0788" w:rsidRPr="009A0788">
              <w:rPr>
                <w:rFonts w:ascii="Times New Roman" w:hAnsi="Times New Roman" w:cs="Times New Roman"/>
                <w:b/>
                <w:color w:val="auto"/>
                <w:spacing w:val="-2"/>
                <w:sz w:val="26"/>
                <w:szCs w:val="28"/>
                <w:lang w:val="en-US" w:eastAsia="en-US"/>
              </w:rPr>
              <w:t>CỤC HÓA CHẤT</w:t>
            </w:r>
          </w:p>
        </w:tc>
        <w:tc>
          <w:tcPr>
            <w:tcW w:w="5701" w:type="dxa"/>
          </w:tcPr>
          <w:p w14:paraId="7DC3E4FE" w14:textId="77777777" w:rsidR="000B7057" w:rsidRPr="009A0788" w:rsidRDefault="000B7057" w:rsidP="00AA7259">
            <w:pPr>
              <w:widowControl/>
              <w:jc w:val="center"/>
              <w:rPr>
                <w:rFonts w:ascii="Times New Roman" w:hAnsi="Times New Roman" w:cs="Times New Roman"/>
                <w:b/>
                <w:bCs/>
                <w:color w:val="auto"/>
                <w:sz w:val="26"/>
                <w:szCs w:val="26"/>
                <w:lang w:eastAsia="en-US"/>
              </w:rPr>
            </w:pPr>
            <w:r w:rsidRPr="009A0788">
              <w:rPr>
                <w:rFonts w:ascii="Times New Roman" w:hAnsi="Times New Roman" w:cs="Times New Roman"/>
                <w:b/>
                <w:bCs/>
                <w:color w:val="auto"/>
                <w:sz w:val="26"/>
                <w:szCs w:val="26"/>
                <w:lang w:eastAsia="en-US"/>
              </w:rPr>
              <w:t>CỘNG HOÀ XÃ HỘI CHỦ NGHĨA VIỆT NAM</w:t>
            </w:r>
          </w:p>
          <w:p w14:paraId="5F34DC02" w14:textId="77777777" w:rsidR="000B7057" w:rsidRPr="009A0788" w:rsidRDefault="000B7057" w:rsidP="00AA7259">
            <w:pPr>
              <w:widowControl/>
              <w:jc w:val="center"/>
              <w:rPr>
                <w:rFonts w:ascii="Times New Roman" w:hAnsi="Times New Roman" w:cs="Times New Roman"/>
                <w:b/>
                <w:bCs/>
                <w:color w:val="auto"/>
                <w:sz w:val="28"/>
                <w:szCs w:val="28"/>
                <w:lang w:eastAsia="en-US"/>
              </w:rPr>
            </w:pPr>
            <w:r w:rsidRPr="009A0788">
              <w:rPr>
                <w:rFonts w:ascii="Times New Roman" w:hAnsi="Times New Roman" w:cs="Times New Roman"/>
                <w:b/>
                <w:bCs/>
                <w:color w:val="auto"/>
                <w:sz w:val="28"/>
                <w:szCs w:val="28"/>
                <w:lang w:eastAsia="en-US"/>
              </w:rPr>
              <w:t>Độc lập - Tự do - Hạnh phúc</w:t>
            </w:r>
          </w:p>
          <w:p w14:paraId="09E91CC2" w14:textId="77777777" w:rsidR="000B7057" w:rsidRPr="009A0788" w:rsidRDefault="000B7057" w:rsidP="00AA7259">
            <w:pPr>
              <w:widowControl/>
              <w:jc w:val="center"/>
              <w:rPr>
                <w:rFonts w:ascii="Times New Roman" w:hAnsi="Times New Roman" w:cs="Times New Roman"/>
                <w:b/>
                <w:bCs/>
                <w:color w:val="auto"/>
                <w:sz w:val="26"/>
                <w:szCs w:val="26"/>
                <w:lang w:val="en-US" w:eastAsia="en-US"/>
              </w:rPr>
            </w:pPr>
            <w:r w:rsidRPr="009A0788">
              <w:rPr>
                <w:rFonts w:ascii="Times New Roman" w:hAnsi="Times New Roman" w:cs="Times New Roman"/>
                <w:color w:val="auto"/>
                <w:sz w:val="14"/>
                <w:szCs w:val="14"/>
                <w:lang w:val="en-US" w:eastAsia="en-US"/>
              </w:rPr>
              <w:t>________________________________________________</w:t>
            </w:r>
          </w:p>
        </w:tc>
      </w:tr>
      <w:tr w:rsidR="009A0788" w:rsidRPr="009A0788" w14:paraId="17099D49" w14:textId="77777777" w:rsidTr="009A0788">
        <w:trPr>
          <w:trHeight w:val="693"/>
          <w:jc w:val="center"/>
        </w:trPr>
        <w:tc>
          <w:tcPr>
            <w:tcW w:w="3677" w:type="dxa"/>
            <w:vAlign w:val="center"/>
          </w:tcPr>
          <w:p w14:paraId="75206ED9" w14:textId="77777777" w:rsidR="000B7057" w:rsidRPr="009A0788" w:rsidRDefault="000B7057" w:rsidP="00AA7259">
            <w:pPr>
              <w:widowControl/>
              <w:jc w:val="center"/>
              <w:rPr>
                <w:rFonts w:ascii="Times New Roman" w:hAnsi="Times New Roman" w:cs="Times New Roman"/>
                <w:color w:val="auto"/>
                <w:sz w:val="26"/>
                <w:szCs w:val="26"/>
                <w:lang w:val="en-US" w:eastAsia="en-US"/>
              </w:rPr>
            </w:pPr>
          </w:p>
          <w:p w14:paraId="78497C01" w14:textId="488EFBAA" w:rsidR="000B7057" w:rsidRPr="009A0788" w:rsidRDefault="000B7057" w:rsidP="009A0788">
            <w:pPr>
              <w:widowControl/>
              <w:jc w:val="center"/>
              <w:rPr>
                <w:rFonts w:ascii="Times New Roman" w:hAnsi="Times New Roman" w:cs="Times New Roman"/>
                <w:color w:val="auto"/>
                <w:sz w:val="26"/>
                <w:szCs w:val="26"/>
                <w:lang w:val="en-US" w:eastAsia="en-US"/>
              </w:rPr>
            </w:pPr>
            <w:r w:rsidRPr="009A0788">
              <w:rPr>
                <w:rFonts w:ascii="Times New Roman" w:hAnsi="Times New Roman" w:cs="Times New Roman"/>
                <w:color w:val="auto"/>
                <w:sz w:val="26"/>
                <w:szCs w:val="26"/>
                <w:lang w:val="en-US" w:eastAsia="en-US"/>
              </w:rPr>
              <w:t>Số:   ….</w:t>
            </w:r>
            <w:r w:rsidRPr="009A0788">
              <w:rPr>
                <w:rFonts w:ascii="Times New Roman" w:hAnsi="Times New Roman" w:cs="Times New Roman"/>
                <w:b/>
                <w:bCs/>
                <w:color w:val="auto"/>
                <w:sz w:val="26"/>
                <w:szCs w:val="26"/>
                <w:lang w:val="en-US" w:eastAsia="en-US"/>
              </w:rPr>
              <w:t xml:space="preserve"> </w:t>
            </w:r>
            <w:r w:rsidRPr="009A0788">
              <w:rPr>
                <w:rFonts w:ascii="Times New Roman" w:hAnsi="Times New Roman" w:cs="Times New Roman"/>
                <w:color w:val="auto"/>
                <w:sz w:val="26"/>
                <w:szCs w:val="26"/>
                <w:lang w:val="en-US" w:eastAsia="en-US"/>
              </w:rPr>
              <w:t>/BC-</w:t>
            </w:r>
            <w:r w:rsidR="009A0788" w:rsidRPr="009A0788">
              <w:rPr>
                <w:rFonts w:ascii="Times New Roman" w:hAnsi="Times New Roman" w:cs="Times New Roman"/>
                <w:color w:val="auto"/>
                <w:sz w:val="26"/>
                <w:szCs w:val="26"/>
                <w:lang w:val="en-US" w:eastAsia="en-US"/>
              </w:rPr>
              <w:t>HC</w:t>
            </w:r>
          </w:p>
        </w:tc>
        <w:tc>
          <w:tcPr>
            <w:tcW w:w="5701" w:type="dxa"/>
            <w:vAlign w:val="center"/>
          </w:tcPr>
          <w:p w14:paraId="36273843" w14:textId="77777777" w:rsidR="000B7057" w:rsidRPr="009A0788" w:rsidRDefault="000B7057" w:rsidP="00AA7259">
            <w:pPr>
              <w:widowControl/>
              <w:jc w:val="center"/>
              <w:rPr>
                <w:rFonts w:ascii="Times New Roman" w:hAnsi="Times New Roman" w:cs="Times New Roman"/>
                <w:i/>
                <w:iCs/>
                <w:color w:val="auto"/>
                <w:sz w:val="26"/>
                <w:szCs w:val="26"/>
                <w:lang w:val="en-US" w:eastAsia="en-US"/>
              </w:rPr>
            </w:pPr>
          </w:p>
          <w:p w14:paraId="19A62C99" w14:textId="2397262B" w:rsidR="000B7057" w:rsidRPr="009A0788" w:rsidRDefault="000B7057" w:rsidP="00AA7259">
            <w:pPr>
              <w:widowControl/>
              <w:jc w:val="center"/>
              <w:rPr>
                <w:rFonts w:ascii="Times New Roman" w:hAnsi="Times New Roman" w:cs="Times New Roman"/>
                <w:i/>
                <w:iCs/>
                <w:color w:val="auto"/>
                <w:sz w:val="26"/>
                <w:szCs w:val="26"/>
                <w:lang w:val="en-US" w:eastAsia="en-US"/>
              </w:rPr>
            </w:pPr>
            <w:r w:rsidRPr="009A0788">
              <w:rPr>
                <w:rFonts w:ascii="Times New Roman" w:hAnsi="Times New Roman" w:cs="Times New Roman"/>
                <w:i/>
                <w:iCs/>
                <w:color w:val="auto"/>
                <w:sz w:val="26"/>
                <w:szCs w:val="26"/>
                <w:lang w:val="en-US" w:eastAsia="en-US"/>
              </w:rPr>
              <w:t xml:space="preserve">Hà Nội, ngày     tháng </w:t>
            </w:r>
            <w:r w:rsidR="00723871" w:rsidRPr="009A0788">
              <w:rPr>
                <w:rFonts w:ascii="Times New Roman" w:hAnsi="Times New Roman" w:cs="Times New Roman"/>
                <w:i/>
                <w:iCs/>
                <w:color w:val="auto"/>
                <w:sz w:val="26"/>
                <w:szCs w:val="26"/>
                <w:lang w:val="en-US" w:eastAsia="en-US"/>
              </w:rPr>
              <w:t xml:space="preserve">    </w:t>
            </w:r>
            <w:r w:rsidRPr="009A0788">
              <w:rPr>
                <w:rFonts w:ascii="Times New Roman" w:hAnsi="Times New Roman" w:cs="Times New Roman"/>
                <w:i/>
                <w:iCs/>
                <w:color w:val="auto"/>
                <w:sz w:val="26"/>
                <w:szCs w:val="26"/>
                <w:lang w:val="en-US" w:eastAsia="en-US"/>
              </w:rPr>
              <w:t xml:space="preserve"> năm 2025</w:t>
            </w:r>
          </w:p>
        </w:tc>
      </w:tr>
      <w:tr w:rsidR="009A0788" w:rsidRPr="009A0788" w14:paraId="7D52F57F" w14:textId="77777777" w:rsidTr="009A0788">
        <w:trPr>
          <w:jc w:val="center"/>
        </w:trPr>
        <w:tc>
          <w:tcPr>
            <w:tcW w:w="3677" w:type="dxa"/>
          </w:tcPr>
          <w:p w14:paraId="66E3B9BB" w14:textId="77777777" w:rsidR="000B7057" w:rsidRPr="009A0788" w:rsidRDefault="000B7057" w:rsidP="00AA7259">
            <w:pPr>
              <w:widowControl/>
              <w:jc w:val="center"/>
              <w:rPr>
                <w:rFonts w:ascii="Times New Roman" w:hAnsi="Times New Roman" w:cs="Times New Roman"/>
                <w:color w:val="auto"/>
                <w:lang w:val="en-US" w:eastAsia="en-US"/>
              </w:rPr>
            </w:pPr>
          </w:p>
        </w:tc>
        <w:tc>
          <w:tcPr>
            <w:tcW w:w="5701" w:type="dxa"/>
          </w:tcPr>
          <w:p w14:paraId="49592E53" w14:textId="77777777" w:rsidR="000B7057" w:rsidRPr="009A0788" w:rsidRDefault="000B7057" w:rsidP="00AA7259">
            <w:pPr>
              <w:widowControl/>
              <w:jc w:val="both"/>
              <w:rPr>
                <w:rFonts w:ascii="Times New Roman" w:hAnsi="Times New Roman" w:cs="Times New Roman"/>
                <w:color w:val="auto"/>
                <w:lang w:val="en-US" w:eastAsia="en-US"/>
              </w:rPr>
            </w:pPr>
          </w:p>
        </w:tc>
      </w:tr>
    </w:tbl>
    <w:bookmarkEnd w:id="0"/>
    <w:p w14:paraId="25C1256D" w14:textId="77777777" w:rsidR="00165CDA" w:rsidRPr="009A0788" w:rsidRDefault="00165CDA" w:rsidP="00165CDA">
      <w:pPr>
        <w:spacing w:before="120"/>
        <w:jc w:val="center"/>
        <w:rPr>
          <w:rFonts w:ascii="Times New Roman" w:hAnsi="Times New Roman" w:cs="Times New Roman"/>
          <w:b/>
          <w:bCs/>
          <w:color w:val="auto"/>
          <w:sz w:val="28"/>
          <w:szCs w:val="28"/>
        </w:rPr>
      </w:pPr>
      <w:r w:rsidRPr="009A0788">
        <w:rPr>
          <w:rFonts w:ascii="Times New Roman" w:hAnsi="Times New Roman" w:cs="Times New Roman"/>
          <w:b/>
          <w:bCs/>
          <w:color w:val="auto"/>
          <w:sz w:val="28"/>
          <w:szCs w:val="28"/>
        </w:rPr>
        <w:t>BÁO CÁO</w:t>
      </w:r>
    </w:p>
    <w:p w14:paraId="64452BF7" w14:textId="7F4CBB5A" w:rsidR="009A0788" w:rsidRPr="009A0788" w:rsidRDefault="00165CDA" w:rsidP="00723871">
      <w:pPr>
        <w:spacing w:before="120"/>
        <w:jc w:val="center"/>
        <w:rPr>
          <w:rFonts w:ascii="Times New Roman" w:hAnsi="Times New Roman" w:cs="Times New Roman"/>
          <w:b/>
          <w:bCs/>
          <w:color w:val="auto"/>
          <w:sz w:val="28"/>
          <w:szCs w:val="28"/>
          <w:lang w:val="en-US"/>
        </w:rPr>
      </w:pPr>
      <w:r w:rsidRPr="009A0788">
        <w:rPr>
          <w:rFonts w:ascii="Times New Roman" w:hAnsi="Times New Roman" w:cs="Times New Roman"/>
          <w:b/>
          <w:bCs/>
          <w:color w:val="auto"/>
          <w:sz w:val="28"/>
          <w:szCs w:val="28"/>
        </w:rPr>
        <w:t>Tổng kết việc thi hành</w:t>
      </w:r>
      <w:r w:rsidR="00BD3AA4" w:rsidRPr="009A0788">
        <w:rPr>
          <w:rFonts w:ascii="Times New Roman" w:hAnsi="Times New Roman" w:cs="Times New Roman"/>
          <w:b/>
          <w:bCs/>
          <w:color w:val="auto"/>
          <w:sz w:val="28"/>
          <w:szCs w:val="28"/>
        </w:rPr>
        <w:t xml:space="preserve"> </w:t>
      </w:r>
      <w:r w:rsidR="00F3664C" w:rsidRPr="009A0788">
        <w:rPr>
          <w:rFonts w:ascii="Times New Roman" w:hAnsi="Times New Roman" w:cs="Times New Roman"/>
          <w:b/>
          <w:bCs/>
          <w:color w:val="auto"/>
          <w:sz w:val="28"/>
          <w:szCs w:val="28"/>
          <w:lang w:val="en-SG"/>
        </w:rPr>
        <w:t xml:space="preserve">các Thông tư của </w:t>
      </w:r>
      <w:r w:rsidR="00F3664C" w:rsidRPr="009A0788">
        <w:rPr>
          <w:rFonts w:ascii="Times New Roman" w:hAnsi="Times New Roman" w:cs="Times New Roman"/>
          <w:b/>
          <w:bCs/>
          <w:color w:val="auto"/>
          <w:sz w:val="28"/>
          <w:szCs w:val="28"/>
        </w:rPr>
        <w:t>Bộ trưởng Bộ Công Thương</w:t>
      </w:r>
      <w:r w:rsidR="009A0788" w:rsidRPr="009A0788">
        <w:rPr>
          <w:rFonts w:ascii="Times New Roman" w:hAnsi="Times New Roman" w:cs="Times New Roman"/>
          <w:b/>
          <w:bCs/>
          <w:color w:val="auto"/>
          <w:sz w:val="28"/>
          <w:szCs w:val="28"/>
          <w:lang w:val="en-US"/>
        </w:rPr>
        <w:t xml:space="preserve"> quy định chi tiết và hướng dẫn một số điều của Luật Hóa chất theo vòng đời và quản lý hóa chất trong sản phẩm</w:t>
      </w:r>
    </w:p>
    <w:p w14:paraId="24CAAF0D" w14:textId="77777777" w:rsidR="009A0788" w:rsidRDefault="009A0788" w:rsidP="00723871">
      <w:pPr>
        <w:spacing w:before="120"/>
        <w:jc w:val="center"/>
        <w:rPr>
          <w:rFonts w:ascii="Times New Roman" w:hAnsi="Times New Roman" w:cs="Times New Roman"/>
          <w:b/>
          <w:bCs/>
          <w:color w:val="FF0000"/>
          <w:sz w:val="28"/>
          <w:szCs w:val="28"/>
          <w:lang w:val="en-US"/>
        </w:rPr>
      </w:pPr>
    </w:p>
    <w:p w14:paraId="3DBC6C33" w14:textId="164A49E2" w:rsidR="009A0788" w:rsidRDefault="00165CDA" w:rsidP="007529DF">
      <w:pPr>
        <w:spacing w:before="120" w:after="120"/>
        <w:ind w:firstLine="851"/>
        <w:jc w:val="both"/>
        <w:rPr>
          <w:rFonts w:ascii="Times New Roman" w:hAnsi="Times New Roman" w:cs="Times New Roman"/>
          <w:color w:val="FF0000"/>
          <w:sz w:val="28"/>
          <w:szCs w:val="28"/>
          <w:lang w:val="en-US"/>
        </w:rPr>
      </w:pPr>
      <w:r w:rsidRPr="009A0788">
        <w:rPr>
          <w:rFonts w:ascii="Times New Roman" w:hAnsi="Times New Roman" w:cs="Times New Roman"/>
          <w:color w:val="auto"/>
          <w:sz w:val="28"/>
          <w:szCs w:val="28"/>
        </w:rPr>
        <w:t>Thực hiện quy định của Luật Ban hành văn bản quy phạm pháp luật</w:t>
      </w:r>
      <w:r w:rsidR="00720F90" w:rsidRPr="009A0788">
        <w:rPr>
          <w:rFonts w:ascii="Times New Roman" w:hAnsi="Times New Roman" w:cs="Times New Roman"/>
          <w:color w:val="auto"/>
          <w:sz w:val="28"/>
          <w:szCs w:val="28"/>
          <w:lang w:val="en-US"/>
        </w:rPr>
        <w:t xml:space="preserve"> năm 2025; Thông tư số 47/2025/TT-BCT ngày 26 tháng 8 năm 2025 của Bộ trưởng Bộ Công Thương </w:t>
      </w:r>
      <w:bookmarkStart w:id="1" w:name="loai_1_name"/>
      <w:r w:rsidR="00AD5CBF" w:rsidRPr="009A0788">
        <w:rPr>
          <w:rFonts w:ascii="Times New Roman" w:hAnsi="Times New Roman" w:cs="Times New Roman"/>
          <w:color w:val="auto"/>
          <w:sz w:val="28"/>
          <w:szCs w:val="28"/>
        </w:rPr>
        <w:t>quy định về xây dựng, ban hành và tổ chức thi hành văn bản quy phạm pháp luật của bộ công thương</w:t>
      </w:r>
      <w:bookmarkEnd w:id="1"/>
      <w:r w:rsidR="00E860DA" w:rsidRPr="009A0788">
        <w:rPr>
          <w:rFonts w:ascii="Times New Roman" w:hAnsi="Times New Roman" w:cs="Times New Roman"/>
          <w:color w:val="FF0000"/>
          <w:sz w:val="28"/>
          <w:szCs w:val="28"/>
        </w:rPr>
        <w:t xml:space="preserve">, </w:t>
      </w:r>
      <w:r w:rsidR="009A0788" w:rsidRPr="009A0788">
        <w:rPr>
          <w:rFonts w:ascii="Times New Roman" w:hAnsi="Times New Roman" w:cs="Times New Roman"/>
          <w:color w:val="auto"/>
          <w:sz w:val="28"/>
          <w:szCs w:val="28"/>
          <w:lang w:val="en-US"/>
        </w:rPr>
        <w:t>Cục Hóa chất đã tiến hành tổng kết việc thi hành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Luật Hóa chất; Thông tư số 17/2022/TT-BCT ngày 27 tháng 10 năm 2022 của Bộ trưởng Bộ Công Thương sửa đổi, bổ sung một số điều của Thông tư số 32/2017/TT-BCT ngày 28 tháng 12 năm 2017 của Bộ trưởng Bộ Công Thương quy định cụ thể và hướng dẫn thi hành một số Điều của Luật Hóa chất và Nghị định số 113/2017/NĐ-CP ngày 09 tháng 10 năm 2017 của Chính phủ quy định chi tiết và hướng dẫn thi hành một số Điều của L</w:t>
      </w:r>
      <w:r w:rsidR="009A0788">
        <w:rPr>
          <w:rFonts w:ascii="Times New Roman" w:hAnsi="Times New Roman" w:cs="Times New Roman"/>
          <w:color w:val="auto"/>
          <w:sz w:val="28"/>
          <w:szCs w:val="28"/>
          <w:lang w:val="en-US"/>
        </w:rPr>
        <w:t>uật Hóa chất</w:t>
      </w:r>
      <w:r w:rsidR="001F09F0">
        <w:rPr>
          <w:rFonts w:ascii="Times New Roman" w:hAnsi="Times New Roman" w:cs="Times New Roman"/>
          <w:color w:val="auto"/>
          <w:sz w:val="28"/>
          <w:szCs w:val="28"/>
          <w:lang w:val="en-US"/>
        </w:rPr>
        <w:t>; Chương VI</w:t>
      </w:r>
      <w:r w:rsidR="009A0788">
        <w:rPr>
          <w:rFonts w:ascii="Times New Roman" w:hAnsi="Times New Roman" w:cs="Times New Roman"/>
          <w:color w:val="auto"/>
          <w:sz w:val="28"/>
          <w:szCs w:val="28"/>
          <w:lang w:val="en-US"/>
        </w:rPr>
        <w:t xml:space="preserve"> Thông tư số 38/2025/TT-BCT ngày 19 tháng 6 năm 2025 của Bộ trưởng Bộ Công Thương sửa đổi, bổ sung quy định về phân cấp thực hiện thủ tục hành chính trong các lĩnh vực thuộc phạm vi quản lý của bộ Công Thương, </w:t>
      </w:r>
      <w:r w:rsidR="00106990">
        <w:rPr>
          <w:rFonts w:ascii="Times New Roman" w:hAnsi="Times New Roman" w:cs="Times New Roman"/>
          <w:color w:val="auto"/>
          <w:sz w:val="28"/>
          <w:szCs w:val="28"/>
          <w:lang w:val="en-US"/>
        </w:rPr>
        <w:t xml:space="preserve">Cục Hóa chất </w:t>
      </w:r>
      <w:r w:rsidR="009A0788">
        <w:rPr>
          <w:rFonts w:ascii="Times New Roman" w:hAnsi="Times New Roman" w:cs="Times New Roman"/>
          <w:color w:val="auto"/>
          <w:sz w:val="28"/>
          <w:szCs w:val="28"/>
          <w:lang w:val="en-US"/>
        </w:rPr>
        <w:t>kết quả như sau:</w:t>
      </w:r>
    </w:p>
    <w:p w14:paraId="7C9B96B5" w14:textId="02BB4683" w:rsidR="00165CDA" w:rsidRPr="001F09F0" w:rsidRDefault="00165CDA" w:rsidP="001F09F0">
      <w:pPr>
        <w:spacing w:before="120" w:after="120"/>
        <w:ind w:firstLine="851"/>
        <w:jc w:val="both"/>
        <w:rPr>
          <w:rFonts w:ascii="Times New Roman" w:hAnsi="Times New Roman" w:cs="Times New Roman"/>
          <w:b/>
          <w:bCs/>
          <w:color w:val="auto"/>
          <w:sz w:val="28"/>
          <w:szCs w:val="28"/>
        </w:rPr>
      </w:pPr>
      <w:r w:rsidRPr="001F09F0">
        <w:rPr>
          <w:rFonts w:ascii="Times New Roman" w:hAnsi="Times New Roman" w:cs="Times New Roman"/>
          <w:b/>
          <w:bCs/>
          <w:color w:val="auto"/>
          <w:sz w:val="28"/>
          <w:szCs w:val="28"/>
        </w:rPr>
        <w:t>I. BỐI CẢNH THỰC HIỆN TỔNG KẾT</w:t>
      </w:r>
    </w:p>
    <w:p w14:paraId="77C42F51" w14:textId="694C1840" w:rsidR="00E930FA" w:rsidRDefault="00E930FA" w:rsidP="001F09F0">
      <w:pPr>
        <w:spacing w:before="120" w:after="120"/>
        <w:ind w:firstLine="851"/>
        <w:jc w:val="both"/>
        <w:rPr>
          <w:rFonts w:ascii="Times New Roman" w:hAnsi="Times New Roman" w:cs="Times New Roman"/>
          <w:b/>
          <w:bCs/>
          <w:color w:val="auto"/>
          <w:sz w:val="28"/>
          <w:szCs w:val="28"/>
          <w:lang w:val="en-US"/>
        </w:rPr>
      </w:pPr>
      <w:r w:rsidRPr="001F09F0">
        <w:rPr>
          <w:rFonts w:ascii="Times New Roman" w:hAnsi="Times New Roman" w:cs="Times New Roman"/>
          <w:b/>
          <w:bCs/>
          <w:color w:val="auto"/>
          <w:sz w:val="28"/>
          <w:szCs w:val="28"/>
        </w:rPr>
        <w:t>1. Bối cảnh trong nước và quốc tế liên quan đến dự thảo</w:t>
      </w:r>
    </w:p>
    <w:p w14:paraId="2FDA5654" w14:textId="233AC067" w:rsidR="00D41F4A" w:rsidRDefault="00D41F4A" w:rsidP="001F09F0">
      <w:pPr>
        <w:spacing w:before="120" w:after="120"/>
        <w:ind w:firstLine="851"/>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a. Bối cảnh trong nước</w:t>
      </w:r>
    </w:p>
    <w:p w14:paraId="0EF8EFC5" w14:textId="0EDAE60E" w:rsidR="00D41F4A" w:rsidRPr="00D41F4A" w:rsidRDefault="00D41F4A" w:rsidP="00D41F4A">
      <w:pPr>
        <w:spacing w:before="120" w:after="120"/>
        <w:ind w:firstLine="851"/>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T</w:t>
      </w:r>
      <w:r w:rsidRPr="00D41F4A">
        <w:rPr>
          <w:rFonts w:ascii="Times New Roman" w:hAnsi="Times New Roman" w:cs="Times New Roman"/>
          <w:bCs/>
          <w:color w:val="auto"/>
          <w:sz w:val="28"/>
          <w:szCs w:val="28"/>
          <w:lang w:val="en-US"/>
        </w:rPr>
        <w:t>rong giai đoạn hiện nay, Việt Nam đang đẩy mạnh phát triển công nghiệp theo hướng tăng trưởng xanh, kinh tế tuần hoàn và phát triển bền vững, theo tinh thần của Chiến lược phát triển ngành Công Thương đến năm 2030, tầm nhìn đến năm 2045. Quản lý hóa chất là một trong những nội dung trọng yếu, gắn liền với yêu cầu bảo đảm an toàn, bảo vệ sức khỏe con người và môi trường, đồng thời hỗ trợ đổi mới công nghệ và nâng cao năng lực cạnh tranh của doanh nghiệp.</w:t>
      </w:r>
    </w:p>
    <w:p w14:paraId="0003AFDD" w14:textId="3EBEABD9" w:rsidR="00EB44C3" w:rsidRPr="00D41F4A" w:rsidRDefault="00D41F4A" w:rsidP="00EB44C3">
      <w:pPr>
        <w:spacing w:before="120" w:after="120"/>
        <w:ind w:firstLine="851"/>
        <w:jc w:val="both"/>
        <w:rPr>
          <w:rFonts w:ascii="Times New Roman" w:hAnsi="Times New Roman" w:cs="Times New Roman"/>
          <w:bCs/>
          <w:color w:val="auto"/>
          <w:sz w:val="28"/>
          <w:szCs w:val="28"/>
          <w:lang w:val="en-US"/>
        </w:rPr>
      </w:pPr>
      <w:r>
        <w:rPr>
          <w:rFonts w:ascii="Times New Roman" w:hAnsi="Times New Roman" w:cs="Times New Roman"/>
          <w:bCs/>
          <w:color w:val="auto"/>
          <w:sz w:val="28"/>
          <w:szCs w:val="28"/>
          <w:lang w:val="en-US"/>
        </w:rPr>
        <w:t xml:space="preserve">- </w:t>
      </w:r>
      <w:r w:rsidRPr="00D41F4A">
        <w:rPr>
          <w:rFonts w:ascii="Times New Roman" w:hAnsi="Times New Roman" w:cs="Times New Roman"/>
          <w:bCs/>
          <w:color w:val="auto"/>
          <w:sz w:val="28"/>
          <w:szCs w:val="28"/>
          <w:lang w:val="en-US"/>
        </w:rPr>
        <w:t xml:space="preserve">Thực tiễn triển khai Luật Hóa chất và các văn bản hướng dẫn thi hành cho thấy hệ thống quy định hiện hành, bao gồm Thông tư số 32/2017/TT-BCT </w:t>
      </w:r>
      <w:r w:rsidRPr="00D41F4A">
        <w:rPr>
          <w:rFonts w:ascii="Times New Roman" w:hAnsi="Times New Roman" w:cs="Times New Roman"/>
          <w:bCs/>
          <w:color w:val="auto"/>
          <w:sz w:val="28"/>
          <w:szCs w:val="28"/>
          <w:lang w:val="en-US"/>
        </w:rPr>
        <w:lastRenderedPageBreak/>
        <w:t xml:space="preserve">và Thông tư số 17/2022/TT-BCT, đã góp phần hoàn thiện khung pháp lý quản lý hoạt động hóa chất. Tuy nhiên, </w:t>
      </w:r>
      <w:r w:rsidR="00EB44C3">
        <w:rPr>
          <w:rFonts w:ascii="Times New Roman" w:hAnsi="Times New Roman" w:cs="Times New Roman"/>
          <w:bCs/>
          <w:color w:val="auto"/>
          <w:sz w:val="28"/>
          <w:szCs w:val="28"/>
          <w:lang w:val="en-US"/>
        </w:rPr>
        <w:t>với xu thế phát triển trong nước, ngoài  công tác tăng cường phân cấp, phân quyền đến các Ủy Ban nhan dân cấp tỉnh, xu thế quản lý được</w:t>
      </w:r>
      <w:r w:rsidR="00EB44C3" w:rsidRPr="00D41F4A">
        <w:rPr>
          <w:rFonts w:ascii="Times New Roman" w:hAnsi="Times New Roman" w:cs="Times New Roman"/>
          <w:bCs/>
          <w:color w:val="auto"/>
          <w:sz w:val="28"/>
          <w:szCs w:val="28"/>
          <w:lang w:val="en-US"/>
        </w:rPr>
        <w:t xml:space="preserve"> thực hiện chuyển đổi số, quản lý hóa chất theo vòng đời, truy xuất nguồn gốc và kiểm soát hóa chất trong sản phẩm đang trở thành xu hướng tất yếu, đòi hỏi cập nhật cơ sở dữ l</w:t>
      </w:r>
      <w:r w:rsidR="00EB44C3">
        <w:rPr>
          <w:rFonts w:ascii="Times New Roman" w:hAnsi="Times New Roman" w:cs="Times New Roman"/>
          <w:bCs/>
          <w:color w:val="auto"/>
          <w:sz w:val="28"/>
          <w:szCs w:val="28"/>
          <w:lang w:val="en-US"/>
        </w:rPr>
        <w:t>iệu và phương thức quản lý mới. Việc</w:t>
      </w:r>
      <w:r w:rsidR="00EB44C3" w:rsidRPr="00D41F4A">
        <w:rPr>
          <w:rFonts w:ascii="Times New Roman" w:hAnsi="Times New Roman" w:cs="Times New Roman"/>
          <w:bCs/>
          <w:color w:val="auto"/>
          <w:sz w:val="28"/>
          <w:szCs w:val="28"/>
          <w:lang w:val="en-US"/>
        </w:rPr>
        <w:t xml:space="preserve"> quản lý hóa chất theo vòng đời và Chiến lược quốc gia về an toàn hóa chất, đặt ra yêu cầu Bộ Công Thương phải rà soát, cập nhật và ban hành các văn bản quy định chi tiết, hướng dẫn</w:t>
      </w:r>
      <w:r w:rsidR="00EB44C3">
        <w:rPr>
          <w:rFonts w:ascii="Times New Roman" w:hAnsi="Times New Roman" w:cs="Times New Roman"/>
          <w:bCs/>
          <w:color w:val="auto"/>
          <w:sz w:val="28"/>
          <w:szCs w:val="28"/>
          <w:lang w:val="en-US"/>
        </w:rPr>
        <w:t xml:space="preserve"> thi hành phù hợp với thực tiễn</w:t>
      </w:r>
      <w:r w:rsidR="00EB44C3" w:rsidRPr="00D41F4A">
        <w:rPr>
          <w:rFonts w:ascii="Times New Roman" w:hAnsi="Times New Roman" w:cs="Times New Roman"/>
          <w:bCs/>
          <w:color w:val="auto"/>
          <w:sz w:val="28"/>
          <w:szCs w:val="28"/>
          <w:lang w:val="en-US"/>
        </w:rPr>
        <w:t>.</w:t>
      </w:r>
    </w:p>
    <w:p w14:paraId="4BC8A46E" w14:textId="33F82364" w:rsidR="00EB44C3" w:rsidRDefault="00EB44C3" w:rsidP="00EB44C3">
      <w:pPr>
        <w:spacing w:before="120" w:after="120"/>
        <w:ind w:firstLine="851"/>
        <w:jc w:val="both"/>
        <w:rPr>
          <w:rFonts w:ascii="Times New Roman" w:hAnsi="Times New Roman" w:cs="Times New Roman"/>
          <w:color w:val="auto"/>
          <w:sz w:val="28"/>
          <w:szCs w:val="28"/>
          <w:lang w:val="en-US" w:eastAsia="en-US"/>
        </w:rPr>
      </w:pPr>
      <w:r>
        <w:rPr>
          <w:rFonts w:ascii="Times New Roman" w:hAnsi="Times New Roman" w:cs="Times New Roman"/>
          <w:color w:val="auto"/>
          <w:sz w:val="28"/>
          <w:szCs w:val="28"/>
          <w:lang w:val="en-US" w:eastAsia="en-US"/>
        </w:rPr>
        <w:t>- Tr</w:t>
      </w:r>
      <w:r w:rsidR="001F09F0" w:rsidRPr="001F09F0">
        <w:rPr>
          <w:rFonts w:ascii="Times New Roman" w:hAnsi="Times New Roman" w:cs="Times New Roman"/>
          <w:color w:val="auto"/>
          <w:sz w:val="28"/>
          <w:szCs w:val="28"/>
          <w:lang w:val="en-US" w:eastAsia="en-US"/>
        </w:rPr>
        <w:t>ong thời gian qua, công tác quản lý nhà nước về hóa chất trong phạm vi ngành Công Thương đã được triển khai trên cơ sở Luật Hóa chất năm 2007, Nghị định số 113/2017/NĐ-CP ngày 09 tháng 10 năm 2017 của Chính phủ quy định chi tiết và hướng dẫn thi hành một số điều của Luật Hóa chất và các văn bản hướng dẫn thi hành, trong đó có Thông tư số 32/2017/TT-BCT ngày 28 tháng 12 năm 2017 và Thông tư số 17/2022/TT-BCT ngày 27 tháng 10 năm 2022 của Bộ Công Thương.</w:t>
      </w:r>
      <w:r>
        <w:rPr>
          <w:rFonts w:ascii="Times New Roman" w:hAnsi="Times New Roman" w:cs="Times New Roman"/>
          <w:color w:val="auto"/>
          <w:sz w:val="28"/>
          <w:szCs w:val="28"/>
          <w:lang w:val="en-US" w:eastAsia="en-US"/>
        </w:rPr>
        <w:t xml:space="preserve"> </w:t>
      </w:r>
      <w:r w:rsidR="001F09F0" w:rsidRPr="001F09F0">
        <w:rPr>
          <w:rFonts w:ascii="Times New Roman" w:hAnsi="Times New Roman" w:cs="Times New Roman"/>
          <w:color w:val="auto"/>
          <w:sz w:val="28"/>
          <w:szCs w:val="28"/>
          <w:lang w:val="en-US" w:eastAsia="en-US"/>
        </w:rPr>
        <w:t xml:space="preserve">Thông tư số </w:t>
      </w:r>
      <w:r w:rsidR="001F09F0" w:rsidRPr="001F09F0">
        <w:rPr>
          <w:rFonts w:ascii="Times New Roman" w:hAnsi="Times New Roman" w:cs="Times New Roman"/>
          <w:bCs/>
          <w:color w:val="auto"/>
          <w:sz w:val="28"/>
          <w:szCs w:val="28"/>
          <w:lang w:val="en-US" w:eastAsia="en-US"/>
        </w:rPr>
        <w:t>32/2017/TT-BCT</w:t>
      </w:r>
      <w:r w:rsidR="001F09F0" w:rsidRPr="001F09F0">
        <w:rPr>
          <w:rFonts w:ascii="Times New Roman" w:hAnsi="Times New Roman" w:cs="Times New Roman"/>
          <w:color w:val="auto"/>
          <w:sz w:val="28"/>
          <w:szCs w:val="28"/>
          <w:lang w:val="en-US" w:eastAsia="en-US"/>
        </w:rPr>
        <w:t xml:space="preserve"> quy định chi tiết và hướng dẫn thực hiện một số nội dung của Nghị định số 113/2017/NĐ-CP, góp phần hoàn thiện khung pháp lý về điều kiện sản xuất, kinh doanh, nhập khẩu, sử dụng, lưu trữ hóa chất và trách nhiệm của các tổ chức, cá nhân trong lĩnh vực hóa chất. Sau hơn 5 năm thực hiện, Thông tư đã hỗ trợ tích cực cho công tác quản lý hóa chất ở trung ương và địa phương, song một số nội dung đã bộc lộ những điểm chưa còn phù hợp với thực tiễn quản lý, đặc biệt trong bối cảnh chuyển đổi số, cải cách thủ tục hành chính và yêu cầu hội nhập quốc tế.</w:t>
      </w:r>
      <w:r w:rsidR="001F09F0">
        <w:rPr>
          <w:rFonts w:ascii="Times New Roman" w:hAnsi="Times New Roman" w:cs="Times New Roman"/>
          <w:color w:val="auto"/>
          <w:sz w:val="28"/>
          <w:szCs w:val="28"/>
          <w:lang w:val="en-US" w:eastAsia="en-US"/>
        </w:rPr>
        <w:t xml:space="preserve"> </w:t>
      </w:r>
      <w:r w:rsidR="001F09F0" w:rsidRPr="001F09F0">
        <w:rPr>
          <w:rFonts w:ascii="Times New Roman" w:hAnsi="Times New Roman" w:cs="Times New Roman"/>
          <w:color w:val="auto"/>
          <w:sz w:val="28"/>
          <w:szCs w:val="28"/>
          <w:lang w:val="en-US" w:eastAsia="en-US"/>
        </w:rPr>
        <w:t xml:space="preserve">Để kịp thời tháo gỡ các vướng mắc và cập nhật quy định phù hợp với tình hình mới, Bộ Công Thương đã ban hành </w:t>
      </w:r>
      <w:r w:rsidR="001F09F0" w:rsidRPr="00EB44C3">
        <w:rPr>
          <w:rFonts w:ascii="Times New Roman" w:hAnsi="Times New Roman" w:cs="Times New Roman"/>
          <w:bCs/>
          <w:color w:val="auto"/>
          <w:sz w:val="28"/>
          <w:szCs w:val="28"/>
          <w:lang w:val="en-US" w:eastAsia="en-US"/>
        </w:rPr>
        <w:t>Thông tư số 17/2022/TT-BCT</w:t>
      </w:r>
      <w:r w:rsidR="001F09F0" w:rsidRPr="001F09F0">
        <w:rPr>
          <w:rFonts w:ascii="Times New Roman" w:hAnsi="Times New Roman" w:cs="Times New Roman"/>
          <w:color w:val="auto"/>
          <w:sz w:val="28"/>
          <w:szCs w:val="28"/>
          <w:lang w:val="en-US" w:eastAsia="en-US"/>
        </w:rPr>
        <w:t xml:space="preserve"> sửa đổi, bổ sung một số điều của Thông tư số 32/2017/TT-BCT. Thông tư này tập trung đơn giản hóa thủ tục hành chính, làm rõ trách nhiệm của các chủ thể trong hoạt động hóa chất, đồng thời bảo đảm thống nhất với các văn bản quy phạm pháp luật khác có liên quan.</w:t>
      </w:r>
      <w:r>
        <w:rPr>
          <w:rFonts w:ascii="Times New Roman" w:hAnsi="Times New Roman" w:cs="Times New Roman"/>
          <w:color w:val="auto"/>
          <w:sz w:val="28"/>
          <w:szCs w:val="28"/>
          <w:lang w:val="en-US" w:eastAsia="en-US"/>
        </w:rPr>
        <w:t xml:space="preserve"> Tuy nhiên, cùng với sự phát triển của đất nước, việc  thay đổi mô hình quản lý, tăng cường công tác chuyển đổi số, tăng cường phân cấp, phân quyền đến ủy ban nhân dân cấp tỉnh, cũng như thực hiện các quy định tại Luật Hóa chất 2025, việc xây dựng một thông tư mới thay thế Thông tư số 32/2017/TT-BCT và thông tư 17/2022/TT-BCT là cần thiết.</w:t>
      </w:r>
    </w:p>
    <w:p w14:paraId="51728DFE" w14:textId="29BB54A7" w:rsidR="00EB44C3" w:rsidRDefault="00EB44C3" w:rsidP="00EB44C3">
      <w:pPr>
        <w:spacing w:before="120" w:after="120"/>
        <w:jc w:val="both"/>
        <w:rPr>
          <w:rFonts w:ascii="Times New Roman" w:hAnsi="Times New Roman" w:cs="Times New Roman"/>
          <w:b/>
          <w:color w:val="auto"/>
          <w:sz w:val="28"/>
          <w:szCs w:val="28"/>
          <w:lang w:val="en-US" w:eastAsia="en-US"/>
        </w:rPr>
      </w:pPr>
      <w:r>
        <w:rPr>
          <w:rFonts w:ascii="Times New Roman" w:hAnsi="Times New Roman" w:cs="Times New Roman"/>
          <w:color w:val="auto"/>
          <w:sz w:val="28"/>
          <w:szCs w:val="28"/>
          <w:lang w:val="en-US" w:eastAsia="en-US"/>
        </w:rPr>
        <w:tab/>
      </w:r>
      <w:r w:rsidRPr="00EB44C3">
        <w:rPr>
          <w:rFonts w:ascii="Times New Roman" w:hAnsi="Times New Roman" w:cs="Times New Roman"/>
          <w:b/>
          <w:color w:val="auto"/>
          <w:sz w:val="28"/>
          <w:szCs w:val="28"/>
          <w:lang w:val="en-US" w:eastAsia="en-US"/>
        </w:rPr>
        <w:t>b. Bối cảnh quốc tế</w:t>
      </w:r>
    </w:p>
    <w:p w14:paraId="48EC5613" w14:textId="2D08872B" w:rsidR="00EB44C3" w:rsidRPr="00EB44C3" w:rsidRDefault="00EB44C3" w:rsidP="00EB44C3">
      <w:pPr>
        <w:spacing w:before="120" w:after="120"/>
        <w:ind w:firstLine="720"/>
        <w:jc w:val="both"/>
        <w:rPr>
          <w:rFonts w:ascii="Times New Roman" w:hAnsi="Times New Roman" w:cs="Times New Roman"/>
          <w:color w:val="auto"/>
          <w:sz w:val="28"/>
          <w:szCs w:val="28"/>
          <w:lang w:val="en-US" w:eastAsia="en-US"/>
        </w:rPr>
      </w:pPr>
      <w:r w:rsidRPr="00EB44C3">
        <w:rPr>
          <w:rFonts w:ascii="Times New Roman" w:hAnsi="Times New Roman" w:cs="Times New Roman"/>
          <w:color w:val="auto"/>
          <w:sz w:val="28"/>
          <w:szCs w:val="28"/>
          <w:lang w:val="en-US" w:eastAsia="en-US"/>
        </w:rPr>
        <w:t>Trong những năm gần đây, cộng đồng quốc tế đặc biệt quan tâm đến việc tăng cường quản lý hóa chất theo cách tiếp cận vòng đời, từ khâu sản xuất, nhập khẩu, lưu thông, sử dụng đến thu hồi, xử lý, nhằm bảo đảm an toàn cho con người và môi trường.</w:t>
      </w:r>
    </w:p>
    <w:p w14:paraId="7D200ECA" w14:textId="29A5E911" w:rsidR="00EB44C3" w:rsidRPr="00EB44C3" w:rsidRDefault="00EB44C3" w:rsidP="00EB44C3">
      <w:pPr>
        <w:spacing w:before="120" w:after="120"/>
        <w:ind w:firstLine="720"/>
        <w:jc w:val="both"/>
        <w:rPr>
          <w:rFonts w:ascii="Times New Roman" w:hAnsi="Times New Roman" w:cs="Times New Roman"/>
          <w:color w:val="auto"/>
          <w:sz w:val="28"/>
          <w:szCs w:val="28"/>
          <w:lang w:val="en-US" w:eastAsia="en-US"/>
        </w:rPr>
      </w:pPr>
      <w:r w:rsidRPr="00EB44C3">
        <w:rPr>
          <w:rFonts w:ascii="Times New Roman" w:hAnsi="Times New Roman" w:cs="Times New Roman"/>
          <w:color w:val="auto"/>
          <w:sz w:val="28"/>
          <w:szCs w:val="28"/>
          <w:lang w:val="en-US" w:eastAsia="en-US"/>
        </w:rPr>
        <w:t xml:space="preserve">Nhiều quốc gia và tổ chức quốc tế đã triển khai chính sách quản lý hóa chất theo hướng “an toàn và </w:t>
      </w:r>
      <w:r w:rsidR="002B6DF2">
        <w:rPr>
          <w:rFonts w:ascii="Times New Roman" w:hAnsi="Times New Roman" w:cs="Times New Roman"/>
          <w:color w:val="auto"/>
          <w:sz w:val="28"/>
          <w:szCs w:val="28"/>
          <w:lang w:val="en-US" w:eastAsia="en-US"/>
        </w:rPr>
        <w:t>bền vững ngay từ khâu thiết kế”</w:t>
      </w:r>
      <w:r w:rsidRPr="00EB44C3">
        <w:rPr>
          <w:rFonts w:ascii="Times New Roman" w:hAnsi="Times New Roman" w:cs="Times New Roman"/>
          <w:color w:val="auto"/>
          <w:sz w:val="28"/>
          <w:szCs w:val="28"/>
          <w:lang w:val="en-US" w:eastAsia="en-US"/>
        </w:rPr>
        <w:t>, khuyến khích thay thế các hóa chất nguy hại bằng các chất thay thế an toàn hơn.</w:t>
      </w:r>
    </w:p>
    <w:p w14:paraId="51E44BB3" w14:textId="77777777" w:rsidR="00EB44C3" w:rsidRPr="00EB44C3" w:rsidRDefault="00EB44C3" w:rsidP="00EB44C3">
      <w:pPr>
        <w:spacing w:before="120" w:after="120"/>
        <w:jc w:val="both"/>
        <w:rPr>
          <w:rFonts w:ascii="Times New Roman" w:hAnsi="Times New Roman" w:cs="Times New Roman"/>
          <w:color w:val="auto"/>
          <w:sz w:val="28"/>
          <w:szCs w:val="28"/>
          <w:lang w:val="en-US" w:eastAsia="en-US"/>
        </w:rPr>
      </w:pPr>
    </w:p>
    <w:p w14:paraId="708C52CD" w14:textId="3E38F6A8" w:rsidR="00EB44C3" w:rsidRPr="00EB44C3" w:rsidRDefault="00EB44C3" w:rsidP="00EB44C3">
      <w:pPr>
        <w:spacing w:before="120" w:after="120"/>
        <w:jc w:val="both"/>
        <w:rPr>
          <w:rFonts w:ascii="Times New Roman" w:hAnsi="Times New Roman" w:cs="Times New Roman"/>
          <w:color w:val="auto"/>
          <w:sz w:val="28"/>
          <w:szCs w:val="28"/>
          <w:lang w:val="en-US" w:eastAsia="en-US"/>
        </w:rPr>
      </w:pPr>
      <w:r w:rsidRPr="00EB44C3">
        <w:rPr>
          <w:rFonts w:ascii="Times New Roman" w:hAnsi="Times New Roman" w:cs="Times New Roman"/>
          <w:color w:val="auto"/>
          <w:sz w:val="28"/>
          <w:szCs w:val="28"/>
          <w:lang w:val="en-US" w:eastAsia="en-US"/>
        </w:rPr>
        <w:lastRenderedPageBreak/>
        <w:t>Quản lý hóa chất đã trở thành một nội dung trọng tâm trong các mục tiêu phát triển bền vững của Liên Hợp Quốc (SDGs), đặc biệt liên quan đến sức khỏe cộng đồng, môi trường, sản xuất và tiêu dùng bền vững.</w:t>
      </w:r>
    </w:p>
    <w:p w14:paraId="32BE1ADF" w14:textId="5CEAEA32" w:rsidR="00EB44C3" w:rsidRDefault="00EB44C3" w:rsidP="00EB44C3">
      <w:pPr>
        <w:spacing w:before="120" w:after="120"/>
        <w:ind w:firstLine="851"/>
        <w:jc w:val="both"/>
        <w:rPr>
          <w:rFonts w:ascii="Times New Roman" w:hAnsi="Times New Roman" w:cs="Times New Roman"/>
          <w:sz w:val="28"/>
          <w:szCs w:val="28"/>
          <w:lang w:val="en-US"/>
        </w:rPr>
      </w:pPr>
      <w:r w:rsidRPr="00EB44C3">
        <w:rPr>
          <w:rFonts w:ascii="Times New Roman" w:hAnsi="Times New Roman" w:cs="Times New Roman"/>
          <w:sz w:val="28"/>
          <w:szCs w:val="28"/>
        </w:rPr>
        <w:t>Trong bối cảnh quốc tế, các quốc gia và tổ chức quốc tế đang đẩy mạnh việc quản lý hóa chất theo hướng toàn diện, xuyên suốt vòng đời và phù hợp với mục tiêu phát triển bền vững. Việt Nam, với tư cách là thành viên của nhiều công ước quốc tế về hóa chất, cần tiếp tục rà soát, hoàn thiện các quy định pháp luật để đảm bảo thực hiện đầy đủ nghĩa vụ quốc tế, đồng thời đáp ứng yêu cầu hội nhập và bảo đảm an toàn hóa chất trong giai đoạn mớ</w:t>
      </w:r>
      <w:r>
        <w:rPr>
          <w:rFonts w:ascii="Times New Roman" w:hAnsi="Times New Roman" w:cs="Times New Roman"/>
          <w:sz w:val="28"/>
          <w:szCs w:val="28"/>
          <w:lang w:val="en-US"/>
        </w:rPr>
        <w:t>i</w:t>
      </w:r>
      <w:r w:rsidR="002B6DF2">
        <w:rPr>
          <w:rFonts w:ascii="Times New Roman" w:hAnsi="Times New Roman" w:cs="Times New Roman"/>
          <w:sz w:val="28"/>
          <w:szCs w:val="28"/>
          <w:lang w:val="en-US"/>
        </w:rPr>
        <w:t>.</w:t>
      </w:r>
    </w:p>
    <w:p w14:paraId="0AB8B82B" w14:textId="690470FE" w:rsidR="00165CDA" w:rsidRPr="002B6DF2" w:rsidRDefault="00165CDA" w:rsidP="007529DF">
      <w:pPr>
        <w:spacing w:before="120" w:after="120"/>
        <w:ind w:firstLine="851"/>
        <w:rPr>
          <w:rFonts w:ascii="Times New Roman" w:hAnsi="Times New Roman" w:cs="Times New Roman"/>
          <w:b/>
          <w:bCs/>
          <w:color w:val="auto"/>
          <w:sz w:val="28"/>
          <w:szCs w:val="28"/>
        </w:rPr>
      </w:pPr>
      <w:r w:rsidRPr="002B6DF2">
        <w:rPr>
          <w:rFonts w:ascii="Times New Roman" w:hAnsi="Times New Roman" w:cs="Times New Roman"/>
          <w:b/>
          <w:bCs/>
          <w:color w:val="auto"/>
          <w:sz w:val="28"/>
          <w:szCs w:val="28"/>
        </w:rPr>
        <w:t>2. Quá trình thực hiện tổng kết</w:t>
      </w:r>
    </w:p>
    <w:p w14:paraId="78F66D7D" w14:textId="3331B5B3" w:rsidR="002B6DF2" w:rsidRDefault="009C4D90" w:rsidP="002B6DF2">
      <w:pPr>
        <w:spacing w:before="120" w:after="120"/>
        <w:ind w:firstLine="720"/>
        <w:jc w:val="both"/>
        <w:rPr>
          <w:rFonts w:ascii="Times New Roman" w:hAnsi="Times New Roman" w:cs="Times New Roman"/>
          <w:color w:val="auto"/>
          <w:sz w:val="28"/>
          <w:szCs w:val="28"/>
          <w:lang w:val="en-US"/>
        </w:rPr>
      </w:pPr>
      <w:r w:rsidRPr="002B6DF2">
        <w:rPr>
          <w:rFonts w:ascii="Times New Roman" w:hAnsi="Times New Roman" w:cs="Times New Roman"/>
          <w:color w:val="auto"/>
          <w:sz w:val="28"/>
          <w:szCs w:val="28"/>
          <w:lang w:val="en-SG"/>
        </w:rPr>
        <w:t>Căn cứ các</w:t>
      </w:r>
      <w:r w:rsidR="00E930FA" w:rsidRPr="002B6DF2">
        <w:rPr>
          <w:rFonts w:ascii="Times New Roman" w:hAnsi="Times New Roman" w:cs="Times New Roman"/>
          <w:color w:val="auto"/>
          <w:sz w:val="28"/>
          <w:szCs w:val="28"/>
        </w:rPr>
        <w:t xml:space="preserve"> quy định của Luật Ban hành văn bản quy phạm pháp luật </w:t>
      </w:r>
      <w:r w:rsidR="0094400A" w:rsidRPr="002B6DF2">
        <w:rPr>
          <w:rFonts w:ascii="Times New Roman" w:hAnsi="Times New Roman" w:cs="Times New Roman"/>
          <w:color w:val="auto"/>
          <w:sz w:val="28"/>
          <w:szCs w:val="28"/>
          <w:lang w:val="en-SG"/>
        </w:rPr>
        <w:t>hiện hành</w:t>
      </w:r>
      <w:r w:rsidR="00BD3AA4" w:rsidRPr="002B6DF2">
        <w:rPr>
          <w:rFonts w:ascii="Times New Roman" w:hAnsi="Times New Roman" w:cs="Times New Roman"/>
          <w:color w:val="auto"/>
          <w:sz w:val="28"/>
          <w:szCs w:val="28"/>
          <w:lang w:bidi="vi-VN"/>
        </w:rPr>
        <w:t>,</w:t>
      </w:r>
      <w:r w:rsidR="00E930FA" w:rsidRPr="002B6DF2">
        <w:rPr>
          <w:rFonts w:ascii="Times New Roman" w:hAnsi="Times New Roman" w:cs="Times New Roman"/>
          <w:color w:val="auto"/>
          <w:sz w:val="28"/>
          <w:szCs w:val="28"/>
        </w:rPr>
        <w:t xml:space="preserve"> Cục </w:t>
      </w:r>
      <w:r w:rsidR="002B6DF2">
        <w:rPr>
          <w:rFonts w:ascii="Times New Roman" w:hAnsi="Times New Roman" w:cs="Times New Roman"/>
          <w:color w:val="auto"/>
          <w:sz w:val="28"/>
          <w:szCs w:val="28"/>
          <w:lang w:val="en-US"/>
        </w:rPr>
        <w:t>Hóa chất</w:t>
      </w:r>
      <w:r w:rsidR="00E930FA" w:rsidRPr="002B6DF2">
        <w:rPr>
          <w:rFonts w:ascii="Times New Roman" w:hAnsi="Times New Roman" w:cs="Times New Roman"/>
          <w:color w:val="auto"/>
          <w:sz w:val="28"/>
          <w:szCs w:val="28"/>
        </w:rPr>
        <w:t xml:space="preserve"> đã chủ trì, phối hợp với các </w:t>
      </w:r>
      <w:r w:rsidRPr="002B6DF2">
        <w:rPr>
          <w:rFonts w:ascii="Times New Roman" w:hAnsi="Times New Roman" w:cs="Times New Roman"/>
          <w:color w:val="auto"/>
          <w:sz w:val="28"/>
          <w:szCs w:val="28"/>
          <w:lang w:val="en-SG"/>
        </w:rPr>
        <w:t xml:space="preserve">địa phương, </w:t>
      </w:r>
      <w:r w:rsidR="00E930FA" w:rsidRPr="002B6DF2">
        <w:rPr>
          <w:rFonts w:ascii="Times New Roman" w:hAnsi="Times New Roman" w:cs="Times New Roman"/>
          <w:color w:val="auto"/>
          <w:sz w:val="28"/>
          <w:szCs w:val="28"/>
        </w:rPr>
        <w:t>đơn vị có liên quan</w:t>
      </w:r>
      <w:r w:rsidRPr="002B6DF2">
        <w:rPr>
          <w:rFonts w:ascii="Times New Roman" w:hAnsi="Times New Roman" w:cs="Times New Roman"/>
          <w:color w:val="auto"/>
          <w:sz w:val="28"/>
          <w:szCs w:val="28"/>
          <w:lang w:val="en-SG"/>
        </w:rPr>
        <w:t xml:space="preserve"> thực hiện</w:t>
      </w:r>
      <w:r w:rsidR="00E930FA" w:rsidRPr="002B6DF2">
        <w:rPr>
          <w:rFonts w:ascii="Times New Roman" w:hAnsi="Times New Roman" w:cs="Times New Roman"/>
          <w:color w:val="auto"/>
          <w:sz w:val="28"/>
          <w:szCs w:val="28"/>
        </w:rPr>
        <w:t xml:space="preserve"> tổng kết việc thi hành </w:t>
      </w:r>
      <w:r w:rsidR="002B6DF2">
        <w:rPr>
          <w:rFonts w:ascii="Times New Roman" w:hAnsi="Times New Roman" w:cs="Times New Roman"/>
          <w:color w:val="auto"/>
          <w:sz w:val="28"/>
          <w:szCs w:val="28"/>
          <w:lang w:val="en-US"/>
        </w:rPr>
        <w:t>Luật Hóa chất và các vấn đề vướng mắc trong quá trình thực hiện các quy định của pháp luật trong lĩnh vực hóa chất.</w:t>
      </w:r>
    </w:p>
    <w:p w14:paraId="3A696903" w14:textId="4ABD23D3" w:rsidR="002B6DF2" w:rsidRDefault="002B6DF2" w:rsidP="002B6DF2">
      <w:pPr>
        <w:spacing w:before="120" w:after="120"/>
        <w:ind w:firstLine="7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xml:space="preserve">Trên cơ sở ý kiến của các Bộ, Ban ngành, các Sở Công Thương, các tổ chức cá nhân hoạt động trong lĩnh vực Hóa chất, Cục Hóa chất đã tổng hợp, xây dựng dự thảo Luật Hóa chất thay thế Luật Hóa chất năm 2025. </w:t>
      </w:r>
    </w:p>
    <w:p w14:paraId="2F1534B7" w14:textId="1BBBA403" w:rsidR="002B6DF2" w:rsidRPr="002B6DF2" w:rsidRDefault="002B6DF2" w:rsidP="002B6DF2">
      <w:pPr>
        <w:spacing w:before="120" w:after="120"/>
        <w:ind w:firstLine="720"/>
        <w:jc w:val="both"/>
        <w:rPr>
          <w:rFonts w:ascii="Times New Roman" w:hAnsi="Times New Roman"/>
          <w:noProof/>
          <w:sz w:val="28"/>
          <w:szCs w:val="28"/>
          <w:lang w:val="en-US"/>
        </w:rPr>
      </w:pPr>
      <w:r>
        <w:rPr>
          <w:rFonts w:ascii="Times New Roman" w:hAnsi="Times New Roman"/>
          <w:noProof/>
          <w:sz w:val="28"/>
          <w:szCs w:val="28"/>
          <w:lang w:val="en-US"/>
        </w:rPr>
        <w:t xml:space="preserve">- </w:t>
      </w:r>
      <w:r w:rsidRPr="00B56869">
        <w:rPr>
          <w:rFonts w:ascii="Times New Roman" w:hAnsi="Times New Roman"/>
          <w:noProof/>
          <w:sz w:val="28"/>
          <w:szCs w:val="28"/>
        </w:rPr>
        <w:t>Ngày 14 tháng 6</w:t>
      </w:r>
      <w:r w:rsidRPr="009B6B3A">
        <w:rPr>
          <w:rFonts w:ascii="Times New Roman" w:hAnsi="Times New Roman"/>
          <w:noProof/>
          <w:sz w:val="28"/>
          <w:szCs w:val="28"/>
        </w:rPr>
        <w:t xml:space="preserve"> năm 2025, Quốc hội nước Cộng hòa xã hội chủ nghĩa Việt Nam khóa XV, Kỳ họp thứ 9 thông qua Luật Hóa chất số 69/2025/QH15 ngày 14 tháng 6 năm 2025. Theo đó, Luật giao 16 khoản, điều do Chính phủ hướng dẫn chi tiết bao gồm: </w:t>
      </w:r>
      <w:r w:rsidRPr="00046DBD">
        <w:rPr>
          <w:rFonts w:ascii="Times New Roman" w:hAnsi="Times New Roman"/>
          <w:noProof/>
          <w:sz w:val="28"/>
          <w:szCs w:val="28"/>
        </w:rPr>
        <w:t>Khoản 5 Điều 2; khoản 5 Điều 10; khoản 5 Điều 11; khoản 7 Điều 12; khoản 7 Điều 14; khoản 5 Điều 15; khoản 2 Điều 18; khoản 2 Điều 19; khoản 3 Điều 20; khoản 2 Điều 21; khoản 4 Điều 22; khoản 4 Điều 26; khoản 4 Điều 28; khoản 9 Điều 29; khoản 7 Điều 31; khoản 3 Điều 32</w:t>
      </w:r>
      <w:r>
        <w:rPr>
          <w:rFonts w:ascii="Times New Roman" w:hAnsi="Times New Roman"/>
          <w:noProof/>
          <w:sz w:val="28"/>
          <w:szCs w:val="28"/>
          <w:lang w:val="en-US"/>
        </w:rPr>
        <w:t>.</w:t>
      </w:r>
    </w:p>
    <w:p w14:paraId="6B7DEE69" w14:textId="2EB73460" w:rsidR="00165CDA" w:rsidRPr="002B6DF2" w:rsidRDefault="00165CDA" w:rsidP="002B6DF2">
      <w:pPr>
        <w:spacing w:before="120" w:after="120"/>
        <w:ind w:firstLine="851"/>
        <w:jc w:val="both"/>
        <w:rPr>
          <w:rFonts w:ascii="Times New Roman" w:hAnsi="Times New Roman" w:cs="Times New Roman"/>
          <w:b/>
          <w:bCs/>
          <w:color w:val="auto"/>
          <w:sz w:val="28"/>
          <w:szCs w:val="28"/>
        </w:rPr>
      </w:pPr>
      <w:r w:rsidRPr="002B6DF2">
        <w:rPr>
          <w:rFonts w:ascii="Times New Roman" w:hAnsi="Times New Roman" w:cs="Times New Roman"/>
          <w:b/>
          <w:bCs/>
          <w:color w:val="auto"/>
          <w:sz w:val="28"/>
          <w:szCs w:val="28"/>
        </w:rPr>
        <w:t>II. KẾT QUẢ THỰC HIỆN</w:t>
      </w:r>
    </w:p>
    <w:p w14:paraId="28C91FD5" w14:textId="1F9F6088" w:rsidR="00E930FA" w:rsidRDefault="00E930FA" w:rsidP="002B6DF2">
      <w:pPr>
        <w:spacing w:before="120" w:after="120"/>
        <w:ind w:firstLine="851"/>
        <w:jc w:val="both"/>
        <w:rPr>
          <w:rFonts w:ascii="Times New Roman" w:hAnsi="Times New Roman" w:cs="Times New Roman"/>
          <w:b/>
          <w:bCs/>
          <w:color w:val="auto"/>
          <w:sz w:val="28"/>
          <w:szCs w:val="28"/>
          <w:lang w:val="en-US"/>
        </w:rPr>
      </w:pPr>
      <w:r w:rsidRPr="002B6DF2">
        <w:rPr>
          <w:rFonts w:ascii="Times New Roman" w:hAnsi="Times New Roman" w:cs="Times New Roman"/>
          <w:b/>
          <w:bCs/>
          <w:color w:val="auto"/>
          <w:sz w:val="28"/>
          <w:szCs w:val="28"/>
        </w:rPr>
        <w:t xml:space="preserve">1. </w:t>
      </w:r>
      <w:r w:rsidR="00DD5E39" w:rsidRPr="002B6DF2">
        <w:rPr>
          <w:rFonts w:ascii="Times New Roman" w:hAnsi="Times New Roman" w:cs="Times New Roman"/>
          <w:b/>
          <w:bCs/>
          <w:color w:val="auto"/>
          <w:sz w:val="28"/>
          <w:szCs w:val="28"/>
          <w:lang w:val="en-US"/>
        </w:rPr>
        <w:t>Công tác chỉ đạo, triển khai và tổ chức thi hành văn bản quy phạm pháp luật</w:t>
      </w:r>
    </w:p>
    <w:p w14:paraId="69DAE627" w14:textId="7AA68BF7" w:rsidR="001F5F53" w:rsidRPr="001F5F53" w:rsidRDefault="001F5F53" w:rsidP="001F5F53">
      <w:pPr>
        <w:pStyle w:val="ListParagraph"/>
        <w:spacing w:before="120" w:after="120"/>
        <w:ind w:left="0"/>
        <w:jc w:val="both"/>
        <w:rPr>
          <w:rFonts w:ascii="Times New Roman" w:hAnsi="Times New Roman" w:cs="Times New Roman"/>
          <w:sz w:val="28"/>
          <w:szCs w:val="28"/>
          <w:lang w:val="pt-BR"/>
        </w:rPr>
      </w:pPr>
      <w:r>
        <w:rPr>
          <w:rFonts w:ascii="Times New Roman" w:hAnsi="Times New Roman" w:cs="Times New Roman"/>
          <w:sz w:val="28"/>
          <w:szCs w:val="28"/>
          <w:lang w:val="pt-BR"/>
        </w:rPr>
        <w:tab/>
      </w:r>
      <w:r w:rsidRPr="001F5F53">
        <w:rPr>
          <w:rFonts w:ascii="Times New Roman" w:hAnsi="Times New Roman" w:cs="Times New Roman"/>
          <w:sz w:val="28"/>
          <w:szCs w:val="28"/>
          <w:lang w:val="pt-BR"/>
        </w:rPr>
        <w:t>- Thực hiện quy định của Luật Ban hành văn bản quy phạm pháp luật năm 2015; Luật sửa đổi, bổ sung một số điều của Luật Ban hành văn bản quy phạm pháp luật năm 2020; Nghị quyết số 95/NQ-CP ngày 07 tháng 7 năm 2023 của Chính phủ tại Phiên họp chuyên đề về xây dựng pháp luật tháng 6 năm 2023 và Nghị quyết số 41/2023/UBTVQH15 ngày 18 tháng 12 năm 2023 của Ủy ban Thường vụ Quốc hội về điều chỉnh Chương trình xây dựng luật, pháp lệnh năm 2024, Bộ Công Thương được giao chủ trì, phối hợp với các cơ quan liên quan xây dựng dự án Luật Hóa chất (sửa đổi). Cục Hóa chất đã triển khai xây dựng hồ sơ dự thảo Luật Hóa chất (sửa đổi) và hồ sơ đã được hoàn thiện theo ý kiến của Hội đồng thẩm định tại Bộ Tư Pháp và thống nhất nội dung tại cuộc họp Chính phủ chuyên đề xây dựng pháp luật tháng 6 vào ngày 13 tháng 6 năm 2024.</w:t>
      </w:r>
      <w:r w:rsidRPr="001F5F53">
        <w:rPr>
          <w:rFonts w:ascii="Times New Roman" w:hAnsi="Times New Roman" w:cs="Times New Roman"/>
          <w:spacing w:val="3"/>
          <w:sz w:val="28"/>
          <w:szCs w:val="28"/>
          <w:shd w:val="clear" w:color="auto" w:fill="FFFFFF"/>
          <w:lang w:val="pt-BR"/>
        </w:rPr>
        <w:t xml:space="preserve"> Ngày 05 tháng 7 năm 2024, Bộ Công Thương có Báo cáo số 174/BC-BCT gửi Phó Thủ tướng Trần Hồng Hà về nội dung tiếp thu, giải trình, chỉnh lý, hoàn thiện dự thảo Luật Hóa chất (sửa đổi). Tiếp theo, ngày 30 tháng 7 năm 2024, hồ sơ dự án Luật Hóa chất (sửa đổi) đã được trình Quốc hội theo Tờ trình số </w:t>
      </w:r>
      <w:r w:rsidRPr="001F5F53">
        <w:rPr>
          <w:rFonts w:ascii="Times New Roman" w:hAnsi="Times New Roman" w:cs="Times New Roman"/>
          <w:spacing w:val="3"/>
          <w:sz w:val="28"/>
          <w:szCs w:val="28"/>
          <w:shd w:val="clear" w:color="auto" w:fill="FFFFFF"/>
          <w:lang w:val="pt-BR"/>
        </w:rPr>
        <w:lastRenderedPageBreak/>
        <w:t>371/TTr-CP của Chính phủ.</w:t>
      </w:r>
      <w:r w:rsidRPr="001F5F53">
        <w:rPr>
          <w:rFonts w:ascii="Times New Roman" w:hAnsi="Times New Roman" w:cs="Times New Roman"/>
          <w:sz w:val="28"/>
          <w:szCs w:val="28"/>
          <w:lang w:val="pt-BR"/>
        </w:rPr>
        <w:t xml:space="preserve"> Ngày 14 và ngày 15 tháng 10 năm 2024, Tổ giúp việc Luật Hóa chất (sửa đổi) đã tổ chức họp rà soát, giải trình ý kiến thẩm tra của Ủy ban Thường vụ Quốc hội đối với dự thảo Luật Hóa chất (sửa đổi). Ngày 23 tháng 11 năm 2024, Quốc hội đã thảo luận tại Hội trường về dự án Luật Hóa chất (sửa đổi).</w:t>
      </w:r>
    </w:p>
    <w:p w14:paraId="0DBC4E79" w14:textId="62547C7D" w:rsidR="001F5F53" w:rsidRPr="001F5F53" w:rsidRDefault="001F5F53" w:rsidP="001F5F53">
      <w:pPr>
        <w:pStyle w:val="ListParagraph"/>
        <w:tabs>
          <w:tab w:val="left" w:pos="277"/>
        </w:tabs>
        <w:spacing w:before="120" w:after="120"/>
        <w:ind w:left="0"/>
        <w:jc w:val="both"/>
        <w:rPr>
          <w:rFonts w:ascii="Times New Roman" w:hAnsi="Times New Roman" w:cs="Times New Roman"/>
          <w:sz w:val="28"/>
          <w:szCs w:val="28"/>
          <w:lang w:val="pt-BR"/>
        </w:rPr>
      </w:pPr>
      <w:r w:rsidRPr="001F5F53">
        <w:rPr>
          <w:rFonts w:ascii="Times New Roman" w:hAnsi="Times New Roman" w:cs="Times New Roman"/>
          <w:sz w:val="28"/>
          <w:szCs w:val="28"/>
          <w:lang w:val="pt-BR"/>
        </w:rPr>
        <w:tab/>
      </w:r>
      <w:r>
        <w:rPr>
          <w:rFonts w:ascii="Times New Roman" w:hAnsi="Times New Roman" w:cs="Times New Roman"/>
          <w:sz w:val="28"/>
          <w:szCs w:val="28"/>
          <w:lang w:val="pt-BR"/>
        </w:rPr>
        <w:tab/>
      </w:r>
      <w:r w:rsidRPr="001F5F53">
        <w:rPr>
          <w:rFonts w:ascii="Times New Roman" w:hAnsi="Times New Roman" w:cs="Times New Roman"/>
          <w:sz w:val="28"/>
          <w:szCs w:val="28"/>
          <w:lang w:val="pt-BR"/>
        </w:rPr>
        <w:t xml:space="preserve">- Thực hiện </w:t>
      </w:r>
      <w:r w:rsidRPr="001F5F53">
        <w:rPr>
          <w:rFonts w:ascii="Times New Roman" w:hAnsi="Times New Roman" w:cs="Times New Roman"/>
          <w:sz w:val="28"/>
          <w:szCs w:val="28"/>
        </w:rPr>
        <w:t>Quyết định số 3422/QĐ-BCT ngày 29 tháng 12 năm 2023 của Bộ trưởng Bộ Công Thương về việc ban hành Chương trình xây dựng văn bản quy phạm pháp luật năm 2024 của Bộ Công Thương</w:t>
      </w:r>
      <w:r w:rsidRPr="001F5F53">
        <w:rPr>
          <w:rFonts w:ascii="Times New Roman" w:hAnsi="Times New Roman" w:cs="Times New Roman"/>
          <w:sz w:val="28"/>
          <w:szCs w:val="28"/>
          <w:lang w:val="pt-BR"/>
        </w:rPr>
        <w:t>,</w:t>
      </w:r>
      <w:r w:rsidRPr="001F5F53">
        <w:rPr>
          <w:rFonts w:ascii="Times New Roman" w:hAnsi="Times New Roman" w:cs="Times New Roman"/>
          <w:bCs/>
          <w:sz w:val="28"/>
          <w:szCs w:val="28"/>
          <w:lang w:val="pt-BR"/>
        </w:rPr>
        <w:t xml:space="preserve"> Cục Hóa chất đã triển khai xây dựng dự thảo </w:t>
      </w:r>
      <w:r w:rsidRPr="001F5F53">
        <w:rPr>
          <w:rFonts w:ascii="Times New Roman" w:hAnsi="Times New Roman" w:cs="Times New Roman"/>
          <w:sz w:val="28"/>
          <w:szCs w:val="28"/>
          <w:lang w:val="pt-BR"/>
        </w:rPr>
        <w:t>Thông tư sửa đổi 1:2024 QCVN 05A:2020/BCT Quy chuẩn kỹ thuật quốc gia về an toàn trong sản xuất, kinh doanh, sử dụng, bảo quản và vận chuyển hóa chất nguy hiểm. Ngày 10 tháng 10 năm 2024, Bộ trưởng Bộ Công Thương ký ban hành thông tư  số 19/2024/TT-BCT ban hành sửa đổi 1:2024 Quy chuẩn QCVN 05A:2020/BCT Quy chuẩn kỹ thuật quốc gia về an toàn trong sản xuất, kinh doanh, sử dụng, bảo quản và vận chuyển hóa chất nguy hiểm theo đúng kế hoạch.</w:t>
      </w:r>
    </w:p>
    <w:p w14:paraId="0C1B2571" w14:textId="5E38A7B1" w:rsidR="001F5F53" w:rsidRDefault="001F5F53" w:rsidP="001F5F53">
      <w:pPr>
        <w:pStyle w:val="ListParagraph"/>
        <w:tabs>
          <w:tab w:val="left" w:pos="277"/>
        </w:tabs>
        <w:spacing w:before="120" w:after="120"/>
        <w:ind w:left="0"/>
        <w:jc w:val="both"/>
        <w:rPr>
          <w:rFonts w:ascii="Times New Roman" w:hAnsi="Times New Roman" w:cs="Times New Roman"/>
          <w:sz w:val="28"/>
          <w:szCs w:val="28"/>
          <w:lang w:val="pt-BR"/>
        </w:rPr>
      </w:pPr>
      <w:r w:rsidRPr="001F5F53">
        <w:rPr>
          <w:rFonts w:ascii="Times New Roman" w:hAnsi="Times New Roman" w:cs="Times New Roman"/>
          <w:sz w:val="28"/>
          <w:szCs w:val="28"/>
          <w:lang w:val="pt-BR"/>
        </w:rPr>
        <w:tab/>
      </w:r>
      <w:r>
        <w:rPr>
          <w:rFonts w:ascii="Times New Roman" w:hAnsi="Times New Roman" w:cs="Times New Roman"/>
          <w:sz w:val="28"/>
          <w:szCs w:val="28"/>
          <w:lang w:val="pt-BR"/>
        </w:rPr>
        <w:tab/>
      </w:r>
      <w:r w:rsidRPr="001F5F53">
        <w:rPr>
          <w:rFonts w:ascii="Times New Roman" w:hAnsi="Times New Roman" w:cs="Times New Roman"/>
          <w:sz w:val="28"/>
          <w:szCs w:val="28"/>
          <w:lang w:val="pt-BR"/>
        </w:rPr>
        <w:t>- Thực hiện Quyết định số 3004/QĐ-BCT ngày 30 tháng 12 năm 2022 của Bộ trưởng Bộ Công Thương về việc ban hành Chương trình xây dựng văn bản quy phạm pháp luật năm 2023 của Bộ Công Thương, Cục Hóa chất xây dựng dự thảo Nghị định thay thế Nghị định số 38/2014/NĐ-CP ngày 06/5/2014 của Chính phủ về quản lý hóa chất thuộc diện kiểm soát của Công ước Cấm phát triển, sản xuất, tàng trữ, sử dụng và phá hủy vũ khí hóa học. Ngày 27 tháng 3 năm 2024, Chính phủ đã ban hành Nghị định số 33/2024/NĐ-CP quy định việc thực hiện Công ước Cấm phát triển, sản xuất, tàng trữ, sử dụng và phá hủy vũ khí hóa học.</w:t>
      </w:r>
    </w:p>
    <w:p w14:paraId="32CE4124" w14:textId="77777777" w:rsidR="001F5F53" w:rsidRPr="001F5F53" w:rsidRDefault="001F5F53" w:rsidP="001F5F53">
      <w:pPr>
        <w:spacing w:before="120"/>
        <w:ind w:firstLine="720"/>
        <w:jc w:val="both"/>
        <w:rPr>
          <w:rFonts w:ascii="Times New Roman" w:eastAsia="Calibri" w:hAnsi="Times New Roman" w:cs="Times New Roman"/>
          <w:i/>
          <w:sz w:val="28"/>
          <w:szCs w:val="28"/>
          <w:lang w:val="it-IT"/>
        </w:rPr>
      </w:pPr>
      <w:r w:rsidRPr="001F5F53">
        <w:rPr>
          <w:rFonts w:ascii="Times New Roman" w:eastAsia="Calibri" w:hAnsi="Times New Roman" w:cs="Times New Roman"/>
          <w:sz w:val="28"/>
          <w:szCs w:val="28"/>
          <w:lang w:val="pl-PL"/>
        </w:rPr>
        <w:t xml:space="preserve">- Cục Hóa chất thực hiện xây dựng kế hoạch cải cách hành chính, tập trung vào các nhiệm vụ chính: xây dựng văn bản quy phạm pháp luật; cải cách thủ tục hành chính; cải cách tổ chức bộ máy; xây dựng và nâng cao chất lượng đội ngũ cán bộ công chức, viên chức; cải cách tài chính công; hiện đại hóa nền hành chính. </w:t>
      </w:r>
    </w:p>
    <w:p w14:paraId="2DA5C19E" w14:textId="77777777" w:rsidR="001F5F53" w:rsidRPr="001F5F53" w:rsidRDefault="001F5F53" w:rsidP="001F5F53">
      <w:pPr>
        <w:spacing w:before="120"/>
        <w:ind w:firstLine="720"/>
        <w:jc w:val="both"/>
        <w:rPr>
          <w:rFonts w:ascii="Times New Roman" w:eastAsia="Calibri" w:hAnsi="Times New Roman" w:cs="Times New Roman"/>
          <w:i/>
          <w:sz w:val="28"/>
          <w:szCs w:val="28"/>
          <w:lang w:val="pl-PL"/>
        </w:rPr>
      </w:pPr>
      <w:r w:rsidRPr="001F5F53">
        <w:rPr>
          <w:rFonts w:ascii="Times New Roman" w:eastAsia="Calibri" w:hAnsi="Times New Roman" w:cs="Times New Roman"/>
          <w:sz w:val="28"/>
          <w:szCs w:val="28"/>
          <w:lang w:val="pl-PL"/>
        </w:rPr>
        <w:t xml:space="preserve">- Tiếp tục rà soát, đơn giản hóa để nâng cao chất lượng thủ tục hành chính thuộc phạm vi, chức năng quản lý của Cục, tập trung vào các thủ tục hành chính có liên quan nhiều tới người dân và các doanh nghiệp. Thực hiện việc công khai, minh bạch tất cả các thủ tục hành chính, kịp thời thống kê đưa các thủ tục hành chính mới ban hành, sửa đổi, bổ sung hoặc bãi bỏ lên các trang thông tin điện tử của Bộ Công Thương và Cục Hóa chất. </w:t>
      </w:r>
    </w:p>
    <w:p w14:paraId="4B01A570" w14:textId="77777777" w:rsidR="001F5F53" w:rsidRDefault="001F5F53" w:rsidP="001F5F53">
      <w:pPr>
        <w:spacing w:before="120"/>
        <w:ind w:firstLine="720"/>
        <w:jc w:val="both"/>
        <w:rPr>
          <w:rFonts w:ascii="Times New Roman" w:eastAsia="Calibri" w:hAnsi="Times New Roman" w:cs="Times New Roman"/>
          <w:sz w:val="28"/>
          <w:szCs w:val="28"/>
          <w:lang w:val="pl-PL"/>
        </w:rPr>
      </w:pPr>
      <w:r w:rsidRPr="001F5F53">
        <w:rPr>
          <w:rFonts w:ascii="Times New Roman" w:eastAsia="Calibri" w:hAnsi="Times New Roman" w:cs="Times New Roman"/>
          <w:sz w:val="28"/>
          <w:szCs w:val="28"/>
          <w:lang w:val="pl-PL"/>
        </w:rPr>
        <w:t>- Ứng dụng công nghệ thông tin vào việc giải quyết các thủ tục hành chính, rà soát các thủ tục hành chính thuộc phạm vi chức năng quản lý của Cục. Áp dụng Hệ thống TCVN ISO 9001:2015 trong quy trình tiếp nhận, giải quyết và trả kết quả thủ tục hành chính tại bộ phận một cửa; đánh giá giám sát duy trì, cải tiến thường xuyên hệ thống quản lý chất lượng.</w:t>
      </w:r>
    </w:p>
    <w:p w14:paraId="5E74487B" w14:textId="1F9707A8" w:rsidR="00961321" w:rsidRDefault="00961321" w:rsidP="001F5F53">
      <w:pPr>
        <w:spacing w:before="120"/>
        <w:ind w:firstLine="720"/>
        <w:jc w:val="both"/>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t>- Ngày 05 tháng 11 năm 2024 Bộ trưởng Bộ Công Thương ban hành chỉ thị 10/CT-BCT về việc tăng cường công tác quản lý, kiểm soát hóa chất hạn chế sản xuất kinh doanh  trong lĩnh vực công nghiệp.</w:t>
      </w:r>
    </w:p>
    <w:p w14:paraId="568B8611" w14:textId="09803EF9" w:rsidR="001F5F53" w:rsidRDefault="001F5F53" w:rsidP="001F5F53">
      <w:pPr>
        <w:spacing w:before="120"/>
        <w:ind w:firstLine="720"/>
        <w:jc w:val="both"/>
        <w:rPr>
          <w:rFonts w:ascii="Times New Roman" w:eastAsia="Calibri" w:hAnsi="Times New Roman" w:cs="Times New Roman"/>
          <w:sz w:val="28"/>
          <w:szCs w:val="28"/>
          <w:lang w:val="pl-PL"/>
        </w:rPr>
      </w:pPr>
      <w:r>
        <w:rPr>
          <w:rFonts w:ascii="Times New Roman" w:eastAsia="Calibri" w:hAnsi="Times New Roman" w:cs="Times New Roman"/>
          <w:sz w:val="28"/>
          <w:szCs w:val="28"/>
          <w:lang w:val="pl-PL"/>
        </w:rPr>
        <w:lastRenderedPageBreak/>
        <w:t>- Hàng năm, Cục Hóa chất tiếp nhận hồ sơ thủ tục hành chính liên quan đến lĩnh vực hóa chất, xây dựng kế hoạch kiểm tra định kỳ hàng năm và kiểm tra đột xuất các tổ chức, cá nhân vi phạm.</w:t>
      </w:r>
    </w:p>
    <w:p w14:paraId="464688AA" w14:textId="236C6F19" w:rsidR="00961321" w:rsidRPr="00961321" w:rsidRDefault="00961321" w:rsidP="001F5F53">
      <w:pPr>
        <w:spacing w:before="120"/>
        <w:ind w:firstLine="720"/>
        <w:jc w:val="both"/>
        <w:rPr>
          <w:rFonts w:ascii="Times New Roman" w:eastAsia="Calibri" w:hAnsi="Times New Roman" w:cs="Times New Roman"/>
          <w:sz w:val="28"/>
          <w:szCs w:val="28"/>
          <w:lang w:val="pl-PL"/>
        </w:rPr>
      </w:pPr>
      <w:r w:rsidRPr="00961321">
        <w:rPr>
          <w:rFonts w:ascii="Times New Roman" w:eastAsia="Calibri" w:hAnsi="Times New Roman" w:cs="Times New Roman"/>
          <w:sz w:val="28"/>
          <w:szCs w:val="28"/>
          <w:lang w:val="pl-PL"/>
        </w:rPr>
        <w:t xml:space="preserve">- Ngoài ra, Hàng năm </w:t>
      </w:r>
      <w:r w:rsidRPr="00961321">
        <w:rPr>
          <w:rFonts w:ascii="Times New Roman" w:hAnsi="Times New Roman"/>
          <w:sz w:val="28"/>
          <w:szCs w:val="28"/>
          <w:lang w:val="pl-PL"/>
        </w:rPr>
        <w:t>Cục Hóa chất đã xây dựng kế hoạch thực hiện công tác phổ biến, giáo dục pháp luật, tập trung vào các nội dung như xây dựng các bài viết phổ biến pháp luật về công tác quản lý hóa chất, phát triển công nghiệp hóa chất, các sự kiện trong lĩnh vực hóa chất; tổ chức các hội nghị, hội thảo phổ biến, hướng dẫn thực thi một số văn bản quy phạm pháp luật trong lĩnh vực hóa chất mới ban hành; xây dựng sản phẩm truyền thông, phát sóng trên truyền hình, tọa đàm về quản lý hóa chất để phổ biến rộng rãi hơn các quy định của pháp luật trong lĩnh vực hóa chất đến các tổ chức, cá nhân</w:t>
      </w:r>
      <w:r>
        <w:rPr>
          <w:rFonts w:ascii="Times New Roman" w:hAnsi="Times New Roman"/>
          <w:sz w:val="28"/>
          <w:szCs w:val="28"/>
          <w:lang w:val="pl-PL"/>
        </w:rPr>
        <w:t>.</w:t>
      </w:r>
    </w:p>
    <w:p w14:paraId="14CCE181" w14:textId="79CD9259" w:rsidR="00EB290A" w:rsidRDefault="000F1D79" w:rsidP="00961321">
      <w:pPr>
        <w:spacing w:before="120" w:after="120"/>
        <w:jc w:val="both"/>
        <w:rPr>
          <w:rFonts w:ascii="Times New Roman" w:hAnsi="Times New Roman" w:cs="Times New Roman"/>
          <w:bCs/>
          <w:color w:val="auto"/>
          <w:sz w:val="28"/>
          <w:szCs w:val="28"/>
          <w:lang w:val="en-US"/>
        </w:rPr>
      </w:pPr>
      <w:r>
        <w:rPr>
          <w:rFonts w:ascii="Times New Roman" w:hAnsi="Times New Roman" w:cs="Times New Roman"/>
          <w:sz w:val="28"/>
          <w:szCs w:val="28"/>
          <w:lang w:val="en-US"/>
        </w:rPr>
        <w:tab/>
      </w:r>
      <w:r w:rsidR="00106990">
        <w:rPr>
          <w:rFonts w:ascii="Times New Roman" w:hAnsi="Times New Roman" w:cs="Times New Roman"/>
          <w:bCs/>
          <w:color w:val="auto"/>
          <w:sz w:val="28"/>
          <w:szCs w:val="28"/>
          <w:lang w:val="en-US"/>
        </w:rPr>
        <w:t>2</w:t>
      </w:r>
      <w:r w:rsidR="00106990" w:rsidRPr="00106990">
        <w:rPr>
          <w:rFonts w:ascii="Times New Roman" w:hAnsi="Times New Roman" w:cs="Times New Roman"/>
          <w:b/>
          <w:bCs/>
          <w:color w:val="auto"/>
          <w:sz w:val="28"/>
          <w:szCs w:val="28"/>
          <w:lang w:val="en-US"/>
        </w:rPr>
        <w:t>. Kết quả thi hành văn bản quy phạm pháp luật, đánh giá ưu điểm, bất cập, hạn chế của văn bản quy phạm pháp luật</w:t>
      </w:r>
    </w:p>
    <w:p w14:paraId="18687D33" w14:textId="24CAF08A" w:rsidR="00106990" w:rsidRDefault="00961321" w:rsidP="00EB290A">
      <w:pPr>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Hàng năm, Cục hóa chất đã tiếp nhận và xử lý nhiều thủ tục hành chính liên quan đến lĩnh vực hóa chất, cụ thể:</w:t>
      </w:r>
    </w:p>
    <w:p w14:paraId="5D89297F" w14:textId="77777777" w:rsidR="00961321" w:rsidRDefault="00961321" w:rsidP="00EB290A">
      <w:pPr>
        <w:spacing w:before="120"/>
        <w:ind w:firstLine="709"/>
        <w:jc w:val="both"/>
        <w:rPr>
          <w:rFonts w:ascii="Times New Roman" w:hAnsi="Times New Roman" w:cs="Times New Roman"/>
          <w:color w:val="auto"/>
          <w:sz w:val="28"/>
          <w:szCs w:val="28"/>
          <w:lang w:val="en-US"/>
        </w:rPr>
      </w:pPr>
    </w:p>
    <w:tbl>
      <w:tblPr>
        <w:tblW w:w="9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6675"/>
        <w:gridCol w:w="1506"/>
      </w:tblGrid>
      <w:tr w:rsidR="00961321" w:rsidRPr="00961321" w14:paraId="2E25DF6A" w14:textId="77777777" w:rsidTr="00921718">
        <w:trPr>
          <w:trHeight w:val="644"/>
          <w:tblHeader/>
        </w:trPr>
        <w:tc>
          <w:tcPr>
            <w:tcW w:w="982" w:type="dxa"/>
            <w:shd w:val="clear" w:color="auto" w:fill="auto"/>
          </w:tcPr>
          <w:p w14:paraId="3393B7D8" w14:textId="77777777" w:rsidR="00961321" w:rsidRPr="00961321" w:rsidRDefault="00961321" w:rsidP="00B121DC">
            <w:pPr>
              <w:jc w:val="center"/>
              <w:rPr>
                <w:rFonts w:ascii="Times New Roman" w:eastAsia="Calibri" w:hAnsi="Times New Roman" w:cs="Times New Roman"/>
                <w:b/>
                <w:bCs/>
                <w:sz w:val="28"/>
                <w:szCs w:val="28"/>
                <w:shd w:val="clear" w:color="auto" w:fill="FFFFFF"/>
              </w:rPr>
            </w:pPr>
            <w:bookmarkStart w:id="2" w:name="_GoBack"/>
            <w:bookmarkEnd w:id="2"/>
            <w:r w:rsidRPr="00961321">
              <w:rPr>
                <w:rFonts w:ascii="Times New Roman" w:eastAsia="Calibri" w:hAnsi="Times New Roman" w:cs="Times New Roman"/>
                <w:b/>
                <w:bCs/>
                <w:sz w:val="28"/>
                <w:szCs w:val="28"/>
                <w:shd w:val="clear" w:color="auto" w:fill="FFFFFF"/>
              </w:rPr>
              <w:t>STT</w:t>
            </w:r>
          </w:p>
          <w:p w14:paraId="45009928" w14:textId="77777777" w:rsidR="00961321" w:rsidRPr="00961321" w:rsidRDefault="00961321" w:rsidP="00B121DC">
            <w:pPr>
              <w:jc w:val="center"/>
              <w:rPr>
                <w:rFonts w:ascii="Times New Roman" w:eastAsia="Calibri" w:hAnsi="Times New Roman" w:cs="Times New Roman"/>
                <w:b/>
                <w:bCs/>
                <w:sz w:val="28"/>
                <w:szCs w:val="28"/>
                <w:shd w:val="clear" w:color="auto" w:fill="FFFFFF"/>
              </w:rPr>
            </w:pPr>
          </w:p>
        </w:tc>
        <w:tc>
          <w:tcPr>
            <w:tcW w:w="6675" w:type="dxa"/>
            <w:shd w:val="clear" w:color="auto" w:fill="auto"/>
          </w:tcPr>
          <w:p w14:paraId="43007C82" w14:textId="77777777" w:rsidR="00961321" w:rsidRPr="00961321" w:rsidRDefault="00961321" w:rsidP="00B121DC">
            <w:pPr>
              <w:jc w:val="center"/>
              <w:rPr>
                <w:rFonts w:ascii="Times New Roman" w:eastAsia="Calibri" w:hAnsi="Times New Roman" w:cs="Times New Roman"/>
                <w:b/>
                <w:bCs/>
                <w:sz w:val="28"/>
                <w:szCs w:val="28"/>
                <w:shd w:val="clear" w:color="auto" w:fill="FFFFFF"/>
              </w:rPr>
            </w:pPr>
            <w:r w:rsidRPr="00961321">
              <w:rPr>
                <w:rFonts w:ascii="Times New Roman" w:eastAsia="Calibri" w:hAnsi="Times New Roman" w:cs="Times New Roman"/>
                <w:b/>
                <w:bCs/>
                <w:sz w:val="28"/>
                <w:szCs w:val="28"/>
                <w:shd w:val="clear" w:color="auto" w:fill="FFFFFF"/>
              </w:rPr>
              <w:t xml:space="preserve">Tên </w:t>
            </w:r>
            <w:r w:rsidRPr="00961321">
              <w:rPr>
                <w:rFonts w:ascii="Times New Roman" w:eastAsia="Calibri" w:hAnsi="Times New Roman" w:cs="Times New Roman"/>
                <w:b/>
                <w:bCs/>
                <w:iCs/>
                <w:spacing w:val="3"/>
                <w:sz w:val="28"/>
                <w:szCs w:val="28"/>
                <w:shd w:val="clear" w:color="auto" w:fill="FFFFFF"/>
              </w:rPr>
              <w:t>thủ tục hành chính</w:t>
            </w:r>
          </w:p>
        </w:tc>
        <w:tc>
          <w:tcPr>
            <w:tcW w:w="1506" w:type="dxa"/>
            <w:shd w:val="clear" w:color="auto" w:fill="auto"/>
          </w:tcPr>
          <w:p w14:paraId="04B54D10" w14:textId="77777777" w:rsidR="00961321" w:rsidRPr="00961321" w:rsidRDefault="00961321" w:rsidP="00B121DC">
            <w:pPr>
              <w:jc w:val="center"/>
              <w:rPr>
                <w:rFonts w:ascii="Times New Roman" w:eastAsia="Calibri" w:hAnsi="Times New Roman" w:cs="Times New Roman"/>
                <w:b/>
                <w:bCs/>
                <w:sz w:val="28"/>
                <w:szCs w:val="28"/>
                <w:shd w:val="clear" w:color="auto" w:fill="FFFFFF"/>
              </w:rPr>
            </w:pPr>
            <w:r w:rsidRPr="00961321">
              <w:rPr>
                <w:rFonts w:ascii="Times New Roman" w:eastAsia="Calibri" w:hAnsi="Times New Roman" w:cs="Times New Roman"/>
                <w:b/>
                <w:bCs/>
                <w:sz w:val="28"/>
                <w:szCs w:val="28"/>
                <w:shd w:val="clear" w:color="auto" w:fill="FFFFFF"/>
              </w:rPr>
              <w:t>Số lượng hồ sơ</w:t>
            </w:r>
          </w:p>
        </w:tc>
      </w:tr>
      <w:tr w:rsidR="00961321" w:rsidRPr="00961321" w14:paraId="2DEC0855" w14:textId="77777777" w:rsidTr="00921718">
        <w:trPr>
          <w:trHeight w:val="204"/>
        </w:trPr>
        <w:tc>
          <w:tcPr>
            <w:tcW w:w="982" w:type="dxa"/>
            <w:shd w:val="clear" w:color="auto" w:fill="auto"/>
          </w:tcPr>
          <w:p w14:paraId="7DF8C2CA"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1</w:t>
            </w:r>
          </w:p>
        </w:tc>
        <w:tc>
          <w:tcPr>
            <w:tcW w:w="6675" w:type="dxa"/>
            <w:shd w:val="clear" w:color="auto" w:fill="auto"/>
          </w:tcPr>
          <w:p w14:paraId="4B55C50E"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 xml:space="preserve">Cấp Giấy phép xuất nhập khẩu tiền chất công nghiệp </w:t>
            </w:r>
          </w:p>
        </w:tc>
        <w:tc>
          <w:tcPr>
            <w:tcW w:w="1506" w:type="dxa"/>
            <w:shd w:val="clear" w:color="auto" w:fill="auto"/>
            <w:vAlign w:val="center"/>
          </w:tcPr>
          <w:p w14:paraId="347585B9" w14:textId="091ACE99"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11.330</w:t>
            </w:r>
          </w:p>
        </w:tc>
      </w:tr>
      <w:tr w:rsidR="00961321" w:rsidRPr="00961321" w14:paraId="60425900" w14:textId="77777777" w:rsidTr="00921718">
        <w:trPr>
          <w:trHeight w:val="655"/>
        </w:trPr>
        <w:tc>
          <w:tcPr>
            <w:tcW w:w="982" w:type="dxa"/>
            <w:shd w:val="clear" w:color="auto" w:fill="auto"/>
          </w:tcPr>
          <w:p w14:paraId="53087C18"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2</w:t>
            </w:r>
          </w:p>
        </w:tc>
        <w:tc>
          <w:tcPr>
            <w:tcW w:w="6675" w:type="dxa"/>
            <w:shd w:val="clear" w:color="auto" w:fill="auto"/>
          </w:tcPr>
          <w:p w14:paraId="078D8F0C"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Cấp Giấy phép xuất nhập khẩu tiền chất thuốc nổ:</w:t>
            </w:r>
          </w:p>
        </w:tc>
        <w:tc>
          <w:tcPr>
            <w:tcW w:w="1506" w:type="dxa"/>
            <w:shd w:val="clear" w:color="auto" w:fill="auto"/>
            <w:vAlign w:val="center"/>
          </w:tcPr>
          <w:p w14:paraId="5CB5692B"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334</w:t>
            </w:r>
          </w:p>
        </w:tc>
      </w:tr>
      <w:tr w:rsidR="00961321" w:rsidRPr="00961321" w14:paraId="2DE953AA" w14:textId="77777777" w:rsidTr="00921718">
        <w:trPr>
          <w:trHeight w:val="655"/>
        </w:trPr>
        <w:tc>
          <w:tcPr>
            <w:tcW w:w="982" w:type="dxa"/>
            <w:shd w:val="clear" w:color="auto" w:fill="auto"/>
          </w:tcPr>
          <w:p w14:paraId="6C5D3F9F"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3</w:t>
            </w:r>
          </w:p>
        </w:tc>
        <w:tc>
          <w:tcPr>
            <w:tcW w:w="6675" w:type="dxa"/>
            <w:shd w:val="clear" w:color="auto" w:fill="auto"/>
          </w:tcPr>
          <w:p w14:paraId="505EA2CF"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Cấp Giấy phép xuất nhập khẩu vật liệu nổ công nghiệp:</w:t>
            </w:r>
          </w:p>
        </w:tc>
        <w:tc>
          <w:tcPr>
            <w:tcW w:w="1506" w:type="dxa"/>
            <w:shd w:val="clear" w:color="auto" w:fill="auto"/>
            <w:vAlign w:val="center"/>
          </w:tcPr>
          <w:p w14:paraId="5998B657"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97</w:t>
            </w:r>
          </w:p>
        </w:tc>
      </w:tr>
      <w:tr w:rsidR="00961321" w:rsidRPr="00961321" w14:paraId="6FCFA3FB" w14:textId="77777777" w:rsidTr="00921718">
        <w:trPr>
          <w:trHeight w:val="655"/>
        </w:trPr>
        <w:tc>
          <w:tcPr>
            <w:tcW w:w="982" w:type="dxa"/>
            <w:shd w:val="clear" w:color="auto" w:fill="auto"/>
          </w:tcPr>
          <w:p w14:paraId="436B3B55" w14:textId="06806CEA" w:rsidR="00961321" w:rsidRPr="00961321" w:rsidRDefault="00961321" w:rsidP="00B121DC">
            <w:pPr>
              <w:jc w:val="cente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4</w:t>
            </w:r>
          </w:p>
        </w:tc>
        <w:tc>
          <w:tcPr>
            <w:tcW w:w="6675" w:type="dxa"/>
            <w:shd w:val="clear" w:color="auto" w:fill="auto"/>
          </w:tcPr>
          <w:p w14:paraId="03CFF9A9" w14:textId="3F5A69AD" w:rsidR="00961321" w:rsidRPr="00961321" w:rsidRDefault="00961321" w:rsidP="00B121DC">
            <w:pP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Tiếp nhận hồ sơ k</w:t>
            </w:r>
            <w:r w:rsidRPr="00961321">
              <w:rPr>
                <w:rFonts w:ascii="Times New Roman" w:eastAsia="Calibri" w:hAnsi="Times New Roman" w:cs="Times New Roman"/>
                <w:sz w:val="28"/>
                <w:szCs w:val="28"/>
                <w:shd w:val="clear" w:color="auto" w:fill="FFFFFF"/>
              </w:rPr>
              <w:t>hai báo hóa chất</w:t>
            </w:r>
            <w:r>
              <w:rPr>
                <w:rFonts w:ascii="Times New Roman" w:eastAsia="Calibri" w:hAnsi="Times New Roman" w:cs="Times New Roman"/>
                <w:sz w:val="28"/>
                <w:szCs w:val="28"/>
                <w:shd w:val="clear" w:color="auto" w:fill="FFFFFF"/>
                <w:lang w:val="en-US"/>
              </w:rPr>
              <w:t xml:space="preserve"> phản hồi tự động</w:t>
            </w:r>
          </w:p>
        </w:tc>
        <w:tc>
          <w:tcPr>
            <w:tcW w:w="1506" w:type="dxa"/>
            <w:shd w:val="clear" w:color="auto" w:fill="auto"/>
            <w:vAlign w:val="center"/>
          </w:tcPr>
          <w:p w14:paraId="5CA98157"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102.789</w:t>
            </w:r>
          </w:p>
        </w:tc>
      </w:tr>
      <w:tr w:rsidR="00961321" w:rsidRPr="00961321" w14:paraId="5F977619" w14:textId="77777777" w:rsidTr="00921718">
        <w:trPr>
          <w:trHeight w:val="1300"/>
        </w:trPr>
        <w:tc>
          <w:tcPr>
            <w:tcW w:w="982" w:type="dxa"/>
            <w:shd w:val="clear" w:color="auto" w:fill="auto"/>
          </w:tcPr>
          <w:p w14:paraId="0BD2BDE9" w14:textId="1178A2D8" w:rsidR="00961321" w:rsidRPr="00961321" w:rsidRDefault="00961321" w:rsidP="00B121DC">
            <w:pPr>
              <w:jc w:val="cente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5</w:t>
            </w:r>
          </w:p>
        </w:tc>
        <w:tc>
          <w:tcPr>
            <w:tcW w:w="6675" w:type="dxa"/>
            <w:shd w:val="clear" w:color="auto" w:fill="auto"/>
          </w:tcPr>
          <w:p w14:paraId="2ECC5283"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Khai báo hóa chất đối với các hóa chất cần kiểm soát đặc biệt khi nhập khẩu bao gồm: dinitơ monoxit, các hợp chất của xyanua, thủy ngân và các hợp chất của thủy ngân</w:t>
            </w:r>
          </w:p>
        </w:tc>
        <w:tc>
          <w:tcPr>
            <w:tcW w:w="1506" w:type="dxa"/>
            <w:shd w:val="clear" w:color="auto" w:fill="auto"/>
            <w:vAlign w:val="center"/>
          </w:tcPr>
          <w:p w14:paraId="6F862E46" w14:textId="0EBAE9C2" w:rsidR="00961321" w:rsidRPr="00961321" w:rsidRDefault="00961321" w:rsidP="00961321">
            <w:pPr>
              <w:jc w:val="center"/>
              <w:rPr>
                <w:rFonts w:ascii="Times New Roman" w:eastAsia="Calibri" w:hAnsi="Times New Roman" w:cs="Times New Roman"/>
                <w:sz w:val="28"/>
                <w:szCs w:val="28"/>
                <w:shd w:val="clear" w:color="auto" w:fill="FFFFFF"/>
                <w:lang w:val="en-US"/>
              </w:rPr>
            </w:pPr>
            <w:r w:rsidRPr="00961321">
              <w:rPr>
                <w:rFonts w:ascii="Times New Roman" w:eastAsia="Calibri" w:hAnsi="Times New Roman" w:cs="Times New Roman"/>
                <w:sz w:val="28"/>
                <w:szCs w:val="28"/>
                <w:shd w:val="clear" w:color="auto" w:fill="FFFFFF"/>
              </w:rPr>
              <w:t>17</w:t>
            </w:r>
            <w:r>
              <w:rPr>
                <w:rFonts w:ascii="Times New Roman" w:eastAsia="Calibri" w:hAnsi="Times New Roman" w:cs="Times New Roman"/>
                <w:sz w:val="28"/>
                <w:szCs w:val="28"/>
                <w:shd w:val="clear" w:color="auto" w:fill="FFFFFF"/>
                <w:lang w:val="en-US"/>
              </w:rPr>
              <w:t>00</w:t>
            </w:r>
          </w:p>
        </w:tc>
      </w:tr>
      <w:tr w:rsidR="00961321" w:rsidRPr="00961321" w14:paraId="72DB5B2B" w14:textId="77777777" w:rsidTr="00921718">
        <w:trPr>
          <w:trHeight w:val="655"/>
        </w:trPr>
        <w:tc>
          <w:tcPr>
            <w:tcW w:w="982" w:type="dxa"/>
            <w:shd w:val="clear" w:color="auto" w:fill="auto"/>
          </w:tcPr>
          <w:p w14:paraId="509A97F7" w14:textId="4F0E841B" w:rsidR="00961321" w:rsidRPr="00961321" w:rsidRDefault="00961321" w:rsidP="00B121DC">
            <w:pPr>
              <w:jc w:val="cente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6</w:t>
            </w:r>
          </w:p>
        </w:tc>
        <w:tc>
          <w:tcPr>
            <w:tcW w:w="6675" w:type="dxa"/>
            <w:shd w:val="clear" w:color="auto" w:fill="auto"/>
          </w:tcPr>
          <w:p w14:paraId="55C4B45F"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Thẩm định, phê duyệt Kế hoạch phòng ngừa, ứng phó sự cố hóa chất</w:t>
            </w:r>
          </w:p>
        </w:tc>
        <w:tc>
          <w:tcPr>
            <w:tcW w:w="1506" w:type="dxa"/>
            <w:shd w:val="clear" w:color="auto" w:fill="auto"/>
            <w:vAlign w:val="center"/>
          </w:tcPr>
          <w:p w14:paraId="764891F3" w14:textId="651B40FB" w:rsidR="00961321" w:rsidRPr="00961321" w:rsidRDefault="00961321" w:rsidP="00B121DC">
            <w:pPr>
              <w:jc w:val="cente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50</w:t>
            </w:r>
          </w:p>
        </w:tc>
      </w:tr>
      <w:tr w:rsidR="00961321" w:rsidRPr="00961321" w14:paraId="27540679" w14:textId="77777777" w:rsidTr="00921718">
        <w:trPr>
          <w:trHeight w:val="996"/>
        </w:trPr>
        <w:tc>
          <w:tcPr>
            <w:tcW w:w="982" w:type="dxa"/>
            <w:shd w:val="clear" w:color="auto" w:fill="auto"/>
          </w:tcPr>
          <w:p w14:paraId="64457F19" w14:textId="376E4EFF" w:rsidR="00961321" w:rsidRPr="00961321" w:rsidRDefault="00961321" w:rsidP="00B121DC">
            <w:pPr>
              <w:jc w:val="center"/>
              <w:rPr>
                <w:rFonts w:ascii="Times New Roman" w:eastAsia="Calibri" w:hAnsi="Times New Roman" w:cs="Times New Roman"/>
                <w:sz w:val="28"/>
                <w:szCs w:val="28"/>
                <w:shd w:val="clear" w:color="auto" w:fill="FFFFFF"/>
                <w:lang w:val="en-US"/>
              </w:rPr>
            </w:pPr>
            <w:r>
              <w:rPr>
                <w:rFonts w:ascii="Times New Roman" w:eastAsia="Calibri" w:hAnsi="Times New Roman" w:cs="Times New Roman"/>
                <w:sz w:val="28"/>
                <w:szCs w:val="28"/>
                <w:shd w:val="clear" w:color="auto" w:fill="FFFFFF"/>
                <w:lang w:val="en-US"/>
              </w:rPr>
              <w:t>7</w:t>
            </w:r>
          </w:p>
        </w:tc>
        <w:tc>
          <w:tcPr>
            <w:tcW w:w="6675" w:type="dxa"/>
            <w:shd w:val="clear" w:color="auto" w:fill="auto"/>
          </w:tcPr>
          <w:p w14:paraId="5929D34C" w14:textId="77777777" w:rsidR="00961321" w:rsidRPr="00961321" w:rsidRDefault="00961321" w:rsidP="00B121DC">
            <w:pPr>
              <w:rPr>
                <w:rFonts w:ascii="Times New Roman" w:eastAsia="Calibri" w:hAnsi="Times New Roman" w:cs="Times New Roman"/>
                <w:sz w:val="28"/>
                <w:szCs w:val="28"/>
                <w:shd w:val="clear" w:color="auto" w:fill="FFFFFF"/>
              </w:rPr>
            </w:pPr>
            <w:r w:rsidRPr="00961321">
              <w:rPr>
                <w:rFonts w:ascii="Times New Roman" w:hAnsi="Times New Roman" w:cs="Times New Roman"/>
                <w:sz w:val="28"/>
                <w:szCs w:val="28"/>
                <w:shd w:val="clear" w:color="auto" w:fill="FFFFFF"/>
              </w:rPr>
              <w:t>Cấp Giấy phép sản xuất, kinh doanh hoá chất hạn chế sản xuất kinh doanh trong lĩnh vực Công nghiệp</w:t>
            </w:r>
          </w:p>
        </w:tc>
        <w:tc>
          <w:tcPr>
            <w:tcW w:w="1506" w:type="dxa"/>
            <w:shd w:val="clear" w:color="auto" w:fill="auto"/>
            <w:vAlign w:val="center"/>
          </w:tcPr>
          <w:p w14:paraId="349BF60F" w14:textId="77777777" w:rsidR="00961321" w:rsidRPr="00961321" w:rsidRDefault="00961321" w:rsidP="00B121DC">
            <w:pPr>
              <w:jc w:val="center"/>
              <w:rPr>
                <w:rFonts w:ascii="Times New Roman" w:eastAsia="Calibri" w:hAnsi="Times New Roman" w:cs="Times New Roman"/>
                <w:sz w:val="28"/>
                <w:szCs w:val="28"/>
                <w:shd w:val="clear" w:color="auto" w:fill="FFFFFF"/>
              </w:rPr>
            </w:pPr>
            <w:r w:rsidRPr="00961321">
              <w:rPr>
                <w:rFonts w:ascii="Times New Roman" w:eastAsia="Calibri" w:hAnsi="Times New Roman" w:cs="Times New Roman"/>
                <w:sz w:val="28"/>
                <w:szCs w:val="28"/>
                <w:shd w:val="clear" w:color="auto" w:fill="FFFFFF"/>
              </w:rPr>
              <w:t>80</w:t>
            </w:r>
          </w:p>
        </w:tc>
      </w:tr>
    </w:tbl>
    <w:p w14:paraId="08A02BDB" w14:textId="32EA8B2C" w:rsidR="00106990" w:rsidRDefault="00961321" w:rsidP="00961321">
      <w:pPr>
        <w:spacing w:before="120"/>
        <w:ind w:firstLine="709"/>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 Đối với công tác xử lý vi phạm hành chính, tổng số tiền xử phạt vi phạm hành chính trong lĩnh vực hóa chất hiện nay khoảng 20.000.000.000 đồng (khoảng 20 tỷ đồng). Trong đó có nhiều tổ chức có hành vi vi phạm</w:t>
      </w:r>
      <w:r w:rsidR="006075AD">
        <w:rPr>
          <w:rFonts w:ascii="Times New Roman" w:hAnsi="Times New Roman" w:cs="Times New Roman"/>
          <w:color w:val="auto"/>
          <w:sz w:val="28"/>
          <w:szCs w:val="28"/>
          <w:lang w:val="en-US"/>
        </w:rPr>
        <w:t xml:space="preserve"> phải bị tước giấy phép hoạt động, đình chỉ hoạt động có thời hạn.</w:t>
      </w:r>
    </w:p>
    <w:p w14:paraId="12E4D769" w14:textId="2544FC1F" w:rsidR="00BF4A1F" w:rsidRPr="00000732" w:rsidRDefault="003A5E5A" w:rsidP="003A5E5A">
      <w:pPr>
        <w:tabs>
          <w:tab w:val="left" w:pos="0"/>
        </w:tabs>
        <w:spacing w:before="120" w:after="120"/>
        <w:jc w:val="both"/>
        <w:rPr>
          <w:rFonts w:ascii="Times New Roman" w:hAnsi="Times New Roman" w:cs="Times New Roman"/>
          <w:b/>
          <w:bCs/>
          <w:color w:val="auto"/>
          <w:spacing w:val="-6"/>
          <w:sz w:val="28"/>
          <w:szCs w:val="28"/>
          <w:lang w:val="en-SG"/>
        </w:rPr>
      </w:pPr>
      <w:r w:rsidRPr="00000732">
        <w:rPr>
          <w:rFonts w:ascii="Times New Roman" w:hAnsi="Times New Roman" w:cs="Times New Roman"/>
          <w:b/>
          <w:bCs/>
          <w:color w:val="auto"/>
          <w:spacing w:val="-6"/>
          <w:sz w:val="28"/>
          <w:szCs w:val="28"/>
          <w:lang w:val="en-SG"/>
        </w:rPr>
        <w:tab/>
      </w:r>
      <w:r w:rsidR="00371A41" w:rsidRPr="00000732">
        <w:rPr>
          <w:rFonts w:ascii="Times New Roman" w:hAnsi="Times New Roman" w:cs="Times New Roman"/>
          <w:b/>
          <w:bCs/>
          <w:color w:val="auto"/>
          <w:spacing w:val="-6"/>
          <w:sz w:val="28"/>
          <w:szCs w:val="28"/>
          <w:lang w:val="en-SG"/>
        </w:rPr>
        <w:t>3. Khó khăn, vướng mắc và nguyên nhân</w:t>
      </w:r>
    </w:p>
    <w:p w14:paraId="03BF31FA" w14:textId="51FDC652" w:rsidR="00106990" w:rsidRDefault="006075AD" w:rsidP="003A5E5A">
      <w:pPr>
        <w:tabs>
          <w:tab w:val="left" w:pos="0"/>
        </w:tabs>
        <w:spacing w:before="120" w:after="120"/>
        <w:jc w:val="both"/>
        <w:rPr>
          <w:rFonts w:ascii="Times New Roman" w:hAnsi="Times New Roman" w:cs="Times New Roman"/>
          <w:bCs/>
          <w:color w:val="auto"/>
          <w:spacing w:val="-6"/>
          <w:sz w:val="28"/>
          <w:szCs w:val="28"/>
          <w:lang w:val="en-SG"/>
        </w:rPr>
      </w:pPr>
      <w:r w:rsidRPr="006075AD">
        <w:rPr>
          <w:rFonts w:ascii="Times New Roman" w:hAnsi="Times New Roman" w:cs="Times New Roman"/>
          <w:b/>
          <w:bCs/>
          <w:color w:val="auto"/>
          <w:spacing w:val="-6"/>
          <w:sz w:val="28"/>
          <w:szCs w:val="28"/>
          <w:lang w:val="en-SG"/>
        </w:rPr>
        <w:tab/>
      </w:r>
      <w:r>
        <w:rPr>
          <w:rFonts w:ascii="Times New Roman" w:hAnsi="Times New Roman" w:cs="Times New Roman"/>
          <w:bCs/>
          <w:color w:val="auto"/>
          <w:spacing w:val="-6"/>
          <w:sz w:val="28"/>
          <w:szCs w:val="28"/>
          <w:lang w:val="en-SG"/>
        </w:rPr>
        <w:t xml:space="preserve">Việc kết nối thông tin giữa cơ quan địa phương và cơ quan Trung ương còn nhiều bất cập, các hồ sơ xử lý hiện nay chưa được đồng bộ hóa hoàn toàn trên hệ </w:t>
      </w:r>
      <w:r>
        <w:rPr>
          <w:rFonts w:ascii="Times New Roman" w:hAnsi="Times New Roman" w:cs="Times New Roman"/>
          <w:bCs/>
          <w:color w:val="auto"/>
          <w:spacing w:val="-6"/>
          <w:sz w:val="28"/>
          <w:szCs w:val="28"/>
          <w:lang w:val="en-SG"/>
        </w:rPr>
        <w:lastRenderedPageBreak/>
        <w:t>thống điện tử dẫn đến việc xử lý hồ sơ gặp nhiều khó khăn.</w:t>
      </w:r>
    </w:p>
    <w:p w14:paraId="34AC5320" w14:textId="72EBBA2B" w:rsidR="006075AD" w:rsidRDefault="006075AD" w:rsidP="003A5E5A">
      <w:pPr>
        <w:tabs>
          <w:tab w:val="left" w:pos="0"/>
        </w:tabs>
        <w:spacing w:before="120" w:after="120"/>
        <w:jc w:val="both"/>
        <w:rPr>
          <w:rFonts w:ascii="Times New Roman" w:hAnsi="Times New Roman" w:cs="Times New Roman"/>
          <w:bCs/>
          <w:color w:val="auto"/>
          <w:spacing w:val="-6"/>
          <w:sz w:val="28"/>
          <w:szCs w:val="28"/>
          <w:lang w:val="en-SG"/>
        </w:rPr>
      </w:pPr>
      <w:r>
        <w:rPr>
          <w:rFonts w:ascii="Times New Roman" w:hAnsi="Times New Roman" w:cs="Times New Roman"/>
          <w:bCs/>
          <w:color w:val="auto"/>
          <w:spacing w:val="-6"/>
          <w:sz w:val="28"/>
          <w:szCs w:val="28"/>
          <w:lang w:val="en-SG"/>
        </w:rPr>
        <w:tab/>
        <w:t>- Ngoài ra, nhân sự của Cục Hóa chất còn ít so với khối lượng công việc hiện nay, thiếu nhân sự chuyên trách.</w:t>
      </w:r>
    </w:p>
    <w:p w14:paraId="4382814C" w14:textId="5851EAF2" w:rsidR="006075AD" w:rsidRDefault="006075AD" w:rsidP="003A5E5A">
      <w:pPr>
        <w:tabs>
          <w:tab w:val="left" w:pos="0"/>
        </w:tabs>
        <w:spacing w:before="120" w:after="120"/>
        <w:jc w:val="both"/>
        <w:rPr>
          <w:rFonts w:ascii="Times New Roman" w:hAnsi="Times New Roman" w:cs="Times New Roman"/>
          <w:bCs/>
          <w:color w:val="auto"/>
          <w:spacing w:val="-6"/>
          <w:sz w:val="28"/>
          <w:szCs w:val="28"/>
          <w:lang w:val="en-SG"/>
        </w:rPr>
      </w:pPr>
      <w:r>
        <w:rPr>
          <w:rFonts w:ascii="Times New Roman" w:hAnsi="Times New Roman" w:cs="Times New Roman"/>
          <w:bCs/>
          <w:color w:val="auto"/>
          <w:spacing w:val="-6"/>
          <w:sz w:val="28"/>
          <w:szCs w:val="28"/>
          <w:lang w:val="en-SG"/>
        </w:rPr>
        <w:tab/>
        <w:t>- Một số cán bộ trẻ chưa có nhiều kinh nghiệm trong việc triển khai nhiệm vụ.</w:t>
      </w:r>
    </w:p>
    <w:p w14:paraId="7D9D6767" w14:textId="59AF3256" w:rsidR="006075AD" w:rsidRDefault="006075AD" w:rsidP="003A5E5A">
      <w:pPr>
        <w:tabs>
          <w:tab w:val="left" w:pos="0"/>
        </w:tabs>
        <w:spacing w:before="120" w:after="120"/>
        <w:jc w:val="both"/>
        <w:rPr>
          <w:rFonts w:ascii="Times New Roman" w:hAnsi="Times New Roman" w:cs="Times New Roman"/>
          <w:bCs/>
          <w:color w:val="auto"/>
          <w:spacing w:val="-6"/>
          <w:sz w:val="28"/>
          <w:szCs w:val="28"/>
          <w:lang w:val="en-SG"/>
        </w:rPr>
      </w:pPr>
      <w:r>
        <w:rPr>
          <w:rFonts w:ascii="Times New Roman" w:hAnsi="Times New Roman" w:cs="Times New Roman"/>
          <w:bCs/>
          <w:color w:val="auto"/>
          <w:spacing w:val="-6"/>
          <w:sz w:val="28"/>
          <w:szCs w:val="28"/>
          <w:lang w:val="en-SG"/>
        </w:rPr>
        <w:tab/>
        <w:t>- Hệ thống dữ liệu chưa đồng bộ hóa so với các nhiệm vụ đang quản lý.</w:t>
      </w:r>
    </w:p>
    <w:p w14:paraId="288579DB" w14:textId="2B005F2E" w:rsidR="00106990" w:rsidRDefault="00106990" w:rsidP="00E16A8C">
      <w:pPr>
        <w:tabs>
          <w:tab w:val="left" w:pos="0"/>
        </w:tabs>
        <w:spacing w:before="120" w:after="120"/>
        <w:jc w:val="both"/>
        <w:rPr>
          <w:rFonts w:ascii="Times New Roman" w:hAnsi="Times New Roman" w:cs="Times New Roman"/>
          <w:b/>
          <w:bCs/>
          <w:color w:val="FF0000"/>
          <w:spacing w:val="-6"/>
          <w:sz w:val="28"/>
          <w:szCs w:val="28"/>
          <w:lang w:val="en-SG"/>
        </w:rPr>
      </w:pPr>
      <w:r>
        <w:rPr>
          <w:rFonts w:ascii="Times New Roman" w:hAnsi="Times New Roman" w:cs="Times New Roman"/>
          <w:b/>
          <w:bCs/>
          <w:color w:val="FF0000"/>
          <w:spacing w:val="-6"/>
          <w:sz w:val="28"/>
          <w:szCs w:val="28"/>
          <w:lang w:val="en-SG"/>
        </w:rPr>
        <w:tab/>
      </w:r>
      <w:r w:rsidR="00E16A8C">
        <w:rPr>
          <w:rFonts w:ascii="Times New Roman" w:hAnsi="Times New Roman" w:cs="Times New Roman"/>
          <w:b/>
          <w:bCs/>
          <w:color w:val="auto"/>
          <w:spacing w:val="-6"/>
          <w:sz w:val="28"/>
          <w:szCs w:val="28"/>
          <w:lang w:val="en-SG"/>
        </w:rPr>
        <w:t>4</w:t>
      </w:r>
      <w:r w:rsidR="006075AD" w:rsidRPr="006075AD">
        <w:rPr>
          <w:rFonts w:ascii="Times New Roman" w:hAnsi="Times New Roman" w:cs="Times New Roman"/>
          <w:b/>
          <w:bCs/>
          <w:color w:val="auto"/>
          <w:spacing w:val="-6"/>
          <w:sz w:val="28"/>
          <w:szCs w:val="28"/>
          <w:lang w:val="en-SG"/>
        </w:rPr>
        <w:t xml:space="preserve">. </w:t>
      </w:r>
      <w:r w:rsidR="007E1E5F">
        <w:rPr>
          <w:rFonts w:ascii="Times New Roman" w:hAnsi="Times New Roman" w:cs="Times New Roman"/>
          <w:b/>
          <w:bCs/>
          <w:color w:val="auto"/>
          <w:spacing w:val="-6"/>
          <w:sz w:val="28"/>
          <w:szCs w:val="28"/>
          <w:lang w:val="en-SG"/>
        </w:rPr>
        <w:t>Những vấn đề mới phát sinh trong thực tiễn</w:t>
      </w:r>
    </w:p>
    <w:p w14:paraId="705D9256" w14:textId="77777777" w:rsidR="006075AD" w:rsidRPr="00583C0F" w:rsidRDefault="00106990" w:rsidP="006075AD">
      <w:pPr>
        <w:spacing w:before="120"/>
        <w:ind w:firstLine="709"/>
        <w:jc w:val="both"/>
        <w:rPr>
          <w:rFonts w:ascii="Times New Roman" w:hAnsi="Times New Roman" w:cs="Times New Roman"/>
          <w:bCs/>
          <w:color w:val="auto"/>
          <w:sz w:val="28"/>
          <w:szCs w:val="28"/>
          <w:lang w:val="en-SG"/>
        </w:rPr>
      </w:pPr>
      <w:r>
        <w:rPr>
          <w:rFonts w:ascii="Times New Roman" w:hAnsi="Times New Roman" w:cs="Times New Roman"/>
          <w:b/>
          <w:bCs/>
          <w:color w:val="FF0000"/>
          <w:spacing w:val="-6"/>
          <w:sz w:val="28"/>
          <w:szCs w:val="28"/>
          <w:lang w:val="en-SG"/>
        </w:rPr>
        <w:tab/>
      </w:r>
      <w:r w:rsidR="006075AD" w:rsidRPr="00583C0F">
        <w:rPr>
          <w:rFonts w:ascii="Times New Roman" w:hAnsi="Times New Roman" w:cs="Times New Roman"/>
          <w:b/>
          <w:bCs/>
          <w:color w:val="auto"/>
          <w:sz w:val="28"/>
          <w:szCs w:val="28"/>
          <w:lang w:val="en-SG"/>
        </w:rPr>
        <w:t xml:space="preserve">- </w:t>
      </w:r>
      <w:r w:rsidR="006075AD" w:rsidRPr="00583C0F">
        <w:rPr>
          <w:rFonts w:ascii="Times New Roman" w:hAnsi="Times New Roman" w:cs="Times New Roman"/>
          <w:bCs/>
          <w:color w:val="auto"/>
          <w:sz w:val="28"/>
          <w:szCs w:val="28"/>
          <w:lang w:val="en-SG"/>
        </w:rPr>
        <w:t>Ngày 14 tháng 6 năm 2025, Quốc hội nước Cộng hòa xã hội chủ nghĩa Việt Nam khóa XV, kỳ họp thứ 9 thông qua Luật Hóa chất số 69/2025/QH15, theo đó:</w:t>
      </w:r>
    </w:p>
    <w:p w14:paraId="50C3D82A" w14:textId="77777777" w:rsidR="006075AD" w:rsidRPr="00583C0F" w:rsidRDefault="006075AD" w:rsidP="006075AD">
      <w:pPr>
        <w:spacing w:before="120"/>
        <w:ind w:firstLine="709"/>
        <w:jc w:val="both"/>
        <w:rPr>
          <w:rFonts w:ascii="Times New Roman" w:hAnsi="Times New Roman" w:cs="Times New Roman"/>
          <w:bCs/>
          <w:color w:val="auto"/>
          <w:sz w:val="28"/>
          <w:szCs w:val="28"/>
          <w:lang w:val="en-SG"/>
        </w:rPr>
      </w:pPr>
      <w:r w:rsidRPr="00583C0F">
        <w:rPr>
          <w:rFonts w:ascii="Times New Roman" w:hAnsi="Times New Roman" w:cs="Times New Roman"/>
          <w:bCs/>
          <w:color w:val="auto"/>
          <w:sz w:val="28"/>
          <w:szCs w:val="28"/>
          <w:lang w:val="en-SG"/>
        </w:rPr>
        <w:t>+ Luật giao cho Bộ Công Thương hướng dẫn các điều khoản sau: khoản 4 Điều 2, điểm d khoản 3 Điều 9, khoản 4 Điều 15, khoản 3 Điều 17, khoản 2 Điều 23, khoản 4 Điều 25, khoản 3 Điều 29, khoản 2 Điều 31.</w:t>
      </w:r>
    </w:p>
    <w:p w14:paraId="0448A4E5" w14:textId="77777777" w:rsidR="006075AD" w:rsidRPr="00583C0F" w:rsidRDefault="006075AD" w:rsidP="006075AD">
      <w:pPr>
        <w:spacing w:before="120"/>
        <w:ind w:firstLine="709"/>
        <w:jc w:val="both"/>
        <w:rPr>
          <w:rFonts w:ascii="Times New Roman" w:hAnsi="Times New Roman" w:cs="Times New Roman"/>
          <w:color w:val="auto"/>
          <w:sz w:val="28"/>
          <w:szCs w:val="28"/>
          <w:lang w:val="en-US"/>
        </w:rPr>
      </w:pPr>
      <w:r w:rsidRPr="00583C0F">
        <w:rPr>
          <w:rFonts w:ascii="Times New Roman" w:hAnsi="Times New Roman" w:cs="Times New Roman"/>
          <w:bCs/>
          <w:color w:val="auto"/>
          <w:sz w:val="28"/>
          <w:szCs w:val="28"/>
          <w:lang w:val="en-SG"/>
        </w:rPr>
        <w:t xml:space="preserve">+ </w:t>
      </w:r>
      <w:r w:rsidRPr="00583C0F">
        <w:rPr>
          <w:rFonts w:ascii="Times New Roman" w:hAnsi="Times New Roman" w:cs="Times New Roman"/>
          <w:color w:val="auto"/>
          <w:sz w:val="28"/>
          <w:szCs w:val="28"/>
          <w:lang w:val="en-US"/>
        </w:rPr>
        <w:t>Nghị định số    /2025/NĐ-CP ngày    tháng    năm 2025 về việc hướng dẫn một số điều của Luật Hóa chất về quản lý hoạt động hóa chất và hóa chất nguy hiểm trong sản phẩm hàng hóa giao Bộ Công Thương hướng dẫn điểm d khoản 3 Điều 6, khoản 8 Điều 9, khoản 6 Điều 11, khoản 8 Điều 13, khoản 10 Điều 14, khoản 2 Điều 15, khoản 6 Điều 17, điểm e khoản 2 Điều 18, khoản 8 Điều 18.</w:t>
      </w:r>
    </w:p>
    <w:p w14:paraId="6147FC7B" w14:textId="71EA8C4D" w:rsidR="00106990" w:rsidRDefault="006075AD" w:rsidP="006075AD">
      <w:pPr>
        <w:tabs>
          <w:tab w:val="left" w:pos="0"/>
        </w:tabs>
        <w:spacing w:before="120" w:after="120"/>
        <w:jc w:val="both"/>
        <w:rPr>
          <w:rFonts w:ascii="Times New Roman" w:hAnsi="Times New Roman" w:cs="Times New Roman"/>
          <w:b/>
          <w:bCs/>
          <w:color w:val="FF0000"/>
          <w:spacing w:val="-6"/>
          <w:sz w:val="28"/>
          <w:szCs w:val="28"/>
          <w:lang w:val="en-SG"/>
        </w:rPr>
      </w:pPr>
      <w:r w:rsidRPr="00583C0F">
        <w:rPr>
          <w:rFonts w:ascii="Times New Roman" w:hAnsi="Times New Roman" w:cs="Times New Roman"/>
          <w:color w:val="auto"/>
          <w:sz w:val="28"/>
          <w:szCs w:val="28"/>
        </w:rPr>
        <w:t xml:space="preserve">Việc </w:t>
      </w:r>
      <w:r w:rsidRPr="00583C0F">
        <w:rPr>
          <w:rFonts w:ascii="Times New Roman" w:hAnsi="Times New Roman" w:cs="Times New Roman"/>
          <w:color w:val="auto"/>
          <w:sz w:val="28"/>
          <w:szCs w:val="28"/>
          <w:lang w:val="en-SG"/>
        </w:rPr>
        <w:t xml:space="preserve">ban hành </w:t>
      </w:r>
      <w:r w:rsidRPr="00583C0F">
        <w:rPr>
          <w:rFonts w:ascii="Times New Roman" w:hAnsi="Times New Roman" w:cs="Times New Roman"/>
          <w:color w:val="auto"/>
          <w:sz w:val="28"/>
          <w:szCs w:val="28"/>
        </w:rPr>
        <w:t>Thông tư</w:t>
      </w:r>
      <w:r w:rsidRPr="00583C0F">
        <w:rPr>
          <w:rFonts w:ascii="Times New Roman" w:hAnsi="Times New Roman" w:cs="Times New Roman"/>
          <w:color w:val="auto"/>
          <w:sz w:val="28"/>
          <w:szCs w:val="28"/>
          <w:lang w:val="en-SG"/>
        </w:rPr>
        <w:t xml:space="preserve"> </w:t>
      </w:r>
      <w:r w:rsidRPr="00583C0F">
        <w:rPr>
          <w:rFonts w:ascii="Times New Roman" w:hAnsi="Times New Roman" w:cs="Times New Roman"/>
          <w:color w:val="auto"/>
          <w:sz w:val="28"/>
          <w:szCs w:val="28"/>
        </w:rPr>
        <w:t xml:space="preserve">quy định </w:t>
      </w:r>
      <w:r w:rsidRPr="00583C0F">
        <w:rPr>
          <w:rFonts w:ascii="Times New Roman" w:hAnsi="Times New Roman" w:cs="Times New Roman"/>
          <w:bCs/>
          <w:color w:val="auto"/>
          <w:sz w:val="28"/>
          <w:szCs w:val="28"/>
          <w:lang w:val="en-US"/>
        </w:rPr>
        <w:t>chi tiết và hướng dẫn thi hành một số điều của Luật Hóa chất về quản lý hóa chất theo vòng đời và quản lý hóa chất trong sản phẩm nhằm đảm</w:t>
      </w:r>
      <w:r w:rsidRPr="00583C0F">
        <w:rPr>
          <w:rFonts w:ascii="Times New Roman" w:hAnsi="Times New Roman" w:cs="Times New Roman"/>
          <w:color w:val="auto"/>
          <w:sz w:val="28"/>
          <w:szCs w:val="28"/>
        </w:rPr>
        <w:t xml:space="preserve"> bảo đảm thực hiện đồng bộ với thời điểm có hiệu lực của </w:t>
      </w:r>
      <w:r w:rsidRPr="00583C0F">
        <w:rPr>
          <w:rFonts w:ascii="Times New Roman" w:eastAsia="Calibri" w:hAnsi="Times New Roman" w:cs="Times New Roman"/>
          <w:color w:val="auto"/>
          <w:sz w:val="28"/>
          <w:szCs w:val="28"/>
        </w:rPr>
        <w:t>Luật Hóa chất số 69/2025/QH15</w:t>
      </w:r>
      <w:r w:rsidRPr="00583C0F">
        <w:rPr>
          <w:rFonts w:ascii="Times New Roman" w:eastAsia="Calibri" w:hAnsi="Times New Roman" w:cs="Times New Roman"/>
          <w:color w:val="auto"/>
          <w:sz w:val="28"/>
          <w:szCs w:val="28"/>
          <w:lang w:val="en-US"/>
        </w:rPr>
        <w:t>, tăng cường công tác phân cấp thủ tục hành chính đến Ủy ban nhân dân cấp tỉnh trên cơ sở Luật tổ chức Chính phủ</w:t>
      </w:r>
      <w:r w:rsidRPr="00583C0F">
        <w:rPr>
          <w:rFonts w:ascii="Times New Roman" w:hAnsi="Times New Roman" w:cs="Times New Roman"/>
          <w:color w:val="auto"/>
          <w:sz w:val="28"/>
          <w:szCs w:val="28"/>
        </w:rPr>
        <w:t>. Qua đó, bảo đảm hệ thống các cơ quan, người có thẩm quyền hoạt động liên tục, thông suốt, không bị gián đoạn; khắc phục kịp thời các bất cập, vướng mắc, chồng chéo trong quá trình thực hiện thời gian qua; thống nhất và ổn định chính sách; tạo môi trường thuận lợi cho tổ chức và cá nhân tham gia hoạt động hóa chất.</w:t>
      </w:r>
    </w:p>
    <w:p w14:paraId="1E920D17" w14:textId="69ED24DA" w:rsidR="00165CDA" w:rsidRPr="006075AD" w:rsidRDefault="003A5E5A" w:rsidP="00106990">
      <w:pPr>
        <w:widowControl/>
        <w:tabs>
          <w:tab w:val="left" w:pos="0"/>
        </w:tabs>
        <w:spacing w:before="120" w:after="120"/>
        <w:jc w:val="both"/>
        <w:rPr>
          <w:rFonts w:ascii="Times New Roman" w:hAnsi="Times New Roman" w:cs="Times New Roman"/>
          <w:b/>
          <w:bCs/>
          <w:color w:val="auto"/>
          <w:sz w:val="28"/>
          <w:szCs w:val="28"/>
        </w:rPr>
      </w:pPr>
      <w:r w:rsidRPr="009A0788">
        <w:rPr>
          <w:rFonts w:ascii="Times New Roman" w:hAnsi="Times New Roman" w:cs="Times New Roman"/>
          <w:b/>
          <w:bCs/>
          <w:color w:val="FF0000"/>
          <w:spacing w:val="-6"/>
          <w:sz w:val="28"/>
          <w:szCs w:val="28"/>
          <w:lang w:val="en-SG"/>
        </w:rPr>
        <w:tab/>
      </w:r>
      <w:r w:rsidR="00165CDA" w:rsidRPr="006075AD">
        <w:rPr>
          <w:rFonts w:ascii="Times New Roman" w:hAnsi="Times New Roman" w:cs="Times New Roman"/>
          <w:b/>
          <w:bCs/>
          <w:color w:val="auto"/>
          <w:sz w:val="28"/>
          <w:szCs w:val="28"/>
        </w:rPr>
        <w:t>III. ĐỀ XUẤT, KIẾN NGHỊ</w:t>
      </w:r>
    </w:p>
    <w:p w14:paraId="4308AEDB" w14:textId="681C2CF5" w:rsidR="00836DA1" w:rsidRPr="00106990" w:rsidRDefault="00D67254" w:rsidP="007529DF">
      <w:pPr>
        <w:tabs>
          <w:tab w:val="left" w:pos="0"/>
          <w:tab w:val="num" w:pos="720"/>
        </w:tabs>
        <w:spacing w:before="120" w:after="120"/>
        <w:ind w:firstLine="851"/>
        <w:jc w:val="both"/>
        <w:rPr>
          <w:rFonts w:ascii="Times New Roman" w:hAnsi="Times New Roman" w:cs="Times New Roman"/>
          <w:color w:val="auto"/>
          <w:sz w:val="28"/>
          <w:szCs w:val="28"/>
          <w:lang w:val="en-US"/>
        </w:rPr>
      </w:pPr>
      <w:r w:rsidRPr="00106990">
        <w:rPr>
          <w:rFonts w:ascii="Times New Roman" w:hAnsi="Times New Roman" w:cs="Times New Roman"/>
          <w:color w:val="auto"/>
          <w:sz w:val="28"/>
          <w:szCs w:val="28"/>
        </w:rPr>
        <w:t xml:space="preserve">Trên cơ sở kết quả tổng kết thực tiễn triển khai Thông tư số </w:t>
      </w:r>
      <w:r w:rsidR="00106990" w:rsidRPr="00106990">
        <w:rPr>
          <w:rFonts w:ascii="Times New Roman" w:hAnsi="Times New Roman" w:cs="Times New Roman"/>
          <w:color w:val="auto"/>
          <w:sz w:val="28"/>
          <w:szCs w:val="28"/>
          <w:lang w:val="en-US"/>
        </w:rPr>
        <w:t>32/2017/TT-BCT ngày 28 tháng 12 năm 2017 và Thông tư số 17/2022/TT-BCT ngày 27 tháng 10 năm 2022</w:t>
      </w:r>
      <w:r w:rsidRPr="00106990">
        <w:rPr>
          <w:rFonts w:ascii="Times New Roman" w:hAnsi="Times New Roman" w:cs="Times New Roman"/>
          <w:color w:val="auto"/>
          <w:sz w:val="28"/>
          <w:szCs w:val="28"/>
        </w:rPr>
        <w:t xml:space="preserve">, </w:t>
      </w:r>
      <w:r w:rsidR="00106990" w:rsidRPr="00106990">
        <w:rPr>
          <w:rFonts w:ascii="Times New Roman" w:hAnsi="Times New Roman" w:cs="Times New Roman"/>
          <w:color w:val="auto"/>
          <w:sz w:val="28"/>
          <w:szCs w:val="28"/>
          <w:lang w:val="en-US"/>
        </w:rPr>
        <w:t xml:space="preserve">Cục Hóa chất </w:t>
      </w:r>
      <w:r w:rsidR="006C7CF7" w:rsidRPr="00106990">
        <w:rPr>
          <w:rFonts w:ascii="Times New Roman" w:hAnsi="Times New Roman" w:cs="Times New Roman"/>
          <w:color w:val="auto"/>
          <w:sz w:val="28"/>
          <w:szCs w:val="28"/>
          <w:lang w:val="en-SG"/>
        </w:rPr>
        <w:t>k</w:t>
      </w:r>
      <w:r w:rsidR="006C7CF7" w:rsidRPr="00106990">
        <w:rPr>
          <w:rFonts w:ascii="Times New Roman" w:hAnsi="Times New Roman" w:cs="Times New Roman"/>
          <w:color w:val="auto"/>
          <w:sz w:val="28"/>
          <w:szCs w:val="28"/>
          <w:lang w:val="en-US"/>
        </w:rPr>
        <w:t>ính đề nghị Bộ trưởng xem xét, ký b</w:t>
      </w:r>
      <w:r w:rsidR="00836DA1" w:rsidRPr="00106990">
        <w:rPr>
          <w:rFonts w:ascii="Times New Roman" w:hAnsi="Times New Roman" w:cs="Times New Roman"/>
          <w:color w:val="auto"/>
          <w:sz w:val="28"/>
          <w:szCs w:val="28"/>
          <w:lang w:val="en-US"/>
        </w:rPr>
        <w:t xml:space="preserve">an hành Thông tư mới thay thế </w:t>
      </w:r>
      <w:r w:rsidR="00836DA1" w:rsidRPr="00106990">
        <w:rPr>
          <w:rFonts w:ascii="Times New Roman" w:hAnsi="Times New Roman" w:cs="Times New Roman"/>
          <w:color w:val="auto"/>
          <w:sz w:val="28"/>
          <w:szCs w:val="28"/>
        </w:rPr>
        <w:t xml:space="preserve">Thông tư số </w:t>
      </w:r>
      <w:r w:rsidR="00106990" w:rsidRPr="00106990">
        <w:rPr>
          <w:rFonts w:ascii="Times New Roman" w:hAnsi="Times New Roman" w:cs="Times New Roman"/>
          <w:color w:val="auto"/>
          <w:sz w:val="28"/>
          <w:szCs w:val="28"/>
          <w:lang w:val="en-US"/>
        </w:rPr>
        <w:t>32/2017/TT-BCT ngày 28 tháng 12 năm 2017 và Thông tư số 17/2022/TT-BCT ngày 27 tháng 10 năm 2022</w:t>
      </w:r>
      <w:r w:rsidR="00836DA1" w:rsidRPr="00106990">
        <w:rPr>
          <w:rFonts w:ascii="Times New Roman" w:hAnsi="Times New Roman" w:cs="Times New Roman"/>
          <w:color w:val="auto"/>
          <w:sz w:val="28"/>
          <w:szCs w:val="28"/>
          <w:lang w:val="en-US"/>
        </w:rPr>
        <w:t xml:space="preserve"> nhằm đồng bộ, thống nhất công tác tổ chức bình chọn sản phẩm công nghiệp nông thôn tiêu biểu, trong đó thể chế hóa các nội dung còn bất cập, vướng măc hiện nay, cụ thể:</w:t>
      </w:r>
    </w:p>
    <w:p w14:paraId="74F14A12" w14:textId="472EA0D5" w:rsidR="00EB46DF" w:rsidRPr="00106990" w:rsidRDefault="00836DA1" w:rsidP="00106990">
      <w:pPr>
        <w:tabs>
          <w:tab w:val="left" w:pos="0"/>
        </w:tabs>
        <w:spacing w:before="120" w:after="120"/>
        <w:ind w:firstLine="851"/>
        <w:jc w:val="both"/>
        <w:rPr>
          <w:rFonts w:ascii="Times New Roman" w:hAnsi="Times New Roman" w:cs="Times New Roman"/>
          <w:color w:val="auto"/>
          <w:sz w:val="28"/>
          <w:szCs w:val="28"/>
        </w:rPr>
      </w:pPr>
      <w:r w:rsidRPr="00106990">
        <w:rPr>
          <w:rFonts w:ascii="Times New Roman" w:hAnsi="Times New Roman" w:cs="Times New Roman"/>
          <w:color w:val="auto"/>
          <w:sz w:val="28"/>
          <w:szCs w:val="28"/>
          <w:lang w:val="en-SG"/>
        </w:rPr>
        <w:t xml:space="preserve">- Đẩy mạnh phân cấp phân quyền, tạo sự chủ động cho các địa phương </w:t>
      </w:r>
      <w:r w:rsidRPr="00106990">
        <w:rPr>
          <w:rFonts w:ascii="Times New Roman" w:hAnsi="Times New Roman" w:cs="Times New Roman"/>
          <w:color w:val="auto"/>
          <w:sz w:val="28"/>
          <w:szCs w:val="28"/>
        </w:rPr>
        <w:t>gắn với nhiệm vụ triển khai xây dựng mô hình tổ chức chính quyền địa phương 02 cấp tại Nghị quyết số 60-NQ/TW ngày 12/4/2025 của Hội nghị Trung ương 11 khóa XIII</w:t>
      </w:r>
      <w:r w:rsidRPr="00106990">
        <w:rPr>
          <w:rFonts w:ascii="Times New Roman" w:hAnsi="Times New Roman" w:cs="Times New Roman"/>
          <w:color w:val="auto"/>
          <w:sz w:val="28"/>
          <w:szCs w:val="28"/>
          <w:lang w:val="en-SG"/>
        </w:rPr>
        <w:t xml:space="preserve"> và Nghị quyết số 202-NQ/TW ngày 12 tháng 6 năm 2025 về việc sắp xếp đơn vị hành chính cấp tỉnh và các quy định tại Nghị định số </w:t>
      </w:r>
      <w:r w:rsidR="00106990" w:rsidRPr="00106990">
        <w:rPr>
          <w:rFonts w:ascii="Times New Roman" w:hAnsi="Times New Roman" w:cs="Times New Roman"/>
          <w:color w:val="auto"/>
          <w:sz w:val="28"/>
          <w:szCs w:val="28"/>
          <w:lang w:val="en-SG"/>
        </w:rPr>
        <w:t xml:space="preserve">    </w:t>
      </w:r>
      <w:r w:rsidRPr="00106990">
        <w:rPr>
          <w:rFonts w:ascii="Times New Roman" w:hAnsi="Times New Roman" w:cs="Times New Roman"/>
          <w:color w:val="auto"/>
          <w:sz w:val="28"/>
          <w:szCs w:val="28"/>
          <w:lang w:val="en-SG"/>
        </w:rPr>
        <w:lastRenderedPageBreak/>
        <w:t>/20</w:t>
      </w:r>
      <w:r w:rsidR="00106990" w:rsidRPr="00106990">
        <w:rPr>
          <w:rFonts w:ascii="Times New Roman" w:hAnsi="Times New Roman" w:cs="Times New Roman"/>
          <w:color w:val="auto"/>
          <w:sz w:val="28"/>
          <w:szCs w:val="28"/>
          <w:lang w:val="en-SG"/>
        </w:rPr>
        <w:t>25</w:t>
      </w:r>
      <w:r w:rsidRPr="00106990">
        <w:rPr>
          <w:rFonts w:ascii="Times New Roman" w:hAnsi="Times New Roman" w:cs="Times New Roman"/>
          <w:color w:val="auto"/>
          <w:sz w:val="28"/>
          <w:szCs w:val="28"/>
          <w:lang w:val="en-SG"/>
        </w:rPr>
        <w:t xml:space="preserve">/NĐ-CP ngày </w:t>
      </w:r>
      <w:r w:rsidR="00106990" w:rsidRPr="00106990">
        <w:rPr>
          <w:rFonts w:ascii="Times New Roman" w:hAnsi="Times New Roman" w:cs="Times New Roman"/>
          <w:color w:val="auto"/>
          <w:sz w:val="28"/>
          <w:szCs w:val="28"/>
          <w:lang w:val="en-SG"/>
        </w:rPr>
        <w:t xml:space="preserve">   </w:t>
      </w:r>
      <w:r w:rsidRPr="00106990">
        <w:rPr>
          <w:rFonts w:ascii="Times New Roman" w:hAnsi="Times New Roman" w:cs="Times New Roman"/>
          <w:color w:val="auto"/>
          <w:sz w:val="28"/>
          <w:szCs w:val="28"/>
          <w:lang w:val="en-SG"/>
        </w:rPr>
        <w:t xml:space="preserve"> tháng </w:t>
      </w:r>
      <w:r w:rsidR="00106990" w:rsidRPr="00106990">
        <w:rPr>
          <w:rFonts w:ascii="Times New Roman" w:hAnsi="Times New Roman" w:cs="Times New Roman"/>
          <w:color w:val="auto"/>
          <w:sz w:val="28"/>
          <w:szCs w:val="28"/>
          <w:lang w:val="en-SG"/>
        </w:rPr>
        <w:t xml:space="preserve">  </w:t>
      </w:r>
      <w:r w:rsidRPr="00106990">
        <w:rPr>
          <w:rFonts w:ascii="Times New Roman" w:hAnsi="Times New Roman" w:cs="Times New Roman"/>
          <w:color w:val="auto"/>
          <w:sz w:val="28"/>
          <w:szCs w:val="28"/>
          <w:lang w:val="en-SG"/>
        </w:rPr>
        <w:t xml:space="preserve"> năm 20</w:t>
      </w:r>
      <w:r w:rsidR="00106990" w:rsidRPr="00106990">
        <w:rPr>
          <w:rFonts w:ascii="Times New Roman" w:hAnsi="Times New Roman" w:cs="Times New Roman"/>
          <w:color w:val="auto"/>
          <w:sz w:val="28"/>
          <w:szCs w:val="28"/>
          <w:lang w:val="en-SG"/>
        </w:rPr>
        <w:t>25</w:t>
      </w:r>
      <w:r w:rsidRPr="00106990">
        <w:rPr>
          <w:rFonts w:ascii="Times New Roman" w:hAnsi="Times New Roman" w:cs="Times New Roman"/>
          <w:color w:val="auto"/>
          <w:sz w:val="28"/>
          <w:szCs w:val="28"/>
          <w:lang w:val="en-SG"/>
        </w:rPr>
        <w:t xml:space="preserve"> của Chính phủ </w:t>
      </w:r>
      <w:r w:rsidR="00106990" w:rsidRPr="00106990">
        <w:rPr>
          <w:rFonts w:ascii="Times New Roman" w:hAnsi="Times New Roman" w:cs="Times New Roman"/>
          <w:color w:val="auto"/>
          <w:sz w:val="28"/>
          <w:szCs w:val="28"/>
        </w:rPr>
        <w:t>Quy định chi tiết và hướng dẫn một số điều của Luật Hóa chất về quản lý hoạt động hóa chất và hóa chất nguy hiểm trong sản phẩm, hàng hóa./</w:t>
      </w:r>
      <w:r w:rsidR="00EB46DF" w:rsidRPr="00106990">
        <w:rPr>
          <w:rFonts w:ascii="Times New Roman" w:hAnsi="Times New Roman" w:cs="Times New Roman"/>
          <w:color w:val="auto"/>
          <w:sz w:val="28"/>
          <w:szCs w:val="28"/>
          <w:lang w:val="en-US"/>
        </w:rPr>
        <w:t>.</w:t>
      </w:r>
    </w:p>
    <w:p w14:paraId="4F33BBB5" w14:textId="77777777" w:rsidR="00121304" w:rsidRPr="00106990" w:rsidRDefault="00121304" w:rsidP="00D67254">
      <w:pPr>
        <w:tabs>
          <w:tab w:val="num" w:pos="720"/>
        </w:tabs>
        <w:spacing w:before="120"/>
        <w:ind w:firstLine="720"/>
        <w:jc w:val="both"/>
        <w:rPr>
          <w:rFonts w:ascii="Times New Roman" w:hAnsi="Times New Roman" w:cs="Times New Roman"/>
          <w:color w:val="auto"/>
          <w:sz w:val="28"/>
          <w:szCs w:val="28"/>
          <w:lang w:val="en-SG"/>
        </w:rPr>
      </w:pPr>
    </w:p>
    <w:tbl>
      <w:tblPr>
        <w:tblW w:w="9208" w:type="dxa"/>
        <w:tblLook w:val="01E0" w:firstRow="1" w:lastRow="1" w:firstColumn="1" w:lastColumn="1" w:noHBand="0" w:noVBand="0"/>
      </w:tblPr>
      <w:tblGrid>
        <w:gridCol w:w="4535"/>
        <w:gridCol w:w="393"/>
        <w:gridCol w:w="4143"/>
        <w:gridCol w:w="137"/>
      </w:tblGrid>
      <w:tr w:rsidR="00106990" w:rsidRPr="00106990" w14:paraId="62EA582C" w14:textId="77777777" w:rsidTr="00A27E1B">
        <w:tc>
          <w:tcPr>
            <w:tcW w:w="4928" w:type="dxa"/>
            <w:gridSpan w:val="2"/>
          </w:tcPr>
          <w:p w14:paraId="1863510A" w14:textId="77777777" w:rsidR="00E860DA" w:rsidRPr="00106990" w:rsidRDefault="00E860DA" w:rsidP="00AA7259">
            <w:pPr>
              <w:jc w:val="both"/>
              <w:rPr>
                <w:rFonts w:ascii="Times New Roman" w:hAnsi="Times New Roman" w:cs="Times New Roman"/>
                <w:b/>
                <w:bCs/>
                <w:i/>
                <w:iCs/>
                <w:color w:val="auto"/>
                <w:spacing w:val="-2"/>
              </w:rPr>
            </w:pPr>
            <w:r w:rsidRPr="00106990">
              <w:rPr>
                <w:rFonts w:ascii="Times New Roman" w:hAnsi="Times New Roman" w:cs="Times New Roman"/>
                <w:b/>
                <w:bCs/>
                <w:i/>
                <w:iCs/>
                <w:color w:val="auto"/>
                <w:spacing w:val="-2"/>
              </w:rPr>
              <w:t>Nơi nhận:</w:t>
            </w:r>
          </w:p>
          <w:p w14:paraId="3528B7A3" w14:textId="77777777" w:rsidR="00E860DA" w:rsidRPr="00106990" w:rsidRDefault="00E860DA" w:rsidP="00AA7259">
            <w:pPr>
              <w:jc w:val="both"/>
              <w:rPr>
                <w:rFonts w:ascii="Times New Roman" w:hAnsi="Times New Roman" w:cs="Times New Roman"/>
                <w:color w:val="auto"/>
                <w:spacing w:val="-2"/>
                <w:sz w:val="22"/>
                <w:szCs w:val="22"/>
              </w:rPr>
            </w:pPr>
            <w:r w:rsidRPr="00106990">
              <w:rPr>
                <w:rFonts w:ascii="Times New Roman" w:hAnsi="Times New Roman" w:cs="Times New Roman"/>
                <w:color w:val="auto"/>
                <w:spacing w:val="-2"/>
                <w:sz w:val="22"/>
                <w:szCs w:val="22"/>
              </w:rPr>
              <w:t>- Như trên;</w:t>
            </w:r>
          </w:p>
          <w:p w14:paraId="7619BB3B" w14:textId="75FBEBD5" w:rsidR="00E860DA" w:rsidRPr="00106990" w:rsidRDefault="00E860DA" w:rsidP="00AA7259">
            <w:pPr>
              <w:jc w:val="both"/>
              <w:rPr>
                <w:rFonts w:ascii="Times New Roman" w:hAnsi="Times New Roman" w:cs="Times New Roman"/>
                <w:color w:val="auto"/>
                <w:spacing w:val="-2"/>
                <w:sz w:val="22"/>
                <w:szCs w:val="22"/>
              </w:rPr>
            </w:pPr>
            <w:r w:rsidRPr="00106990">
              <w:rPr>
                <w:rFonts w:ascii="Times New Roman" w:hAnsi="Times New Roman" w:cs="Times New Roman"/>
                <w:color w:val="auto"/>
                <w:spacing w:val="-2"/>
                <w:sz w:val="22"/>
                <w:szCs w:val="22"/>
              </w:rPr>
              <w:t xml:space="preserve">- Thứ trưởng </w:t>
            </w:r>
            <w:r w:rsidR="00106990" w:rsidRPr="00106990">
              <w:rPr>
                <w:rFonts w:ascii="Times New Roman" w:hAnsi="Times New Roman" w:cs="Times New Roman"/>
                <w:color w:val="auto"/>
                <w:spacing w:val="-2"/>
                <w:sz w:val="22"/>
                <w:szCs w:val="22"/>
                <w:lang w:val="en-US"/>
              </w:rPr>
              <w:t xml:space="preserve">Trương Thanh Hoài </w:t>
            </w:r>
            <w:r w:rsidRPr="00106990">
              <w:rPr>
                <w:rFonts w:ascii="Times New Roman" w:hAnsi="Times New Roman" w:cs="Times New Roman"/>
                <w:color w:val="auto"/>
                <w:spacing w:val="-2"/>
                <w:sz w:val="22"/>
                <w:szCs w:val="22"/>
              </w:rPr>
              <w:t>(để b/c);</w:t>
            </w:r>
          </w:p>
          <w:p w14:paraId="6FBC9BE3" w14:textId="05332620" w:rsidR="00E860DA" w:rsidRPr="00106990" w:rsidRDefault="00E860DA" w:rsidP="00106990">
            <w:pPr>
              <w:jc w:val="both"/>
              <w:rPr>
                <w:rFonts w:ascii="Times New Roman" w:hAnsi="Times New Roman" w:cs="Times New Roman"/>
                <w:color w:val="auto"/>
                <w:spacing w:val="-2"/>
                <w:sz w:val="22"/>
                <w:szCs w:val="22"/>
                <w:lang w:val="en-US"/>
              </w:rPr>
            </w:pPr>
            <w:r w:rsidRPr="00106990">
              <w:rPr>
                <w:rFonts w:ascii="Times New Roman" w:hAnsi="Times New Roman" w:cs="Times New Roman"/>
                <w:color w:val="auto"/>
                <w:spacing w:val="-2"/>
                <w:sz w:val="22"/>
                <w:szCs w:val="22"/>
              </w:rPr>
              <w:t xml:space="preserve">- Lưu: VT, </w:t>
            </w:r>
            <w:r w:rsidR="00106990" w:rsidRPr="00106990">
              <w:rPr>
                <w:rFonts w:ascii="Times New Roman" w:hAnsi="Times New Roman" w:cs="Times New Roman"/>
                <w:color w:val="auto"/>
                <w:spacing w:val="-2"/>
                <w:sz w:val="22"/>
                <w:szCs w:val="22"/>
                <w:lang w:val="en-US"/>
              </w:rPr>
              <w:t>HC</w:t>
            </w:r>
            <w:r w:rsidR="00106990" w:rsidRPr="00106990">
              <w:rPr>
                <w:rFonts w:ascii="Times New Roman" w:hAnsi="Times New Roman" w:cs="Times New Roman"/>
                <w:color w:val="auto"/>
                <w:spacing w:val="-2"/>
                <w:sz w:val="22"/>
                <w:szCs w:val="22"/>
              </w:rPr>
              <w:t>;</w:t>
            </w:r>
            <w:r w:rsidRPr="00106990">
              <w:rPr>
                <w:rFonts w:ascii="Times New Roman" w:hAnsi="Times New Roman" w:cs="Times New Roman"/>
                <w:color w:val="auto"/>
                <w:spacing w:val="-2"/>
                <w:sz w:val="22"/>
                <w:szCs w:val="22"/>
              </w:rPr>
              <w:t xml:space="preserve"> </w:t>
            </w:r>
          </w:p>
        </w:tc>
        <w:tc>
          <w:tcPr>
            <w:tcW w:w="4280" w:type="dxa"/>
            <w:gridSpan w:val="2"/>
          </w:tcPr>
          <w:p w14:paraId="31B5534B" w14:textId="0B21482B" w:rsidR="00E860DA" w:rsidRPr="00106990" w:rsidRDefault="00E860DA" w:rsidP="00AA7259">
            <w:pPr>
              <w:keepNext/>
              <w:jc w:val="center"/>
              <w:outlineLvl w:val="6"/>
              <w:rPr>
                <w:rFonts w:ascii="Times New Roman" w:hAnsi="Times New Roman" w:cs="Times New Roman"/>
                <w:b/>
                <w:color w:val="auto"/>
                <w:sz w:val="28"/>
                <w:szCs w:val="28"/>
              </w:rPr>
            </w:pPr>
            <w:r w:rsidRPr="00106990">
              <w:rPr>
                <w:rFonts w:ascii="Times New Roman" w:hAnsi="Times New Roman" w:cs="Times New Roman"/>
                <w:b/>
                <w:color w:val="auto"/>
                <w:sz w:val="28"/>
                <w:szCs w:val="28"/>
              </w:rPr>
              <w:t>CỤC TRƯỞNG</w:t>
            </w:r>
          </w:p>
          <w:p w14:paraId="58332B6C" w14:textId="77777777" w:rsidR="00E860DA" w:rsidRPr="00106990" w:rsidRDefault="00E860DA" w:rsidP="00AA7259">
            <w:pPr>
              <w:jc w:val="center"/>
              <w:rPr>
                <w:rFonts w:ascii="Times New Roman" w:hAnsi="Times New Roman" w:cs="Times New Roman"/>
                <w:b/>
                <w:color w:val="auto"/>
                <w:spacing w:val="-2"/>
                <w:sz w:val="26"/>
                <w:szCs w:val="26"/>
                <w:lang w:val="en-SG"/>
              </w:rPr>
            </w:pPr>
          </w:p>
          <w:p w14:paraId="756869F4" w14:textId="77777777" w:rsidR="00662CCF" w:rsidRPr="00106990" w:rsidRDefault="00662CCF" w:rsidP="00AA7259">
            <w:pPr>
              <w:jc w:val="center"/>
              <w:rPr>
                <w:rFonts w:ascii="Times New Roman" w:hAnsi="Times New Roman" w:cs="Times New Roman"/>
                <w:b/>
                <w:color w:val="auto"/>
                <w:spacing w:val="-2"/>
                <w:sz w:val="26"/>
                <w:szCs w:val="26"/>
                <w:lang w:val="en-SG"/>
              </w:rPr>
            </w:pPr>
          </w:p>
          <w:p w14:paraId="1E46F826" w14:textId="77777777" w:rsidR="00C51387" w:rsidRPr="00106990" w:rsidRDefault="00C51387" w:rsidP="00AA7259">
            <w:pPr>
              <w:jc w:val="center"/>
              <w:rPr>
                <w:rFonts w:ascii="Times New Roman" w:hAnsi="Times New Roman" w:cs="Times New Roman"/>
                <w:b/>
                <w:color w:val="auto"/>
                <w:spacing w:val="-2"/>
                <w:sz w:val="26"/>
                <w:szCs w:val="26"/>
                <w:lang w:val="en-SG"/>
              </w:rPr>
            </w:pPr>
          </w:p>
          <w:p w14:paraId="618902D0" w14:textId="77777777" w:rsidR="00C51387" w:rsidRPr="00106990" w:rsidRDefault="00C51387" w:rsidP="00AA7259">
            <w:pPr>
              <w:jc w:val="center"/>
              <w:rPr>
                <w:rFonts w:ascii="Times New Roman" w:hAnsi="Times New Roman" w:cs="Times New Roman"/>
                <w:b/>
                <w:color w:val="auto"/>
                <w:spacing w:val="-2"/>
                <w:sz w:val="26"/>
                <w:szCs w:val="26"/>
                <w:lang w:val="en-SG"/>
              </w:rPr>
            </w:pPr>
          </w:p>
          <w:p w14:paraId="4FEF0834" w14:textId="77777777" w:rsidR="00375CC5" w:rsidRPr="00106990" w:rsidRDefault="00375CC5" w:rsidP="00AA7259">
            <w:pPr>
              <w:jc w:val="center"/>
              <w:rPr>
                <w:rFonts w:ascii="Times New Roman" w:hAnsi="Times New Roman" w:cs="Times New Roman"/>
                <w:b/>
                <w:color w:val="auto"/>
                <w:spacing w:val="-2"/>
                <w:sz w:val="26"/>
                <w:szCs w:val="26"/>
                <w:lang w:val="en-SG"/>
              </w:rPr>
            </w:pPr>
          </w:p>
          <w:p w14:paraId="33DB0786" w14:textId="77777777" w:rsidR="00375CC5" w:rsidRPr="00106990" w:rsidRDefault="00375CC5" w:rsidP="00AA7259">
            <w:pPr>
              <w:jc w:val="center"/>
              <w:rPr>
                <w:rFonts w:ascii="Times New Roman" w:hAnsi="Times New Roman" w:cs="Times New Roman"/>
                <w:b/>
                <w:color w:val="auto"/>
                <w:spacing w:val="-2"/>
                <w:sz w:val="26"/>
                <w:szCs w:val="26"/>
                <w:lang w:val="en-SG"/>
              </w:rPr>
            </w:pPr>
          </w:p>
          <w:p w14:paraId="7ADCD406" w14:textId="77777777" w:rsidR="00375CC5" w:rsidRPr="00106990" w:rsidRDefault="00375CC5" w:rsidP="00AA7259">
            <w:pPr>
              <w:jc w:val="center"/>
              <w:rPr>
                <w:rFonts w:ascii="Times New Roman" w:hAnsi="Times New Roman" w:cs="Times New Roman"/>
                <w:b/>
                <w:color w:val="auto"/>
                <w:spacing w:val="-2"/>
                <w:sz w:val="26"/>
                <w:szCs w:val="26"/>
                <w:lang w:val="en-SG"/>
              </w:rPr>
            </w:pPr>
          </w:p>
          <w:p w14:paraId="17744792" w14:textId="4EF94B06" w:rsidR="00E860DA" w:rsidRPr="00106990" w:rsidRDefault="00106990" w:rsidP="00AA7259">
            <w:pPr>
              <w:keepNext/>
              <w:jc w:val="center"/>
              <w:outlineLvl w:val="4"/>
              <w:rPr>
                <w:rFonts w:ascii="Times New Roman" w:hAnsi="Times New Roman" w:cs="Times New Roman"/>
                <w:b/>
                <w:color w:val="auto"/>
                <w:sz w:val="28"/>
                <w:szCs w:val="28"/>
                <w:lang w:val="en-US"/>
              </w:rPr>
            </w:pPr>
            <w:r w:rsidRPr="00106990">
              <w:rPr>
                <w:rFonts w:ascii="Times New Roman" w:hAnsi="Times New Roman" w:cs="Times New Roman"/>
                <w:b/>
                <w:color w:val="auto"/>
                <w:sz w:val="28"/>
                <w:szCs w:val="28"/>
                <w:lang w:val="en-US"/>
              </w:rPr>
              <w:t>Phùng Mạnh Ngọc</w:t>
            </w:r>
          </w:p>
        </w:tc>
      </w:tr>
      <w:tr w:rsidR="00165CDA" w:rsidRPr="009A0788" w14:paraId="32ACC858" w14:textId="77777777" w:rsidTr="00A27E1B">
        <w:tblPrEx>
          <w:tblLook w:val="04A0" w:firstRow="1" w:lastRow="0" w:firstColumn="1" w:lastColumn="0" w:noHBand="0" w:noVBand="1"/>
        </w:tblPrEx>
        <w:trPr>
          <w:gridAfter w:val="1"/>
          <w:wAfter w:w="137" w:type="dxa"/>
          <w:trHeight w:val="75"/>
        </w:trPr>
        <w:tc>
          <w:tcPr>
            <w:tcW w:w="4535" w:type="dxa"/>
          </w:tcPr>
          <w:p w14:paraId="5F2907E4" w14:textId="7AA1197E" w:rsidR="00165CDA" w:rsidRPr="009A0788" w:rsidRDefault="00165CDA" w:rsidP="00E860DA">
            <w:pPr>
              <w:rPr>
                <w:rFonts w:ascii="Times New Roman" w:hAnsi="Times New Roman" w:cs="Times New Roman"/>
                <w:b/>
                <w:bCs/>
                <w:color w:val="FF0000"/>
                <w:sz w:val="20"/>
                <w:szCs w:val="20"/>
              </w:rPr>
            </w:pPr>
          </w:p>
        </w:tc>
        <w:tc>
          <w:tcPr>
            <w:tcW w:w="4536" w:type="dxa"/>
            <w:gridSpan w:val="2"/>
          </w:tcPr>
          <w:p w14:paraId="4420A027" w14:textId="2643304F" w:rsidR="00165CDA" w:rsidRPr="009A0788" w:rsidRDefault="00165CDA" w:rsidP="00E860DA">
            <w:pPr>
              <w:jc w:val="center"/>
              <w:rPr>
                <w:rFonts w:ascii="Times New Roman" w:hAnsi="Times New Roman" w:cs="Times New Roman"/>
                <w:b/>
                <w:bCs/>
                <w:color w:val="FF0000"/>
                <w:sz w:val="20"/>
                <w:szCs w:val="20"/>
                <w:lang w:val="en-US"/>
              </w:rPr>
            </w:pPr>
          </w:p>
        </w:tc>
      </w:tr>
    </w:tbl>
    <w:p w14:paraId="298E9915" w14:textId="77777777" w:rsidR="00165CDA" w:rsidRPr="009A0788" w:rsidRDefault="00165CDA" w:rsidP="00165CDA">
      <w:pPr>
        <w:spacing w:before="120"/>
        <w:rPr>
          <w:rFonts w:ascii="Times New Roman" w:hAnsi="Times New Roman" w:cs="Times New Roman"/>
          <w:b/>
          <w:bCs/>
          <w:color w:val="FF0000"/>
          <w:sz w:val="20"/>
          <w:szCs w:val="20"/>
        </w:rPr>
      </w:pPr>
    </w:p>
    <w:p w14:paraId="70378317" w14:textId="77777777" w:rsidR="00F47C7F" w:rsidRPr="009A0788" w:rsidRDefault="00F47C7F" w:rsidP="00E860DA">
      <w:pPr>
        <w:jc w:val="center"/>
        <w:rPr>
          <w:rFonts w:ascii="Times New Roman" w:hAnsi="Times New Roman" w:cs="Times New Roman"/>
          <w:b/>
          <w:bCs/>
          <w:color w:val="FF0000"/>
          <w:sz w:val="28"/>
          <w:szCs w:val="28"/>
          <w:lang w:val="en-SG"/>
        </w:rPr>
      </w:pPr>
    </w:p>
    <w:p w14:paraId="3496CD3C" w14:textId="77777777" w:rsidR="00F47C7F" w:rsidRPr="009A0788" w:rsidRDefault="00F47C7F" w:rsidP="00E860DA">
      <w:pPr>
        <w:jc w:val="center"/>
        <w:rPr>
          <w:rFonts w:ascii="Times New Roman" w:hAnsi="Times New Roman" w:cs="Times New Roman"/>
          <w:b/>
          <w:bCs/>
          <w:color w:val="FF0000"/>
          <w:sz w:val="28"/>
          <w:szCs w:val="28"/>
          <w:lang w:val="en-SG"/>
        </w:rPr>
      </w:pPr>
    </w:p>
    <w:p w14:paraId="3E7CDFE7" w14:textId="77777777" w:rsidR="00F47C7F" w:rsidRPr="009A0788" w:rsidRDefault="00F47C7F" w:rsidP="00E860DA">
      <w:pPr>
        <w:jc w:val="center"/>
        <w:rPr>
          <w:rFonts w:ascii="Times New Roman" w:hAnsi="Times New Roman" w:cs="Times New Roman"/>
          <w:b/>
          <w:bCs/>
          <w:color w:val="FF0000"/>
          <w:sz w:val="28"/>
          <w:szCs w:val="28"/>
          <w:lang w:val="en-SG"/>
        </w:rPr>
      </w:pPr>
    </w:p>
    <w:p w14:paraId="270869F0" w14:textId="77777777" w:rsidR="00F47C7F" w:rsidRPr="009A0788" w:rsidRDefault="00F47C7F" w:rsidP="00E860DA">
      <w:pPr>
        <w:jc w:val="center"/>
        <w:rPr>
          <w:rFonts w:ascii="Times New Roman" w:hAnsi="Times New Roman" w:cs="Times New Roman"/>
          <w:b/>
          <w:bCs/>
          <w:color w:val="FF0000"/>
          <w:sz w:val="28"/>
          <w:szCs w:val="28"/>
          <w:lang w:val="en-SG"/>
        </w:rPr>
      </w:pPr>
    </w:p>
    <w:p w14:paraId="699F425D" w14:textId="77777777" w:rsidR="00F47C7F" w:rsidRPr="009A0788" w:rsidRDefault="00F47C7F" w:rsidP="00E860DA">
      <w:pPr>
        <w:jc w:val="center"/>
        <w:rPr>
          <w:rFonts w:ascii="Times New Roman" w:hAnsi="Times New Roman" w:cs="Times New Roman"/>
          <w:b/>
          <w:bCs/>
          <w:color w:val="FF0000"/>
          <w:sz w:val="28"/>
          <w:szCs w:val="28"/>
          <w:lang w:val="en-SG"/>
        </w:rPr>
      </w:pPr>
    </w:p>
    <w:p w14:paraId="316015EC" w14:textId="77777777" w:rsidR="00F47C7F" w:rsidRPr="009A0788" w:rsidRDefault="00F47C7F" w:rsidP="00E860DA">
      <w:pPr>
        <w:jc w:val="center"/>
        <w:rPr>
          <w:rFonts w:ascii="Times New Roman" w:hAnsi="Times New Roman" w:cs="Times New Roman"/>
          <w:b/>
          <w:bCs/>
          <w:color w:val="FF0000"/>
          <w:sz w:val="28"/>
          <w:szCs w:val="28"/>
          <w:lang w:val="en-SG"/>
        </w:rPr>
      </w:pPr>
    </w:p>
    <w:p w14:paraId="011BC417" w14:textId="77777777" w:rsidR="00F47C7F" w:rsidRPr="009A0788" w:rsidRDefault="00F47C7F" w:rsidP="00E860DA">
      <w:pPr>
        <w:jc w:val="center"/>
        <w:rPr>
          <w:rFonts w:ascii="Times New Roman" w:hAnsi="Times New Roman" w:cs="Times New Roman"/>
          <w:b/>
          <w:bCs/>
          <w:color w:val="FF0000"/>
          <w:sz w:val="28"/>
          <w:szCs w:val="28"/>
          <w:lang w:val="en-SG"/>
        </w:rPr>
      </w:pPr>
    </w:p>
    <w:p w14:paraId="6EC440AA" w14:textId="77777777" w:rsidR="00F47C7F" w:rsidRPr="009A0788" w:rsidRDefault="00F47C7F" w:rsidP="00E860DA">
      <w:pPr>
        <w:jc w:val="center"/>
        <w:rPr>
          <w:rFonts w:ascii="Times New Roman" w:hAnsi="Times New Roman" w:cs="Times New Roman"/>
          <w:b/>
          <w:bCs/>
          <w:color w:val="FF0000"/>
          <w:sz w:val="28"/>
          <w:szCs w:val="28"/>
          <w:lang w:val="en-SG"/>
        </w:rPr>
      </w:pPr>
    </w:p>
    <w:sectPr w:rsidR="00F47C7F" w:rsidRPr="009A0788" w:rsidSect="00921718">
      <w:headerReference w:type="default" r:id="rId8"/>
      <w:footerReference w:type="default" r:id="rId9"/>
      <w:pgSz w:w="11906" w:h="16838" w:code="9"/>
      <w:pgMar w:top="1134" w:right="1134" w:bottom="1134" w:left="1701" w:header="624"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4567E" w14:textId="77777777" w:rsidR="004C31E0" w:rsidRDefault="004C31E0" w:rsidP="00E860DA">
      <w:r>
        <w:separator/>
      </w:r>
    </w:p>
  </w:endnote>
  <w:endnote w:type="continuationSeparator" w:id="0">
    <w:p w14:paraId="73A194A2" w14:textId="77777777" w:rsidR="004C31E0" w:rsidRDefault="004C31E0" w:rsidP="00E86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86D4" w14:textId="3B536CDD" w:rsidR="00E860DA" w:rsidRDefault="00E860DA">
    <w:pPr>
      <w:pStyle w:val="Footer"/>
      <w:jc w:val="right"/>
    </w:pPr>
  </w:p>
  <w:p w14:paraId="6A38C1CD" w14:textId="77777777" w:rsidR="00E860DA" w:rsidRDefault="00E86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EF876" w14:textId="77777777" w:rsidR="004C31E0" w:rsidRDefault="004C31E0" w:rsidP="00E860DA">
      <w:r>
        <w:separator/>
      </w:r>
    </w:p>
  </w:footnote>
  <w:footnote w:type="continuationSeparator" w:id="0">
    <w:p w14:paraId="7D69463E" w14:textId="77777777" w:rsidR="004C31E0" w:rsidRDefault="004C31E0" w:rsidP="00E860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784527"/>
      <w:docPartObj>
        <w:docPartGallery w:val="Page Numbers (Top of Page)"/>
        <w:docPartUnique/>
      </w:docPartObj>
    </w:sdtPr>
    <w:sdtEndPr>
      <w:rPr>
        <w:noProof/>
      </w:rPr>
    </w:sdtEndPr>
    <w:sdtContent>
      <w:p w14:paraId="196EB98F" w14:textId="4682B309" w:rsidR="00921718" w:rsidRDefault="00921718">
        <w:pPr>
          <w:pStyle w:val="Header"/>
          <w:jc w:val="center"/>
        </w:pPr>
        <w:r>
          <w:fldChar w:fldCharType="begin"/>
        </w:r>
        <w:r>
          <w:instrText xml:space="preserve"> PAGE   \* MERGEFORMAT </w:instrText>
        </w:r>
        <w:r>
          <w:fldChar w:fldCharType="separate"/>
        </w:r>
        <w:r>
          <w:rPr>
            <w:noProof/>
          </w:rPr>
          <w:t>5</w:t>
        </w:r>
        <w:r>
          <w:rPr>
            <w:noProof/>
          </w:rPr>
          <w:fldChar w:fldCharType="end"/>
        </w:r>
      </w:p>
    </w:sdtContent>
  </w:sdt>
  <w:p w14:paraId="2960FC34" w14:textId="77777777" w:rsidR="00921718" w:rsidRDefault="009217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2118"/>
    <w:multiLevelType w:val="hybridMultilevel"/>
    <w:tmpl w:val="979A8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3571BA"/>
    <w:multiLevelType w:val="hybridMultilevel"/>
    <w:tmpl w:val="32009CF2"/>
    <w:lvl w:ilvl="0" w:tplc="1C70592A">
      <w:start w:val="3"/>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09E973ED"/>
    <w:multiLevelType w:val="multilevel"/>
    <w:tmpl w:val="255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DE2295"/>
    <w:multiLevelType w:val="multilevel"/>
    <w:tmpl w:val="BFCEB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C237B1"/>
    <w:multiLevelType w:val="multilevel"/>
    <w:tmpl w:val="9D16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8C6D7E"/>
    <w:multiLevelType w:val="multilevel"/>
    <w:tmpl w:val="A510E3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0737E1"/>
    <w:multiLevelType w:val="multilevel"/>
    <w:tmpl w:val="D5EE8F00"/>
    <w:lvl w:ilvl="0">
      <w:start w:val="3"/>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563F0641"/>
    <w:multiLevelType w:val="hybridMultilevel"/>
    <w:tmpl w:val="05D2B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FA77EC"/>
    <w:multiLevelType w:val="multilevel"/>
    <w:tmpl w:val="B79C8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14228D"/>
    <w:multiLevelType w:val="hybridMultilevel"/>
    <w:tmpl w:val="1AE66A12"/>
    <w:lvl w:ilvl="0" w:tplc="C2663896">
      <w:start w:val="3"/>
      <w:numFmt w:val="decimal"/>
      <w:lvlText w:val="%1."/>
      <w:lvlJc w:val="left"/>
      <w:pPr>
        <w:ind w:left="1215" w:hanging="360"/>
      </w:pPr>
      <w:rPr>
        <w:rFonts w:hint="default"/>
      </w:rPr>
    </w:lvl>
    <w:lvl w:ilvl="1" w:tplc="48090019" w:tentative="1">
      <w:start w:val="1"/>
      <w:numFmt w:val="lowerLetter"/>
      <w:lvlText w:val="%2."/>
      <w:lvlJc w:val="left"/>
      <w:pPr>
        <w:ind w:left="1935" w:hanging="360"/>
      </w:pPr>
    </w:lvl>
    <w:lvl w:ilvl="2" w:tplc="4809001B" w:tentative="1">
      <w:start w:val="1"/>
      <w:numFmt w:val="lowerRoman"/>
      <w:lvlText w:val="%3."/>
      <w:lvlJc w:val="right"/>
      <w:pPr>
        <w:ind w:left="2655" w:hanging="180"/>
      </w:pPr>
    </w:lvl>
    <w:lvl w:ilvl="3" w:tplc="4809000F" w:tentative="1">
      <w:start w:val="1"/>
      <w:numFmt w:val="decimal"/>
      <w:lvlText w:val="%4."/>
      <w:lvlJc w:val="left"/>
      <w:pPr>
        <w:ind w:left="3375" w:hanging="360"/>
      </w:pPr>
    </w:lvl>
    <w:lvl w:ilvl="4" w:tplc="48090019" w:tentative="1">
      <w:start w:val="1"/>
      <w:numFmt w:val="lowerLetter"/>
      <w:lvlText w:val="%5."/>
      <w:lvlJc w:val="left"/>
      <w:pPr>
        <w:ind w:left="4095" w:hanging="360"/>
      </w:pPr>
    </w:lvl>
    <w:lvl w:ilvl="5" w:tplc="4809001B" w:tentative="1">
      <w:start w:val="1"/>
      <w:numFmt w:val="lowerRoman"/>
      <w:lvlText w:val="%6."/>
      <w:lvlJc w:val="right"/>
      <w:pPr>
        <w:ind w:left="4815" w:hanging="180"/>
      </w:pPr>
    </w:lvl>
    <w:lvl w:ilvl="6" w:tplc="4809000F" w:tentative="1">
      <w:start w:val="1"/>
      <w:numFmt w:val="decimal"/>
      <w:lvlText w:val="%7."/>
      <w:lvlJc w:val="left"/>
      <w:pPr>
        <w:ind w:left="5535" w:hanging="360"/>
      </w:pPr>
    </w:lvl>
    <w:lvl w:ilvl="7" w:tplc="48090019" w:tentative="1">
      <w:start w:val="1"/>
      <w:numFmt w:val="lowerLetter"/>
      <w:lvlText w:val="%8."/>
      <w:lvlJc w:val="left"/>
      <w:pPr>
        <w:ind w:left="6255" w:hanging="360"/>
      </w:pPr>
    </w:lvl>
    <w:lvl w:ilvl="8" w:tplc="4809001B" w:tentative="1">
      <w:start w:val="1"/>
      <w:numFmt w:val="lowerRoman"/>
      <w:lvlText w:val="%9."/>
      <w:lvlJc w:val="right"/>
      <w:pPr>
        <w:ind w:left="6975" w:hanging="180"/>
      </w:pPr>
    </w:lvl>
  </w:abstractNum>
  <w:abstractNum w:abstractNumId="10">
    <w:nsid w:val="6FBF3A10"/>
    <w:multiLevelType w:val="hybridMultilevel"/>
    <w:tmpl w:val="823A4F92"/>
    <w:lvl w:ilvl="0" w:tplc="CC845BEA">
      <w:start w:val="1"/>
      <w:numFmt w:val="decimal"/>
      <w:lvlText w:val="%1."/>
      <w:lvlJc w:val="left"/>
      <w:pPr>
        <w:ind w:left="1040" w:hanging="360"/>
      </w:pPr>
      <w:rPr>
        <w:rFonts w:hint="default"/>
        <w:b/>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1">
    <w:nsid w:val="77734001"/>
    <w:multiLevelType w:val="multilevel"/>
    <w:tmpl w:val="6C6A8DEE"/>
    <w:lvl w:ilvl="0">
      <w:start w:val="3"/>
      <w:numFmt w:val="decimal"/>
      <w:lvlText w:val="%1"/>
      <w:lvlJc w:val="left"/>
      <w:pPr>
        <w:ind w:left="375" w:hanging="375"/>
      </w:pPr>
      <w:rPr>
        <w:rFonts w:hint="default"/>
      </w:rPr>
    </w:lvl>
    <w:lvl w:ilvl="1">
      <w:start w:val="2"/>
      <w:numFmt w:val="decimal"/>
      <w:lvlText w:val="%1.%2"/>
      <w:lvlJc w:val="left"/>
      <w:pPr>
        <w:ind w:left="1415" w:hanging="375"/>
      </w:pPr>
      <w:rPr>
        <w:rFonts w:hint="default"/>
      </w:rPr>
    </w:lvl>
    <w:lvl w:ilvl="2">
      <w:start w:val="1"/>
      <w:numFmt w:val="decimal"/>
      <w:lvlText w:val="%1.%2.%3"/>
      <w:lvlJc w:val="left"/>
      <w:pPr>
        <w:ind w:left="2800" w:hanging="720"/>
      </w:pPr>
      <w:rPr>
        <w:rFonts w:hint="default"/>
      </w:rPr>
    </w:lvl>
    <w:lvl w:ilvl="3">
      <w:start w:val="1"/>
      <w:numFmt w:val="decimal"/>
      <w:lvlText w:val="%1.%2.%3.%4"/>
      <w:lvlJc w:val="left"/>
      <w:pPr>
        <w:ind w:left="4200" w:hanging="1080"/>
      </w:pPr>
      <w:rPr>
        <w:rFonts w:hint="default"/>
      </w:rPr>
    </w:lvl>
    <w:lvl w:ilvl="4">
      <w:start w:val="1"/>
      <w:numFmt w:val="decimal"/>
      <w:lvlText w:val="%1.%2.%3.%4.%5"/>
      <w:lvlJc w:val="left"/>
      <w:pPr>
        <w:ind w:left="5240" w:hanging="1080"/>
      </w:pPr>
      <w:rPr>
        <w:rFonts w:hint="default"/>
      </w:rPr>
    </w:lvl>
    <w:lvl w:ilvl="5">
      <w:start w:val="1"/>
      <w:numFmt w:val="decimal"/>
      <w:lvlText w:val="%1.%2.%3.%4.%5.%6"/>
      <w:lvlJc w:val="left"/>
      <w:pPr>
        <w:ind w:left="6640" w:hanging="1440"/>
      </w:pPr>
      <w:rPr>
        <w:rFonts w:hint="default"/>
      </w:rPr>
    </w:lvl>
    <w:lvl w:ilvl="6">
      <w:start w:val="1"/>
      <w:numFmt w:val="decimal"/>
      <w:lvlText w:val="%1.%2.%3.%4.%5.%6.%7"/>
      <w:lvlJc w:val="left"/>
      <w:pPr>
        <w:ind w:left="7680" w:hanging="1440"/>
      </w:pPr>
      <w:rPr>
        <w:rFonts w:hint="default"/>
      </w:rPr>
    </w:lvl>
    <w:lvl w:ilvl="7">
      <w:start w:val="1"/>
      <w:numFmt w:val="decimal"/>
      <w:lvlText w:val="%1.%2.%3.%4.%5.%6.%7.%8"/>
      <w:lvlJc w:val="left"/>
      <w:pPr>
        <w:ind w:left="9080" w:hanging="1800"/>
      </w:pPr>
      <w:rPr>
        <w:rFonts w:hint="default"/>
      </w:rPr>
    </w:lvl>
    <w:lvl w:ilvl="8">
      <w:start w:val="1"/>
      <w:numFmt w:val="decimal"/>
      <w:lvlText w:val="%1.%2.%3.%4.%5.%6.%7.%8.%9"/>
      <w:lvlJc w:val="left"/>
      <w:pPr>
        <w:ind w:left="10120" w:hanging="1800"/>
      </w:pPr>
      <w:rPr>
        <w:rFonts w:hint="default"/>
      </w:rPr>
    </w:lvl>
  </w:abstractNum>
  <w:num w:numId="1">
    <w:abstractNumId w:val="2"/>
  </w:num>
  <w:num w:numId="2">
    <w:abstractNumId w:val="0"/>
  </w:num>
  <w:num w:numId="3">
    <w:abstractNumId w:val="4"/>
  </w:num>
  <w:num w:numId="4">
    <w:abstractNumId w:val="3"/>
  </w:num>
  <w:num w:numId="5">
    <w:abstractNumId w:val="5"/>
  </w:num>
  <w:num w:numId="6">
    <w:abstractNumId w:val="7"/>
  </w:num>
  <w:num w:numId="7">
    <w:abstractNumId w:val="8"/>
  </w:num>
  <w:num w:numId="8">
    <w:abstractNumId w:val="10"/>
  </w:num>
  <w:num w:numId="9">
    <w:abstractNumId w:val="9"/>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CDA"/>
    <w:rsid w:val="00000732"/>
    <w:rsid w:val="00036B9B"/>
    <w:rsid w:val="00082710"/>
    <w:rsid w:val="0008344A"/>
    <w:rsid w:val="000958E8"/>
    <w:rsid w:val="000A23F2"/>
    <w:rsid w:val="000B7057"/>
    <w:rsid w:val="000C61F9"/>
    <w:rsid w:val="000F1D79"/>
    <w:rsid w:val="00106990"/>
    <w:rsid w:val="00121304"/>
    <w:rsid w:val="00152EF5"/>
    <w:rsid w:val="00165CDA"/>
    <w:rsid w:val="00197B5A"/>
    <w:rsid w:val="001F09F0"/>
    <w:rsid w:val="001F5F53"/>
    <w:rsid w:val="00212B44"/>
    <w:rsid w:val="0021356C"/>
    <w:rsid w:val="00275EFF"/>
    <w:rsid w:val="0028734C"/>
    <w:rsid w:val="002B6DF2"/>
    <w:rsid w:val="002D4F34"/>
    <w:rsid w:val="003149D5"/>
    <w:rsid w:val="003367DB"/>
    <w:rsid w:val="0034668F"/>
    <w:rsid w:val="00371A41"/>
    <w:rsid w:val="00375CC5"/>
    <w:rsid w:val="003A5E5A"/>
    <w:rsid w:val="0040625A"/>
    <w:rsid w:val="00453F32"/>
    <w:rsid w:val="004C31E0"/>
    <w:rsid w:val="004E29FF"/>
    <w:rsid w:val="004F56CE"/>
    <w:rsid w:val="00516E91"/>
    <w:rsid w:val="00560A78"/>
    <w:rsid w:val="00583AA2"/>
    <w:rsid w:val="006075AD"/>
    <w:rsid w:val="00662CCF"/>
    <w:rsid w:val="00667780"/>
    <w:rsid w:val="006867B4"/>
    <w:rsid w:val="006A51A5"/>
    <w:rsid w:val="006A6248"/>
    <w:rsid w:val="006C6DC2"/>
    <w:rsid w:val="006C7CF7"/>
    <w:rsid w:val="006F4533"/>
    <w:rsid w:val="00720F90"/>
    <w:rsid w:val="00722A99"/>
    <w:rsid w:val="00723871"/>
    <w:rsid w:val="00736C5F"/>
    <w:rsid w:val="007417CF"/>
    <w:rsid w:val="007529DF"/>
    <w:rsid w:val="00765EDB"/>
    <w:rsid w:val="007D692E"/>
    <w:rsid w:val="007E1E5F"/>
    <w:rsid w:val="007E42FC"/>
    <w:rsid w:val="00822161"/>
    <w:rsid w:val="00836DA1"/>
    <w:rsid w:val="00921718"/>
    <w:rsid w:val="0094400A"/>
    <w:rsid w:val="00961321"/>
    <w:rsid w:val="00972BAF"/>
    <w:rsid w:val="009A0788"/>
    <w:rsid w:val="009C4D90"/>
    <w:rsid w:val="00A27E1B"/>
    <w:rsid w:val="00A52D6C"/>
    <w:rsid w:val="00A5361F"/>
    <w:rsid w:val="00A63F84"/>
    <w:rsid w:val="00A8207A"/>
    <w:rsid w:val="00AA10BB"/>
    <w:rsid w:val="00AA2B08"/>
    <w:rsid w:val="00AD40A0"/>
    <w:rsid w:val="00AD5CBF"/>
    <w:rsid w:val="00AE4C11"/>
    <w:rsid w:val="00B07064"/>
    <w:rsid w:val="00B65C0D"/>
    <w:rsid w:val="00B66ED4"/>
    <w:rsid w:val="00B704C8"/>
    <w:rsid w:val="00B858E1"/>
    <w:rsid w:val="00B96952"/>
    <w:rsid w:val="00BB23F2"/>
    <w:rsid w:val="00BD3AA4"/>
    <w:rsid w:val="00BF4A1F"/>
    <w:rsid w:val="00C51387"/>
    <w:rsid w:val="00CE5463"/>
    <w:rsid w:val="00D23081"/>
    <w:rsid w:val="00D41F4A"/>
    <w:rsid w:val="00D45D46"/>
    <w:rsid w:val="00D47CD5"/>
    <w:rsid w:val="00D67254"/>
    <w:rsid w:val="00DD5E39"/>
    <w:rsid w:val="00DE50FA"/>
    <w:rsid w:val="00DE5D74"/>
    <w:rsid w:val="00E16A8C"/>
    <w:rsid w:val="00E56B09"/>
    <w:rsid w:val="00E860DA"/>
    <w:rsid w:val="00E930FA"/>
    <w:rsid w:val="00EA429E"/>
    <w:rsid w:val="00EB290A"/>
    <w:rsid w:val="00EB44C3"/>
    <w:rsid w:val="00EB46DF"/>
    <w:rsid w:val="00EC38DB"/>
    <w:rsid w:val="00F07B90"/>
    <w:rsid w:val="00F21614"/>
    <w:rsid w:val="00F3071A"/>
    <w:rsid w:val="00F3664C"/>
    <w:rsid w:val="00F47C7F"/>
    <w:rsid w:val="00F646F7"/>
    <w:rsid w:val="00F82930"/>
    <w:rsid w:val="00FB46C7"/>
    <w:rsid w:val="00FC0674"/>
    <w:rsid w:val="00FC27C6"/>
    <w:rsid w:val="00FE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A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DA"/>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165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DA"/>
    <w:rPr>
      <w:rFonts w:eastAsiaTheme="majorEastAsia" w:cstheme="majorBidi"/>
      <w:color w:val="272727" w:themeColor="text1" w:themeTint="D8"/>
    </w:rPr>
  </w:style>
  <w:style w:type="paragraph" w:styleId="Title">
    <w:name w:val="Title"/>
    <w:basedOn w:val="Normal"/>
    <w:next w:val="Normal"/>
    <w:link w:val="TitleChar"/>
    <w:uiPriority w:val="10"/>
    <w:qFormat/>
    <w:rsid w:val="00165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DA"/>
    <w:pPr>
      <w:spacing w:before="160"/>
      <w:jc w:val="center"/>
    </w:pPr>
    <w:rPr>
      <w:i/>
      <w:iCs/>
      <w:color w:val="404040" w:themeColor="text1" w:themeTint="BF"/>
    </w:rPr>
  </w:style>
  <w:style w:type="character" w:customStyle="1" w:styleId="QuoteChar">
    <w:name w:val="Quote Char"/>
    <w:basedOn w:val="DefaultParagraphFont"/>
    <w:link w:val="Quote"/>
    <w:uiPriority w:val="29"/>
    <w:rsid w:val="00165CDA"/>
    <w:rPr>
      <w:i/>
      <w:iCs/>
      <w:color w:val="404040" w:themeColor="text1" w:themeTint="BF"/>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165CDA"/>
    <w:pPr>
      <w:ind w:left="720"/>
      <w:contextualSpacing/>
    </w:pPr>
  </w:style>
  <w:style w:type="character" w:styleId="IntenseEmphasis">
    <w:name w:val="Intense Emphasis"/>
    <w:basedOn w:val="DefaultParagraphFont"/>
    <w:uiPriority w:val="21"/>
    <w:qFormat/>
    <w:rsid w:val="00165CDA"/>
    <w:rPr>
      <w:i/>
      <w:iCs/>
      <w:color w:val="2F5496" w:themeColor="accent1" w:themeShade="BF"/>
    </w:rPr>
  </w:style>
  <w:style w:type="paragraph" w:styleId="IntenseQuote">
    <w:name w:val="Intense Quote"/>
    <w:basedOn w:val="Normal"/>
    <w:next w:val="Normal"/>
    <w:link w:val="IntenseQuoteChar"/>
    <w:uiPriority w:val="30"/>
    <w:qFormat/>
    <w:rsid w:val="00165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CDA"/>
    <w:rPr>
      <w:i/>
      <w:iCs/>
      <w:color w:val="2F5496" w:themeColor="accent1" w:themeShade="BF"/>
    </w:rPr>
  </w:style>
  <w:style w:type="character" w:styleId="IntenseReference">
    <w:name w:val="Intense Reference"/>
    <w:basedOn w:val="DefaultParagraphFont"/>
    <w:uiPriority w:val="32"/>
    <w:qFormat/>
    <w:rsid w:val="00165CDA"/>
    <w:rPr>
      <w:b/>
      <w:bCs/>
      <w:smallCaps/>
      <w:color w:val="2F5496" w:themeColor="accent1" w:themeShade="BF"/>
      <w:spacing w:val="5"/>
    </w:rPr>
  </w:style>
  <w:style w:type="paragraph" w:styleId="Header">
    <w:name w:val="header"/>
    <w:basedOn w:val="Normal"/>
    <w:link w:val="HeaderChar"/>
    <w:uiPriority w:val="99"/>
    <w:unhideWhenUsed/>
    <w:rsid w:val="00E860DA"/>
    <w:pPr>
      <w:tabs>
        <w:tab w:val="center" w:pos="4680"/>
        <w:tab w:val="right" w:pos="9360"/>
      </w:tabs>
    </w:pPr>
  </w:style>
  <w:style w:type="character" w:customStyle="1" w:styleId="HeaderChar">
    <w:name w:val="Header Char"/>
    <w:basedOn w:val="DefaultParagraphFont"/>
    <w:link w:val="Header"/>
    <w:uiPriority w:val="99"/>
    <w:rsid w:val="00E860DA"/>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E860DA"/>
    <w:pPr>
      <w:tabs>
        <w:tab w:val="center" w:pos="4680"/>
        <w:tab w:val="right" w:pos="9360"/>
      </w:tabs>
    </w:pPr>
  </w:style>
  <w:style w:type="character" w:customStyle="1" w:styleId="FooterChar">
    <w:name w:val="Footer Char"/>
    <w:basedOn w:val="DefaultParagraphFont"/>
    <w:link w:val="Footer"/>
    <w:uiPriority w:val="99"/>
    <w:rsid w:val="00E860DA"/>
    <w:rPr>
      <w:rFonts w:ascii="Courier New" w:eastAsia="Times New Roman" w:hAnsi="Courier New" w:cs="Courier New"/>
      <w:color w:val="000000"/>
      <w:kern w:val="0"/>
      <w:lang w:val="vi-VN" w:eastAsia="vi-VN"/>
      <w14:ligatures w14:val="none"/>
    </w:rPr>
  </w:style>
  <w:style w:type="character" w:styleId="Strong">
    <w:name w:val="Strong"/>
    <w:basedOn w:val="DefaultParagraphFont"/>
    <w:uiPriority w:val="22"/>
    <w:qFormat/>
    <w:rsid w:val="00B96952"/>
    <w:rPr>
      <w:b/>
      <w:bCs/>
    </w:rPr>
  </w:style>
  <w:style w:type="paragraph" w:styleId="FootnoteText">
    <w:name w:val="footnote text"/>
    <w:basedOn w:val="Normal"/>
    <w:link w:val="FootnoteTextChar"/>
    <w:uiPriority w:val="99"/>
    <w:semiHidden/>
    <w:unhideWhenUsed/>
    <w:rsid w:val="00D23081"/>
    <w:pPr>
      <w:widowControl/>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2308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D23081"/>
    <w:rPr>
      <w:vertAlign w:val="superscript"/>
    </w:rPr>
  </w:style>
  <w:style w:type="paragraph" w:styleId="NormalWeb">
    <w:name w:val="Normal (Web)"/>
    <w:basedOn w:val="Normal"/>
    <w:uiPriority w:val="99"/>
    <w:unhideWhenUsed/>
    <w:rsid w:val="0040625A"/>
    <w:rPr>
      <w:rFonts w:ascii="Times New Roman" w:hAnsi="Times New Roman" w:cs="Times New Roman"/>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1F5F53"/>
    <w:rPr>
      <w:rFonts w:ascii="Courier New" w:eastAsia="Times New Roman" w:hAnsi="Courier New" w:cs="Courier New"/>
      <w:color w:val="000000"/>
      <w:kern w:val="0"/>
      <w:lang w:val="vi-VN" w:eastAsia="vi-V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CDA"/>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165C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C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5C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C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C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C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C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5C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C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C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CDA"/>
    <w:rPr>
      <w:rFonts w:eastAsiaTheme="majorEastAsia" w:cstheme="majorBidi"/>
      <w:color w:val="272727" w:themeColor="text1" w:themeTint="D8"/>
    </w:rPr>
  </w:style>
  <w:style w:type="paragraph" w:styleId="Title">
    <w:name w:val="Title"/>
    <w:basedOn w:val="Normal"/>
    <w:next w:val="Normal"/>
    <w:link w:val="TitleChar"/>
    <w:uiPriority w:val="10"/>
    <w:qFormat/>
    <w:rsid w:val="00165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5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5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CDA"/>
    <w:pPr>
      <w:spacing w:before="160"/>
      <w:jc w:val="center"/>
    </w:pPr>
    <w:rPr>
      <w:i/>
      <w:iCs/>
      <w:color w:val="404040" w:themeColor="text1" w:themeTint="BF"/>
    </w:rPr>
  </w:style>
  <w:style w:type="character" w:customStyle="1" w:styleId="QuoteChar">
    <w:name w:val="Quote Char"/>
    <w:basedOn w:val="DefaultParagraphFont"/>
    <w:link w:val="Quote"/>
    <w:uiPriority w:val="29"/>
    <w:rsid w:val="00165CDA"/>
    <w:rPr>
      <w:i/>
      <w:iCs/>
      <w:color w:val="404040" w:themeColor="text1" w:themeTint="BF"/>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34"/>
    <w:qFormat/>
    <w:rsid w:val="00165CDA"/>
    <w:pPr>
      <w:ind w:left="720"/>
      <w:contextualSpacing/>
    </w:pPr>
  </w:style>
  <w:style w:type="character" w:styleId="IntenseEmphasis">
    <w:name w:val="Intense Emphasis"/>
    <w:basedOn w:val="DefaultParagraphFont"/>
    <w:uiPriority w:val="21"/>
    <w:qFormat/>
    <w:rsid w:val="00165CDA"/>
    <w:rPr>
      <w:i/>
      <w:iCs/>
      <w:color w:val="2F5496" w:themeColor="accent1" w:themeShade="BF"/>
    </w:rPr>
  </w:style>
  <w:style w:type="paragraph" w:styleId="IntenseQuote">
    <w:name w:val="Intense Quote"/>
    <w:basedOn w:val="Normal"/>
    <w:next w:val="Normal"/>
    <w:link w:val="IntenseQuoteChar"/>
    <w:uiPriority w:val="30"/>
    <w:qFormat/>
    <w:rsid w:val="00165C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CDA"/>
    <w:rPr>
      <w:i/>
      <w:iCs/>
      <w:color w:val="2F5496" w:themeColor="accent1" w:themeShade="BF"/>
    </w:rPr>
  </w:style>
  <w:style w:type="character" w:styleId="IntenseReference">
    <w:name w:val="Intense Reference"/>
    <w:basedOn w:val="DefaultParagraphFont"/>
    <w:uiPriority w:val="32"/>
    <w:qFormat/>
    <w:rsid w:val="00165CDA"/>
    <w:rPr>
      <w:b/>
      <w:bCs/>
      <w:smallCaps/>
      <w:color w:val="2F5496" w:themeColor="accent1" w:themeShade="BF"/>
      <w:spacing w:val="5"/>
    </w:rPr>
  </w:style>
  <w:style w:type="paragraph" w:styleId="Header">
    <w:name w:val="header"/>
    <w:basedOn w:val="Normal"/>
    <w:link w:val="HeaderChar"/>
    <w:uiPriority w:val="99"/>
    <w:unhideWhenUsed/>
    <w:rsid w:val="00E860DA"/>
    <w:pPr>
      <w:tabs>
        <w:tab w:val="center" w:pos="4680"/>
        <w:tab w:val="right" w:pos="9360"/>
      </w:tabs>
    </w:pPr>
  </w:style>
  <w:style w:type="character" w:customStyle="1" w:styleId="HeaderChar">
    <w:name w:val="Header Char"/>
    <w:basedOn w:val="DefaultParagraphFont"/>
    <w:link w:val="Header"/>
    <w:uiPriority w:val="99"/>
    <w:rsid w:val="00E860DA"/>
    <w:rPr>
      <w:rFonts w:ascii="Courier New" w:eastAsia="Times New Roman" w:hAnsi="Courier New" w:cs="Courier New"/>
      <w:color w:val="000000"/>
      <w:kern w:val="0"/>
      <w:lang w:val="vi-VN" w:eastAsia="vi-VN"/>
      <w14:ligatures w14:val="none"/>
    </w:rPr>
  </w:style>
  <w:style w:type="paragraph" w:styleId="Footer">
    <w:name w:val="footer"/>
    <w:basedOn w:val="Normal"/>
    <w:link w:val="FooterChar"/>
    <w:uiPriority w:val="99"/>
    <w:unhideWhenUsed/>
    <w:rsid w:val="00E860DA"/>
    <w:pPr>
      <w:tabs>
        <w:tab w:val="center" w:pos="4680"/>
        <w:tab w:val="right" w:pos="9360"/>
      </w:tabs>
    </w:pPr>
  </w:style>
  <w:style w:type="character" w:customStyle="1" w:styleId="FooterChar">
    <w:name w:val="Footer Char"/>
    <w:basedOn w:val="DefaultParagraphFont"/>
    <w:link w:val="Footer"/>
    <w:uiPriority w:val="99"/>
    <w:rsid w:val="00E860DA"/>
    <w:rPr>
      <w:rFonts w:ascii="Courier New" w:eastAsia="Times New Roman" w:hAnsi="Courier New" w:cs="Courier New"/>
      <w:color w:val="000000"/>
      <w:kern w:val="0"/>
      <w:lang w:val="vi-VN" w:eastAsia="vi-VN"/>
      <w14:ligatures w14:val="none"/>
    </w:rPr>
  </w:style>
  <w:style w:type="character" w:styleId="Strong">
    <w:name w:val="Strong"/>
    <w:basedOn w:val="DefaultParagraphFont"/>
    <w:uiPriority w:val="22"/>
    <w:qFormat/>
    <w:rsid w:val="00B96952"/>
    <w:rPr>
      <w:b/>
      <w:bCs/>
    </w:rPr>
  </w:style>
  <w:style w:type="paragraph" w:styleId="FootnoteText">
    <w:name w:val="footnote text"/>
    <w:basedOn w:val="Normal"/>
    <w:link w:val="FootnoteTextChar"/>
    <w:uiPriority w:val="99"/>
    <w:semiHidden/>
    <w:unhideWhenUsed/>
    <w:rsid w:val="00D23081"/>
    <w:pPr>
      <w:widowControl/>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basedOn w:val="DefaultParagraphFont"/>
    <w:link w:val="FootnoteText"/>
    <w:uiPriority w:val="99"/>
    <w:semiHidden/>
    <w:rsid w:val="00D2308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D23081"/>
    <w:rPr>
      <w:vertAlign w:val="superscript"/>
    </w:rPr>
  </w:style>
  <w:style w:type="paragraph" w:styleId="NormalWeb">
    <w:name w:val="Normal (Web)"/>
    <w:basedOn w:val="Normal"/>
    <w:uiPriority w:val="99"/>
    <w:unhideWhenUsed/>
    <w:rsid w:val="0040625A"/>
    <w:rPr>
      <w:rFonts w:ascii="Times New Roman" w:hAnsi="Times New Roman" w:cs="Times New Roman"/>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34"/>
    <w:qFormat/>
    <w:locked/>
    <w:rsid w:val="001F5F53"/>
    <w:rPr>
      <w:rFonts w:ascii="Courier New" w:eastAsia="Times New Roman" w:hAnsi="Courier New" w:cs="Courier New"/>
      <w:color w:val="000000"/>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9798">
      <w:bodyDiv w:val="1"/>
      <w:marLeft w:val="0"/>
      <w:marRight w:val="0"/>
      <w:marTop w:val="0"/>
      <w:marBottom w:val="0"/>
      <w:divBdr>
        <w:top w:val="none" w:sz="0" w:space="0" w:color="auto"/>
        <w:left w:val="none" w:sz="0" w:space="0" w:color="auto"/>
        <w:bottom w:val="none" w:sz="0" w:space="0" w:color="auto"/>
        <w:right w:val="none" w:sz="0" w:space="0" w:color="auto"/>
      </w:divBdr>
    </w:div>
    <w:div w:id="89788416">
      <w:bodyDiv w:val="1"/>
      <w:marLeft w:val="0"/>
      <w:marRight w:val="0"/>
      <w:marTop w:val="0"/>
      <w:marBottom w:val="0"/>
      <w:divBdr>
        <w:top w:val="none" w:sz="0" w:space="0" w:color="auto"/>
        <w:left w:val="none" w:sz="0" w:space="0" w:color="auto"/>
        <w:bottom w:val="none" w:sz="0" w:space="0" w:color="auto"/>
        <w:right w:val="none" w:sz="0" w:space="0" w:color="auto"/>
      </w:divBdr>
    </w:div>
    <w:div w:id="107359239">
      <w:bodyDiv w:val="1"/>
      <w:marLeft w:val="0"/>
      <w:marRight w:val="0"/>
      <w:marTop w:val="0"/>
      <w:marBottom w:val="0"/>
      <w:divBdr>
        <w:top w:val="none" w:sz="0" w:space="0" w:color="auto"/>
        <w:left w:val="none" w:sz="0" w:space="0" w:color="auto"/>
        <w:bottom w:val="none" w:sz="0" w:space="0" w:color="auto"/>
        <w:right w:val="none" w:sz="0" w:space="0" w:color="auto"/>
      </w:divBdr>
    </w:div>
    <w:div w:id="981226839">
      <w:bodyDiv w:val="1"/>
      <w:marLeft w:val="0"/>
      <w:marRight w:val="0"/>
      <w:marTop w:val="0"/>
      <w:marBottom w:val="0"/>
      <w:divBdr>
        <w:top w:val="none" w:sz="0" w:space="0" w:color="auto"/>
        <w:left w:val="none" w:sz="0" w:space="0" w:color="auto"/>
        <w:bottom w:val="none" w:sz="0" w:space="0" w:color="auto"/>
        <w:right w:val="none" w:sz="0" w:space="0" w:color="auto"/>
      </w:divBdr>
    </w:div>
    <w:div w:id="1033463037">
      <w:bodyDiv w:val="1"/>
      <w:marLeft w:val="0"/>
      <w:marRight w:val="0"/>
      <w:marTop w:val="0"/>
      <w:marBottom w:val="0"/>
      <w:divBdr>
        <w:top w:val="none" w:sz="0" w:space="0" w:color="auto"/>
        <w:left w:val="none" w:sz="0" w:space="0" w:color="auto"/>
        <w:bottom w:val="none" w:sz="0" w:space="0" w:color="auto"/>
        <w:right w:val="none" w:sz="0" w:space="0" w:color="auto"/>
      </w:divBdr>
    </w:div>
    <w:div w:id="1036857901">
      <w:bodyDiv w:val="1"/>
      <w:marLeft w:val="0"/>
      <w:marRight w:val="0"/>
      <w:marTop w:val="0"/>
      <w:marBottom w:val="0"/>
      <w:divBdr>
        <w:top w:val="none" w:sz="0" w:space="0" w:color="auto"/>
        <w:left w:val="none" w:sz="0" w:space="0" w:color="auto"/>
        <w:bottom w:val="none" w:sz="0" w:space="0" w:color="auto"/>
        <w:right w:val="none" w:sz="0" w:space="0" w:color="auto"/>
      </w:divBdr>
    </w:div>
    <w:div w:id="1251087676">
      <w:bodyDiv w:val="1"/>
      <w:marLeft w:val="0"/>
      <w:marRight w:val="0"/>
      <w:marTop w:val="0"/>
      <w:marBottom w:val="0"/>
      <w:divBdr>
        <w:top w:val="none" w:sz="0" w:space="0" w:color="auto"/>
        <w:left w:val="none" w:sz="0" w:space="0" w:color="auto"/>
        <w:bottom w:val="none" w:sz="0" w:space="0" w:color="auto"/>
        <w:right w:val="none" w:sz="0" w:space="0" w:color="auto"/>
      </w:divBdr>
    </w:div>
    <w:div w:id="1258637005">
      <w:bodyDiv w:val="1"/>
      <w:marLeft w:val="0"/>
      <w:marRight w:val="0"/>
      <w:marTop w:val="0"/>
      <w:marBottom w:val="0"/>
      <w:divBdr>
        <w:top w:val="none" w:sz="0" w:space="0" w:color="auto"/>
        <w:left w:val="none" w:sz="0" w:space="0" w:color="auto"/>
        <w:bottom w:val="none" w:sz="0" w:space="0" w:color="auto"/>
        <w:right w:val="none" w:sz="0" w:space="0" w:color="auto"/>
      </w:divBdr>
    </w:div>
    <w:div w:id="1448697264">
      <w:bodyDiv w:val="1"/>
      <w:marLeft w:val="0"/>
      <w:marRight w:val="0"/>
      <w:marTop w:val="0"/>
      <w:marBottom w:val="0"/>
      <w:divBdr>
        <w:top w:val="none" w:sz="0" w:space="0" w:color="auto"/>
        <w:left w:val="none" w:sz="0" w:space="0" w:color="auto"/>
        <w:bottom w:val="none" w:sz="0" w:space="0" w:color="auto"/>
        <w:right w:val="none" w:sz="0" w:space="0" w:color="auto"/>
      </w:divBdr>
    </w:div>
    <w:div w:id="1556769228">
      <w:bodyDiv w:val="1"/>
      <w:marLeft w:val="0"/>
      <w:marRight w:val="0"/>
      <w:marTop w:val="0"/>
      <w:marBottom w:val="0"/>
      <w:divBdr>
        <w:top w:val="none" w:sz="0" w:space="0" w:color="auto"/>
        <w:left w:val="none" w:sz="0" w:space="0" w:color="auto"/>
        <w:bottom w:val="none" w:sz="0" w:space="0" w:color="auto"/>
        <w:right w:val="none" w:sz="0" w:space="0" w:color="auto"/>
      </w:divBdr>
    </w:div>
    <w:div w:id="1853101726">
      <w:bodyDiv w:val="1"/>
      <w:marLeft w:val="0"/>
      <w:marRight w:val="0"/>
      <w:marTop w:val="0"/>
      <w:marBottom w:val="0"/>
      <w:divBdr>
        <w:top w:val="none" w:sz="0" w:space="0" w:color="auto"/>
        <w:left w:val="none" w:sz="0" w:space="0" w:color="auto"/>
        <w:bottom w:val="none" w:sz="0" w:space="0" w:color="auto"/>
        <w:right w:val="none" w:sz="0" w:space="0" w:color="auto"/>
      </w:divBdr>
    </w:div>
    <w:div w:id="212418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7</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 Lam</dc:creator>
  <cp:keywords/>
  <dc:description/>
  <cp:lastModifiedBy>Ngoc</cp:lastModifiedBy>
  <cp:revision>34</cp:revision>
  <cp:lastPrinted>2025-10-17T11:59:00Z</cp:lastPrinted>
  <dcterms:created xsi:type="dcterms:W3CDTF">2025-10-11T16:26:00Z</dcterms:created>
  <dcterms:modified xsi:type="dcterms:W3CDTF">2025-10-31T00:15:00Z</dcterms:modified>
</cp:coreProperties>
</file>