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2" w:type="dxa"/>
        <w:tblInd w:w="-72" w:type="dxa"/>
        <w:tblLook w:val="01E0"/>
      </w:tblPr>
      <w:tblGrid>
        <w:gridCol w:w="3460"/>
        <w:gridCol w:w="364"/>
        <w:gridCol w:w="5828"/>
      </w:tblGrid>
      <w:tr w:rsidR="00CF22E1" w:rsidTr="00CF22E1">
        <w:trPr>
          <w:trHeight w:val="1458"/>
        </w:trPr>
        <w:tc>
          <w:tcPr>
            <w:tcW w:w="3460" w:type="dxa"/>
            <w:vAlign w:val="center"/>
          </w:tcPr>
          <w:p w:rsidR="003551F6" w:rsidRPr="00344EE6" w:rsidRDefault="00344EE6" w:rsidP="003551F6">
            <w:pPr>
              <w:spacing w:line="256"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r w:rsidR="003551F6">
              <w:rPr>
                <w:rFonts w:ascii="Times New Roman" w:hAnsi="Times New Roman" w:cs="Times New Roman"/>
                <w:b/>
                <w:sz w:val="26"/>
                <w:szCs w:val="26"/>
                <w:lang w:val="en-US"/>
              </w:rPr>
              <w:t>Ộ TÀI CHÍNH</w:t>
            </w:r>
          </w:p>
          <w:p w:rsidR="00CF22E1" w:rsidRDefault="003431A9">
            <w:pPr>
              <w:spacing w:line="256" w:lineRule="auto"/>
              <w:jc w:val="center"/>
              <w:rPr>
                <w:rFonts w:ascii="Times New Roman" w:hAnsi="Times New Roman" w:cs="Times New Roman"/>
                <w:b/>
              </w:rPr>
            </w:pPr>
            <w:r w:rsidRPr="003431A9">
              <w:rPr>
                <w:rFonts w:ascii="Courier New" w:hAnsi="Courier New" w:cs="Courier New"/>
                <w:noProof/>
                <w:lang w:val="en-US"/>
              </w:rPr>
              <w:pict>
                <v:line id="Straight Connector 2" o:spid="_x0000_s1026" style="position:absolute;left:0;text-align:left;z-index:251659264;visibility:visible" from="5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"/>
              </w:pict>
            </w:r>
          </w:p>
          <w:p w:rsidR="00CF22E1" w:rsidRPr="00CF22E1" w:rsidRDefault="00CF22E1">
            <w:pPr>
              <w:spacing w:line="256" w:lineRule="auto"/>
              <w:jc w:val="center"/>
              <w:rPr>
                <w:rFonts w:ascii="Times New Roman" w:hAnsi="Times New Roman" w:cs="Times New Roman"/>
                <w:sz w:val="28"/>
                <w:szCs w:val="28"/>
                <w:lang w:val="en-US"/>
              </w:rPr>
            </w:pPr>
          </w:p>
        </w:tc>
        <w:tc>
          <w:tcPr>
            <w:tcW w:w="364" w:type="dxa"/>
            <w:vAlign w:val="center"/>
          </w:tcPr>
          <w:p w:rsidR="00CF22E1" w:rsidRDefault="00CF22E1">
            <w:pPr>
              <w:spacing w:line="256" w:lineRule="auto"/>
              <w:jc w:val="center"/>
              <w:rPr>
                <w:rFonts w:ascii="Times New Roman" w:hAnsi="Times New Roman" w:cs="Times New Roman"/>
                <w:b/>
                <w:sz w:val="24"/>
                <w:szCs w:val="22"/>
              </w:rPr>
            </w:pPr>
          </w:p>
          <w:p w:rsidR="00CF22E1" w:rsidRDefault="00CF22E1">
            <w:pPr>
              <w:spacing w:line="256" w:lineRule="auto"/>
              <w:jc w:val="both"/>
              <w:rPr>
                <w:rFonts w:ascii="Times New Roman" w:hAnsi="Times New Roman" w:cs="Times New Roman"/>
                <w:b/>
                <w:szCs w:val="24"/>
              </w:rPr>
            </w:pPr>
          </w:p>
        </w:tc>
        <w:tc>
          <w:tcPr>
            <w:tcW w:w="5828" w:type="dxa"/>
            <w:vAlign w:val="center"/>
          </w:tcPr>
          <w:p w:rsidR="00CF22E1" w:rsidRDefault="00CF22E1">
            <w:pPr>
              <w:spacing w:line="256" w:lineRule="auto"/>
              <w:jc w:val="center"/>
              <w:rPr>
                <w:rFonts w:ascii="Times New Roman" w:hAnsi="Times New Roman" w:cs="Times New Roman"/>
                <w:b/>
              </w:rPr>
            </w:pPr>
            <w:r>
              <w:rPr>
                <w:rFonts w:ascii="Times New Roman" w:hAnsi="Times New Roman" w:cs="Times New Roman"/>
                <w:b/>
                <w:sz w:val="26"/>
              </w:rPr>
              <w:t>CỘNG HOÀ XÃ HỘI CHỦ NGHĨA VIỆT NAM</w:t>
            </w:r>
          </w:p>
          <w:p w:rsidR="00CF22E1" w:rsidRDefault="00CF22E1">
            <w:pPr>
              <w:spacing w:line="256" w:lineRule="auto"/>
              <w:jc w:val="center"/>
              <w:rPr>
                <w:rFonts w:ascii="Times New Roman" w:hAnsi="Times New Roman" w:cs="Times New Roman"/>
                <w:b/>
                <w:sz w:val="30"/>
              </w:rPr>
            </w:pPr>
            <w:r>
              <w:rPr>
                <w:rFonts w:ascii="Times New Roman" w:hAnsi="Times New Roman" w:cs="Times New Roman"/>
                <w:b/>
                <w:sz w:val="28"/>
              </w:rPr>
              <w:t>Độc lập - Tự do - Hạnh phúc</w:t>
            </w:r>
          </w:p>
          <w:p w:rsidR="00CF22E1" w:rsidRDefault="003431A9">
            <w:pPr>
              <w:spacing w:line="256" w:lineRule="auto"/>
              <w:jc w:val="both"/>
              <w:rPr>
                <w:rFonts w:ascii="Times New Roman" w:hAnsi="Times New Roman" w:cs="Times New Roman"/>
                <w:b/>
                <w:sz w:val="24"/>
              </w:rPr>
            </w:pPr>
            <w:r w:rsidRPr="003431A9">
              <w:rPr>
                <w:rFonts w:ascii="Courier New" w:hAnsi="Courier New" w:cs="Courier New"/>
                <w:noProof/>
                <w:sz w:val="24"/>
                <w:lang w:val="en-US"/>
              </w:rPr>
              <w:pict>
                <v:line id="Straight Connector 1" o:spid="_x0000_s1027" style="position:absolute;left:0;text-align:left;z-index:251660288;visibility:visible" from="57.6pt,1.95pt" to="21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"/>
              </w:pict>
            </w:r>
          </w:p>
          <w:p w:rsidR="00CF22E1" w:rsidRDefault="00CF22E1">
            <w:pPr>
              <w:spacing w:line="256" w:lineRule="auto"/>
              <w:jc w:val="center"/>
              <w:rPr>
                <w:rFonts w:ascii="Times New Roman" w:hAnsi="Times New Roman" w:cs="Times New Roman"/>
                <w:i/>
              </w:rPr>
            </w:pPr>
            <w:r>
              <w:rPr>
                <w:rFonts w:ascii="Times New Roman" w:hAnsi="Times New Roman" w:cs="Times New Roman"/>
                <w:i/>
                <w:sz w:val="28"/>
              </w:rPr>
              <w:t>Hà Nội, ngày       tháng     năm 2025</w:t>
            </w:r>
          </w:p>
        </w:tc>
      </w:tr>
    </w:tbl>
    <w:p w:rsidR="00302103" w:rsidRPr="00400097" w:rsidRDefault="00302103" w:rsidP="00302103">
      <w:pPr>
        <w:autoSpaceDE w:val="0"/>
        <w:autoSpaceDN w:val="0"/>
        <w:adjustRightInd w:val="0"/>
        <w:spacing w:before="120"/>
        <w:rPr>
          <w:b/>
          <w:bCs/>
        </w:rPr>
      </w:pPr>
    </w:p>
    <w:p w:rsidR="00302103" w:rsidRPr="00824CBB" w:rsidRDefault="00302103" w:rsidP="00CF22E1">
      <w:pPr>
        <w:autoSpaceDE w:val="0"/>
        <w:autoSpaceDN w:val="0"/>
        <w:adjustRightInd w:val="0"/>
        <w:spacing w:before="60" w:after="60"/>
        <w:jc w:val="center"/>
        <w:rPr>
          <w:rFonts w:asciiTheme="minorHAnsi" w:hAnsiTheme="minorHAnsi" w:cs="Times New Roman"/>
          <w:b/>
          <w:bCs/>
          <w:spacing w:val="-2"/>
          <w:sz w:val="26"/>
          <w:szCs w:val="26"/>
          <w:lang w:val="en-US"/>
        </w:rPr>
      </w:pPr>
      <w:r w:rsidRPr="00801BA2">
        <w:rPr>
          <w:rFonts w:ascii="Times New Roman Bold" w:hAnsi="Times New Roman Bold" w:cs="Times New Roman"/>
          <w:b/>
          <w:bCs/>
          <w:spacing w:val="-2"/>
          <w:sz w:val="26"/>
          <w:szCs w:val="26"/>
        </w:rPr>
        <w:t>BẢN Đ</w:t>
      </w:r>
      <w:r w:rsidRPr="004A74DA">
        <w:rPr>
          <w:rFonts w:ascii="Times New Roman Bold" w:hAnsi="Times New Roman Bold" w:cs="Times New Roman"/>
          <w:b/>
          <w:bCs/>
          <w:spacing w:val="-2"/>
          <w:sz w:val="26"/>
          <w:szCs w:val="26"/>
        </w:rPr>
        <w:t>ÁNH GIÁ TH</w:t>
      </w:r>
      <w:r w:rsidRPr="00801BA2">
        <w:rPr>
          <w:rFonts w:ascii="Times New Roman Bold" w:hAnsi="Times New Roman Bold" w:cs="Times New Roman"/>
          <w:b/>
          <w:bCs/>
          <w:spacing w:val="-2"/>
          <w:sz w:val="26"/>
          <w:szCs w:val="26"/>
        </w:rPr>
        <w:t>Ủ TỤC H</w:t>
      </w:r>
      <w:r w:rsidRPr="004A74DA">
        <w:rPr>
          <w:rFonts w:ascii="Times New Roman Bold" w:hAnsi="Times New Roman Bold" w:cs="Times New Roman"/>
          <w:b/>
          <w:bCs/>
          <w:spacing w:val="-2"/>
          <w:sz w:val="26"/>
          <w:szCs w:val="26"/>
        </w:rPr>
        <w:t>ÀNH CHÍNH, VI</w:t>
      </w:r>
      <w:r w:rsidRPr="00801BA2">
        <w:rPr>
          <w:rFonts w:ascii="Times New Roman Bold" w:hAnsi="Times New Roman Bold" w:cs="Times New Roman"/>
          <w:b/>
          <w:bCs/>
          <w:spacing w:val="-2"/>
          <w:sz w:val="26"/>
          <w:szCs w:val="26"/>
        </w:rPr>
        <w:t>ỆC PH</w:t>
      </w:r>
      <w:r w:rsidRPr="004A74DA">
        <w:rPr>
          <w:rFonts w:ascii="Times New Roman Bold" w:hAnsi="Times New Roman Bold" w:cs="Times New Roman"/>
          <w:b/>
          <w:bCs/>
          <w:spacing w:val="-2"/>
          <w:sz w:val="26"/>
          <w:szCs w:val="26"/>
        </w:rPr>
        <w:t>ÂN QUY</w:t>
      </w:r>
      <w:r w:rsidRPr="00801BA2">
        <w:rPr>
          <w:rFonts w:ascii="Times New Roman Bold" w:hAnsi="Times New Roman Bold" w:cs="Times New Roman"/>
          <w:b/>
          <w:bCs/>
          <w:spacing w:val="-2"/>
          <w:sz w:val="26"/>
          <w:szCs w:val="26"/>
        </w:rPr>
        <w:t>ỀN, PH</w:t>
      </w:r>
      <w:r w:rsidRPr="004A74DA">
        <w:rPr>
          <w:rFonts w:ascii="Times New Roman Bold" w:hAnsi="Times New Roman Bold" w:cs="Times New Roman"/>
          <w:b/>
          <w:bCs/>
          <w:spacing w:val="-2"/>
          <w:sz w:val="26"/>
          <w:szCs w:val="26"/>
        </w:rPr>
        <w:t>ÂN C</w:t>
      </w:r>
      <w:r w:rsidRPr="00801BA2">
        <w:rPr>
          <w:rFonts w:ascii="Times New Roman Bold" w:hAnsi="Times New Roman Bold" w:cs="Times New Roman"/>
          <w:b/>
          <w:bCs/>
          <w:spacing w:val="-2"/>
          <w:sz w:val="26"/>
          <w:szCs w:val="26"/>
        </w:rPr>
        <w:t>ẤP, VIỆC ỨNG DỤNG, TH</w:t>
      </w:r>
      <w:r w:rsidRPr="004A74DA">
        <w:rPr>
          <w:rFonts w:ascii="Times New Roman Bold" w:hAnsi="Times New Roman Bold" w:cs="Times New Roman"/>
          <w:b/>
          <w:bCs/>
          <w:spacing w:val="-2"/>
          <w:sz w:val="26"/>
          <w:szCs w:val="26"/>
        </w:rPr>
        <w:t>ÚC Đ</w:t>
      </w:r>
      <w:r w:rsidRPr="00801BA2">
        <w:rPr>
          <w:rFonts w:ascii="Times New Roman Bold" w:hAnsi="Times New Roman Bold" w:cs="Times New Roman"/>
          <w:b/>
          <w:bCs/>
          <w:spacing w:val="-2"/>
          <w:sz w:val="26"/>
          <w:szCs w:val="26"/>
        </w:rPr>
        <w:t>ẨY PH</w:t>
      </w:r>
      <w:r w:rsidRPr="004A74DA">
        <w:rPr>
          <w:rFonts w:ascii="Times New Roman Bold" w:hAnsi="Times New Roman Bold" w:cs="Times New Roman"/>
          <w:b/>
          <w:bCs/>
          <w:spacing w:val="-2"/>
          <w:sz w:val="26"/>
          <w:szCs w:val="26"/>
        </w:rPr>
        <w:t>ÁT TRI</w:t>
      </w:r>
      <w:r w:rsidRPr="00801BA2">
        <w:rPr>
          <w:rFonts w:ascii="Times New Roman Bold" w:hAnsi="Times New Roman Bold" w:cs="Times New Roman"/>
          <w:b/>
          <w:bCs/>
          <w:spacing w:val="-2"/>
          <w:sz w:val="26"/>
          <w:szCs w:val="26"/>
        </w:rPr>
        <w:t>ỂN KHOA HỌC, C</w:t>
      </w:r>
      <w:r w:rsidRPr="004A74DA">
        <w:rPr>
          <w:rFonts w:ascii="Times New Roman Bold" w:hAnsi="Times New Roman Bold" w:cs="Times New Roman"/>
          <w:b/>
          <w:bCs/>
          <w:spacing w:val="-2"/>
          <w:sz w:val="26"/>
          <w:szCs w:val="26"/>
        </w:rPr>
        <w:t>ÔNG NGH</w:t>
      </w:r>
      <w:r w:rsidRPr="00801BA2">
        <w:rPr>
          <w:rFonts w:ascii="Times New Roman Bold" w:hAnsi="Times New Roman Bold" w:cs="Times New Roman"/>
          <w:b/>
          <w:bCs/>
          <w:spacing w:val="-2"/>
          <w:sz w:val="26"/>
          <w:szCs w:val="26"/>
        </w:rPr>
        <w:t>Ệ, ĐỔI MỚI S</w:t>
      </w:r>
      <w:r w:rsidRPr="004A74DA">
        <w:rPr>
          <w:rFonts w:ascii="Times New Roman Bold" w:hAnsi="Times New Roman Bold" w:cs="Times New Roman"/>
          <w:b/>
          <w:bCs/>
          <w:spacing w:val="-2"/>
          <w:sz w:val="26"/>
          <w:szCs w:val="26"/>
        </w:rPr>
        <w:t>ÁNG T</w:t>
      </w:r>
      <w:r w:rsidRPr="00801BA2">
        <w:rPr>
          <w:rFonts w:ascii="Times New Roman Bold" w:hAnsi="Times New Roman Bold" w:cs="Times New Roman"/>
          <w:b/>
          <w:bCs/>
          <w:spacing w:val="-2"/>
          <w:sz w:val="26"/>
          <w:szCs w:val="26"/>
        </w:rPr>
        <w:t>ẠO V</w:t>
      </w:r>
      <w:r w:rsidRPr="004A74DA">
        <w:rPr>
          <w:rFonts w:ascii="Times New Roman Bold" w:hAnsi="Times New Roman Bold" w:cs="Times New Roman"/>
          <w:b/>
          <w:bCs/>
          <w:spacing w:val="-2"/>
          <w:sz w:val="26"/>
          <w:szCs w:val="26"/>
        </w:rPr>
        <w:t>À CHUY</w:t>
      </w:r>
      <w:r w:rsidRPr="00801BA2">
        <w:rPr>
          <w:rFonts w:ascii="Times New Roman Bold" w:hAnsi="Times New Roman Bold" w:cs="Times New Roman"/>
          <w:b/>
          <w:bCs/>
          <w:spacing w:val="-2"/>
          <w:sz w:val="26"/>
          <w:szCs w:val="26"/>
        </w:rPr>
        <w:t>ỂN ĐỔI SỐ, BẢO ĐẢM B</w:t>
      </w:r>
      <w:r w:rsidRPr="004A74DA">
        <w:rPr>
          <w:rFonts w:ascii="Times New Roman Bold" w:hAnsi="Times New Roman Bold" w:cs="Times New Roman"/>
          <w:b/>
          <w:bCs/>
          <w:spacing w:val="-2"/>
          <w:sz w:val="26"/>
          <w:szCs w:val="26"/>
        </w:rPr>
        <w:t>ÌNH Đ</w:t>
      </w:r>
      <w:r w:rsidRPr="00801BA2">
        <w:rPr>
          <w:rFonts w:ascii="Times New Roman Bold" w:hAnsi="Times New Roman Bold" w:cs="Times New Roman"/>
          <w:b/>
          <w:bCs/>
          <w:spacing w:val="-2"/>
          <w:sz w:val="26"/>
          <w:szCs w:val="26"/>
        </w:rPr>
        <w:t>ẲNG GIỚI, VIỆC THỰC HIỆN CH</w:t>
      </w:r>
      <w:r w:rsidRPr="004A74DA">
        <w:rPr>
          <w:rFonts w:ascii="Times New Roman Bold" w:hAnsi="Times New Roman Bold" w:cs="Times New Roman"/>
          <w:b/>
          <w:bCs/>
          <w:spacing w:val="-2"/>
          <w:sz w:val="26"/>
          <w:szCs w:val="26"/>
        </w:rPr>
        <w:t>ÍNH SÁCH DÂN T</w:t>
      </w:r>
      <w:r w:rsidRPr="00801BA2">
        <w:rPr>
          <w:rFonts w:ascii="Times New Roman Bold" w:hAnsi="Times New Roman Bold" w:cs="Times New Roman"/>
          <w:b/>
          <w:bCs/>
          <w:spacing w:val="-2"/>
          <w:sz w:val="26"/>
          <w:szCs w:val="26"/>
        </w:rPr>
        <w:t xml:space="preserve">ỘC TRONG </w:t>
      </w:r>
      <w:r w:rsidR="00CF22E1" w:rsidRPr="004A74DA">
        <w:rPr>
          <w:rFonts w:ascii="Times New Roman Bold" w:hAnsi="Times New Roman Bold" w:cs="Times New Roman"/>
          <w:b/>
          <w:bCs/>
          <w:spacing w:val="-2"/>
          <w:sz w:val="26"/>
          <w:szCs w:val="26"/>
        </w:rPr>
        <w:t xml:space="preserve">DỰ THẢO </w:t>
      </w:r>
      <w:r w:rsidR="00CF22E1" w:rsidRPr="00801BA2">
        <w:rPr>
          <w:rFonts w:ascii="Times New Roman Bold" w:hAnsi="Times New Roman Bold" w:cs="Times New Roman"/>
          <w:b/>
          <w:bCs/>
          <w:spacing w:val="-2"/>
          <w:sz w:val="26"/>
          <w:szCs w:val="26"/>
        </w:rPr>
        <w:t>NGHỊ ĐỊNH QUY ĐỊNH</w:t>
      </w:r>
      <w:r w:rsidR="00A40A22">
        <w:rPr>
          <w:rFonts w:asciiTheme="minorHAnsi" w:hAnsiTheme="minorHAnsi" w:cs="Times New Roman"/>
          <w:b/>
          <w:bCs/>
          <w:spacing w:val="-2"/>
          <w:sz w:val="26"/>
          <w:szCs w:val="26"/>
          <w:lang w:val="en-US"/>
        </w:rPr>
        <w:t xml:space="preserve"> </w:t>
      </w:r>
      <w:r w:rsidR="00194084" w:rsidRPr="00194084">
        <w:rPr>
          <w:rFonts w:ascii="Times New Roman" w:hAnsi="Times New Roman" w:cs="Times New Roman"/>
          <w:b/>
          <w:bCs/>
          <w:spacing w:val="-2"/>
          <w:sz w:val="26"/>
          <w:szCs w:val="26"/>
          <w:lang w:val="en-US"/>
        </w:rPr>
        <w:t xml:space="preserve">VỀ THANH TOÁN, QUYẾT TOÁN </w:t>
      </w:r>
      <w:r w:rsidR="00824CBB">
        <w:rPr>
          <w:rFonts w:ascii="Times New Roman" w:hAnsi="Times New Roman" w:cs="Times New Roman"/>
          <w:b/>
          <w:bCs/>
          <w:spacing w:val="-2"/>
          <w:sz w:val="26"/>
          <w:szCs w:val="26"/>
          <w:lang w:val="en-US"/>
        </w:rPr>
        <w:t xml:space="preserve">VỐN NGÂN SÁCH NHÀ NƯỚC ĐỂ </w:t>
      </w:r>
      <w:r w:rsidR="00194084" w:rsidRPr="00194084">
        <w:rPr>
          <w:rFonts w:ascii="Times New Roman" w:hAnsi="Times New Roman" w:cs="Times New Roman"/>
          <w:b/>
          <w:bCs/>
          <w:spacing w:val="-2"/>
          <w:sz w:val="26"/>
          <w:szCs w:val="26"/>
          <w:lang w:val="en-US"/>
        </w:rPr>
        <w:t>CẤP BÙ LÃI SUẤT</w:t>
      </w:r>
      <w:r w:rsidR="00824CBB">
        <w:rPr>
          <w:rFonts w:ascii="Times New Roman" w:hAnsi="Times New Roman" w:cs="Times New Roman"/>
          <w:b/>
          <w:bCs/>
          <w:spacing w:val="-2"/>
          <w:sz w:val="26"/>
          <w:szCs w:val="26"/>
          <w:lang w:val="en-US"/>
        </w:rPr>
        <w:t xml:space="preserve"> CHO CÁC</w:t>
      </w:r>
      <w:r w:rsidR="00194084" w:rsidRPr="00194084">
        <w:rPr>
          <w:rFonts w:ascii="Times New Roman" w:hAnsi="Times New Roman" w:cs="Times New Roman"/>
          <w:b/>
          <w:bCs/>
          <w:spacing w:val="-2"/>
          <w:sz w:val="26"/>
          <w:szCs w:val="26"/>
          <w:lang w:val="en-US"/>
        </w:rPr>
        <w:t xml:space="preserve"> NGÂN HÀNG THƯƠNG MẠI</w:t>
      </w:r>
      <w:r w:rsidR="00CF22E1" w:rsidRPr="00801BA2">
        <w:rPr>
          <w:rFonts w:ascii="Times New Roman Bold" w:hAnsi="Times New Roman Bold" w:cs="Times New Roman"/>
          <w:b/>
          <w:bCs/>
          <w:spacing w:val="-2"/>
          <w:sz w:val="26"/>
          <w:szCs w:val="26"/>
        </w:rPr>
        <w:t xml:space="preserve"> </w:t>
      </w:r>
      <w:r w:rsidR="003431A9" w:rsidRPr="003431A9">
        <w:rPr>
          <w:rFonts w:ascii="Times New Roman" w:hAnsi="Times New Roman" w:cs="Times New Roman"/>
          <w:b/>
          <w:bCs/>
          <w:spacing w:val="-2"/>
          <w:sz w:val="26"/>
          <w:szCs w:val="26"/>
          <w:lang w:val="en-US"/>
        </w:rPr>
        <w:t>THỰC HIỆN</w:t>
      </w:r>
      <w:r w:rsidR="00824CBB">
        <w:rPr>
          <w:rFonts w:ascii="Times New Roman" w:hAnsi="Times New Roman" w:cs="Times New Roman"/>
          <w:b/>
          <w:bCs/>
          <w:spacing w:val="-2"/>
          <w:sz w:val="26"/>
          <w:szCs w:val="26"/>
          <w:lang w:val="en-US"/>
        </w:rPr>
        <w:t xml:space="preserve"> CÁC CHÍNH SÁCH TÍN DỤNG ƯU ĐÃI CỦA NHÀ NƯỚC</w:t>
      </w:r>
    </w:p>
    <w:p w:rsidR="00FF6EA9" w:rsidRPr="008F0992" w:rsidRDefault="00FF6EA9" w:rsidP="00CF22E1">
      <w:pPr>
        <w:autoSpaceDE w:val="0"/>
        <w:autoSpaceDN w:val="0"/>
        <w:adjustRightInd w:val="0"/>
        <w:spacing w:before="60" w:after="60"/>
        <w:jc w:val="center"/>
        <w:rPr>
          <w:rFonts w:asciiTheme="minorHAnsi" w:hAnsiTheme="minorHAnsi" w:cs="Times New Roman"/>
          <w:b/>
          <w:bCs/>
          <w:spacing w:val="-2"/>
          <w:sz w:val="26"/>
          <w:szCs w:val="26"/>
          <w:lang w:val="en-US"/>
        </w:rPr>
      </w:pPr>
    </w:p>
    <w:p w:rsidR="00302103" w:rsidRPr="004A74DA" w:rsidRDefault="00302103" w:rsidP="00CF22E1">
      <w:pPr>
        <w:autoSpaceDE w:val="0"/>
        <w:autoSpaceDN w:val="0"/>
        <w:adjustRightInd w:val="0"/>
        <w:spacing w:before="120"/>
        <w:ind w:firstLine="709"/>
        <w:jc w:val="both"/>
        <w:rPr>
          <w:rFonts w:ascii="Times New Roman" w:hAnsi="Times New Roman" w:cs="Times New Roman"/>
          <w:sz w:val="28"/>
          <w:szCs w:val="28"/>
        </w:rPr>
      </w:pPr>
      <w:r w:rsidRPr="00CF22E1">
        <w:rPr>
          <w:rFonts w:ascii="Times New Roman" w:hAnsi="Times New Roman" w:cs="Times New Roman"/>
          <w:sz w:val="28"/>
          <w:szCs w:val="28"/>
        </w:rPr>
        <w:t>Thực hiện quy định của Luật Ban h</w:t>
      </w:r>
      <w:r w:rsidRPr="004A74DA">
        <w:rPr>
          <w:rFonts w:ascii="Times New Roman" w:hAnsi="Times New Roman" w:cs="Times New Roman"/>
          <w:sz w:val="28"/>
          <w:szCs w:val="28"/>
        </w:rPr>
        <w:t>ành văn b</w:t>
      </w:r>
      <w:r w:rsidRPr="00CF22E1">
        <w:rPr>
          <w:rFonts w:ascii="Times New Roman" w:hAnsi="Times New Roman" w:cs="Times New Roman"/>
          <w:sz w:val="28"/>
          <w:szCs w:val="28"/>
        </w:rPr>
        <w:t>ản quy phạm ph</w:t>
      </w:r>
      <w:r w:rsidRPr="004A74DA">
        <w:rPr>
          <w:rFonts w:ascii="Times New Roman" w:hAnsi="Times New Roman" w:cs="Times New Roman"/>
          <w:sz w:val="28"/>
          <w:szCs w:val="28"/>
        </w:rPr>
        <w:t>áp lu</w:t>
      </w:r>
      <w:r w:rsidRPr="00CF22E1">
        <w:rPr>
          <w:rFonts w:ascii="Times New Roman" w:hAnsi="Times New Roman" w:cs="Times New Roman"/>
          <w:sz w:val="28"/>
          <w:szCs w:val="28"/>
        </w:rPr>
        <w:t>ật</w:t>
      </w:r>
      <w:r w:rsidR="00CF22E1" w:rsidRPr="004A74DA">
        <w:rPr>
          <w:rFonts w:ascii="Times New Roman" w:hAnsi="Times New Roman" w:cs="Times New Roman"/>
          <w:sz w:val="28"/>
          <w:szCs w:val="28"/>
        </w:rPr>
        <w:t xml:space="preserve">, </w:t>
      </w:r>
      <w:r w:rsidR="007E6F9A" w:rsidRPr="004A74DA">
        <w:rPr>
          <w:rFonts w:ascii="Times New Roman" w:hAnsi="Times New Roman" w:cs="Times New Roman"/>
          <w:sz w:val="28"/>
          <w:szCs w:val="28"/>
        </w:rPr>
        <w:t>Bộ Tài chính</w:t>
      </w:r>
      <w:r w:rsidRPr="00CF22E1">
        <w:rPr>
          <w:rFonts w:ascii="Times New Roman" w:hAnsi="Times New Roman" w:cs="Times New Roman"/>
          <w:sz w:val="28"/>
          <w:szCs w:val="28"/>
        </w:rPr>
        <w:t xml:space="preserve"> đ</w:t>
      </w:r>
      <w:r w:rsidRPr="004A74DA">
        <w:rPr>
          <w:rFonts w:ascii="Times New Roman" w:hAnsi="Times New Roman" w:cs="Times New Roman"/>
          <w:sz w:val="28"/>
          <w:szCs w:val="28"/>
        </w:rPr>
        <w:t>ã ti</w:t>
      </w:r>
      <w:r w:rsidRPr="00CF22E1">
        <w:rPr>
          <w:rFonts w:ascii="Times New Roman" w:hAnsi="Times New Roman" w:cs="Times New Roman"/>
          <w:sz w:val="28"/>
          <w:szCs w:val="28"/>
        </w:rPr>
        <w:t>ến h</w:t>
      </w:r>
      <w:r w:rsidRPr="004A74DA">
        <w:rPr>
          <w:rFonts w:ascii="Times New Roman" w:hAnsi="Times New Roman" w:cs="Times New Roman"/>
          <w:sz w:val="28"/>
          <w:szCs w:val="28"/>
        </w:rPr>
        <w:t>ành đánh giá th</w:t>
      </w:r>
      <w:r w:rsidRPr="00CF22E1">
        <w:rPr>
          <w:rFonts w:ascii="Times New Roman" w:hAnsi="Times New Roman" w:cs="Times New Roman"/>
          <w:sz w:val="28"/>
          <w:szCs w:val="28"/>
        </w:rPr>
        <w:t>ủ tục h</w:t>
      </w:r>
      <w:r w:rsidRPr="004A74DA">
        <w:rPr>
          <w:rFonts w:ascii="Times New Roman" w:hAnsi="Times New Roman" w:cs="Times New Roman"/>
          <w:sz w:val="28"/>
          <w:szCs w:val="28"/>
        </w:rPr>
        <w:t>ành chính, vi</w:t>
      </w:r>
      <w:r w:rsidRPr="00CF22E1">
        <w:rPr>
          <w:rFonts w:ascii="Times New Roman" w:hAnsi="Times New Roman" w:cs="Times New Roman"/>
          <w:sz w:val="28"/>
          <w:szCs w:val="28"/>
        </w:rPr>
        <w:t>ệc ph</w:t>
      </w:r>
      <w:r w:rsidRPr="004A74DA">
        <w:rPr>
          <w:rFonts w:ascii="Times New Roman" w:hAnsi="Times New Roman" w:cs="Times New Roman"/>
          <w:sz w:val="28"/>
          <w:szCs w:val="28"/>
        </w:rPr>
        <w:t>ân quy</w:t>
      </w:r>
      <w:r w:rsidRPr="00CF22E1">
        <w:rPr>
          <w:rFonts w:ascii="Times New Roman" w:hAnsi="Times New Roman" w:cs="Times New Roman"/>
          <w:sz w:val="28"/>
          <w:szCs w:val="28"/>
        </w:rPr>
        <w:t>ền, ph</w:t>
      </w:r>
      <w:r w:rsidRPr="004A74DA">
        <w:rPr>
          <w:rFonts w:ascii="Times New Roman" w:hAnsi="Times New Roman" w:cs="Times New Roman"/>
          <w:sz w:val="28"/>
          <w:szCs w:val="28"/>
        </w:rPr>
        <w:t>ân c</w:t>
      </w:r>
      <w:r w:rsidRPr="00CF22E1">
        <w:rPr>
          <w:rFonts w:ascii="Times New Roman" w:hAnsi="Times New Roman" w:cs="Times New Roman"/>
          <w:sz w:val="28"/>
          <w:szCs w:val="28"/>
        </w:rPr>
        <w:t>ấp, việc ứng dụng, th</w:t>
      </w:r>
      <w:r w:rsidRPr="004A74DA">
        <w:rPr>
          <w:rFonts w:ascii="Times New Roman" w:hAnsi="Times New Roman" w:cs="Times New Roman"/>
          <w:sz w:val="28"/>
          <w:szCs w:val="28"/>
        </w:rPr>
        <w:t>úc đ</w:t>
      </w:r>
      <w:r w:rsidRPr="00CF22E1">
        <w:rPr>
          <w:rFonts w:ascii="Times New Roman" w:hAnsi="Times New Roman" w:cs="Times New Roman"/>
          <w:sz w:val="28"/>
          <w:szCs w:val="28"/>
        </w:rPr>
        <w:t>ẩy ph</w:t>
      </w:r>
      <w:r w:rsidRPr="004A74DA">
        <w:rPr>
          <w:rFonts w:ascii="Times New Roman" w:hAnsi="Times New Roman" w:cs="Times New Roman"/>
          <w:sz w:val="28"/>
          <w:szCs w:val="28"/>
        </w:rPr>
        <w:t>át tri</w:t>
      </w:r>
      <w:r w:rsidRPr="00CF22E1">
        <w:rPr>
          <w:rFonts w:ascii="Times New Roman" w:hAnsi="Times New Roman" w:cs="Times New Roman"/>
          <w:sz w:val="28"/>
          <w:szCs w:val="28"/>
        </w:rPr>
        <w:t>ển khoa học, c</w:t>
      </w:r>
      <w:r w:rsidRPr="004A74DA">
        <w:rPr>
          <w:rFonts w:ascii="Times New Roman" w:hAnsi="Times New Roman" w:cs="Times New Roman"/>
          <w:sz w:val="28"/>
          <w:szCs w:val="28"/>
        </w:rPr>
        <w:t>ông ngh</w:t>
      </w:r>
      <w:r w:rsidRPr="00CF22E1">
        <w:rPr>
          <w:rFonts w:ascii="Times New Roman" w:hAnsi="Times New Roman" w:cs="Times New Roman"/>
          <w:sz w:val="28"/>
          <w:szCs w:val="28"/>
        </w:rPr>
        <w:t>ệ, đổi mới s</w:t>
      </w:r>
      <w:r w:rsidRPr="004A74DA">
        <w:rPr>
          <w:rFonts w:ascii="Times New Roman" w:hAnsi="Times New Roman" w:cs="Times New Roman"/>
          <w:sz w:val="28"/>
          <w:szCs w:val="28"/>
        </w:rPr>
        <w:t>áng t</w:t>
      </w:r>
      <w:r w:rsidRPr="00CF22E1">
        <w:rPr>
          <w:rFonts w:ascii="Times New Roman" w:hAnsi="Times New Roman" w:cs="Times New Roman"/>
          <w:sz w:val="28"/>
          <w:szCs w:val="28"/>
        </w:rPr>
        <w:t>ạo v</w:t>
      </w:r>
      <w:r w:rsidRPr="004A74DA">
        <w:rPr>
          <w:rFonts w:ascii="Times New Roman" w:hAnsi="Times New Roman" w:cs="Times New Roman"/>
          <w:sz w:val="28"/>
          <w:szCs w:val="28"/>
        </w:rPr>
        <w:t>à chuy</w:t>
      </w:r>
      <w:r w:rsidRPr="00CF22E1">
        <w:rPr>
          <w:rFonts w:ascii="Times New Roman" w:hAnsi="Times New Roman" w:cs="Times New Roman"/>
          <w:sz w:val="28"/>
          <w:szCs w:val="28"/>
        </w:rPr>
        <w:t>ển đổi số, việc bảo đảm b</w:t>
      </w:r>
      <w:r w:rsidRPr="004A74DA">
        <w:rPr>
          <w:rFonts w:ascii="Times New Roman" w:hAnsi="Times New Roman" w:cs="Times New Roman"/>
          <w:sz w:val="28"/>
          <w:szCs w:val="28"/>
        </w:rPr>
        <w:t>ình đ</w:t>
      </w:r>
      <w:r w:rsidRPr="00CF22E1">
        <w:rPr>
          <w:rFonts w:ascii="Times New Roman" w:hAnsi="Times New Roman" w:cs="Times New Roman"/>
          <w:sz w:val="28"/>
          <w:szCs w:val="28"/>
        </w:rPr>
        <w:t>ẳng giới, việc thực hiện ch</w:t>
      </w:r>
      <w:r w:rsidRPr="004A74DA">
        <w:rPr>
          <w:rFonts w:ascii="Times New Roman" w:hAnsi="Times New Roman" w:cs="Times New Roman"/>
          <w:sz w:val="28"/>
          <w:szCs w:val="28"/>
        </w:rPr>
        <w:t>ính sách dân t</w:t>
      </w:r>
      <w:r w:rsidRPr="00CF22E1">
        <w:rPr>
          <w:rFonts w:ascii="Times New Roman" w:hAnsi="Times New Roman" w:cs="Times New Roman"/>
          <w:sz w:val="28"/>
          <w:szCs w:val="28"/>
        </w:rPr>
        <w:t xml:space="preserve">ộc trong </w:t>
      </w:r>
      <w:r w:rsidR="00CF22E1" w:rsidRPr="004A74DA">
        <w:rPr>
          <w:rFonts w:ascii="Times New Roman" w:hAnsi="Times New Roman" w:cs="Times New Roman"/>
          <w:sz w:val="28"/>
          <w:szCs w:val="28"/>
        </w:rPr>
        <w:t>dự thảo Nghị định của Chính phủ q</w:t>
      </w:r>
      <w:r w:rsidR="00CF22E1" w:rsidRPr="00CF22E1">
        <w:rPr>
          <w:rFonts w:ascii="Times New Roman" w:hAnsi="Times New Roman" w:cs="Times New Roman"/>
          <w:sz w:val="28"/>
          <w:szCs w:val="28"/>
        </w:rPr>
        <w:t xml:space="preserve">uy định </w:t>
      </w:r>
      <w:r w:rsidR="00A40A22">
        <w:rPr>
          <w:rFonts w:ascii="Times New Roman" w:hAnsi="Times New Roman" w:cs="Times New Roman"/>
          <w:sz w:val="28"/>
          <w:szCs w:val="28"/>
          <w:lang w:val="en-US"/>
        </w:rPr>
        <w:t>v</w:t>
      </w:r>
      <w:r w:rsidR="00A40A22" w:rsidRPr="00A40A22">
        <w:rPr>
          <w:rFonts w:ascii="Times New Roman" w:hAnsi="Times New Roman" w:cs="Times New Roman"/>
          <w:sz w:val="28"/>
          <w:szCs w:val="28"/>
        </w:rPr>
        <w:t>ề thanh toán, quyết toán</w:t>
      </w:r>
      <w:r w:rsidR="00824CBB">
        <w:rPr>
          <w:rFonts w:ascii="Times New Roman" w:hAnsi="Times New Roman" w:cs="Times New Roman"/>
          <w:sz w:val="28"/>
          <w:szCs w:val="28"/>
          <w:lang w:val="en-US"/>
        </w:rPr>
        <w:t xml:space="preserve"> vốn ngân sách nhà nước để</w:t>
      </w:r>
      <w:r w:rsidR="00A40A22" w:rsidRPr="00A40A22">
        <w:rPr>
          <w:rFonts w:ascii="Times New Roman" w:hAnsi="Times New Roman" w:cs="Times New Roman"/>
          <w:sz w:val="28"/>
          <w:szCs w:val="28"/>
        </w:rPr>
        <w:t xml:space="preserve"> cấp bù lãi suất</w:t>
      </w:r>
      <w:r w:rsidR="00824CBB">
        <w:rPr>
          <w:rFonts w:ascii="Times New Roman" w:hAnsi="Times New Roman" w:cs="Times New Roman"/>
          <w:sz w:val="28"/>
          <w:szCs w:val="28"/>
          <w:lang w:val="en-US"/>
        </w:rPr>
        <w:t xml:space="preserve"> cho</w:t>
      </w:r>
      <w:r w:rsidR="00A40A22" w:rsidRPr="00A40A22">
        <w:rPr>
          <w:rFonts w:ascii="Times New Roman" w:hAnsi="Times New Roman" w:cs="Times New Roman"/>
          <w:sz w:val="28"/>
          <w:szCs w:val="28"/>
        </w:rPr>
        <w:t xml:space="preserve"> các ngân hàng thương mại</w:t>
      </w:r>
      <w:r w:rsidR="00824CBB">
        <w:rPr>
          <w:rFonts w:ascii="Times New Roman" w:hAnsi="Times New Roman" w:cs="Times New Roman"/>
          <w:sz w:val="28"/>
          <w:szCs w:val="28"/>
          <w:lang w:val="en-US"/>
        </w:rPr>
        <w:t xml:space="preserve"> thực hiện các chính sách tín dụng ưu đãi của Nhà nước</w:t>
      </w:r>
      <w:r w:rsidR="00060AE0" w:rsidRPr="004A74DA">
        <w:rPr>
          <w:rFonts w:ascii="Times New Roman" w:hAnsi="Times New Roman" w:cs="Times New Roman"/>
          <w:sz w:val="28"/>
          <w:szCs w:val="28"/>
        </w:rPr>
        <w:t xml:space="preserve"> (sau đây gọi tắt là dự thảo Nghị định)</w:t>
      </w:r>
      <w:r w:rsidRPr="00CF22E1">
        <w:rPr>
          <w:rFonts w:ascii="Times New Roman" w:hAnsi="Times New Roman" w:cs="Times New Roman"/>
          <w:sz w:val="28"/>
          <w:szCs w:val="28"/>
        </w:rPr>
        <w:t xml:space="preserve">. Kết quả </w:t>
      </w:r>
      <w:r w:rsidR="00CF22E1" w:rsidRPr="004A74DA">
        <w:rPr>
          <w:rFonts w:ascii="Times New Roman" w:hAnsi="Times New Roman" w:cs="Times New Roman"/>
          <w:sz w:val="28"/>
          <w:szCs w:val="28"/>
        </w:rPr>
        <w:t xml:space="preserve">đánh giá </w:t>
      </w:r>
      <w:r w:rsidRPr="00CF22E1">
        <w:rPr>
          <w:rFonts w:ascii="Times New Roman" w:hAnsi="Times New Roman" w:cs="Times New Roman"/>
          <w:sz w:val="28"/>
          <w:szCs w:val="28"/>
        </w:rPr>
        <w:t>như sau:</w:t>
      </w:r>
    </w:p>
    <w:p w:rsidR="00302103" w:rsidRPr="004A74DA" w:rsidRDefault="00302103" w:rsidP="00CF22E1">
      <w:pPr>
        <w:autoSpaceDE w:val="0"/>
        <w:autoSpaceDN w:val="0"/>
        <w:adjustRightInd w:val="0"/>
        <w:spacing w:before="120"/>
        <w:ind w:firstLine="709"/>
        <w:jc w:val="both"/>
        <w:rPr>
          <w:rFonts w:ascii="Times New Roman" w:hAnsi="Times New Roman" w:cs="Times New Roman"/>
          <w:sz w:val="28"/>
          <w:szCs w:val="28"/>
        </w:rPr>
      </w:pPr>
      <w:r w:rsidRPr="00CF22E1">
        <w:rPr>
          <w:rFonts w:ascii="Times New Roman" w:hAnsi="Times New Roman" w:cs="Times New Roman"/>
          <w:b/>
          <w:bCs/>
          <w:sz w:val="28"/>
          <w:szCs w:val="28"/>
        </w:rPr>
        <w:t>I. TỔ CHỨC THỰC HIỆN Đ</w:t>
      </w:r>
      <w:r w:rsidRPr="004A74DA">
        <w:rPr>
          <w:rFonts w:ascii="Times New Roman" w:hAnsi="Times New Roman" w:cs="Times New Roman"/>
          <w:b/>
          <w:bCs/>
          <w:sz w:val="28"/>
          <w:szCs w:val="28"/>
        </w:rPr>
        <w:t>ÁNH GIÁ</w:t>
      </w:r>
    </w:p>
    <w:p w:rsidR="00302103" w:rsidRDefault="00302103" w:rsidP="00CF22E1">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1. Bối cảnh x</w:t>
      </w:r>
      <w:r w:rsidRPr="004A74DA">
        <w:rPr>
          <w:rFonts w:ascii="Times New Roman" w:hAnsi="Times New Roman" w:cs="Times New Roman"/>
          <w:b/>
          <w:bCs/>
          <w:sz w:val="28"/>
          <w:szCs w:val="28"/>
        </w:rPr>
        <w:t>ây d</w:t>
      </w:r>
      <w:r w:rsidRPr="00CF22E1">
        <w:rPr>
          <w:rFonts w:ascii="Times New Roman" w:hAnsi="Times New Roman" w:cs="Times New Roman"/>
          <w:b/>
          <w:bCs/>
          <w:sz w:val="28"/>
          <w:szCs w:val="28"/>
        </w:rPr>
        <w:t xml:space="preserve">ựng </w:t>
      </w:r>
      <w:r w:rsidRPr="004A74DA">
        <w:rPr>
          <w:rFonts w:ascii="Times New Roman" w:hAnsi="Times New Roman" w:cs="Times New Roman"/>
          <w:b/>
          <w:bCs/>
          <w:sz w:val="28"/>
          <w:szCs w:val="28"/>
        </w:rPr>
        <w:t>d</w:t>
      </w:r>
      <w:r w:rsidRPr="00CF22E1">
        <w:rPr>
          <w:rFonts w:ascii="Times New Roman" w:hAnsi="Times New Roman" w:cs="Times New Roman"/>
          <w:b/>
          <w:bCs/>
          <w:sz w:val="28"/>
          <w:szCs w:val="28"/>
        </w:rPr>
        <w:t xml:space="preserve">ự thảo </w:t>
      </w:r>
    </w:p>
    <w:p w:rsidR="004A74DA" w:rsidRPr="004A74DA" w:rsidRDefault="004A74DA" w:rsidP="004A74DA">
      <w:pPr>
        <w:autoSpaceDE w:val="0"/>
        <w:autoSpaceDN w:val="0"/>
        <w:adjustRightInd w:val="0"/>
        <w:spacing w:before="120"/>
        <w:ind w:firstLine="709"/>
        <w:jc w:val="both"/>
        <w:rPr>
          <w:rFonts w:ascii="Times New Roman" w:hAnsi="Times New Roman" w:cs="Times New Roman"/>
          <w:bCs/>
          <w:sz w:val="28"/>
          <w:szCs w:val="28"/>
        </w:rPr>
      </w:pPr>
      <w:r w:rsidRPr="004A74DA">
        <w:rPr>
          <w:rFonts w:ascii="Times New Roman" w:hAnsi="Times New Roman" w:cs="Times New Roman"/>
          <w:bCs/>
          <w:sz w:val="28"/>
          <w:szCs w:val="28"/>
        </w:rPr>
        <w:t xml:space="preserve">Việc xây dựng và trình Chính phủ ban hành </w:t>
      </w:r>
      <w:r w:rsidR="007C7EF2" w:rsidRPr="004A74DA">
        <w:rPr>
          <w:rFonts w:ascii="Times New Roman" w:hAnsi="Times New Roman" w:cs="Times New Roman"/>
          <w:sz w:val="28"/>
          <w:szCs w:val="28"/>
        </w:rPr>
        <w:t>Nghị định của Chính phủ q</w:t>
      </w:r>
      <w:r w:rsidR="007C7EF2" w:rsidRPr="00CF22E1">
        <w:rPr>
          <w:rFonts w:ascii="Times New Roman" w:hAnsi="Times New Roman" w:cs="Times New Roman"/>
          <w:sz w:val="28"/>
          <w:szCs w:val="28"/>
        </w:rPr>
        <w:t xml:space="preserve">uy định </w:t>
      </w:r>
      <w:r w:rsidR="007C7EF2">
        <w:rPr>
          <w:rFonts w:ascii="Times New Roman" w:hAnsi="Times New Roman" w:cs="Times New Roman"/>
          <w:sz w:val="28"/>
          <w:szCs w:val="28"/>
          <w:lang w:val="en-US"/>
        </w:rPr>
        <w:t>v</w:t>
      </w:r>
      <w:r w:rsidR="007C7EF2" w:rsidRPr="00A40A22">
        <w:rPr>
          <w:rFonts w:ascii="Times New Roman" w:hAnsi="Times New Roman" w:cs="Times New Roman"/>
          <w:sz w:val="28"/>
          <w:szCs w:val="28"/>
        </w:rPr>
        <w:t>ề thanh toán, quyết toán</w:t>
      </w:r>
      <w:r w:rsidR="007C7EF2">
        <w:rPr>
          <w:rFonts w:ascii="Times New Roman" w:hAnsi="Times New Roman" w:cs="Times New Roman"/>
          <w:sz w:val="28"/>
          <w:szCs w:val="28"/>
          <w:lang w:val="en-US"/>
        </w:rPr>
        <w:t xml:space="preserve"> vốn ngân sách nhà nước để</w:t>
      </w:r>
      <w:r w:rsidR="007C7EF2" w:rsidRPr="00A40A22">
        <w:rPr>
          <w:rFonts w:ascii="Times New Roman" w:hAnsi="Times New Roman" w:cs="Times New Roman"/>
          <w:sz w:val="28"/>
          <w:szCs w:val="28"/>
        </w:rPr>
        <w:t xml:space="preserve"> cấp bù lãi suất</w:t>
      </w:r>
      <w:r w:rsidR="007C7EF2">
        <w:rPr>
          <w:rFonts w:ascii="Times New Roman" w:hAnsi="Times New Roman" w:cs="Times New Roman"/>
          <w:sz w:val="28"/>
          <w:szCs w:val="28"/>
          <w:lang w:val="en-US"/>
        </w:rPr>
        <w:t xml:space="preserve"> cho</w:t>
      </w:r>
      <w:r w:rsidR="007C7EF2" w:rsidRPr="00A40A22">
        <w:rPr>
          <w:rFonts w:ascii="Times New Roman" w:hAnsi="Times New Roman" w:cs="Times New Roman"/>
          <w:sz w:val="28"/>
          <w:szCs w:val="28"/>
        </w:rPr>
        <w:t xml:space="preserve"> các ngân hàng thương mại</w:t>
      </w:r>
      <w:r w:rsidR="007C7EF2">
        <w:rPr>
          <w:rFonts w:ascii="Times New Roman" w:hAnsi="Times New Roman" w:cs="Times New Roman"/>
          <w:sz w:val="28"/>
          <w:szCs w:val="28"/>
          <w:lang w:val="en-US"/>
        </w:rPr>
        <w:t xml:space="preserve"> thực hiện các chính sách tín dụng ưu đãi của Nhà nước</w:t>
      </w:r>
      <w:r w:rsidR="007C7EF2" w:rsidRPr="004A74DA">
        <w:rPr>
          <w:rFonts w:ascii="Times New Roman" w:hAnsi="Times New Roman" w:cs="Times New Roman"/>
          <w:sz w:val="28"/>
          <w:szCs w:val="28"/>
        </w:rPr>
        <w:t xml:space="preserve"> </w:t>
      </w:r>
      <w:r w:rsidRPr="004A74DA">
        <w:rPr>
          <w:rFonts w:ascii="Times New Roman" w:hAnsi="Times New Roman" w:cs="Times New Roman"/>
          <w:bCs/>
          <w:sz w:val="28"/>
          <w:szCs w:val="28"/>
        </w:rPr>
        <w:t>là yêu cầu cấp thiết, xuất phát từ sự cần thiết phải thể chế hóa kịp thời các chủ trương, định hướng lớn của Đảng, Quốc hội và Chính phủ trong công tác xây dựng pháp luật. Trong thời gian qua, công tác xây dựng, hoàn thiện thể chế pháp luật luôn được xác định là một trong ba đột phá chiến lược. Các chỉ đạo tại Kết luận số 119-KL/TW của Bộ Chính trị, văn bản số 108-KL/VPTW của Văn phòng Trung ương Đảng, cũng như công văn số 868/TTg-TKBT của Thủ tướng Chính phủ đều nhấn mạnh yêu cầu đổi mới mạnh mẽ tư duy và quy trình xây dựng pháp luật theo hướng bám sát thực tiễn, thúc đẩy phát triển, quản lý hiệu quả và tăng tính k</w:t>
      </w:r>
      <w:r>
        <w:rPr>
          <w:rFonts w:ascii="Times New Roman" w:hAnsi="Times New Roman" w:cs="Times New Roman"/>
          <w:bCs/>
          <w:sz w:val="28"/>
          <w:szCs w:val="28"/>
        </w:rPr>
        <w:t>hả thi trong tổ chức thực hiện.</w:t>
      </w:r>
    </w:p>
    <w:p w:rsidR="004A74DA" w:rsidRPr="004A74DA" w:rsidRDefault="004A74DA" w:rsidP="004A74DA">
      <w:pPr>
        <w:autoSpaceDE w:val="0"/>
        <w:autoSpaceDN w:val="0"/>
        <w:adjustRightInd w:val="0"/>
        <w:spacing w:before="120"/>
        <w:ind w:firstLine="709"/>
        <w:jc w:val="both"/>
        <w:rPr>
          <w:rFonts w:ascii="Times New Roman" w:hAnsi="Times New Roman" w:cs="Times New Roman"/>
          <w:bCs/>
          <w:sz w:val="28"/>
          <w:szCs w:val="28"/>
        </w:rPr>
      </w:pPr>
      <w:r w:rsidRPr="004A74DA">
        <w:rPr>
          <w:rFonts w:ascii="Times New Roman" w:hAnsi="Times New Roman" w:cs="Times New Roman"/>
          <w:bCs/>
          <w:sz w:val="28"/>
          <w:szCs w:val="28"/>
        </w:rPr>
        <w:t>Bên cạnh đó</w:t>
      </w:r>
      <w:r w:rsidR="00194084">
        <w:rPr>
          <w:rFonts w:ascii="Times New Roman" w:hAnsi="Times New Roman" w:cs="Times New Roman"/>
          <w:bCs/>
          <w:sz w:val="28"/>
          <w:szCs w:val="28"/>
        </w:rPr>
        <w:t>, các quy định hiện hành về cấp bù lãi suất đang chưa được</w:t>
      </w:r>
      <w:r w:rsidRPr="004A74DA">
        <w:rPr>
          <w:rFonts w:ascii="Times New Roman" w:hAnsi="Times New Roman" w:cs="Times New Roman"/>
          <w:bCs/>
          <w:sz w:val="28"/>
          <w:szCs w:val="28"/>
        </w:rPr>
        <w:t xml:space="preserve"> cập nhật phù hợp với các </w:t>
      </w:r>
      <w:r w:rsidR="00174EF8">
        <w:rPr>
          <w:rFonts w:ascii="Times New Roman" w:hAnsi="Times New Roman" w:cs="Times New Roman"/>
          <w:bCs/>
          <w:sz w:val="28"/>
          <w:szCs w:val="28"/>
          <w:lang w:val="en-US"/>
        </w:rPr>
        <w:t>văn bản quy phạm pháp luật</w:t>
      </w:r>
      <w:r w:rsidRPr="004A74DA">
        <w:rPr>
          <w:rFonts w:ascii="Times New Roman" w:hAnsi="Times New Roman" w:cs="Times New Roman"/>
          <w:bCs/>
          <w:sz w:val="28"/>
          <w:szCs w:val="28"/>
        </w:rPr>
        <w:t xml:space="preserve"> mới ban hành. Theo Luật Đầu tư công năm 2019 (và tiếp tục được kế thừa trong Luật</w:t>
      </w:r>
      <w:r w:rsidR="00817AD8">
        <w:rPr>
          <w:rFonts w:ascii="Times New Roman" w:hAnsi="Times New Roman" w:cs="Times New Roman"/>
          <w:bCs/>
          <w:sz w:val="28"/>
          <w:szCs w:val="28"/>
          <w:lang w:val="en-US"/>
        </w:rPr>
        <w:t xml:space="preserve"> Đầu tư công</w:t>
      </w:r>
      <w:r w:rsidRPr="004A74DA">
        <w:rPr>
          <w:rFonts w:ascii="Times New Roman" w:hAnsi="Times New Roman" w:cs="Times New Roman"/>
          <w:bCs/>
          <w:sz w:val="28"/>
          <w:szCs w:val="28"/>
        </w:rPr>
        <w:t xml:space="preserve"> năm 2024), cấp bù lãi suất tín dụng ưu đãi đã được xác định là một hình thức đầu tư công</w:t>
      </w:r>
      <w:r w:rsidR="00194084">
        <w:rPr>
          <w:rFonts w:ascii="Times New Roman" w:hAnsi="Times New Roman" w:cs="Times New Roman"/>
          <w:bCs/>
          <w:sz w:val="28"/>
          <w:szCs w:val="28"/>
        </w:rPr>
        <w:t>. Tuy nhiên, các văn bản hướng dẫn thi hành quy định cụ thể về quy trình thanh toán, quyết toán đối với việc cấp bù lãi suất cho các ngân hàng thương mại để thực hiện chính sách tín dụng của Nhà nước</w:t>
      </w:r>
      <w:r w:rsidR="00194084" w:rsidRPr="00194084">
        <w:rPr>
          <w:rFonts w:ascii="Times New Roman" w:hAnsi="Times New Roman" w:cs="Times New Roman"/>
          <w:bCs/>
          <w:sz w:val="28"/>
          <w:szCs w:val="28"/>
          <w:lang w:val="en-US"/>
        </w:rPr>
        <w:t xml:space="preserve"> đều được ban hành trước khi Luật Đầu tư công năm 2019 được ban hành và có hiệu lực</w:t>
      </w:r>
      <w:r w:rsidR="00194084">
        <w:rPr>
          <w:rFonts w:ascii="Times New Roman" w:hAnsi="Times New Roman" w:cs="Times New Roman"/>
          <w:bCs/>
          <w:sz w:val="28"/>
          <w:szCs w:val="28"/>
        </w:rPr>
        <w:t>.</w:t>
      </w:r>
      <w:r w:rsidRPr="004A74DA">
        <w:rPr>
          <w:rFonts w:ascii="Times New Roman" w:hAnsi="Times New Roman" w:cs="Times New Roman"/>
          <w:bCs/>
          <w:sz w:val="28"/>
          <w:szCs w:val="28"/>
        </w:rPr>
        <w:t xml:space="preserve"> </w:t>
      </w:r>
    </w:p>
    <w:p w:rsidR="004A74DA" w:rsidRPr="004A74DA" w:rsidRDefault="004A74DA" w:rsidP="004A74DA">
      <w:pPr>
        <w:autoSpaceDE w:val="0"/>
        <w:autoSpaceDN w:val="0"/>
        <w:adjustRightInd w:val="0"/>
        <w:spacing w:before="120"/>
        <w:ind w:firstLine="709"/>
        <w:jc w:val="both"/>
        <w:rPr>
          <w:rFonts w:ascii="Times New Roman" w:hAnsi="Times New Roman" w:cs="Times New Roman"/>
          <w:bCs/>
          <w:sz w:val="28"/>
          <w:szCs w:val="28"/>
        </w:rPr>
      </w:pPr>
      <w:r w:rsidRPr="004A74DA">
        <w:rPr>
          <w:rFonts w:ascii="Times New Roman" w:hAnsi="Times New Roman" w:cs="Times New Roman"/>
          <w:bCs/>
          <w:sz w:val="28"/>
          <w:szCs w:val="28"/>
        </w:rPr>
        <w:lastRenderedPageBreak/>
        <w:t>Về thực tiễn, quá trình triển khai các chương trình tín dụng có sử dụng ngân sách nhà nước như chương trình hỗ trợ lãi suất 2% theo Nghị quyết số 43/2022/</w:t>
      </w:r>
      <w:r w:rsidR="00194084">
        <w:rPr>
          <w:rFonts w:ascii="Times New Roman" w:hAnsi="Times New Roman" w:cs="Times New Roman"/>
          <w:bCs/>
          <w:sz w:val="28"/>
          <w:szCs w:val="28"/>
        </w:rPr>
        <w:t xml:space="preserve">QH15 đã đặt ra yêu cầu phải có quy trình quản lý, thanh toán, quyết toán rõ ràng, đồng bộ và phù hợp với </w:t>
      </w:r>
      <w:r w:rsidR="00194084" w:rsidRPr="00194084">
        <w:rPr>
          <w:rFonts w:ascii="Times New Roman" w:hAnsi="Times New Roman" w:cs="Times New Roman"/>
          <w:bCs/>
          <w:sz w:val="28"/>
          <w:szCs w:val="28"/>
          <w:lang w:val="en-US"/>
        </w:rPr>
        <w:t xml:space="preserve">Luật Đầu tư công và với </w:t>
      </w:r>
      <w:r w:rsidR="00194084" w:rsidRPr="00194084">
        <w:rPr>
          <w:rFonts w:ascii="Times New Roman" w:hAnsi="Times New Roman" w:cs="Times New Roman"/>
          <w:bCs/>
          <w:sz w:val="28"/>
          <w:szCs w:val="28"/>
        </w:rPr>
        <w:t xml:space="preserve">thực </w:t>
      </w:r>
      <w:r w:rsidR="00194084" w:rsidRPr="00194084">
        <w:rPr>
          <w:rFonts w:ascii="Times New Roman" w:hAnsi="Times New Roman" w:cs="Times New Roman"/>
          <w:bCs/>
          <w:sz w:val="28"/>
          <w:szCs w:val="28"/>
          <w:lang w:val="en-US"/>
        </w:rPr>
        <w:t>tiễn triển khai</w:t>
      </w:r>
      <w:r w:rsidR="00194084" w:rsidRPr="00194084">
        <w:rPr>
          <w:rFonts w:ascii="Times New Roman" w:hAnsi="Times New Roman" w:cs="Times New Roman"/>
          <w:bCs/>
          <w:sz w:val="28"/>
          <w:szCs w:val="28"/>
        </w:rPr>
        <w:t>. Đồng thời</w:t>
      </w:r>
      <w:r w:rsidRPr="004A74DA">
        <w:rPr>
          <w:rFonts w:ascii="Times New Roman" w:hAnsi="Times New Roman" w:cs="Times New Roman"/>
          <w:bCs/>
          <w:sz w:val="28"/>
          <w:szCs w:val="28"/>
        </w:rPr>
        <w:t xml:space="preserve">, việc ban hành các chính sách mới như theo Nghị quyết </w:t>
      </w:r>
      <w:r w:rsidR="00682EC3">
        <w:rPr>
          <w:rFonts w:ascii="Times New Roman" w:hAnsi="Times New Roman" w:cs="Times New Roman"/>
          <w:bCs/>
          <w:sz w:val="28"/>
          <w:szCs w:val="28"/>
          <w:lang w:val="en-US"/>
        </w:rPr>
        <w:t xml:space="preserve">số </w:t>
      </w:r>
      <w:r w:rsidRPr="004A74DA">
        <w:rPr>
          <w:rFonts w:ascii="Times New Roman" w:hAnsi="Times New Roman" w:cs="Times New Roman"/>
          <w:bCs/>
          <w:sz w:val="28"/>
          <w:szCs w:val="28"/>
        </w:rPr>
        <w:t>198/2025/QH15</w:t>
      </w:r>
      <w:r w:rsidR="00682EC3">
        <w:rPr>
          <w:rFonts w:ascii="Times New Roman" w:hAnsi="Times New Roman" w:cs="Times New Roman"/>
          <w:bCs/>
          <w:sz w:val="28"/>
          <w:szCs w:val="28"/>
          <w:lang w:val="en-US"/>
        </w:rPr>
        <w:t xml:space="preserve"> ngày 17/05/2025</w:t>
      </w:r>
      <w:r w:rsidRPr="004A74DA">
        <w:rPr>
          <w:rFonts w:ascii="Times New Roman" w:hAnsi="Times New Roman" w:cs="Times New Roman"/>
          <w:bCs/>
          <w:sz w:val="28"/>
          <w:szCs w:val="28"/>
        </w:rPr>
        <w:t xml:space="preserve"> về hỗ trợ lãi suất cho doanh nghiệp tư nhân trong các dự án xanh, tuần hoàn càng </w:t>
      </w:r>
      <w:r w:rsidR="00682EC3">
        <w:rPr>
          <w:rFonts w:ascii="Times New Roman" w:hAnsi="Times New Roman" w:cs="Times New Roman"/>
          <w:bCs/>
          <w:sz w:val="28"/>
          <w:szCs w:val="28"/>
          <w:lang w:val="en-US"/>
        </w:rPr>
        <w:t>đặt ra</w:t>
      </w:r>
      <w:r w:rsidRPr="004A74DA">
        <w:rPr>
          <w:rFonts w:ascii="Times New Roman" w:hAnsi="Times New Roman" w:cs="Times New Roman"/>
          <w:bCs/>
          <w:sz w:val="28"/>
          <w:szCs w:val="28"/>
        </w:rPr>
        <w:t xml:space="preserve"> yêu cầu cấp thiết phải có cơ sở pháp lý</w:t>
      </w:r>
      <w:r w:rsidR="005C2049">
        <w:rPr>
          <w:rFonts w:ascii="Times New Roman" w:hAnsi="Times New Roman" w:cs="Times New Roman"/>
          <w:bCs/>
          <w:sz w:val="28"/>
          <w:szCs w:val="28"/>
          <w:lang w:val="en-US"/>
        </w:rPr>
        <w:t>m, quy trình</w:t>
      </w:r>
      <w:r w:rsidRPr="004A74DA">
        <w:rPr>
          <w:rFonts w:ascii="Times New Roman" w:hAnsi="Times New Roman" w:cs="Times New Roman"/>
          <w:bCs/>
          <w:sz w:val="28"/>
          <w:szCs w:val="28"/>
        </w:rPr>
        <w:t xml:space="preserve"> đầy đủ, thống nhất và minh bạch để thực hiện các chương trình này một cách hiệu qu</w:t>
      </w:r>
      <w:r>
        <w:rPr>
          <w:rFonts w:ascii="Times New Roman" w:hAnsi="Times New Roman" w:cs="Times New Roman"/>
          <w:bCs/>
          <w:sz w:val="28"/>
          <w:szCs w:val="28"/>
        </w:rPr>
        <w:t>ả, tránh lúng túng, chồng chéo.</w:t>
      </w:r>
    </w:p>
    <w:p w:rsidR="004A74DA" w:rsidRPr="004A74DA" w:rsidRDefault="004A74DA" w:rsidP="004A74DA">
      <w:pPr>
        <w:autoSpaceDE w:val="0"/>
        <w:autoSpaceDN w:val="0"/>
        <w:adjustRightInd w:val="0"/>
        <w:spacing w:before="120"/>
        <w:ind w:firstLine="709"/>
        <w:jc w:val="both"/>
        <w:rPr>
          <w:rFonts w:ascii="Times New Roman" w:hAnsi="Times New Roman" w:cs="Times New Roman"/>
          <w:bCs/>
          <w:sz w:val="28"/>
          <w:szCs w:val="28"/>
        </w:rPr>
      </w:pPr>
      <w:r w:rsidRPr="004A74DA">
        <w:rPr>
          <w:rFonts w:ascii="Times New Roman" w:hAnsi="Times New Roman" w:cs="Times New Roman"/>
          <w:bCs/>
          <w:sz w:val="28"/>
          <w:szCs w:val="28"/>
        </w:rPr>
        <w:t xml:space="preserve">Ngoài ra, các quy định mới trong Luật Ngân sách nhà nước (sửa đổi, bổ sung) năm 2025 – có hiệu lực từ năm ngân sách 2026 – cũng tác động trực tiếp đến quy trình quyết toán, khi bãi bỏ nội dung </w:t>
      </w:r>
      <w:r w:rsidR="00B13298" w:rsidRPr="00B13298">
        <w:rPr>
          <w:rFonts w:ascii="Times New Roman" w:hAnsi="Times New Roman" w:cs="Times New Roman"/>
          <w:bCs/>
          <w:sz w:val="28"/>
          <w:szCs w:val="28"/>
        </w:rPr>
        <w:t>quy định cơ quan tài chính các cấp thẩm định báo cáo quyết toán theo niên độ ngân sách của đơn vị dự toán cấp I</w:t>
      </w:r>
      <w:r w:rsidRPr="004A74DA">
        <w:rPr>
          <w:rFonts w:ascii="Times New Roman" w:hAnsi="Times New Roman" w:cs="Times New Roman"/>
          <w:bCs/>
          <w:sz w:val="28"/>
          <w:szCs w:val="28"/>
        </w:rPr>
        <w:t xml:space="preserve">. Do vậy, quy trình </w:t>
      </w:r>
      <w:r w:rsidR="00205425" w:rsidRPr="00A40A22">
        <w:rPr>
          <w:rFonts w:ascii="Times New Roman" w:hAnsi="Times New Roman" w:cs="Times New Roman"/>
          <w:sz w:val="28"/>
          <w:szCs w:val="28"/>
        </w:rPr>
        <w:t>thanh toán, quyết toán cấp bù lãi suất, hỗ trợ lãi suất</w:t>
      </w:r>
      <w:r w:rsidR="00205425" w:rsidRPr="004A74DA" w:rsidDel="00205425">
        <w:rPr>
          <w:rFonts w:ascii="Times New Roman" w:hAnsi="Times New Roman" w:cs="Times New Roman"/>
          <w:bCs/>
          <w:sz w:val="28"/>
          <w:szCs w:val="28"/>
        </w:rPr>
        <w:t xml:space="preserve"> </w:t>
      </w:r>
      <w:r w:rsidRPr="004A74DA">
        <w:rPr>
          <w:rFonts w:ascii="Times New Roman" w:hAnsi="Times New Roman" w:cs="Times New Roman"/>
          <w:bCs/>
          <w:sz w:val="28"/>
          <w:szCs w:val="28"/>
        </w:rPr>
        <w:t>cần được sửa đổi để đồng bộ với quy định mới, bảo đảm tính thống</w:t>
      </w:r>
      <w:r>
        <w:rPr>
          <w:rFonts w:ascii="Times New Roman" w:hAnsi="Times New Roman" w:cs="Times New Roman"/>
          <w:bCs/>
          <w:sz w:val="28"/>
          <w:szCs w:val="28"/>
        </w:rPr>
        <w:t xml:space="preserve"> nhất trong hệ thống pháp luật.</w:t>
      </w:r>
    </w:p>
    <w:p w:rsidR="004A74DA" w:rsidRPr="004A74DA" w:rsidRDefault="004A74DA" w:rsidP="004A74DA">
      <w:pPr>
        <w:autoSpaceDE w:val="0"/>
        <w:autoSpaceDN w:val="0"/>
        <w:adjustRightInd w:val="0"/>
        <w:spacing w:before="120"/>
        <w:ind w:firstLine="709"/>
        <w:jc w:val="both"/>
        <w:rPr>
          <w:rFonts w:ascii="Times New Roman" w:hAnsi="Times New Roman" w:cs="Times New Roman"/>
          <w:bCs/>
          <w:sz w:val="28"/>
          <w:szCs w:val="28"/>
        </w:rPr>
      </w:pPr>
      <w:r w:rsidRPr="004A74DA">
        <w:rPr>
          <w:rFonts w:ascii="Times New Roman" w:hAnsi="Times New Roman" w:cs="Times New Roman"/>
          <w:bCs/>
          <w:sz w:val="28"/>
          <w:szCs w:val="28"/>
        </w:rPr>
        <w:t>Cuối cùng, bối cảnh đẩy mạnh cải cách hành chính, tinh gọn bộ máy và thúc đẩy chuyển đổi số trong lĩnh vực tài chính – ngân sách cũng đặt ra yêu cầu mới đối với công tác thanh toán, quyết toán. Việc xây dựng nghị định nhằm đơn giản hóa hồ sơ, phân rõ trách nhiệm giữa các bên liên quan, đồng thời đẩy nhanh tiến độ kiểm soát chi, nâng cao hiệu quả sử dụng ngân sách, tiến tới mục tiêu thanh toán điện tử 100% là hết sức cần thiết trong giai đoạn hiện nay.</w:t>
      </w:r>
    </w:p>
    <w:p w:rsidR="00302103" w:rsidRPr="004A74DA" w:rsidRDefault="00302103" w:rsidP="00CF22E1">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2. Mục đ</w:t>
      </w:r>
      <w:r w:rsidRPr="004A74DA">
        <w:rPr>
          <w:rFonts w:ascii="Times New Roman" w:hAnsi="Times New Roman" w:cs="Times New Roman"/>
          <w:b/>
          <w:bCs/>
          <w:sz w:val="28"/>
          <w:szCs w:val="28"/>
        </w:rPr>
        <w:t>ích, yêu c</w:t>
      </w:r>
      <w:r w:rsidRPr="00CF22E1">
        <w:rPr>
          <w:rFonts w:ascii="Times New Roman" w:hAnsi="Times New Roman" w:cs="Times New Roman"/>
          <w:b/>
          <w:bCs/>
          <w:sz w:val="28"/>
          <w:szCs w:val="28"/>
        </w:rPr>
        <w:t>ầu đ</w:t>
      </w:r>
      <w:r w:rsidRPr="004A74DA">
        <w:rPr>
          <w:rFonts w:ascii="Times New Roman" w:hAnsi="Times New Roman" w:cs="Times New Roman"/>
          <w:b/>
          <w:bCs/>
          <w:sz w:val="28"/>
          <w:szCs w:val="28"/>
        </w:rPr>
        <w:t>ánh giá</w:t>
      </w:r>
    </w:p>
    <w:p w:rsidR="004A74DA" w:rsidRPr="004A74DA" w:rsidRDefault="00060AE0" w:rsidP="004A74DA">
      <w:pPr>
        <w:autoSpaceDE w:val="0"/>
        <w:autoSpaceDN w:val="0"/>
        <w:adjustRightInd w:val="0"/>
        <w:spacing w:before="120"/>
        <w:ind w:firstLine="709"/>
        <w:jc w:val="both"/>
        <w:rPr>
          <w:rFonts w:ascii="Times New Roman" w:hAnsi="Times New Roman" w:cs="Times New Roman"/>
          <w:b/>
          <w:bCs/>
          <w:i/>
          <w:iCs/>
          <w:sz w:val="28"/>
          <w:szCs w:val="28"/>
        </w:rPr>
      </w:pPr>
      <w:r w:rsidRPr="004A74DA">
        <w:rPr>
          <w:rFonts w:ascii="Times New Roman" w:hAnsi="Times New Roman" w:cs="Times New Roman"/>
          <w:b/>
          <w:bCs/>
          <w:i/>
          <w:iCs/>
          <w:sz w:val="28"/>
          <w:szCs w:val="28"/>
        </w:rPr>
        <w:t>2.1. Mục đích</w:t>
      </w:r>
      <w:r w:rsidR="0076254D" w:rsidRPr="004A74DA">
        <w:rPr>
          <w:rFonts w:ascii="Times New Roman" w:hAnsi="Times New Roman" w:cs="Times New Roman"/>
          <w:b/>
          <w:bCs/>
          <w:i/>
          <w:iCs/>
          <w:sz w:val="28"/>
          <w:szCs w:val="28"/>
        </w:rPr>
        <w:t xml:space="preserve"> đánh giá</w:t>
      </w:r>
    </w:p>
    <w:p w:rsidR="00060AE0" w:rsidRPr="004A74DA" w:rsidRDefault="00060AE0" w:rsidP="00060AE0">
      <w:pPr>
        <w:autoSpaceDE w:val="0"/>
        <w:autoSpaceDN w:val="0"/>
        <w:adjustRightInd w:val="0"/>
        <w:spacing w:before="120"/>
        <w:ind w:firstLine="709"/>
        <w:jc w:val="both"/>
        <w:rPr>
          <w:rFonts w:ascii="Times New Roman" w:hAnsi="Times New Roman" w:cs="Times New Roman"/>
          <w:sz w:val="28"/>
          <w:szCs w:val="28"/>
        </w:rPr>
      </w:pPr>
      <w:r w:rsidRPr="004A74DA">
        <w:rPr>
          <w:rFonts w:ascii="Times New Roman" w:hAnsi="Times New Roman" w:cs="Times New Roman"/>
          <w:sz w:val="28"/>
          <w:szCs w:val="28"/>
        </w:rPr>
        <w:t>Việc tổ chức đánh giá th</w:t>
      </w:r>
      <w:r w:rsidRPr="00CF22E1">
        <w:rPr>
          <w:rFonts w:ascii="Times New Roman" w:hAnsi="Times New Roman" w:cs="Times New Roman"/>
          <w:sz w:val="28"/>
          <w:szCs w:val="28"/>
        </w:rPr>
        <w:t>ủ tục h</w:t>
      </w:r>
      <w:r w:rsidRPr="004A74DA">
        <w:rPr>
          <w:rFonts w:ascii="Times New Roman" w:hAnsi="Times New Roman" w:cs="Times New Roman"/>
          <w:sz w:val="28"/>
          <w:szCs w:val="28"/>
        </w:rPr>
        <w:t>ành chính, vi</w:t>
      </w:r>
      <w:r w:rsidRPr="00CF22E1">
        <w:rPr>
          <w:rFonts w:ascii="Times New Roman" w:hAnsi="Times New Roman" w:cs="Times New Roman"/>
          <w:sz w:val="28"/>
          <w:szCs w:val="28"/>
        </w:rPr>
        <w:t>ệc ph</w:t>
      </w:r>
      <w:r w:rsidRPr="004A74DA">
        <w:rPr>
          <w:rFonts w:ascii="Times New Roman" w:hAnsi="Times New Roman" w:cs="Times New Roman"/>
          <w:sz w:val="28"/>
          <w:szCs w:val="28"/>
        </w:rPr>
        <w:t>ân quy</w:t>
      </w:r>
      <w:r w:rsidRPr="00CF22E1">
        <w:rPr>
          <w:rFonts w:ascii="Times New Roman" w:hAnsi="Times New Roman" w:cs="Times New Roman"/>
          <w:sz w:val="28"/>
          <w:szCs w:val="28"/>
        </w:rPr>
        <w:t>ền, ph</w:t>
      </w:r>
      <w:r w:rsidRPr="004A74DA">
        <w:rPr>
          <w:rFonts w:ascii="Times New Roman" w:hAnsi="Times New Roman" w:cs="Times New Roman"/>
          <w:sz w:val="28"/>
          <w:szCs w:val="28"/>
        </w:rPr>
        <w:t>ân c</w:t>
      </w:r>
      <w:r w:rsidRPr="00CF22E1">
        <w:rPr>
          <w:rFonts w:ascii="Times New Roman" w:hAnsi="Times New Roman" w:cs="Times New Roman"/>
          <w:sz w:val="28"/>
          <w:szCs w:val="28"/>
        </w:rPr>
        <w:t>ấp, việc ứng dụng, th</w:t>
      </w:r>
      <w:r w:rsidRPr="004A74DA">
        <w:rPr>
          <w:rFonts w:ascii="Times New Roman" w:hAnsi="Times New Roman" w:cs="Times New Roman"/>
          <w:sz w:val="28"/>
          <w:szCs w:val="28"/>
        </w:rPr>
        <w:t>úc đ</w:t>
      </w:r>
      <w:r w:rsidRPr="00CF22E1">
        <w:rPr>
          <w:rFonts w:ascii="Times New Roman" w:hAnsi="Times New Roman" w:cs="Times New Roman"/>
          <w:sz w:val="28"/>
          <w:szCs w:val="28"/>
        </w:rPr>
        <w:t>ẩy ph</w:t>
      </w:r>
      <w:r w:rsidRPr="004A74DA">
        <w:rPr>
          <w:rFonts w:ascii="Times New Roman" w:hAnsi="Times New Roman" w:cs="Times New Roman"/>
          <w:sz w:val="28"/>
          <w:szCs w:val="28"/>
        </w:rPr>
        <w:t>át tri</w:t>
      </w:r>
      <w:r w:rsidRPr="00CF22E1">
        <w:rPr>
          <w:rFonts w:ascii="Times New Roman" w:hAnsi="Times New Roman" w:cs="Times New Roman"/>
          <w:sz w:val="28"/>
          <w:szCs w:val="28"/>
        </w:rPr>
        <w:t>ển khoa học, c</w:t>
      </w:r>
      <w:r w:rsidRPr="004A74DA">
        <w:rPr>
          <w:rFonts w:ascii="Times New Roman" w:hAnsi="Times New Roman" w:cs="Times New Roman"/>
          <w:sz w:val="28"/>
          <w:szCs w:val="28"/>
        </w:rPr>
        <w:t>ông ngh</w:t>
      </w:r>
      <w:r w:rsidRPr="00CF22E1">
        <w:rPr>
          <w:rFonts w:ascii="Times New Roman" w:hAnsi="Times New Roman" w:cs="Times New Roman"/>
          <w:sz w:val="28"/>
          <w:szCs w:val="28"/>
        </w:rPr>
        <w:t>ệ, đổi mới s</w:t>
      </w:r>
      <w:r w:rsidRPr="004A74DA">
        <w:rPr>
          <w:rFonts w:ascii="Times New Roman" w:hAnsi="Times New Roman" w:cs="Times New Roman"/>
          <w:sz w:val="28"/>
          <w:szCs w:val="28"/>
        </w:rPr>
        <w:t>áng t</w:t>
      </w:r>
      <w:r w:rsidRPr="00CF22E1">
        <w:rPr>
          <w:rFonts w:ascii="Times New Roman" w:hAnsi="Times New Roman" w:cs="Times New Roman"/>
          <w:sz w:val="28"/>
          <w:szCs w:val="28"/>
        </w:rPr>
        <w:t>ạo v</w:t>
      </w:r>
      <w:r w:rsidRPr="004A74DA">
        <w:rPr>
          <w:rFonts w:ascii="Times New Roman" w:hAnsi="Times New Roman" w:cs="Times New Roman"/>
          <w:sz w:val="28"/>
          <w:szCs w:val="28"/>
        </w:rPr>
        <w:t>à chuy</w:t>
      </w:r>
      <w:r w:rsidRPr="00CF22E1">
        <w:rPr>
          <w:rFonts w:ascii="Times New Roman" w:hAnsi="Times New Roman" w:cs="Times New Roman"/>
          <w:sz w:val="28"/>
          <w:szCs w:val="28"/>
        </w:rPr>
        <w:t>ển đổi số, việc bảo đảm b</w:t>
      </w:r>
      <w:r w:rsidRPr="004A74DA">
        <w:rPr>
          <w:rFonts w:ascii="Times New Roman" w:hAnsi="Times New Roman" w:cs="Times New Roman"/>
          <w:sz w:val="28"/>
          <w:szCs w:val="28"/>
        </w:rPr>
        <w:t>ình đ</w:t>
      </w:r>
      <w:r w:rsidRPr="00CF22E1">
        <w:rPr>
          <w:rFonts w:ascii="Times New Roman" w:hAnsi="Times New Roman" w:cs="Times New Roman"/>
          <w:sz w:val="28"/>
          <w:szCs w:val="28"/>
        </w:rPr>
        <w:t>ẳng giới, việc thực hiện ch</w:t>
      </w:r>
      <w:r w:rsidRPr="004A74DA">
        <w:rPr>
          <w:rFonts w:ascii="Times New Roman" w:hAnsi="Times New Roman" w:cs="Times New Roman"/>
          <w:sz w:val="28"/>
          <w:szCs w:val="28"/>
        </w:rPr>
        <w:t>ính sách dân t</w:t>
      </w:r>
      <w:r w:rsidRPr="00CF22E1">
        <w:rPr>
          <w:rFonts w:ascii="Times New Roman" w:hAnsi="Times New Roman" w:cs="Times New Roman"/>
          <w:sz w:val="28"/>
          <w:szCs w:val="28"/>
        </w:rPr>
        <w:t xml:space="preserve">ộc trong </w:t>
      </w:r>
      <w:r w:rsidRPr="004A74DA">
        <w:rPr>
          <w:rFonts w:ascii="Times New Roman" w:hAnsi="Times New Roman" w:cs="Times New Roman"/>
          <w:sz w:val="28"/>
          <w:szCs w:val="28"/>
        </w:rPr>
        <w:t>dự thảo Nghị định của Chính phủ nhằm thực hiện các mục đích:</w:t>
      </w:r>
    </w:p>
    <w:p w:rsidR="00060AE0" w:rsidRPr="004A74DA" w:rsidRDefault="00060AE0" w:rsidP="00060AE0">
      <w:pPr>
        <w:autoSpaceDE w:val="0"/>
        <w:autoSpaceDN w:val="0"/>
        <w:adjustRightInd w:val="0"/>
        <w:spacing w:before="120"/>
        <w:ind w:firstLine="709"/>
        <w:jc w:val="both"/>
        <w:rPr>
          <w:rFonts w:ascii="Times New Roman" w:hAnsi="Times New Roman" w:cs="Times New Roman"/>
          <w:sz w:val="28"/>
          <w:szCs w:val="28"/>
        </w:rPr>
      </w:pPr>
      <w:r w:rsidRPr="004A74DA">
        <w:rPr>
          <w:rFonts w:ascii="Times New Roman" w:hAnsi="Times New Roman" w:cs="Times New Roman"/>
          <w:sz w:val="28"/>
          <w:szCs w:val="28"/>
        </w:rPr>
        <w:t>- Xác định mức độ cần thiết, hợp lý và tính khả thi của các quy định thủ tục hành chính trong dự thảo Nghị định.</w:t>
      </w:r>
    </w:p>
    <w:p w:rsidR="00060AE0" w:rsidRPr="004A74DA" w:rsidRDefault="00060AE0" w:rsidP="0076254D">
      <w:pPr>
        <w:autoSpaceDE w:val="0"/>
        <w:autoSpaceDN w:val="0"/>
        <w:adjustRightInd w:val="0"/>
        <w:spacing w:before="120"/>
        <w:ind w:firstLine="709"/>
        <w:jc w:val="both"/>
        <w:rPr>
          <w:rFonts w:ascii="Times New Roman" w:hAnsi="Times New Roman" w:cs="Times New Roman"/>
          <w:sz w:val="28"/>
          <w:szCs w:val="28"/>
        </w:rPr>
      </w:pPr>
      <w:r w:rsidRPr="004A74DA">
        <w:rPr>
          <w:rFonts w:ascii="Times New Roman" w:hAnsi="Times New Roman" w:cs="Times New Roman"/>
          <w:sz w:val="28"/>
          <w:szCs w:val="28"/>
        </w:rPr>
        <w:t>- Đảm bảo các thủ tục hành chính phù hợp với Luật Ban hành văn bản quy phạm pháp luật,</w:t>
      </w:r>
      <w:r w:rsidR="0076254D" w:rsidRPr="0076254D">
        <w:rPr>
          <w:rFonts w:ascii="Times New Roman" w:hAnsi="Times New Roman" w:cs="Times New Roman"/>
          <w:sz w:val="28"/>
          <w:szCs w:val="28"/>
        </w:rPr>
        <w:t xml:space="preserve"> </w:t>
      </w:r>
      <w:r w:rsidR="0076254D" w:rsidRPr="004A74DA">
        <w:rPr>
          <w:rFonts w:ascii="Times New Roman" w:hAnsi="Times New Roman" w:cs="Times New Roman"/>
          <w:sz w:val="28"/>
          <w:szCs w:val="28"/>
        </w:rPr>
        <w:t>đồng bộ với quy định tại các Nghị định của Chính phủ về thủ tục hành chính (Nghị định số 45/2020/NĐ-CP ngày 8/4/2020 của Chính phủ về thực hiện thủ tục hành chính trên môi trường điện tử, Nghị định số 61/2018/NĐ-CP ngày 23/4/2018 về thực hiện cơ chế một cửa, một cửa liên thông trong giải quyết thủ tục hành chính, được sửa đổi, bổ sung bởi Nghị định số 107/2021/NĐ-CP ngày 6/12/2021…), nhằm mục tiêu</w:t>
      </w:r>
      <w:r w:rsidRPr="004A74DA">
        <w:rPr>
          <w:rFonts w:ascii="Times New Roman" w:hAnsi="Times New Roman" w:cs="Times New Roman"/>
          <w:sz w:val="28"/>
          <w:szCs w:val="28"/>
        </w:rPr>
        <w:t xml:space="preserve"> tránh phát sinh thủ tục không cần thiết.</w:t>
      </w:r>
    </w:p>
    <w:p w:rsidR="00060AE0" w:rsidRPr="00F52F34" w:rsidRDefault="00194084" w:rsidP="0076254D">
      <w:pPr>
        <w:autoSpaceDE w:val="0"/>
        <w:autoSpaceDN w:val="0"/>
        <w:adjustRightInd w:val="0"/>
        <w:spacing w:before="120"/>
        <w:ind w:firstLine="709"/>
        <w:jc w:val="both"/>
        <w:rPr>
          <w:rFonts w:ascii="Times New Roman" w:hAnsi="Times New Roman" w:cs="Times New Roman"/>
          <w:spacing w:val="2"/>
          <w:sz w:val="28"/>
          <w:szCs w:val="28"/>
        </w:rPr>
      </w:pPr>
      <w:r w:rsidRPr="00194084">
        <w:rPr>
          <w:rFonts w:ascii="Times New Roman" w:hAnsi="Times New Roman" w:cs="Times New Roman"/>
          <w:spacing w:val="2"/>
          <w:sz w:val="28"/>
          <w:szCs w:val="28"/>
        </w:rPr>
        <w:t>- Đánh giá các yếu tố về phân quyền, phân cấp, chuyển đổi số, bình đẳng giới và chính sách dân tộc để bảo đảm dự thảo khi ban hành có thể áp dụng hiệu quả.</w:t>
      </w:r>
    </w:p>
    <w:p w:rsidR="00060AE0" w:rsidRPr="004A74DA" w:rsidRDefault="0076254D" w:rsidP="00060AE0">
      <w:pPr>
        <w:autoSpaceDE w:val="0"/>
        <w:autoSpaceDN w:val="0"/>
        <w:adjustRightInd w:val="0"/>
        <w:spacing w:before="120"/>
        <w:ind w:firstLine="709"/>
        <w:jc w:val="both"/>
        <w:rPr>
          <w:rFonts w:ascii="Times New Roman" w:hAnsi="Times New Roman" w:cs="Times New Roman"/>
          <w:b/>
          <w:bCs/>
          <w:i/>
          <w:iCs/>
          <w:sz w:val="28"/>
          <w:szCs w:val="28"/>
        </w:rPr>
      </w:pPr>
      <w:r w:rsidRPr="004A74DA">
        <w:rPr>
          <w:rFonts w:ascii="Times New Roman" w:hAnsi="Times New Roman" w:cs="Times New Roman"/>
          <w:b/>
          <w:bCs/>
          <w:i/>
          <w:iCs/>
          <w:sz w:val="28"/>
          <w:szCs w:val="28"/>
        </w:rPr>
        <w:t>2.2.</w:t>
      </w:r>
      <w:r w:rsidR="00060AE0" w:rsidRPr="004A74DA">
        <w:rPr>
          <w:rFonts w:ascii="Times New Roman" w:hAnsi="Times New Roman" w:cs="Times New Roman"/>
          <w:b/>
          <w:bCs/>
          <w:i/>
          <w:iCs/>
          <w:sz w:val="28"/>
          <w:szCs w:val="28"/>
        </w:rPr>
        <w:t xml:space="preserve"> Yêu cầu</w:t>
      </w:r>
      <w:r w:rsidRPr="004A74DA">
        <w:rPr>
          <w:rFonts w:ascii="Times New Roman" w:hAnsi="Times New Roman" w:cs="Times New Roman"/>
          <w:b/>
          <w:bCs/>
          <w:i/>
          <w:iCs/>
          <w:sz w:val="28"/>
          <w:szCs w:val="28"/>
        </w:rPr>
        <w:t xml:space="preserve"> đánh giá</w:t>
      </w:r>
    </w:p>
    <w:p w:rsidR="00DB6AE1" w:rsidRPr="004A74DA" w:rsidRDefault="0076254D" w:rsidP="00060AE0">
      <w:pPr>
        <w:autoSpaceDE w:val="0"/>
        <w:autoSpaceDN w:val="0"/>
        <w:adjustRightInd w:val="0"/>
        <w:spacing w:before="120"/>
        <w:ind w:firstLine="709"/>
        <w:jc w:val="both"/>
        <w:rPr>
          <w:rFonts w:ascii="Times New Roman" w:hAnsi="Times New Roman" w:cs="Times New Roman"/>
          <w:sz w:val="28"/>
          <w:szCs w:val="28"/>
        </w:rPr>
      </w:pPr>
      <w:r w:rsidRPr="004A74DA">
        <w:rPr>
          <w:rFonts w:ascii="Times New Roman" w:hAnsi="Times New Roman" w:cs="Times New Roman"/>
          <w:sz w:val="28"/>
          <w:szCs w:val="28"/>
        </w:rPr>
        <w:t xml:space="preserve">Việc tổ chức đánh giá </w:t>
      </w:r>
      <w:r w:rsidR="00DB6AE1" w:rsidRPr="004A74DA">
        <w:rPr>
          <w:rFonts w:ascii="Times New Roman" w:hAnsi="Times New Roman" w:cs="Times New Roman"/>
          <w:sz w:val="28"/>
          <w:szCs w:val="28"/>
        </w:rPr>
        <w:t xml:space="preserve">thủ tục hành chính </w:t>
      </w:r>
      <w:r w:rsidRPr="004A74DA">
        <w:rPr>
          <w:rFonts w:ascii="Times New Roman" w:hAnsi="Times New Roman" w:cs="Times New Roman"/>
          <w:sz w:val="28"/>
          <w:szCs w:val="28"/>
        </w:rPr>
        <w:t>đảm bảo các yêu cầu</w:t>
      </w:r>
      <w:r w:rsidR="00DB6AE1" w:rsidRPr="004A74DA">
        <w:rPr>
          <w:rFonts w:ascii="Times New Roman" w:hAnsi="Times New Roman" w:cs="Times New Roman"/>
          <w:sz w:val="28"/>
          <w:szCs w:val="28"/>
        </w:rPr>
        <w:t>:</w:t>
      </w:r>
    </w:p>
    <w:p w:rsidR="00060AE0" w:rsidRPr="00D528EE" w:rsidRDefault="00D83266" w:rsidP="00DB6AE1">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rPr>
        <w:lastRenderedPageBreak/>
        <w:t>- Đánh giá thủ tục hành chính một cách toàn diện, khách quan, đảm bảo phù hợp với căn cứ, quy định hiện hành về thủ tục hành chính và pháp luật liên quan.</w:t>
      </w:r>
    </w:p>
    <w:p w:rsidR="00060AE0" w:rsidRPr="00D528EE" w:rsidRDefault="00194084" w:rsidP="00060AE0">
      <w:pPr>
        <w:autoSpaceDE w:val="0"/>
        <w:autoSpaceDN w:val="0"/>
        <w:adjustRightInd w:val="0"/>
        <w:spacing w:before="120"/>
        <w:ind w:firstLine="709"/>
        <w:jc w:val="both"/>
        <w:rPr>
          <w:rFonts w:ascii="Times New Roman" w:hAnsi="Times New Roman" w:cs="Times New Roman"/>
          <w:spacing w:val="-2"/>
          <w:sz w:val="28"/>
          <w:szCs w:val="28"/>
        </w:rPr>
      </w:pPr>
      <w:r w:rsidRPr="00194084">
        <w:rPr>
          <w:rFonts w:ascii="Times New Roman" w:hAnsi="Times New Roman" w:cs="Times New Roman"/>
          <w:spacing w:val="-2"/>
          <w:sz w:val="28"/>
          <w:szCs w:val="28"/>
        </w:rPr>
        <w:t>- Đề xuất giải pháp cải thiện nhằm giảm chi phí tuân thủ, đơn giản hóa quy trình, thuận lợi cho các đối tượng chịu tác động của chính sách, nhằm đảm bảo công khai, minh bạch, đúng đối tượng, đúng mục đích, tránh trục lợi chính sách.</w:t>
      </w:r>
    </w:p>
    <w:p w:rsidR="00060AE0" w:rsidRPr="00A33224" w:rsidRDefault="00D83266" w:rsidP="00060AE0">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rPr>
        <w:t>- Đảm bảo phù hợp với các điều ước quốc tế mà Việt Nam là thành viên, các chiến lược quốc gia về tăng trưởng, kinh tế tuần hoàn, phát triển bền vững.</w:t>
      </w:r>
    </w:p>
    <w:p w:rsidR="00302103" w:rsidRPr="004A74DA" w:rsidRDefault="00302103" w:rsidP="00CF22E1">
      <w:pPr>
        <w:autoSpaceDE w:val="0"/>
        <w:autoSpaceDN w:val="0"/>
        <w:adjustRightInd w:val="0"/>
        <w:spacing w:before="120"/>
        <w:ind w:firstLine="709"/>
        <w:jc w:val="both"/>
        <w:rPr>
          <w:rFonts w:ascii="Times New Roman" w:hAnsi="Times New Roman" w:cs="Times New Roman"/>
          <w:sz w:val="28"/>
          <w:szCs w:val="28"/>
        </w:rPr>
      </w:pPr>
      <w:r w:rsidRPr="00CF22E1">
        <w:rPr>
          <w:rFonts w:ascii="Times New Roman" w:hAnsi="Times New Roman" w:cs="Times New Roman"/>
          <w:b/>
          <w:bCs/>
          <w:sz w:val="28"/>
          <w:szCs w:val="28"/>
        </w:rPr>
        <w:t>II. KẾT QUẢ Đ</w:t>
      </w:r>
      <w:r w:rsidRPr="004A74DA">
        <w:rPr>
          <w:rFonts w:ascii="Times New Roman" w:hAnsi="Times New Roman" w:cs="Times New Roman"/>
          <w:b/>
          <w:bCs/>
          <w:sz w:val="28"/>
          <w:szCs w:val="28"/>
        </w:rPr>
        <w:t>ÁNH GIÁ</w:t>
      </w:r>
    </w:p>
    <w:p w:rsidR="00302103" w:rsidRPr="004A74DA" w:rsidRDefault="00302103" w:rsidP="00CF22E1">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1. Đánh giá thủ tục h</w:t>
      </w:r>
      <w:r w:rsidRPr="004A74DA">
        <w:rPr>
          <w:rFonts w:ascii="Times New Roman" w:hAnsi="Times New Roman" w:cs="Times New Roman"/>
          <w:b/>
          <w:bCs/>
          <w:sz w:val="28"/>
          <w:szCs w:val="28"/>
        </w:rPr>
        <w:t>ành chính</w:t>
      </w:r>
    </w:p>
    <w:p w:rsidR="004A74DA" w:rsidRPr="004A74DA" w:rsidRDefault="004A74DA" w:rsidP="004A74DA">
      <w:pPr>
        <w:autoSpaceDE w:val="0"/>
        <w:autoSpaceDN w:val="0"/>
        <w:adjustRightInd w:val="0"/>
        <w:spacing w:before="120"/>
        <w:ind w:firstLine="709"/>
        <w:jc w:val="both"/>
        <w:rPr>
          <w:rFonts w:ascii="Times New Roman" w:hAnsi="Times New Roman" w:cs="Times New Roman"/>
          <w:sz w:val="28"/>
          <w:szCs w:val="28"/>
          <w:lang w:val="pt-BR"/>
        </w:rPr>
      </w:pPr>
      <w:r w:rsidRPr="004A74DA">
        <w:rPr>
          <w:rFonts w:ascii="Times New Roman" w:hAnsi="Times New Roman" w:cs="Times New Roman"/>
          <w:sz w:val="28"/>
          <w:szCs w:val="28"/>
          <w:lang w:val="pt-BR"/>
        </w:rPr>
        <w:t xml:space="preserve">Các TTHC dự kiến quy định trong dự án </w:t>
      </w:r>
      <w:r>
        <w:rPr>
          <w:rFonts w:ascii="Times New Roman" w:hAnsi="Times New Roman" w:cs="Times New Roman"/>
          <w:sz w:val="28"/>
          <w:szCs w:val="28"/>
          <w:lang w:val="pt-BR"/>
        </w:rPr>
        <w:t xml:space="preserve">Nghị định </w:t>
      </w:r>
      <w:r w:rsidRPr="004A74DA">
        <w:rPr>
          <w:rFonts w:ascii="Times New Roman" w:hAnsi="Times New Roman" w:cs="Times New Roman"/>
          <w:bCs/>
          <w:sz w:val="28"/>
          <w:szCs w:val="28"/>
        </w:rPr>
        <w:t xml:space="preserve">quy định </w:t>
      </w:r>
      <w:r w:rsidR="00545454">
        <w:rPr>
          <w:rFonts w:ascii="Times New Roman" w:hAnsi="Times New Roman" w:cs="Times New Roman"/>
          <w:sz w:val="28"/>
          <w:szCs w:val="28"/>
          <w:lang w:val="en-US"/>
        </w:rPr>
        <w:t>v</w:t>
      </w:r>
      <w:r w:rsidR="00545454" w:rsidRPr="00A40A22">
        <w:rPr>
          <w:rFonts w:ascii="Times New Roman" w:hAnsi="Times New Roman" w:cs="Times New Roman"/>
          <w:sz w:val="28"/>
          <w:szCs w:val="28"/>
        </w:rPr>
        <w:t>ề thanh toán, quyết toán cấp bù lãi suất, hỗ trợ lãi suất từ ngân sách nhà nước thông qua các ngân hàng thương mại</w:t>
      </w:r>
      <w:r w:rsidRPr="004A74DA">
        <w:rPr>
          <w:rFonts w:ascii="Times New Roman" w:hAnsi="Times New Roman" w:cs="Times New Roman"/>
          <w:sz w:val="28"/>
          <w:szCs w:val="28"/>
          <w:lang w:val="pt-BR"/>
        </w:rPr>
        <w:t xml:space="preserve"> về cơ bản được xây dựng dựa trên cơ sở rà soát các quy định hiện hành tại</w:t>
      </w:r>
      <w:r w:rsidR="00D22479">
        <w:rPr>
          <w:rFonts w:ascii="Times New Roman" w:hAnsi="Times New Roman" w:cs="Times New Roman"/>
          <w:sz w:val="28"/>
          <w:szCs w:val="28"/>
          <w:lang w:val="pt-BR"/>
        </w:rPr>
        <w:t xml:space="preserve"> Quyết định 18/2018/QĐ-TT</w:t>
      </w:r>
      <w:r w:rsidR="004D7F02">
        <w:rPr>
          <w:rFonts w:ascii="Times New Roman" w:hAnsi="Times New Roman" w:cs="Times New Roman"/>
          <w:sz w:val="28"/>
          <w:szCs w:val="28"/>
          <w:lang w:val="pt-BR"/>
        </w:rPr>
        <w:t>g</w:t>
      </w:r>
      <w:r w:rsidR="004D7F02">
        <w:rPr>
          <w:rStyle w:val="FootnoteReference"/>
          <w:rFonts w:ascii="Times New Roman" w:hAnsi="Times New Roman" w:cs="Times New Roman"/>
          <w:sz w:val="28"/>
          <w:szCs w:val="28"/>
          <w:lang w:val="pt-BR"/>
        </w:rPr>
        <w:footnoteReference w:id="2"/>
      </w:r>
      <w:r w:rsidR="004D7F02">
        <w:rPr>
          <w:rFonts w:ascii="Times New Roman" w:hAnsi="Times New Roman" w:cs="Times New Roman"/>
          <w:sz w:val="28"/>
          <w:szCs w:val="28"/>
          <w:lang w:val="pt-BR"/>
        </w:rPr>
        <w:t>, Quyết định số 68/2013/QĐ-TTg</w:t>
      </w:r>
      <w:r w:rsidR="004D7F02">
        <w:rPr>
          <w:rStyle w:val="FootnoteReference"/>
          <w:rFonts w:ascii="Times New Roman" w:hAnsi="Times New Roman" w:cs="Times New Roman"/>
          <w:sz w:val="28"/>
          <w:szCs w:val="28"/>
          <w:lang w:val="pt-BR"/>
        </w:rPr>
        <w:footnoteReference w:id="3"/>
      </w:r>
      <w:r w:rsidR="004D7F02">
        <w:rPr>
          <w:rFonts w:ascii="Times New Roman" w:hAnsi="Times New Roman" w:cs="Times New Roman"/>
          <w:sz w:val="28"/>
          <w:szCs w:val="28"/>
          <w:lang w:val="pt-BR"/>
        </w:rPr>
        <w:t xml:space="preserve"> (thay thế</w:t>
      </w:r>
      <w:r w:rsidR="00D22479">
        <w:rPr>
          <w:rFonts w:ascii="Times New Roman" w:hAnsi="Times New Roman" w:cs="Times New Roman"/>
          <w:sz w:val="28"/>
          <w:szCs w:val="28"/>
          <w:lang w:val="pt-BR"/>
        </w:rPr>
        <w:t xml:space="preserve"> Quyết định số 63/2010/QĐ-TTg</w:t>
      </w:r>
      <w:r w:rsidR="004D7F02">
        <w:rPr>
          <w:rStyle w:val="FootnoteReference"/>
          <w:rFonts w:ascii="Times New Roman" w:hAnsi="Times New Roman" w:cs="Times New Roman"/>
          <w:sz w:val="28"/>
          <w:szCs w:val="28"/>
          <w:lang w:val="pt-BR"/>
        </w:rPr>
        <w:footnoteReference w:id="4"/>
      </w:r>
      <w:r w:rsidR="00D22479">
        <w:rPr>
          <w:rFonts w:ascii="Times New Roman" w:hAnsi="Times New Roman" w:cs="Times New Roman"/>
          <w:sz w:val="28"/>
          <w:szCs w:val="28"/>
          <w:lang w:val="pt-BR"/>
        </w:rPr>
        <w:t xml:space="preserve"> (được sửa đổi, bổ sung tại Quyết định số 65/2011/QĐ-TTg</w:t>
      </w:r>
      <w:r w:rsidR="004D7F02">
        <w:rPr>
          <w:rStyle w:val="FootnoteReference"/>
          <w:rFonts w:ascii="Times New Roman" w:hAnsi="Times New Roman" w:cs="Times New Roman"/>
          <w:sz w:val="28"/>
          <w:szCs w:val="28"/>
          <w:lang w:val="pt-BR"/>
        </w:rPr>
        <w:footnoteReference w:id="5"/>
      </w:r>
      <w:r w:rsidR="00D22479">
        <w:rPr>
          <w:rFonts w:ascii="Times New Roman" w:hAnsi="Times New Roman" w:cs="Times New Roman"/>
          <w:sz w:val="28"/>
          <w:szCs w:val="28"/>
          <w:lang w:val="pt-BR"/>
        </w:rPr>
        <w:t>)</w:t>
      </w:r>
      <w:r w:rsidR="004D7F02">
        <w:rPr>
          <w:rFonts w:ascii="Times New Roman" w:hAnsi="Times New Roman" w:cs="Times New Roman"/>
          <w:sz w:val="28"/>
          <w:szCs w:val="28"/>
          <w:lang w:val="pt-BR"/>
        </w:rPr>
        <w:t>)</w:t>
      </w:r>
      <w:r w:rsidR="00D45E32">
        <w:rPr>
          <w:rFonts w:ascii="Times New Roman" w:hAnsi="Times New Roman" w:cs="Times New Roman"/>
          <w:sz w:val="28"/>
          <w:szCs w:val="28"/>
          <w:lang w:val="pt-BR"/>
        </w:rPr>
        <w:t>,</w:t>
      </w:r>
      <w:r w:rsidR="00D45E32" w:rsidRPr="00D45E32">
        <w:rPr>
          <w:rFonts w:ascii="Times New Roman" w:hAnsi="Times New Roman" w:cs="Times New Roman"/>
          <w:sz w:val="28"/>
          <w:szCs w:val="28"/>
          <w:lang w:val="pt-BR"/>
        </w:rPr>
        <w:t xml:space="preserve"> </w:t>
      </w:r>
      <w:r w:rsidR="00D22479">
        <w:rPr>
          <w:rFonts w:ascii="Times New Roman" w:hAnsi="Times New Roman" w:cs="Times New Roman"/>
          <w:sz w:val="28"/>
          <w:szCs w:val="28"/>
          <w:lang w:val="pt-BR"/>
        </w:rPr>
        <w:t>Nghị quyết số 30a/2008/NQ-CP</w:t>
      </w:r>
      <w:r w:rsidR="004D7F02">
        <w:rPr>
          <w:rStyle w:val="FootnoteReference"/>
          <w:rFonts w:ascii="Times New Roman" w:hAnsi="Times New Roman" w:cs="Times New Roman"/>
          <w:sz w:val="28"/>
          <w:szCs w:val="28"/>
          <w:lang w:val="pt-BR"/>
        </w:rPr>
        <w:footnoteReference w:id="6"/>
      </w:r>
      <w:r w:rsidR="00D22479">
        <w:rPr>
          <w:rFonts w:ascii="Times New Roman" w:hAnsi="Times New Roman" w:cs="Times New Roman"/>
          <w:sz w:val="28"/>
          <w:szCs w:val="28"/>
          <w:lang w:val="pt-BR"/>
        </w:rPr>
        <w:t>; Nghị định 100/2015/NĐ-CP</w:t>
      </w:r>
      <w:r w:rsidR="004D7F02">
        <w:rPr>
          <w:rStyle w:val="FootnoteReference"/>
          <w:rFonts w:ascii="Times New Roman" w:hAnsi="Times New Roman" w:cs="Times New Roman"/>
          <w:sz w:val="28"/>
          <w:szCs w:val="28"/>
          <w:lang w:val="pt-BR"/>
        </w:rPr>
        <w:footnoteReference w:id="7"/>
      </w:r>
      <w:r w:rsidR="003562DC">
        <w:rPr>
          <w:rFonts w:ascii="Times New Roman" w:hAnsi="Times New Roman" w:cs="Times New Roman"/>
          <w:sz w:val="28"/>
          <w:szCs w:val="28"/>
          <w:lang w:val="pt-BR"/>
        </w:rPr>
        <w:t xml:space="preserve"> (được thay thế bởi Nghị định số 100/2024/NĐ-CP ngày 26/7/2024 của Chính phủ quy định chi tiết một số điều của Luật nhà ở về phát triển và quản lý nhà ở xã hội)</w:t>
      </w:r>
      <w:r w:rsidR="00D22479">
        <w:rPr>
          <w:rFonts w:ascii="Times New Roman" w:hAnsi="Times New Roman" w:cs="Times New Roman"/>
          <w:sz w:val="28"/>
          <w:szCs w:val="28"/>
          <w:lang w:val="pt-BR"/>
        </w:rPr>
        <w:t>,</w:t>
      </w:r>
      <w:r w:rsidR="00D45E32">
        <w:rPr>
          <w:rFonts w:ascii="Times New Roman" w:hAnsi="Times New Roman" w:cs="Times New Roman"/>
          <w:sz w:val="28"/>
          <w:szCs w:val="28"/>
          <w:lang w:val="pt-BR"/>
        </w:rPr>
        <w:t xml:space="preserve"> </w:t>
      </w:r>
      <w:r w:rsidR="00D45E32" w:rsidRPr="00D45E32">
        <w:rPr>
          <w:rFonts w:ascii="Times New Roman" w:hAnsi="Times New Roman" w:cs="Times New Roman"/>
          <w:sz w:val="28"/>
          <w:szCs w:val="28"/>
          <w:lang w:val="pt-BR"/>
        </w:rPr>
        <w:t>Nghị định 67/2014/NĐ-CP</w:t>
      </w:r>
      <w:r w:rsidR="004D7F02">
        <w:rPr>
          <w:rStyle w:val="FootnoteReference"/>
          <w:rFonts w:ascii="Times New Roman" w:hAnsi="Times New Roman" w:cs="Times New Roman"/>
          <w:sz w:val="28"/>
          <w:szCs w:val="28"/>
          <w:lang w:val="pt-BR"/>
        </w:rPr>
        <w:footnoteReference w:id="8"/>
      </w:r>
      <w:r w:rsidR="00D45E32">
        <w:rPr>
          <w:rFonts w:ascii="Times New Roman" w:hAnsi="Times New Roman" w:cs="Times New Roman"/>
          <w:sz w:val="28"/>
          <w:szCs w:val="28"/>
          <w:lang w:val="pt-BR"/>
        </w:rPr>
        <w:t xml:space="preserve">, </w:t>
      </w:r>
      <w:r w:rsidR="00D45E32" w:rsidRPr="00D45E32">
        <w:rPr>
          <w:rFonts w:ascii="Times New Roman" w:hAnsi="Times New Roman" w:cs="Times New Roman"/>
          <w:sz w:val="28"/>
          <w:szCs w:val="28"/>
          <w:lang w:val="pt-BR"/>
        </w:rPr>
        <w:t>Thông tư số 114/2014/TT-BTC</w:t>
      </w:r>
      <w:r w:rsidR="004D7F02">
        <w:rPr>
          <w:rStyle w:val="FootnoteReference"/>
          <w:rFonts w:ascii="Times New Roman" w:hAnsi="Times New Roman" w:cs="Times New Roman"/>
          <w:sz w:val="28"/>
          <w:szCs w:val="28"/>
          <w:lang w:val="pt-BR"/>
        </w:rPr>
        <w:footnoteReference w:id="9"/>
      </w:r>
      <w:r w:rsidR="00D45E32">
        <w:rPr>
          <w:rFonts w:ascii="Times New Roman" w:hAnsi="Times New Roman" w:cs="Times New Roman"/>
          <w:sz w:val="28"/>
          <w:szCs w:val="28"/>
          <w:lang w:val="pt-BR"/>
        </w:rPr>
        <w:t xml:space="preserve">, </w:t>
      </w:r>
      <w:r w:rsidR="00874D58" w:rsidRPr="00874D58">
        <w:rPr>
          <w:rFonts w:ascii="Times New Roman" w:hAnsi="Times New Roman" w:cs="Times New Roman"/>
          <w:sz w:val="28"/>
          <w:szCs w:val="28"/>
          <w:lang w:val="pt-BR"/>
        </w:rPr>
        <w:t>Thông tư số 123/2018/TT-BTC</w:t>
      </w:r>
      <w:r w:rsidR="004D7F02">
        <w:rPr>
          <w:rStyle w:val="FootnoteReference"/>
          <w:rFonts w:ascii="Times New Roman" w:hAnsi="Times New Roman" w:cs="Times New Roman"/>
          <w:sz w:val="28"/>
          <w:szCs w:val="28"/>
          <w:lang w:val="pt-BR"/>
        </w:rPr>
        <w:footnoteReference w:id="10"/>
      </w:r>
      <w:r w:rsidR="00874D58">
        <w:rPr>
          <w:rFonts w:ascii="Times New Roman" w:hAnsi="Times New Roman" w:cs="Times New Roman"/>
          <w:sz w:val="28"/>
          <w:szCs w:val="28"/>
          <w:lang w:val="pt-BR"/>
        </w:rPr>
        <w:t>,</w:t>
      </w:r>
      <w:r w:rsidR="00D22479">
        <w:rPr>
          <w:rFonts w:ascii="Times New Roman" w:hAnsi="Times New Roman" w:cs="Times New Roman"/>
          <w:sz w:val="28"/>
          <w:szCs w:val="28"/>
          <w:lang w:val="pt-BR"/>
        </w:rPr>
        <w:t xml:space="preserve"> Thông tư số 89/2014/TT-BTC</w:t>
      </w:r>
      <w:r w:rsidR="004D7F02">
        <w:rPr>
          <w:rStyle w:val="FootnoteReference"/>
          <w:rFonts w:ascii="Times New Roman" w:hAnsi="Times New Roman" w:cs="Times New Roman"/>
          <w:sz w:val="28"/>
          <w:szCs w:val="28"/>
          <w:lang w:val="pt-BR"/>
        </w:rPr>
        <w:footnoteReference w:id="11"/>
      </w:r>
      <w:r w:rsidR="00D22479">
        <w:rPr>
          <w:rFonts w:ascii="Times New Roman" w:hAnsi="Times New Roman" w:cs="Times New Roman"/>
          <w:sz w:val="28"/>
          <w:szCs w:val="28"/>
          <w:lang w:val="pt-BR"/>
        </w:rPr>
        <w:t>, Thông tư số 183/2009/TT-BT</w:t>
      </w:r>
      <w:r w:rsidR="00874D58">
        <w:rPr>
          <w:rFonts w:ascii="Times New Roman" w:hAnsi="Times New Roman" w:cs="Times New Roman"/>
          <w:sz w:val="28"/>
          <w:szCs w:val="28"/>
          <w:lang w:val="pt-BR"/>
        </w:rPr>
        <w:t>C</w:t>
      </w:r>
      <w:r w:rsidR="004D7F02">
        <w:rPr>
          <w:rStyle w:val="FootnoteReference"/>
          <w:rFonts w:ascii="Times New Roman" w:hAnsi="Times New Roman" w:cs="Times New Roman"/>
          <w:sz w:val="28"/>
          <w:szCs w:val="28"/>
          <w:lang w:val="pt-BR"/>
        </w:rPr>
        <w:footnoteReference w:id="12"/>
      </w:r>
      <w:r w:rsidR="00874D58">
        <w:rPr>
          <w:rFonts w:ascii="Times New Roman" w:hAnsi="Times New Roman" w:cs="Times New Roman"/>
          <w:sz w:val="28"/>
          <w:szCs w:val="28"/>
          <w:lang w:val="pt-BR"/>
        </w:rPr>
        <w:t>, Thông tư số 188/2012/TT-BTC</w:t>
      </w:r>
      <w:r w:rsidR="004D7F02">
        <w:rPr>
          <w:rStyle w:val="FootnoteReference"/>
          <w:rFonts w:ascii="Times New Roman" w:hAnsi="Times New Roman" w:cs="Times New Roman"/>
          <w:sz w:val="28"/>
          <w:szCs w:val="28"/>
          <w:lang w:val="pt-BR"/>
        </w:rPr>
        <w:footnoteReference w:id="13"/>
      </w:r>
      <w:r w:rsidR="00874D58">
        <w:rPr>
          <w:rFonts w:ascii="Times New Roman" w:hAnsi="Times New Roman" w:cs="Times New Roman"/>
          <w:sz w:val="28"/>
          <w:szCs w:val="28"/>
          <w:lang w:val="pt-BR"/>
        </w:rPr>
        <w:t>.</w:t>
      </w:r>
      <w:r w:rsidRPr="004A74DA">
        <w:rPr>
          <w:rFonts w:ascii="Times New Roman" w:hAnsi="Times New Roman" w:cs="Times New Roman"/>
          <w:sz w:val="28"/>
          <w:szCs w:val="28"/>
          <w:lang w:val="pt-BR"/>
        </w:rPr>
        <w:t xml:space="preserve"> </w:t>
      </w:r>
      <w:r w:rsidRPr="004A74DA">
        <w:rPr>
          <w:rFonts w:ascii="Times New Roman" w:hAnsi="Times New Roman" w:cs="Times New Roman"/>
          <w:sz w:val="28"/>
          <w:szCs w:val="28"/>
          <w:lang w:val="pt-BR"/>
        </w:rPr>
        <w:lastRenderedPageBreak/>
        <w:t>Đồng thời, các TTHC này đã được đánh giá, nghiên cứu nhằm mục tiêu đơn giản hóa TTHC, cụ thể gồm:</w:t>
      </w:r>
    </w:p>
    <w:p w:rsidR="004A74DA" w:rsidRDefault="004A74DA" w:rsidP="004A74DA">
      <w:pPr>
        <w:autoSpaceDE w:val="0"/>
        <w:autoSpaceDN w:val="0"/>
        <w:adjustRightInd w:val="0"/>
        <w:spacing w:before="120"/>
        <w:ind w:firstLine="709"/>
        <w:jc w:val="both"/>
        <w:rPr>
          <w:rFonts w:ascii="Times New Roman" w:hAnsi="Times New Roman" w:cs="Times New Roman"/>
          <w:sz w:val="28"/>
          <w:szCs w:val="28"/>
          <w:lang w:val="pt-BR"/>
        </w:rPr>
      </w:pPr>
      <w:r w:rsidRPr="004A74DA">
        <w:rPr>
          <w:rFonts w:ascii="Times New Roman" w:hAnsi="Times New Roman" w:cs="Times New Roman"/>
          <w:sz w:val="28"/>
          <w:szCs w:val="28"/>
          <w:lang w:val="pt-BR"/>
        </w:rPr>
        <w:tab/>
        <w:t xml:space="preserve">- </w:t>
      </w:r>
      <w:r w:rsidR="00874D58" w:rsidRPr="00874D58">
        <w:rPr>
          <w:rFonts w:ascii="Times New Roman" w:hAnsi="Times New Roman" w:cs="Times New Roman"/>
          <w:sz w:val="28"/>
          <w:szCs w:val="28"/>
          <w:lang w:val="pt-BR"/>
        </w:rPr>
        <w:t>Thủ tục lập kế hoạch, tạm cấp bù, quyết toán cấp bù lãi suất</w:t>
      </w:r>
      <w:r w:rsidR="00874D58">
        <w:rPr>
          <w:rFonts w:ascii="Times New Roman" w:hAnsi="Times New Roman" w:cs="Times New Roman"/>
          <w:sz w:val="28"/>
          <w:szCs w:val="28"/>
          <w:lang w:val="pt-BR"/>
        </w:rPr>
        <w:t xml:space="preserve"> thực hiện cho vay nhà ở xã hội</w:t>
      </w:r>
      <w:r w:rsidRPr="004A74DA">
        <w:rPr>
          <w:rFonts w:ascii="Times New Roman" w:hAnsi="Times New Roman" w:cs="Times New Roman"/>
          <w:sz w:val="28"/>
          <w:szCs w:val="28"/>
          <w:lang w:val="pt-BR"/>
        </w:rPr>
        <w:t>;</w:t>
      </w:r>
    </w:p>
    <w:p w:rsidR="00874D58" w:rsidRDefault="00874D58" w:rsidP="004A74DA">
      <w:pPr>
        <w:autoSpaceDE w:val="0"/>
        <w:autoSpaceDN w:val="0"/>
        <w:adjustRightInd w:val="0"/>
        <w:spacing w:before="120"/>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4D58">
        <w:rPr>
          <w:rFonts w:ascii="Times New Roman" w:hAnsi="Times New Roman" w:cs="Times New Roman"/>
          <w:sz w:val="28"/>
          <w:szCs w:val="28"/>
          <w:lang w:val="pt-BR"/>
        </w:rPr>
        <w:t>Thủ tục hướng dẫn cơ chế hỗ trợ lãi suất do thực hiện chính sách tín dụng theo Nghị định số 67/2014/NĐ-CP ngày 07/7/2014 của Chính phủ về một số chính sách phát triển thủy sản</w:t>
      </w:r>
      <w:r>
        <w:rPr>
          <w:rFonts w:ascii="Times New Roman" w:hAnsi="Times New Roman" w:cs="Times New Roman"/>
          <w:sz w:val="28"/>
          <w:szCs w:val="28"/>
          <w:lang w:val="pt-BR"/>
        </w:rPr>
        <w:t>;</w:t>
      </w:r>
    </w:p>
    <w:p w:rsidR="00874D58" w:rsidRDefault="00874D58" w:rsidP="004A74DA">
      <w:pPr>
        <w:autoSpaceDE w:val="0"/>
        <w:autoSpaceDN w:val="0"/>
        <w:adjustRightInd w:val="0"/>
        <w:spacing w:before="120"/>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4D58">
        <w:rPr>
          <w:rFonts w:ascii="Times New Roman" w:hAnsi="Times New Roman" w:cs="Times New Roman"/>
          <w:sz w:val="28"/>
          <w:szCs w:val="28"/>
          <w:lang w:val="pt-BR"/>
        </w:rPr>
        <w:t>Thủ tục cấp bù lãi suất do thực hiện chính sách cho vay ưu đãi lãi suất theo chương trình hỗ trợ các huyện nghèo tại Nghị quyết số 30a/2008/NQ-CP ngày 27/12/2008 của Chính phủ</w:t>
      </w:r>
      <w:r>
        <w:rPr>
          <w:rFonts w:ascii="Times New Roman" w:hAnsi="Times New Roman" w:cs="Times New Roman"/>
          <w:sz w:val="28"/>
          <w:szCs w:val="28"/>
          <w:lang w:val="pt-BR"/>
        </w:rPr>
        <w:t>;</w:t>
      </w:r>
    </w:p>
    <w:p w:rsidR="00874D58" w:rsidRDefault="00874D58" w:rsidP="004A74DA">
      <w:pPr>
        <w:autoSpaceDE w:val="0"/>
        <w:autoSpaceDN w:val="0"/>
        <w:adjustRightInd w:val="0"/>
        <w:spacing w:before="120"/>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4D58">
        <w:rPr>
          <w:rFonts w:ascii="Times New Roman" w:hAnsi="Times New Roman" w:cs="Times New Roman"/>
          <w:sz w:val="28"/>
          <w:szCs w:val="28"/>
          <w:lang w:val="pt-BR"/>
        </w:rPr>
        <w:t>Thủ tục hướng dẫn hỗ trợ lãi suất vay vốn và cấp bù chênh lệch lãi suất do thực hiện chính sách hỗ trợ nhằm giảm tổn thất trong nông nghiệp</w:t>
      </w:r>
      <w:r>
        <w:rPr>
          <w:rFonts w:ascii="Times New Roman" w:hAnsi="Times New Roman" w:cs="Times New Roman"/>
          <w:sz w:val="28"/>
          <w:szCs w:val="28"/>
          <w:lang w:val="pt-BR"/>
        </w:rPr>
        <w:t>;</w:t>
      </w:r>
    </w:p>
    <w:p w:rsidR="00874D58" w:rsidRDefault="00874D58" w:rsidP="00874D58">
      <w:pPr>
        <w:autoSpaceDE w:val="0"/>
        <w:autoSpaceDN w:val="0"/>
        <w:adjustRightInd w:val="0"/>
        <w:spacing w:before="120"/>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874D58">
        <w:rPr>
          <w:rFonts w:ascii="Times New Roman" w:hAnsi="Times New Roman" w:cs="Times New Roman"/>
          <w:sz w:val="28"/>
          <w:szCs w:val="28"/>
          <w:lang w:val="pt-BR"/>
        </w:rPr>
        <w:t>Thủ tục hướng dẫn về hỗ trợ lãi suất vay vốn và cấp bù chênh lệch lãi suất cho các ngân hàng thương mại nhà nước do thực hiện chính sách hỗ trợ nhằm giảm tổn thất sau thu h</w:t>
      </w:r>
      <w:r>
        <w:rPr>
          <w:rFonts w:ascii="Times New Roman" w:hAnsi="Times New Roman" w:cs="Times New Roman"/>
          <w:sz w:val="28"/>
          <w:szCs w:val="28"/>
          <w:lang w:val="pt-BR"/>
        </w:rPr>
        <w:t>oạch đối với nông sản, thuỷ sản;</w:t>
      </w:r>
    </w:p>
    <w:p w:rsidR="00B5238E" w:rsidRPr="00824CBB" w:rsidRDefault="009C1B98" w:rsidP="004A74DA">
      <w:pPr>
        <w:autoSpaceDE w:val="0"/>
        <w:autoSpaceDN w:val="0"/>
        <w:adjustRightInd w:val="0"/>
        <w:spacing w:before="120"/>
        <w:ind w:firstLine="709"/>
        <w:jc w:val="both"/>
        <w:rPr>
          <w:rFonts w:ascii="Times New Roman" w:hAnsi="Times New Roman" w:cs="Times New Roman"/>
          <w:sz w:val="28"/>
          <w:szCs w:val="28"/>
          <w:lang w:val="pt-BR"/>
        </w:rPr>
      </w:pPr>
      <w:r w:rsidRPr="009C1B98">
        <w:rPr>
          <w:rFonts w:ascii="Times New Roman" w:hAnsi="Times New Roman" w:cs="Times New Roman"/>
          <w:sz w:val="28"/>
          <w:szCs w:val="28"/>
          <w:lang w:val="pt-BR"/>
        </w:rPr>
        <w:t xml:space="preserve">Các </w:t>
      </w:r>
      <w:r>
        <w:rPr>
          <w:rFonts w:ascii="Times New Roman" w:hAnsi="Times New Roman" w:cs="Times New Roman"/>
          <w:sz w:val="28"/>
          <w:szCs w:val="28"/>
          <w:lang w:val="pt-BR"/>
        </w:rPr>
        <w:t>TTHC</w:t>
      </w:r>
      <w:r w:rsidRPr="009C1B98">
        <w:rPr>
          <w:rFonts w:ascii="Times New Roman" w:hAnsi="Times New Roman" w:cs="Times New Roman"/>
          <w:sz w:val="28"/>
          <w:szCs w:val="28"/>
          <w:lang w:val="pt-BR"/>
        </w:rPr>
        <w:t xml:space="preserve"> </w:t>
      </w:r>
      <w:r>
        <w:rPr>
          <w:rFonts w:ascii="Times New Roman" w:hAnsi="Times New Roman" w:cs="Times New Roman"/>
          <w:sz w:val="28"/>
          <w:szCs w:val="28"/>
          <w:lang w:val="pt-BR"/>
        </w:rPr>
        <w:t>trên</w:t>
      </w:r>
      <w:r w:rsidRPr="009C1B98">
        <w:rPr>
          <w:rFonts w:ascii="Times New Roman" w:hAnsi="Times New Roman" w:cs="Times New Roman"/>
          <w:sz w:val="28"/>
          <w:szCs w:val="28"/>
          <w:lang w:val="pt-BR"/>
        </w:rPr>
        <w:t xml:space="preserve"> đang được </w:t>
      </w:r>
      <w:r>
        <w:rPr>
          <w:rFonts w:ascii="Times New Roman" w:hAnsi="Times New Roman" w:cs="Times New Roman"/>
          <w:sz w:val="28"/>
          <w:szCs w:val="28"/>
          <w:lang w:val="pt-BR"/>
        </w:rPr>
        <w:t xml:space="preserve">thực hiện theo </w:t>
      </w:r>
      <w:r w:rsidRPr="009C1B98">
        <w:rPr>
          <w:rFonts w:ascii="Times New Roman" w:hAnsi="Times New Roman" w:cs="Times New Roman"/>
          <w:sz w:val="28"/>
          <w:szCs w:val="28"/>
          <w:lang w:val="pt-BR"/>
        </w:rPr>
        <w:t>quy định tại</w:t>
      </w:r>
      <w:r w:rsidR="003551F6">
        <w:rPr>
          <w:rFonts w:ascii="Times New Roman" w:hAnsi="Times New Roman" w:cs="Times New Roman"/>
          <w:sz w:val="28"/>
          <w:szCs w:val="28"/>
          <w:lang w:val="pt-BR"/>
        </w:rPr>
        <w:t xml:space="preserve"> các</w:t>
      </w:r>
      <w:r w:rsidRPr="009C1B98">
        <w:rPr>
          <w:rFonts w:ascii="Times New Roman" w:hAnsi="Times New Roman" w:cs="Times New Roman"/>
          <w:sz w:val="28"/>
          <w:szCs w:val="28"/>
          <w:lang w:val="pt-BR"/>
        </w:rPr>
        <w:t xml:space="preserve"> Nghị định, Thông tư khác nhau</w:t>
      </w:r>
      <w:r w:rsidR="0039549D">
        <w:rPr>
          <w:rFonts w:ascii="Times New Roman" w:hAnsi="Times New Roman" w:cs="Times New Roman"/>
          <w:sz w:val="28"/>
          <w:szCs w:val="28"/>
          <w:lang w:val="pt-BR"/>
        </w:rPr>
        <w:t xml:space="preserve"> được ban hành trước khi Luật Đầu tư công có hiệu lực</w:t>
      </w:r>
      <w:r w:rsidRPr="009C1B98">
        <w:rPr>
          <w:rFonts w:ascii="Times New Roman" w:hAnsi="Times New Roman" w:cs="Times New Roman"/>
          <w:sz w:val="28"/>
          <w:szCs w:val="28"/>
          <w:lang w:val="pt-BR"/>
        </w:rPr>
        <w:t xml:space="preserve">. Dự thảo Nghị định được xây dựng </w:t>
      </w:r>
      <w:r w:rsidR="00080193">
        <w:rPr>
          <w:rFonts w:ascii="Times New Roman" w:hAnsi="Times New Roman" w:cs="Times New Roman"/>
          <w:sz w:val="28"/>
          <w:szCs w:val="28"/>
          <w:lang w:val="pt-BR"/>
        </w:rPr>
        <w:t xml:space="preserve">căn cứ vào Luật Đầu tư công </w:t>
      </w:r>
      <w:r w:rsidRPr="009C1B98">
        <w:rPr>
          <w:rFonts w:ascii="Times New Roman" w:hAnsi="Times New Roman" w:cs="Times New Roman"/>
          <w:sz w:val="28"/>
          <w:szCs w:val="28"/>
          <w:lang w:val="pt-BR"/>
        </w:rPr>
        <w:t xml:space="preserve">với mục tiêu hợp nhất, đơn giản hóa và cắt giảm các thủ tục hành chính hiện hành, góp phần giảm bớt </w:t>
      </w:r>
      <w:r>
        <w:rPr>
          <w:rFonts w:ascii="Times New Roman" w:hAnsi="Times New Roman" w:cs="Times New Roman"/>
          <w:sz w:val="28"/>
          <w:szCs w:val="28"/>
          <w:lang w:val="pt-BR"/>
        </w:rPr>
        <w:t>quy trình</w:t>
      </w:r>
      <w:r w:rsidRPr="009C1B98">
        <w:rPr>
          <w:rFonts w:ascii="Times New Roman" w:hAnsi="Times New Roman" w:cs="Times New Roman"/>
          <w:sz w:val="28"/>
          <w:szCs w:val="28"/>
          <w:lang w:val="pt-BR"/>
        </w:rPr>
        <w:t xml:space="preserve"> cho các cơ quan, tổ chức và đối tượng thụ hưởng chính sách. Theo đó, việc thực hiện hỗ trợ lãi suất sẽ được quy định thống nhất, đầy đủ trong Nghị định, thay vì tiếp tục áp dụng thông qua hệ thống văn bản thủ tục hành chính riêng biệt của từng chương trình như trước đây.</w:t>
      </w:r>
    </w:p>
    <w:p w:rsidR="00302103" w:rsidRPr="00CF22E1" w:rsidRDefault="00302103" w:rsidP="009C1B98">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2. Việc ph</w:t>
      </w:r>
      <w:r w:rsidRPr="004A74DA">
        <w:rPr>
          <w:rFonts w:ascii="Times New Roman" w:hAnsi="Times New Roman" w:cs="Times New Roman"/>
          <w:b/>
          <w:bCs/>
          <w:sz w:val="28"/>
          <w:szCs w:val="28"/>
        </w:rPr>
        <w:t>ân quy</w:t>
      </w:r>
      <w:r w:rsidRPr="00CF22E1">
        <w:rPr>
          <w:rFonts w:ascii="Times New Roman" w:hAnsi="Times New Roman" w:cs="Times New Roman"/>
          <w:b/>
          <w:bCs/>
          <w:sz w:val="28"/>
          <w:szCs w:val="28"/>
        </w:rPr>
        <w:t>ền, ph</w:t>
      </w:r>
      <w:r w:rsidRPr="004A74DA">
        <w:rPr>
          <w:rFonts w:ascii="Times New Roman" w:hAnsi="Times New Roman" w:cs="Times New Roman"/>
          <w:b/>
          <w:bCs/>
          <w:sz w:val="28"/>
          <w:szCs w:val="28"/>
        </w:rPr>
        <w:t>ân c</w:t>
      </w:r>
      <w:r w:rsidRPr="00CF22E1">
        <w:rPr>
          <w:rFonts w:ascii="Times New Roman" w:hAnsi="Times New Roman" w:cs="Times New Roman"/>
          <w:b/>
          <w:bCs/>
          <w:sz w:val="28"/>
          <w:szCs w:val="28"/>
        </w:rPr>
        <w:t xml:space="preserve">ấp </w:t>
      </w:r>
    </w:p>
    <w:p w:rsidR="00070D26" w:rsidRDefault="00A32FEC" w:rsidP="009C1B98">
      <w:pPr>
        <w:spacing w:before="120" w:line="340" w:lineRule="atLeast"/>
        <w:ind w:firstLine="720"/>
        <w:jc w:val="both"/>
        <w:rPr>
          <w:rFonts w:ascii="Times New Roman" w:hAnsi="Times New Roman" w:cs="Times New Roman"/>
          <w:bCs/>
          <w:sz w:val="28"/>
          <w:szCs w:val="28"/>
          <w:lang w:val="en-US"/>
        </w:rPr>
      </w:pPr>
      <w:r>
        <w:rPr>
          <w:rFonts w:ascii="Times New Roman" w:hAnsi="Times New Roman" w:cs="Times New Roman"/>
          <w:b/>
          <w:i/>
          <w:sz w:val="28"/>
          <w:szCs w:val="28"/>
          <w:lang w:val="en-US"/>
        </w:rPr>
        <w:t xml:space="preserve">- </w:t>
      </w:r>
      <w:r w:rsidR="009C1B98" w:rsidRPr="005403ED">
        <w:rPr>
          <w:rFonts w:ascii="Times New Roman" w:hAnsi="Times New Roman" w:cs="Times New Roman"/>
          <w:bCs/>
          <w:sz w:val="28"/>
          <w:szCs w:val="28"/>
        </w:rPr>
        <w:t xml:space="preserve">Việc phân quyền, phân cấp trong dự thảo </w:t>
      </w:r>
      <w:r w:rsidR="00070D26">
        <w:rPr>
          <w:rFonts w:ascii="Times New Roman" w:hAnsi="Times New Roman" w:cs="Times New Roman"/>
          <w:bCs/>
          <w:sz w:val="28"/>
          <w:szCs w:val="28"/>
          <w:lang w:val="en-US"/>
        </w:rPr>
        <w:t>Nghị định</w:t>
      </w:r>
      <w:r w:rsidR="009C1B98" w:rsidRPr="005403ED">
        <w:rPr>
          <w:rFonts w:ascii="Times New Roman" w:hAnsi="Times New Roman" w:cs="Times New Roman"/>
          <w:bCs/>
          <w:sz w:val="28"/>
          <w:szCs w:val="28"/>
        </w:rPr>
        <w:t xml:space="preserve"> là cần thiết nhằm bảo đảm quản lý linh hoạt, kịp thời và phù hợp với thực tiễn hoạt động của </w:t>
      </w:r>
      <w:r w:rsidR="00070D26">
        <w:rPr>
          <w:rFonts w:ascii="Times New Roman" w:hAnsi="Times New Roman" w:cs="Times New Roman"/>
          <w:bCs/>
          <w:sz w:val="28"/>
          <w:szCs w:val="28"/>
          <w:lang w:val="en-US"/>
        </w:rPr>
        <w:t>các ngân hàng thương mại, cơ quan quản lý và các tổ chức</w:t>
      </w:r>
      <w:r w:rsidR="00E73E52">
        <w:rPr>
          <w:rFonts w:ascii="Times New Roman" w:hAnsi="Times New Roman" w:cs="Times New Roman"/>
          <w:bCs/>
          <w:sz w:val="28"/>
          <w:szCs w:val="28"/>
          <w:lang w:val="en-US"/>
        </w:rPr>
        <w:t xml:space="preserve"> tín dụng (TCTD)</w:t>
      </w:r>
      <w:r w:rsidR="00070D26">
        <w:rPr>
          <w:rFonts w:ascii="Times New Roman" w:hAnsi="Times New Roman" w:cs="Times New Roman"/>
          <w:bCs/>
          <w:sz w:val="28"/>
          <w:szCs w:val="28"/>
          <w:lang w:val="en-US"/>
        </w:rPr>
        <w:t xml:space="preserve"> hoạt động theo Luật Các </w:t>
      </w:r>
      <w:r w:rsidR="0003125F">
        <w:rPr>
          <w:rFonts w:ascii="Times New Roman" w:hAnsi="Times New Roman" w:cs="Times New Roman"/>
          <w:bCs/>
          <w:sz w:val="28"/>
          <w:szCs w:val="28"/>
          <w:lang w:val="en-US"/>
        </w:rPr>
        <w:t>TCTD</w:t>
      </w:r>
      <w:r w:rsidR="009C1B98" w:rsidRPr="005403ED">
        <w:rPr>
          <w:rFonts w:ascii="Times New Roman" w:hAnsi="Times New Roman" w:cs="Times New Roman"/>
          <w:bCs/>
          <w:sz w:val="28"/>
          <w:szCs w:val="28"/>
        </w:rPr>
        <w:t xml:space="preserve">. Phân quyền, phân cấp giúp rút ngắn quy trình xử lý công việc, nâng cao hiệu quả, hiệu lực quản lý nhà nước và phát huy tính chủ động, trách nhiệm của các cơ quan, đơn vị liên quan. Việc phân cấp cần được thực hiện trên cơ sở rõ ràng về thẩm quyền, trách nhiệm, đồng thời bảo đảm thống nhất, không chồng chéo, phù hợp với năng lực tổ chức thực hiện và có cơ chế kiểm tra, giám sát chặt chẽ. </w:t>
      </w:r>
    </w:p>
    <w:p w:rsidR="00070D26" w:rsidRPr="006A5204" w:rsidRDefault="009C1B98" w:rsidP="00070D26">
      <w:pPr>
        <w:spacing w:before="120" w:line="340" w:lineRule="atLeast"/>
        <w:ind w:firstLine="720"/>
        <w:jc w:val="both"/>
        <w:rPr>
          <w:rFonts w:ascii="Times New Roman" w:hAnsi="Times New Roman" w:cs="Times New Roman"/>
          <w:bCs/>
          <w:sz w:val="28"/>
          <w:szCs w:val="28"/>
          <w:lang w:val="en-US"/>
        </w:rPr>
      </w:pPr>
      <w:r w:rsidRPr="00016B8B">
        <w:rPr>
          <w:rFonts w:ascii="Times New Roman" w:hAnsi="Times New Roman" w:cs="Times New Roman"/>
          <w:sz w:val="28"/>
          <w:szCs w:val="28"/>
        </w:rPr>
        <w:t xml:space="preserve">- </w:t>
      </w:r>
      <w:r w:rsidR="00070D26" w:rsidRPr="003B4FD2">
        <w:rPr>
          <w:rFonts w:ascii="Times New Roman" w:hAnsi="Times New Roman" w:cs="Times New Roman"/>
          <w:bCs/>
          <w:sz w:val="28"/>
          <w:szCs w:val="28"/>
        </w:rPr>
        <w:t xml:space="preserve">Bám sát chủ trương, định hướng của Đảng, Chính phủ về phân cấp phân quyền tại Công văn số 48/CV-BCĐTKNQ18 ngày 3/5/2025 của Ban chỉ đạo tổng kết thực hiện Nghị quyết số 18-NQ/TW, dự thảo Nghị định đã quy định thẩm quyền của Bộ Tài chính, Ngân hàng Nhà nước Việt Nam, Ngân hàng </w:t>
      </w:r>
      <w:r w:rsidR="006A5204">
        <w:rPr>
          <w:rFonts w:ascii="Times New Roman" w:hAnsi="Times New Roman" w:cs="Times New Roman"/>
          <w:bCs/>
          <w:sz w:val="28"/>
          <w:szCs w:val="28"/>
          <w:lang w:val="en-US"/>
        </w:rPr>
        <w:t>thương mại.</w:t>
      </w:r>
    </w:p>
    <w:p w:rsidR="00070D26" w:rsidRPr="003B4FD2" w:rsidRDefault="00070D26" w:rsidP="00070D26">
      <w:pPr>
        <w:spacing w:before="120" w:line="340" w:lineRule="atLeast"/>
        <w:ind w:firstLine="720"/>
        <w:jc w:val="both"/>
        <w:rPr>
          <w:rFonts w:ascii="Times New Roman" w:hAnsi="Times New Roman" w:cs="Times New Roman"/>
          <w:bCs/>
          <w:sz w:val="28"/>
          <w:szCs w:val="28"/>
        </w:rPr>
      </w:pPr>
      <w:r w:rsidRPr="003B4FD2">
        <w:rPr>
          <w:rFonts w:ascii="Times New Roman" w:hAnsi="Times New Roman" w:cs="Times New Roman"/>
          <w:bCs/>
          <w:sz w:val="28"/>
          <w:szCs w:val="28"/>
        </w:rPr>
        <w:lastRenderedPageBreak/>
        <w:t>Theo đó, dự thảo Nghị định đã thể hiện rõ nội dung phân cấp, phân quyền. Triệt để phân cấp quản lý cho ngân hàng thương mại trong quy trình triển khai thực hiện thanh toán, quyết toán, giải ngân vốn cấp bù lãi suất</w:t>
      </w:r>
      <w:r w:rsidR="002E09EF">
        <w:rPr>
          <w:rFonts w:ascii="Times New Roman" w:hAnsi="Times New Roman" w:cs="Times New Roman"/>
          <w:bCs/>
          <w:sz w:val="28"/>
          <w:szCs w:val="28"/>
          <w:lang w:val="en-US"/>
        </w:rPr>
        <w:t>, hỗ trợ lãi suất</w:t>
      </w:r>
      <w:r w:rsidRPr="003B4FD2">
        <w:rPr>
          <w:rFonts w:ascii="Times New Roman" w:hAnsi="Times New Roman" w:cs="Times New Roman"/>
          <w:bCs/>
          <w:sz w:val="28"/>
          <w:szCs w:val="28"/>
        </w:rPr>
        <w:t>; gửi hồ sơ than</w:t>
      </w:r>
      <w:r w:rsidR="006A5204">
        <w:rPr>
          <w:rFonts w:ascii="Times New Roman" w:hAnsi="Times New Roman" w:cs="Times New Roman"/>
          <w:bCs/>
          <w:sz w:val="28"/>
          <w:szCs w:val="28"/>
          <w:lang w:val="en-US"/>
        </w:rPr>
        <w:t>h</w:t>
      </w:r>
      <w:r w:rsidRPr="003B4FD2">
        <w:rPr>
          <w:rFonts w:ascii="Times New Roman" w:hAnsi="Times New Roman" w:cs="Times New Roman"/>
          <w:bCs/>
          <w:sz w:val="28"/>
          <w:szCs w:val="28"/>
        </w:rPr>
        <w:t xml:space="preserve"> toán tại KBNN.</w:t>
      </w:r>
    </w:p>
    <w:p w:rsidR="009C1B98" w:rsidRPr="00070D26" w:rsidRDefault="00070D26" w:rsidP="00070D26">
      <w:pPr>
        <w:spacing w:before="120" w:line="340" w:lineRule="atLeast"/>
        <w:ind w:firstLine="720"/>
        <w:jc w:val="both"/>
        <w:rPr>
          <w:rFonts w:ascii="Times New Roman" w:hAnsi="Times New Roman" w:cs="Times New Roman"/>
          <w:bCs/>
          <w:sz w:val="28"/>
          <w:szCs w:val="28"/>
          <w:lang w:val="en-US"/>
        </w:rPr>
      </w:pPr>
      <w:r w:rsidRPr="003B4FD2">
        <w:rPr>
          <w:rFonts w:ascii="Times New Roman" w:hAnsi="Times New Roman" w:cs="Times New Roman"/>
          <w:bCs/>
          <w:sz w:val="28"/>
          <w:szCs w:val="28"/>
        </w:rPr>
        <w:t xml:space="preserve">Bỏ nội dung quy định Bộ Tài chính thẩm định báo cáo quyết toán theo niên độ (theo Luật </w:t>
      </w:r>
      <w:r w:rsidR="00D24B09">
        <w:rPr>
          <w:rFonts w:ascii="Times New Roman" w:hAnsi="Times New Roman" w:cs="Times New Roman"/>
          <w:bCs/>
          <w:sz w:val="28"/>
          <w:szCs w:val="28"/>
          <w:lang w:val="en-US"/>
        </w:rPr>
        <w:t>Ngân sách nhà nước năm 2025</w:t>
      </w:r>
      <w:r w:rsidRPr="003B4FD2">
        <w:rPr>
          <w:rFonts w:ascii="Times New Roman" w:hAnsi="Times New Roman" w:cs="Times New Roman"/>
          <w:bCs/>
          <w:sz w:val="28"/>
          <w:szCs w:val="28"/>
        </w:rPr>
        <w:t>).</w:t>
      </w:r>
    </w:p>
    <w:p w:rsidR="00302103" w:rsidRPr="00CF22E1" w:rsidRDefault="00302103" w:rsidP="00CF22E1">
      <w:pPr>
        <w:autoSpaceDE w:val="0"/>
        <w:autoSpaceDN w:val="0"/>
        <w:adjustRightInd w:val="0"/>
        <w:spacing w:before="120"/>
        <w:ind w:firstLine="709"/>
        <w:jc w:val="both"/>
        <w:rPr>
          <w:rFonts w:ascii="Times New Roman" w:hAnsi="Times New Roman" w:cs="Times New Roman"/>
          <w:sz w:val="28"/>
          <w:szCs w:val="28"/>
        </w:rPr>
      </w:pPr>
      <w:r w:rsidRPr="00CF22E1">
        <w:rPr>
          <w:rFonts w:ascii="Times New Roman" w:hAnsi="Times New Roman" w:cs="Times New Roman"/>
          <w:b/>
          <w:bCs/>
          <w:sz w:val="28"/>
          <w:szCs w:val="28"/>
        </w:rPr>
        <w:t>3. Việc ứng dụng, th</w:t>
      </w:r>
      <w:r w:rsidRPr="004A74DA">
        <w:rPr>
          <w:rFonts w:ascii="Times New Roman" w:hAnsi="Times New Roman" w:cs="Times New Roman"/>
          <w:b/>
          <w:bCs/>
          <w:sz w:val="28"/>
          <w:szCs w:val="28"/>
        </w:rPr>
        <w:t>úc đ</w:t>
      </w:r>
      <w:r w:rsidRPr="00CF22E1">
        <w:rPr>
          <w:rFonts w:ascii="Times New Roman" w:hAnsi="Times New Roman" w:cs="Times New Roman"/>
          <w:b/>
          <w:bCs/>
          <w:sz w:val="28"/>
          <w:szCs w:val="28"/>
        </w:rPr>
        <w:t>ẩy ph</w:t>
      </w:r>
      <w:r w:rsidRPr="004A74DA">
        <w:rPr>
          <w:rFonts w:ascii="Times New Roman" w:hAnsi="Times New Roman" w:cs="Times New Roman"/>
          <w:b/>
          <w:bCs/>
          <w:sz w:val="28"/>
          <w:szCs w:val="28"/>
        </w:rPr>
        <w:t>át tri</w:t>
      </w:r>
      <w:r w:rsidRPr="00CF22E1">
        <w:rPr>
          <w:rFonts w:ascii="Times New Roman" w:hAnsi="Times New Roman" w:cs="Times New Roman"/>
          <w:b/>
          <w:bCs/>
          <w:sz w:val="28"/>
          <w:szCs w:val="28"/>
        </w:rPr>
        <w:t>ển khoa học, c</w:t>
      </w:r>
      <w:r w:rsidRPr="004A74DA">
        <w:rPr>
          <w:rFonts w:ascii="Times New Roman" w:hAnsi="Times New Roman" w:cs="Times New Roman"/>
          <w:b/>
          <w:bCs/>
          <w:sz w:val="28"/>
          <w:szCs w:val="28"/>
        </w:rPr>
        <w:t>ông ngh</w:t>
      </w:r>
      <w:r w:rsidRPr="00CF22E1">
        <w:rPr>
          <w:rFonts w:ascii="Times New Roman" w:hAnsi="Times New Roman" w:cs="Times New Roman"/>
          <w:b/>
          <w:bCs/>
          <w:sz w:val="28"/>
          <w:szCs w:val="28"/>
        </w:rPr>
        <w:t>ệ, đổi mới s</w:t>
      </w:r>
      <w:r w:rsidRPr="004A74DA">
        <w:rPr>
          <w:rFonts w:ascii="Times New Roman" w:hAnsi="Times New Roman" w:cs="Times New Roman"/>
          <w:b/>
          <w:bCs/>
          <w:sz w:val="28"/>
          <w:szCs w:val="28"/>
        </w:rPr>
        <w:t>áng t</w:t>
      </w:r>
      <w:r w:rsidRPr="00CF22E1">
        <w:rPr>
          <w:rFonts w:ascii="Times New Roman" w:hAnsi="Times New Roman" w:cs="Times New Roman"/>
          <w:b/>
          <w:bCs/>
          <w:sz w:val="28"/>
          <w:szCs w:val="28"/>
        </w:rPr>
        <w:t>ạo v</w:t>
      </w:r>
      <w:r w:rsidRPr="004A74DA">
        <w:rPr>
          <w:rFonts w:ascii="Times New Roman" w:hAnsi="Times New Roman" w:cs="Times New Roman"/>
          <w:b/>
          <w:bCs/>
          <w:sz w:val="28"/>
          <w:szCs w:val="28"/>
        </w:rPr>
        <w:t>à chuy</w:t>
      </w:r>
      <w:r w:rsidRPr="00CF22E1">
        <w:rPr>
          <w:rFonts w:ascii="Times New Roman" w:hAnsi="Times New Roman" w:cs="Times New Roman"/>
          <w:b/>
          <w:bCs/>
          <w:sz w:val="28"/>
          <w:szCs w:val="28"/>
        </w:rPr>
        <w:t xml:space="preserve">ển đổi số </w:t>
      </w:r>
    </w:p>
    <w:p w:rsidR="00FF6EA9" w:rsidRDefault="00CA6D05" w:rsidP="00F11DAF">
      <w:pPr>
        <w:autoSpaceDE w:val="0"/>
        <w:autoSpaceDN w:val="0"/>
        <w:adjustRightInd w:val="0"/>
        <w:spacing w:before="120"/>
        <w:ind w:firstLine="709"/>
        <w:jc w:val="both"/>
        <w:rPr>
          <w:rFonts w:ascii="Times New Roman" w:hAnsi="Times New Roman" w:cs="Times New Roman"/>
          <w:sz w:val="28"/>
          <w:szCs w:val="28"/>
          <w:lang w:val="en-US"/>
        </w:rPr>
      </w:pPr>
      <w:r w:rsidRPr="00CA6D05">
        <w:rPr>
          <w:rFonts w:ascii="Times New Roman" w:hAnsi="Times New Roman" w:cs="Times New Roman"/>
          <w:sz w:val="28"/>
          <w:szCs w:val="28"/>
        </w:rPr>
        <w:t xml:space="preserve">Tại dự thảo Nghị định đã </w:t>
      </w:r>
      <w:r w:rsidR="00FF6EA9" w:rsidRPr="00FF6EA9">
        <w:rPr>
          <w:rFonts w:ascii="Times New Roman" w:hAnsi="Times New Roman" w:cs="Times New Roman"/>
          <w:sz w:val="28"/>
          <w:szCs w:val="28"/>
        </w:rPr>
        <w:t xml:space="preserve">quy định </w:t>
      </w:r>
      <w:r w:rsidRPr="00CA6D05">
        <w:rPr>
          <w:rFonts w:ascii="Times New Roman" w:hAnsi="Times New Roman" w:cs="Times New Roman"/>
          <w:sz w:val="28"/>
          <w:szCs w:val="28"/>
        </w:rPr>
        <w:t>đầy đủ các phương thức gửi hồ sơ đề nghị cấp bù lãi suất, hỗ trợ lãi suất (bao gồm gửi trực tiếp, qua dịch vụ bưu chính hoặc trực tuyến trên Cổng dịch vụ công quốc gia</w:t>
      </w:r>
      <w:r w:rsidR="00FF6EA9">
        <w:rPr>
          <w:rFonts w:ascii="Times New Roman" w:hAnsi="Times New Roman" w:cs="Times New Roman"/>
          <w:sz w:val="28"/>
          <w:szCs w:val="28"/>
          <w:lang w:val="en-US"/>
        </w:rPr>
        <w:t>).</w:t>
      </w:r>
      <w:r>
        <w:rPr>
          <w:rFonts w:ascii="Times New Roman" w:hAnsi="Times New Roman" w:cs="Times New Roman"/>
          <w:sz w:val="28"/>
          <w:szCs w:val="28"/>
        </w:rPr>
        <w:t xml:space="preserve"> </w:t>
      </w:r>
    </w:p>
    <w:p w:rsidR="00302103" w:rsidRPr="00CF22E1" w:rsidRDefault="00302103" w:rsidP="00CF22E1">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4. Việc bảo đảm b</w:t>
      </w:r>
      <w:r w:rsidRPr="004A74DA">
        <w:rPr>
          <w:rFonts w:ascii="Times New Roman" w:hAnsi="Times New Roman" w:cs="Times New Roman"/>
          <w:b/>
          <w:bCs/>
          <w:sz w:val="28"/>
          <w:szCs w:val="28"/>
        </w:rPr>
        <w:t>ình đ</w:t>
      </w:r>
      <w:r w:rsidRPr="00CF22E1">
        <w:rPr>
          <w:rFonts w:ascii="Times New Roman" w:hAnsi="Times New Roman" w:cs="Times New Roman"/>
          <w:b/>
          <w:bCs/>
          <w:sz w:val="28"/>
          <w:szCs w:val="28"/>
        </w:rPr>
        <w:t xml:space="preserve">ẳng giới </w:t>
      </w:r>
    </w:p>
    <w:p w:rsidR="00302103" w:rsidRPr="00F11DAF" w:rsidRDefault="00F11DAF" w:rsidP="00F11DAF">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Tại dự thảo Nghị định không quy định các nội dung </w:t>
      </w:r>
      <w:r w:rsidRPr="00F11DAF">
        <w:rPr>
          <w:rFonts w:ascii="Times New Roman" w:hAnsi="Times New Roman" w:cs="Times New Roman"/>
          <w:sz w:val="28"/>
          <w:szCs w:val="28"/>
        </w:rPr>
        <w:t xml:space="preserve">phân biệt giới tính, </w:t>
      </w:r>
      <w:r>
        <w:rPr>
          <w:rFonts w:ascii="Times New Roman" w:hAnsi="Times New Roman" w:cs="Times New Roman"/>
          <w:sz w:val="28"/>
          <w:szCs w:val="28"/>
        </w:rPr>
        <w:t xml:space="preserve">chính sách hỗ trợ lãi suất được </w:t>
      </w:r>
      <w:r w:rsidRPr="00F11DAF">
        <w:rPr>
          <w:rFonts w:ascii="Times New Roman" w:hAnsi="Times New Roman" w:cs="Times New Roman"/>
          <w:sz w:val="28"/>
          <w:szCs w:val="28"/>
        </w:rPr>
        <w:t xml:space="preserve">áp dụng chung cho </w:t>
      </w:r>
      <w:r w:rsidR="00CF50EC">
        <w:rPr>
          <w:rFonts w:ascii="Times New Roman" w:hAnsi="Times New Roman" w:cs="Times New Roman"/>
          <w:sz w:val="28"/>
          <w:szCs w:val="28"/>
          <w:lang w:val="en-US"/>
        </w:rPr>
        <w:t xml:space="preserve">các ngân hàng thương mại được thành lập, tổ chức và hoạt động theo Luật Các TCTD, các cơ quan, tổ chức khác có liên quan </w:t>
      </w:r>
      <w:r>
        <w:rPr>
          <w:rFonts w:ascii="Times New Roman" w:hAnsi="Times New Roman" w:cs="Times New Roman"/>
          <w:sz w:val="28"/>
          <w:szCs w:val="28"/>
        </w:rPr>
        <w:t xml:space="preserve">đáp ứng đủ điều kiện theo quy định, không ảnh hưởng đến quyền, lợi ích hợp pháp của mỗi giới </w:t>
      </w:r>
      <w:r w:rsidR="00302103" w:rsidRPr="00CF22E1">
        <w:rPr>
          <w:rFonts w:ascii="Times New Roman" w:hAnsi="Times New Roman" w:cs="Times New Roman"/>
          <w:sz w:val="28"/>
          <w:szCs w:val="28"/>
        </w:rPr>
        <w:t>theo quy định của ph</w:t>
      </w:r>
      <w:r w:rsidR="00302103" w:rsidRPr="004A74DA">
        <w:rPr>
          <w:rFonts w:ascii="Times New Roman" w:hAnsi="Times New Roman" w:cs="Times New Roman"/>
          <w:sz w:val="28"/>
          <w:szCs w:val="28"/>
        </w:rPr>
        <w:t>áp lu</w:t>
      </w:r>
      <w:r w:rsidR="00302103" w:rsidRPr="00CF22E1">
        <w:rPr>
          <w:rFonts w:ascii="Times New Roman" w:hAnsi="Times New Roman" w:cs="Times New Roman"/>
          <w:sz w:val="28"/>
          <w:szCs w:val="28"/>
        </w:rPr>
        <w:t>ật Việt Nam v</w:t>
      </w:r>
      <w:r w:rsidR="00302103" w:rsidRPr="004A74DA">
        <w:rPr>
          <w:rFonts w:ascii="Times New Roman" w:hAnsi="Times New Roman" w:cs="Times New Roman"/>
          <w:sz w:val="28"/>
          <w:szCs w:val="28"/>
        </w:rPr>
        <w:t>à điều</w:t>
      </w:r>
      <w:r w:rsidR="00302103" w:rsidRPr="00CF22E1">
        <w:rPr>
          <w:rFonts w:ascii="Times New Roman" w:hAnsi="Times New Roman" w:cs="Times New Roman"/>
          <w:sz w:val="28"/>
          <w:szCs w:val="28"/>
        </w:rPr>
        <w:t xml:space="preserve"> ước quốc tế c</w:t>
      </w:r>
      <w:r w:rsidR="00302103" w:rsidRPr="004A74DA">
        <w:rPr>
          <w:rFonts w:ascii="Times New Roman" w:hAnsi="Times New Roman" w:cs="Times New Roman"/>
          <w:sz w:val="28"/>
          <w:szCs w:val="28"/>
        </w:rPr>
        <w:t>ó liên quan mà nư</w:t>
      </w:r>
      <w:r w:rsidR="00302103" w:rsidRPr="00CF22E1">
        <w:rPr>
          <w:rFonts w:ascii="Times New Roman" w:hAnsi="Times New Roman" w:cs="Times New Roman"/>
          <w:sz w:val="28"/>
          <w:szCs w:val="28"/>
        </w:rPr>
        <w:t>ớc Cộng h</w:t>
      </w:r>
      <w:r w:rsidR="00302103" w:rsidRPr="004A74DA">
        <w:rPr>
          <w:rFonts w:ascii="Times New Roman" w:hAnsi="Times New Roman" w:cs="Times New Roman"/>
          <w:sz w:val="28"/>
          <w:szCs w:val="28"/>
        </w:rPr>
        <w:t>òa xã h</w:t>
      </w:r>
      <w:r w:rsidR="00302103" w:rsidRPr="00CF22E1">
        <w:rPr>
          <w:rFonts w:ascii="Times New Roman" w:hAnsi="Times New Roman" w:cs="Times New Roman"/>
          <w:sz w:val="28"/>
          <w:szCs w:val="28"/>
        </w:rPr>
        <w:t>ội chủ nghĩa Việt Nam l</w:t>
      </w:r>
      <w:r w:rsidR="00302103" w:rsidRPr="004A74DA">
        <w:rPr>
          <w:rFonts w:ascii="Times New Roman" w:hAnsi="Times New Roman" w:cs="Times New Roman"/>
          <w:sz w:val="28"/>
          <w:szCs w:val="28"/>
        </w:rPr>
        <w:t xml:space="preserve">à thành viên. </w:t>
      </w:r>
    </w:p>
    <w:p w:rsidR="00302103" w:rsidRPr="00CF22E1" w:rsidRDefault="00302103" w:rsidP="00CF22E1">
      <w:pPr>
        <w:autoSpaceDE w:val="0"/>
        <w:autoSpaceDN w:val="0"/>
        <w:adjustRightInd w:val="0"/>
        <w:spacing w:before="120"/>
        <w:ind w:firstLine="709"/>
        <w:jc w:val="both"/>
        <w:rPr>
          <w:rFonts w:ascii="Times New Roman" w:hAnsi="Times New Roman" w:cs="Times New Roman"/>
          <w:b/>
          <w:bCs/>
          <w:sz w:val="28"/>
          <w:szCs w:val="28"/>
        </w:rPr>
      </w:pPr>
      <w:r w:rsidRPr="00CF22E1">
        <w:rPr>
          <w:rFonts w:ascii="Times New Roman" w:hAnsi="Times New Roman" w:cs="Times New Roman"/>
          <w:b/>
          <w:bCs/>
          <w:sz w:val="28"/>
          <w:szCs w:val="28"/>
        </w:rPr>
        <w:t>5. Việc thực hiện ch</w:t>
      </w:r>
      <w:r w:rsidRPr="004A74DA">
        <w:rPr>
          <w:rFonts w:ascii="Times New Roman" w:hAnsi="Times New Roman" w:cs="Times New Roman"/>
          <w:b/>
          <w:bCs/>
          <w:sz w:val="28"/>
          <w:szCs w:val="28"/>
        </w:rPr>
        <w:t>ính sách dân t</w:t>
      </w:r>
      <w:r w:rsidRPr="00CF22E1">
        <w:rPr>
          <w:rFonts w:ascii="Times New Roman" w:hAnsi="Times New Roman" w:cs="Times New Roman"/>
          <w:b/>
          <w:bCs/>
          <w:sz w:val="28"/>
          <w:szCs w:val="28"/>
        </w:rPr>
        <w:t xml:space="preserve">ộc </w:t>
      </w:r>
    </w:p>
    <w:p w:rsidR="00F11DAF" w:rsidRDefault="00F11DAF" w:rsidP="00CF22E1">
      <w:pPr>
        <w:autoSpaceDE w:val="0"/>
        <w:autoSpaceDN w:val="0"/>
        <w:adjustRightInd w:val="0"/>
        <w:spacing w:before="120"/>
        <w:ind w:firstLine="709"/>
        <w:jc w:val="both"/>
        <w:rPr>
          <w:rFonts w:ascii="Times New Roman" w:hAnsi="Times New Roman" w:cs="Times New Roman"/>
          <w:sz w:val="28"/>
          <w:szCs w:val="28"/>
        </w:rPr>
      </w:pPr>
      <w:r>
        <w:rPr>
          <w:rFonts w:ascii="Times New Roman" w:hAnsi="Times New Roman" w:cs="Times New Roman"/>
          <w:sz w:val="28"/>
          <w:szCs w:val="28"/>
        </w:rPr>
        <w:t xml:space="preserve">Tại dự thảo Nghị định không quy định các nội dung phân biệt với vùng miền, dân tộc, mọi đối tượng </w:t>
      </w:r>
      <w:r w:rsidR="00152F1B">
        <w:rPr>
          <w:rFonts w:ascii="Times New Roman" w:hAnsi="Times New Roman" w:cs="Times New Roman"/>
          <w:sz w:val="28"/>
          <w:szCs w:val="28"/>
          <w:lang w:val="en-US"/>
        </w:rPr>
        <w:t>được quy định tại dự thảo Nghị định</w:t>
      </w:r>
      <w:r>
        <w:rPr>
          <w:rFonts w:ascii="Times New Roman" w:hAnsi="Times New Roman" w:cs="Times New Roman"/>
          <w:sz w:val="28"/>
          <w:szCs w:val="28"/>
        </w:rPr>
        <w:t xml:space="preserve"> đều được áp dụng chính sách bình đẳng. Bên cạnh đó, chính sách hỗ trợ lãi suất là chính sách khuyến khích của Nhà nước, do đó, có thể tạo </w:t>
      </w:r>
      <w:r w:rsidRPr="00F11DAF">
        <w:rPr>
          <w:rFonts w:ascii="Times New Roman" w:hAnsi="Times New Roman" w:cs="Times New Roman"/>
          <w:sz w:val="28"/>
          <w:szCs w:val="28"/>
        </w:rPr>
        <w:t xml:space="preserve">cơ hội cho các </w:t>
      </w:r>
      <w:r w:rsidR="00152F1B">
        <w:rPr>
          <w:rFonts w:ascii="Times New Roman" w:hAnsi="Times New Roman" w:cs="Times New Roman"/>
          <w:sz w:val="28"/>
          <w:szCs w:val="28"/>
          <w:lang w:val="en-US"/>
        </w:rPr>
        <w:t>đối tượng</w:t>
      </w:r>
      <w:r w:rsidRPr="00F11DAF">
        <w:rPr>
          <w:rFonts w:ascii="Times New Roman" w:hAnsi="Times New Roman" w:cs="Times New Roman"/>
          <w:sz w:val="28"/>
          <w:szCs w:val="28"/>
        </w:rPr>
        <w:t xml:space="preserve"> </w:t>
      </w:r>
      <w:r w:rsidR="00B556F3">
        <w:rPr>
          <w:rFonts w:ascii="Times New Roman" w:hAnsi="Times New Roman" w:cs="Times New Roman"/>
          <w:sz w:val="28"/>
          <w:szCs w:val="28"/>
          <w:lang w:val="en-US"/>
        </w:rPr>
        <w:t>được hưởng chính sách hỗ trợ của Nhà nước được</w:t>
      </w:r>
      <w:r w:rsidRPr="00F11DAF">
        <w:rPr>
          <w:rFonts w:ascii="Times New Roman" w:hAnsi="Times New Roman" w:cs="Times New Roman"/>
          <w:sz w:val="28"/>
          <w:szCs w:val="28"/>
        </w:rPr>
        <w:t xml:space="preserve"> tiếp cận vốn với chi phí thấp hơn.</w:t>
      </w:r>
    </w:p>
    <w:p w:rsidR="00B016C6" w:rsidRDefault="00B016C6" w:rsidP="00F11DAF">
      <w:pPr>
        <w:ind w:firstLine="709"/>
        <w:jc w:val="right"/>
        <w:rPr>
          <w:rFonts w:ascii="Times New Roman" w:hAnsi="Times New Roman" w:cs="Times New Roman"/>
          <w:b/>
          <w:bCs/>
          <w:sz w:val="28"/>
          <w:szCs w:val="28"/>
          <w:lang w:val="en-US"/>
        </w:rPr>
      </w:pPr>
    </w:p>
    <w:p w:rsidR="00B45298" w:rsidRPr="00B016C6" w:rsidRDefault="00B016C6" w:rsidP="00F11DAF">
      <w:pPr>
        <w:ind w:firstLine="709"/>
        <w:jc w:val="right"/>
        <w:rPr>
          <w:rFonts w:ascii="Times New Roman" w:hAnsi="Times New Roman" w:cs="Times New Roman"/>
          <w:b/>
          <w:bCs/>
          <w:sz w:val="28"/>
          <w:szCs w:val="28"/>
          <w:lang w:val="en-US"/>
        </w:rPr>
      </w:pPr>
      <w:r>
        <w:rPr>
          <w:rFonts w:ascii="Times New Roman" w:hAnsi="Times New Roman" w:cs="Times New Roman"/>
          <w:b/>
          <w:bCs/>
          <w:sz w:val="28"/>
          <w:szCs w:val="28"/>
          <w:lang w:val="en-US"/>
        </w:rPr>
        <w:t>BỘ TÀI CHÍNH</w:t>
      </w: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F11DAF">
      <w:pPr>
        <w:ind w:firstLine="709"/>
        <w:jc w:val="right"/>
        <w:rPr>
          <w:rFonts w:ascii="Times New Roman" w:hAnsi="Times New Roman" w:cs="Times New Roman"/>
          <w:b/>
          <w:bCs/>
          <w:sz w:val="28"/>
          <w:szCs w:val="28"/>
        </w:rPr>
      </w:pPr>
    </w:p>
    <w:p w:rsidR="009171FF" w:rsidRPr="004A74DA" w:rsidRDefault="009171FF" w:rsidP="009171FF">
      <w:pPr>
        <w:ind w:firstLine="709"/>
        <w:jc w:val="both"/>
        <w:rPr>
          <w:rFonts w:ascii="Times New Roman" w:hAnsi="Times New Roman" w:cs="Times New Roman"/>
          <w:b/>
          <w:bCs/>
          <w:sz w:val="26"/>
          <w:szCs w:val="26"/>
        </w:rPr>
      </w:pPr>
    </w:p>
    <w:sectPr w:rsidR="009171FF" w:rsidRPr="004A74DA" w:rsidSect="00BA03E4">
      <w:headerReference w:type="default" r:id="rId7"/>
      <w:pgSz w:w="11907" w:h="16840" w:code="9"/>
      <w:pgMar w:top="1134" w:right="1134" w:bottom="907"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E52" w:rsidRDefault="00E73E52" w:rsidP="00660F16">
      <w:r>
        <w:separator/>
      </w:r>
    </w:p>
  </w:endnote>
  <w:endnote w:type="continuationSeparator" w:id="1">
    <w:p w:rsidR="00E73E52" w:rsidRDefault="00E73E52" w:rsidP="00660F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E52" w:rsidRDefault="00E73E52" w:rsidP="00660F16">
      <w:r>
        <w:separator/>
      </w:r>
    </w:p>
  </w:footnote>
  <w:footnote w:type="continuationSeparator" w:id="1">
    <w:p w:rsidR="00E73E52" w:rsidRDefault="00E73E52" w:rsidP="00660F16">
      <w:r>
        <w:continuationSeparator/>
      </w:r>
    </w:p>
  </w:footnote>
  <w:footnote w:id="2">
    <w:p w:rsidR="00E73E52" w:rsidRPr="004D7F02" w:rsidRDefault="00E73E52" w:rsidP="0012231C">
      <w:pPr>
        <w:pStyle w:val="FootnoteText"/>
        <w:jc w:val="both"/>
        <w:rPr>
          <w:rFonts w:ascii="Times New Roman" w:hAnsi="Times New Roman" w:cs="Times New Roman"/>
          <w:lang w:val="en-US"/>
        </w:rPr>
      </w:pPr>
      <w:r w:rsidRPr="004D7F02">
        <w:rPr>
          <w:rStyle w:val="FootnoteReference"/>
          <w:rFonts w:ascii="Times New Roman" w:hAnsi="Times New Roman" w:cs="Times New Roman"/>
        </w:rPr>
        <w:footnoteRef/>
      </w:r>
      <w:r w:rsidRPr="004D7F02">
        <w:rPr>
          <w:rFonts w:ascii="Times New Roman" w:hAnsi="Times New Roman" w:cs="Times New Roman"/>
        </w:rPr>
        <w:t xml:space="preserve"> Quyết định số 18/2018/QĐ-TTg </w:t>
      </w:r>
      <w:r w:rsidRPr="004D7F02">
        <w:rPr>
          <w:rFonts w:ascii="Times New Roman" w:hAnsi="Times New Roman" w:cs="Times New Roman"/>
          <w:lang w:val="en-US"/>
        </w:rPr>
        <w:t xml:space="preserve">ngày 02/04/2018 </w:t>
      </w:r>
      <w:r w:rsidRPr="004D7F02">
        <w:rPr>
          <w:rFonts w:ascii="Times New Roman" w:hAnsi="Times New Roman" w:cs="Times New Roman"/>
        </w:rPr>
        <w:t>của Thủ tướng Chính phủ về hướng dẫn cấp bù chênh lệch lãi suất thực hiện chính sách cho vay nhà ở xã hội theo Nghị định số 100/2015/NĐ-CP ngày 20 tháng 10 năm 2015 của Chính phủ về phát triển và quản lý nhà ở xã hội;</w:t>
      </w:r>
    </w:p>
  </w:footnote>
  <w:footnote w:id="3">
    <w:p w:rsidR="00E73E52" w:rsidRPr="004D7F02" w:rsidRDefault="00E73E52" w:rsidP="0012231C">
      <w:pPr>
        <w:pStyle w:val="FootnoteText"/>
        <w:jc w:val="both"/>
        <w:rPr>
          <w:rFonts w:ascii="Times New Roman" w:hAnsi="Times New Roman" w:cs="Times New Roman"/>
          <w:lang w:val="en-US"/>
        </w:rPr>
      </w:pPr>
      <w:r w:rsidRPr="004D7F02">
        <w:rPr>
          <w:rStyle w:val="FootnoteReference"/>
          <w:rFonts w:ascii="Times New Roman" w:hAnsi="Times New Roman" w:cs="Times New Roman"/>
        </w:rPr>
        <w:footnoteRef/>
      </w:r>
      <w:r w:rsidRPr="004D7F02">
        <w:rPr>
          <w:rFonts w:ascii="Times New Roman" w:hAnsi="Times New Roman" w:cs="Times New Roman"/>
        </w:rPr>
        <w:t xml:space="preserve"> Quyết định số 68/2013/QĐ-TTg</w:t>
      </w:r>
      <w:r w:rsidRPr="004D7F02">
        <w:rPr>
          <w:rFonts w:ascii="Times New Roman" w:hAnsi="Times New Roman" w:cs="Times New Roman"/>
          <w:lang w:val="en-US"/>
        </w:rPr>
        <w:t xml:space="preserve"> ngày 14/11/2013</w:t>
      </w:r>
      <w:r w:rsidRPr="004D7F02">
        <w:rPr>
          <w:rFonts w:ascii="Times New Roman" w:hAnsi="Times New Roman" w:cs="Times New Roman"/>
        </w:rPr>
        <w:t xml:space="preserve"> của Thủ tướng Chính phủ về chính sách hỗ trợ nhằm giảm tổn thất trong nông nghiệp</w:t>
      </w:r>
      <w:r>
        <w:rPr>
          <w:rFonts w:ascii="Times New Roman" w:hAnsi="Times New Roman" w:cs="Times New Roman"/>
          <w:lang w:val="en-US"/>
        </w:rPr>
        <w:t>;</w:t>
      </w:r>
    </w:p>
  </w:footnote>
  <w:footnote w:id="4">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Quyết định số 63/2010/QĐ-TTG ngày 15/10/2010 của Thủ tướng Chính phủ về chính sách hỗ trợ nhằm giảm tổn thất sau thu hoạch đối với nông sản, thủy sản;</w:t>
      </w:r>
    </w:p>
  </w:footnote>
  <w:footnote w:id="5">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Quyết định số 65/2011/QĐ-TTG ngày 02/12/2011 của Thủ tướng Chính phủ về việc sửa đổi, bổ sung một số điều của Quyết định số 63/2010/QĐ-TTg ngày 15 tháng 10 năm 2010 của Thủ tướng Chính phủ về chính sách hỗ trợ nhằm giảm tổn thất sau thu hoạch đối với nông sản, thủy sản;</w:t>
      </w:r>
    </w:p>
  </w:footnote>
  <w:footnote w:id="6">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Nghị quyết số 30/A/2008/NQ-CP ngày 27/12/2008 của Chính phủ về Chương trình hỗ trợ giảm nghèo nhanh và bền vững đối với 61 huyện nghèo;</w:t>
      </w:r>
    </w:p>
  </w:footnote>
  <w:footnote w:id="7">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Nghị định số 100/2015/NĐ-CP ngày 20/10/2015 của Chính phủ về phát triển và quản lý nhà ở xã hội;</w:t>
      </w:r>
    </w:p>
  </w:footnote>
  <w:footnote w:id="8">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Nghị định số 67/2014/NĐ-CP ngày 07/07/2014 của Chính phủ về một số chính sách phát triển thủy sản;</w:t>
      </w:r>
    </w:p>
  </w:footnote>
  <w:footnote w:id="9">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Thông tư số 114/2014/TT-BTC ngày 20/8/2014 của Bộ Tài chính hướng dẫn cấp bù lãi suất do thực hiện chính sách tín dụng theo nghị định số 67/2014/NĐ-CP ngày 07 tháng 7 năm 2014 của Chính phủ về một số chính sách phát triển thủy sản;</w:t>
      </w:r>
      <w:bookmarkStart w:id="0" w:name="_GoBack"/>
      <w:bookmarkEnd w:id="0"/>
    </w:p>
  </w:footnote>
  <w:footnote w:id="10">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Thông tư số 123/2018/TT-BTC ngày 17/12/2018 của Bộ Tài chính sửa đổi, bổ sung một số điều của Thông tư số 114/2014/TT-BTC ngày 20 tháng 8 năm 2014 hướng dẫn cấp bù lãi suất do thực hiện chính sách tín dụng theo Nghị định số 67/2014/NĐ-CP ngày 07 tháng 7 năm 2014 của Chính phủ về một số chính sách phát triển thủy sản, Thông tư số 13/2016/TT-BTC ngày 20 tháng 01 năm 2016 sửa đổi, bổ sung một số điều của Thông tư số 114/2014/TT-BTC ngày 20 tháng 8 năm 2014 hướng dẫn cấp bù lãi suất do thực hiện chính sách tín dụng theo Nghị định số 67/2014/NĐ-CP ngày 07 tháng 7 năm 2014 của Chính phủ về một số chính sách phát triển thủy sản và Thông tư số 117/2014/TT-BTC ngày 21 tháng 8 năm 2014 hướng dẫn thực hiện một số điều Nghị định số 67/2014/NĐ-CP ngày 07 tháng 7 năm 2014 của Chính phủ về một số chính sách phát triển thủy sản;</w:t>
      </w:r>
    </w:p>
  </w:footnote>
  <w:footnote w:id="11">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Thông tư số 89/2014/TT-BTC ngày 07/7/2014 của Bộ Tài chính hướng dẫn hỗ trợ lãi suất vay vốn và cấp bù chênh lệch lãi suất do thực hiện chính sách hỗ trợ nhằm giảm tổn thất trong nông nghiệp;</w:t>
      </w:r>
    </w:p>
  </w:footnote>
  <w:footnote w:id="12">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Thông tư số 183/2009/TT-BTC ngày 15/09/2009 của Bộ Tài chính hướng dẫn cấp bù lãi suất do thực hiện chính sách cho vay ưu đãi lãi suất theo chương trình hỗ trợ các huyện nghèo tại Nghị quyết số 30a/2008/NQ-CP ngày 27/12/2008 của Chính phủ;</w:t>
      </w:r>
    </w:p>
  </w:footnote>
  <w:footnote w:id="13">
    <w:p w:rsidR="00E73E52" w:rsidRPr="0012231C" w:rsidRDefault="00E73E52" w:rsidP="0012231C">
      <w:pPr>
        <w:pStyle w:val="FootnoteText"/>
        <w:jc w:val="both"/>
        <w:rPr>
          <w:rFonts w:ascii="Times New Roman" w:hAnsi="Times New Roman" w:cs="Times New Roman"/>
        </w:rPr>
      </w:pPr>
      <w:r w:rsidRPr="0012231C">
        <w:rPr>
          <w:rFonts w:ascii="Times New Roman" w:hAnsi="Times New Roman" w:cs="Times New Roman"/>
        </w:rPr>
        <w:footnoteRef/>
      </w:r>
      <w:r w:rsidRPr="0012231C">
        <w:rPr>
          <w:rFonts w:ascii="Times New Roman" w:hAnsi="Times New Roman" w:cs="Times New Roman"/>
        </w:rPr>
        <w:t xml:space="preserve"> Thông tư số 188/2012/TT-BTC ngày 07/11/2012 của Bộ Tài chính hướng dẫn hỗ trợ lãi suất vay vốn và cấp bù chênh lệch lãi suất do thực hiện chính sách hỗ trợ nhằm giảm tổn thất sau thu hoạch đối với nông sản, thuỷ sản.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561089"/>
      <w:docPartObj>
        <w:docPartGallery w:val="Page Numbers (Top of Page)"/>
        <w:docPartUnique/>
      </w:docPartObj>
    </w:sdtPr>
    <w:sdtEndPr>
      <w:rPr>
        <w:noProof/>
      </w:rPr>
    </w:sdtEndPr>
    <w:sdtContent>
      <w:p w:rsidR="00E73E52" w:rsidRDefault="003431A9">
        <w:pPr>
          <w:pStyle w:val="Header"/>
          <w:jc w:val="center"/>
        </w:pPr>
        <w:fldSimple w:instr=" PAGE   \* MERGEFORMAT ">
          <w:r w:rsidR="00B87F4E">
            <w:rPr>
              <w:noProof/>
            </w:rPr>
            <w:t>5</w:t>
          </w:r>
        </w:fldSimple>
      </w:p>
    </w:sdtContent>
  </w:sdt>
  <w:p w:rsidR="00E73E52" w:rsidRDefault="00E73E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20"/>
  <w:characterSpacingControl w:val="doNotCompress"/>
  <w:footnotePr>
    <w:footnote w:id="0"/>
    <w:footnote w:id="1"/>
  </w:footnotePr>
  <w:endnotePr>
    <w:endnote w:id="0"/>
    <w:endnote w:id="1"/>
  </w:endnotePr>
  <w:compat/>
  <w:rsids>
    <w:rsidRoot w:val="00302103"/>
    <w:rsid w:val="00004D34"/>
    <w:rsid w:val="0003125F"/>
    <w:rsid w:val="00060AE0"/>
    <w:rsid w:val="00070D26"/>
    <w:rsid w:val="00080193"/>
    <w:rsid w:val="00091856"/>
    <w:rsid w:val="000B20E6"/>
    <w:rsid w:val="000E4591"/>
    <w:rsid w:val="0012231C"/>
    <w:rsid w:val="00152F1B"/>
    <w:rsid w:val="0017327D"/>
    <w:rsid w:val="00174EF8"/>
    <w:rsid w:val="0017561F"/>
    <w:rsid w:val="0018040A"/>
    <w:rsid w:val="00194084"/>
    <w:rsid w:val="00196CE5"/>
    <w:rsid w:val="001B2A2A"/>
    <w:rsid w:val="001C4363"/>
    <w:rsid w:val="00205425"/>
    <w:rsid w:val="002D380B"/>
    <w:rsid w:val="002D41DB"/>
    <w:rsid w:val="002E09EF"/>
    <w:rsid w:val="00302103"/>
    <w:rsid w:val="003431A9"/>
    <w:rsid w:val="00344EE6"/>
    <w:rsid w:val="003551F6"/>
    <w:rsid w:val="003562DC"/>
    <w:rsid w:val="0039549D"/>
    <w:rsid w:val="003B4FD2"/>
    <w:rsid w:val="00455135"/>
    <w:rsid w:val="004734E7"/>
    <w:rsid w:val="004A5EA7"/>
    <w:rsid w:val="004A74DA"/>
    <w:rsid w:val="004D7F02"/>
    <w:rsid w:val="004E6299"/>
    <w:rsid w:val="00524408"/>
    <w:rsid w:val="00545454"/>
    <w:rsid w:val="005501D9"/>
    <w:rsid w:val="00554C8D"/>
    <w:rsid w:val="005C2049"/>
    <w:rsid w:val="00660F16"/>
    <w:rsid w:val="00682EC3"/>
    <w:rsid w:val="006A5204"/>
    <w:rsid w:val="006C0A9E"/>
    <w:rsid w:val="006E269D"/>
    <w:rsid w:val="007202F0"/>
    <w:rsid w:val="0076254D"/>
    <w:rsid w:val="0076364C"/>
    <w:rsid w:val="007C7EF2"/>
    <w:rsid w:val="007E6F9A"/>
    <w:rsid w:val="007F3224"/>
    <w:rsid w:val="00801BA2"/>
    <w:rsid w:val="00817AD8"/>
    <w:rsid w:val="00824CBB"/>
    <w:rsid w:val="00874D58"/>
    <w:rsid w:val="00883D48"/>
    <w:rsid w:val="008B6FA7"/>
    <w:rsid w:val="008F0992"/>
    <w:rsid w:val="008F41DE"/>
    <w:rsid w:val="009124E7"/>
    <w:rsid w:val="009171FF"/>
    <w:rsid w:val="00924A2D"/>
    <w:rsid w:val="00927E6A"/>
    <w:rsid w:val="009C1B98"/>
    <w:rsid w:val="00A00C48"/>
    <w:rsid w:val="00A32FEC"/>
    <w:rsid w:val="00A33224"/>
    <w:rsid w:val="00A40A22"/>
    <w:rsid w:val="00A47728"/>
    <w:rsid w:val="00A61179"/>
    <w:rsid w:val="00A94D26"/>
    <w:rsid w:val="00AB2851"/>
    <w:rsid w:val="00AD59F7"/>
    <w:rsid w:val="00AF1BC6"/>
    <w:rsid w:val="00B016C6"/>
    <w:rsid w:val="00B02D3D"/>
    <w:rsid w:val="00B13298"/>
    <w:rsid w:val="00B45298"/>
    <w:rsid w:val="00B5238E"/>
    <w:rsid w:val="00B53F5F"/>
    <w:rsid w:val="00B556F3"/>
    <w:rsid w:val="00B572CE"/>
    <w:rsid w:val="00B84787"/>
    <w:rsid w:val="00B87F4E"/>
    <w:rsid w:val="00BA03E4"/>
    <w:rsid w:val="00C17E7B"/>
    <w:rsid w:val="00C3363A"/>
    <w:rsid w:val="00C44052"/>
    <w:rsid w:val="00C60F21"/>
    <w:rsid w:val="00C64F11"/>
    <w:rsid w:val="00C73806"/>
    <w:rsid w:val="00CA6D05"/>
    <w:rsid w:val="00CC0DE4"/>
    <w:rsid w:val="00CE0572"/>
    <w:rsid w:val="00CE0C1A"/>
    <w:rsid w:val="00CF22E1"/>
    <w:rsid w:val="00CF3B86"/>
    <w:rsid w:val="00CF50EC"/>
    <w:rsid w:val="00D16169"/>
    <w:rsid w:val="00D22479"/>
    <w:rsid w:val="00D24B09"/>
    <w:rsid w:val="00D45E32"/>
    <w:rsid w:val="00D528EE"/>
    <w:rsid w:val="00D83266"/>
    <w:rsid w:val="00D908C7"/>
    <w:rsid w:val="00DA2D2E"/>
    <w:rsid w:val="00DB6AE1"/>
    <w:rsid w:val="00DC0911"/>
    <w:rsid w:val="00DF5D35"/>
    <w:rsid w:val="00DF647B"/>
    <w:rsid w:val="00E73E52"/>
    <w:rsid w:val="00E7479F"/>
    <w:rsid w:val="00E94559"/>
    <w:rsid w:val="00E964FD"/>
    <w:rsid w:val="00EB0B6F"/>
    <w:rsid w:val="00EF7F3C"/>
    <w:rsid w:val="00F11DAF"/>
    <w:rsid w:val="00F404F5"/>
    <w:rsid w:val="00F43D5D"/>
    <w:rsid w:val="00F52F34"/>
    <w:rsid w:val="00F641B9"/>
    <w:rsid w:val="00FB6C76"/>
    <w:rsid w:val="00FC3492"/>
    <w:rsid w:val="00FD0302"/>
    <w:rsid w:val="00FF6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03"/>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302103"/>
    <w:pPr>
      <w:spacing w:after="160" w:line="240" w:lineRule="exact"/>
    </w:pPr>
    <w:rPr>
      <w:rFonts w:ascii="Verdana" w:hAnsi="Verdana" w:cs="Verdana"/>
      <w:lang w:val="en-US"/>
    </w:rPr>
  </w:style>
  <w:style w:type="paragraph" w:styleId="ListParagraph">
    <w:name w:val="List Paragraph"/>
    <w:basedOn w:val="Normal"/>
    <w:uiPriority w:val="34"/>
    <w:qFormat/>
    <w:rsid w:val="00060AE0"/>
    <w:pPr>
      <w:ind w:left="720"/>
      <w:contextualSpacing/>
    </w:pPr>
  </w:style>
  <w:style w:type="paragraph" w:styleId="FootnoteText">
    <w:name w:val="footnote text"/>
    <w:basedOn w:val="Normal"/>
    <w:link w:val="FootnoteTextChar"/>
    <w:uiPriority w:val="99"/>
    <w:semiHidden/>
    <w:unhideWhenUsed/>
    <w:rsid w:val="00660F16"/>
  </w:style>
  <w:style w:type="character" w:customStyle="1" w:styleId="FootnoteTextChar">
    <w:name w:val="Footnote Text Char"/>
    <w:basedOn w:val="DefaultParagraphFont"/>
    <w:link w:val="FootnoteText"/>
    <w:uiPriority w:val="99"/>
    <w:semiHidden/>
    <w:rsid w:val="00660F16"/>
    <w:rPr>
      <w:rFonts w:ascii="Arial" w:eastAsia="Times New Roman" w:hAnsi="Arial" w:cs="Arial"/>
      <w:sz w:val="20"/>
      <w:szCs w:val="20"/>
      <w:lang w:val="vi-VN"/>
    </w:rPr>
  </w:style>
  <w:style w:type="character" w:styleId="FootnoteReference">
    <w:name w:val="footnote reference"/>
    <w:basedOn w:val="DefaultParagraphFont"/>
    <w:uiPriority w:val="99"/>
    <w:semiHidden/>
    <w:unhideWhenUsed/>
    <w:rsid w:val="00660F16"/>
    <w:rPr>
      <w:vertAlign w:val="superscript"/>
    </w:rPr>
  </w:style>
  <w:style w:type="paragraph" w:styleId="Header">
    <w:name w:val="header"/>
    <w:basedOn w:val="Normal"/>
    <w:link w:val="HeaderChar"/>
    <w:uiPriority w:val="99"/>
    <w:unhideWhenUsed/>
    <w:rsid w:val="00BA03E4"/>
    <w:pPr>
      <w:tabs>
        <w:tab w:val="center" w:pos="4680"/>
        <w:tab w:val="right" w:pos="9360"/>
      </w:tabs>
    </w:pPr>
  </w:style>
  <w:style w:type="character" w:customStyle="1" w:styleId="HeaderChar">
    <w:name w:val="Header Char"/>
    <w:basedOn w:val="DefaultParagraphFont"/>
    <w:link w:val="Header"/>
    <w:uiPriority w:val="99"/>
    <w:rsid w:val="00BA03E4"/>
    <w:rPr>
      <w:rFonts w:ascii="Arial" w:eastAsia="Times New Roman" w:hAnsi="Arial" w:cs="Arial"/>
      <w:sz w:val="20"/>
      <w:szCs w:val="20"/>
      <w:lang w:val="vi-VN"/>
    </w:rPr>
  </w:style>
  <w:style w:type="paragraph" w:styleId="Footer">
    <w:name w:val="footer"/>
    <w:basedOn w:val="Normal"/>
    <w:link w:val="FooterChar"/>
    <w:uiPriority w:val="99"/>
    <w:unhideWhenUsed/>
    <w:rsid w:val="00BA03E4"/>
    <w:pPr>
      <w:tabs>
        <w:tab w:val="center" w:pos="4680"/>
        <w:tab w:val="right" w:pos="9360"/>
      </w:tabs>
    </w:pPr>
  </w:style>
  <w:style w:type="character" w:customStyle="1" w:styleId="FooterChar">
    <w:name w:val="Footer Char"/>
    <w:basedOn w:val="DefaultParagraphFont"/>
    <w:link w:val="Footer"/>
    <w:uiPriority w:val="99"/>
    <w:rsid w:val="00BA03E4"/>
    <w:rPr>
      <w:rFonts w:ascii="Arial" w:eastAsia="Times New Roman" w:hAnsi="Arial" w:cs="Arial"/>
      <w:sz w:val="20"/>
      <w:szCs w:val="20"/>
      <w:lang w:val="vi-VN"/>
    </w:rPr>
  </w:style>
  <w:style w:type="paragraph" w:styleId="BalloonText">
    <w:name w:val="Balloon Text"/>
    <w:basedOn w:val="Normal"/>
    <w:link w:val="BalloonTextChar"/>
    <w:uiPriority w:val="99"/>
    <w:semiHidden/>
    <w:unhideWhenUsed/>
    <w:rsid w:val="006A5204"/>
    <w:rPr>
      <w:rFonts w:ascii="Tahoma" w:hAnsi="Tahoma" w:cs="Tahoma"/>
      <w:sz w:val="16"/>
      <w:szCs w:val="16"/>
    </w:rPr>
  </w:style>
  <w:style w:type="character" w:customStyle="1" w:styleId="BalloonTextChar">
    <w:name w:val="Balloon Text Char"/>
    <w:basedOn w:val="DefaultParagraphFont"/>
    <w:link w:val="BalloonText"/>
    <w:uiPriority w:val="99"/>
    <w:semiHidden/>
    <w:rsid w:val="006A5204"/>
    <w:rPr>
      <w:rFonts w:ascii="Tahoma" w:eastAsia="Times New Roman"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divs>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759563811">
      <w:bodyDiv w:val="1"/>
      <w:marLeft w:val="0"/>
      <w:marRight w:val="0"/>
      <w:marTop w:val="0"/>
      <w:marBottom w:val="0"/>
      <w:divBdr>
        <w:top w:val="none" w:sz="0" w:space="0" w:color="auto"/>
        <w:left w:val="none" w:sz="0" w:space="0" w:color="auto"/>
        <w:bottom w:val="none" w:sz="0" w:space="0" w:color="auto"/>
        <w:right w:val="none" w:sz="0" w:space="0" w:color="auto"/>
      </w:divBdr>
    </w:div>
    <w:div w:id="843544801">
      <w:bodyDiv w:val="1"/>
      <w:marLeft w:val="0"/>
      <w:marRight w:val="0"/>
      <w:marTop w:val="0"/>
      <w:marBottom w:val="0"/>
      <w:divBdr>
        <w:top w:val="none" w:sz="0" w:space="0" w:color="auto"/>
        <w:left w:val="none" w:sz="0" w:space="0" w:color="auto"/>
        <w:bottom w:val="none" w:sz="0" w:space="0" w:color="auto"/>
        <w:right w:val="none" w:sz="0" w:space="0" w:color="auto"/>
      </w:divBdr>
    </w:div>
    <w:div w:id="1092355211">
      <w:bodyDiv w:val="1"/>
      <w:marLeft w:val="0"/>
      <w:marRight w:val="0"/>
      <w:marTop w:val="0"/>
      <w:marBottom w:val="0"/>
      <w:divBdr>
        <w:top w:val="none" w:sz="0" w:space="0" w:color="auto"/>
        <w:left w:val="none" w:sz="0" w:space="0" w:color="auto"/>
        <w:bottom w:val="none" w:sz="0" w:space="0" w:color="auto"/>
        <w:right w:val="none" w:sz="0" w:space="0" w:color="auto"/>
      </w:divBdr>
    </w:div>
    <w:div w:id="1233201775">
      <w:bodyDiv w:val="1"/>
      <w:marLeft w:val="0"/>
      <w:marRight w:val="0"/>
      <w:marTop w:val="0"/>
      <w:marBottom w:val="0"/>
      <w:divBdr>
        <w:top w:val="none" w:sz="0" w:space="0" w:color="auto"/>
        <w:left w:val="none" w:sz="0" w:space="0" w:color="auto"/>
        <w:bottom w:val="none" w:sz="0" w:space="0" w:color="auto"/>
        <w:right w:val="none" w:sz="0" w:space="0" w:color="auto"/>
      </w:divBdr>
    </w:div>
    <w:div w:id="1262908936">
      <w:bodyDiv w:val="1"/>
      <w:marLeft w:val="0"/>
      <w:marRight w:val="0"/>
      <w:marTop w:val="0"/>
      <w:marBottom w:val="0"/>
      <w:divBdr>
        <w:top w:val="none" w:sz="0" w:space="0" w:color="auto"/>
        <w:left w:val="none" w:sz="0" w:space="0" w:color="auto"/>
        <w:bottom w:val="none" w:sz="0" w:space="0" w:color="auto"/>
        <w:right w:val="none" w:sz="0" w:space="0" w:color="auto"/>
      </w:divBdr>
    </w:div>
    <w:div w:id="1308626769">
      <w:bodyDiv w:val="1"/>
      <w:marLeft w:val="0"/>
      <w:marRight w:val="0"/>
      <w:marTop w:val="0"/>
      <w:marBottom w:val="0"/>
      <w:divBdr>
        <w:top w:val="none" w:sz="0" w:space="0" w:color="auto"/>
        <w:left w:val="none" w:sz="0" w:space="0" w:color="auto"/>
        <w:bottom w:val="none" w:sz="0" w:space="0" w:color="auto"/>
        <w:right w:val="none" w:sz="0" w:space="0" w:color="auto"/>
      </w:divBdr>
    </w:div>
    <w:div w:id="1366829188">
      <w:bodyDiv w:val="1"/>
      <w:marLeft w:val="0"/>
      <w:marRight w:val="0"/>
      <w:marTop w:val="0"/>
      <w:marBottom w:val="0"/>
      <w:divBdr>
        <w:top w:val="none" w:sz="0" w:space="0" w:color="auto"/>
        <w:left w:val="none" w:sz="0" w:space="0" w:color="auto"/>
        <w:bottom w:val="none" w:sz="0" w:space="0" w:color="auto"/>
        <w:right w:val="none" w:sz="0" w:space="0" w:color="auto"/>
      </w:divBdr>
    </w:div>
    <w:div w:id="1594511257">
      <w:bodyDiv w:val="1"/>
      <w:marLeft w:val="0"/>
      <w:marRight w:val="0"/>
      <w:marTop w:val="0"/>
      <w:marBottom w:val="0"/>
      <w:divBdr>
        <w:top w:val="none" w:sz="0" w:space="0" w:color="auto"/>
        <w:left w:val="none" w:sz="0" w:space="0" w:color="auto"/>
        <w:bottom w:val="none" w:sz="0" w:space="0" w:color="auto"/>
        <w:right w:val="none" w:sz="0" w:space="0" w:color="auto"/>
      </w:divBdr>
    </w:div>
    <w:div w:id="1632592764">
      <w:bodyDiv w:val="1"/>
      <w:marLeft w:val="0"/>
      <w:marRight w:val="0"/>
      <w:marTop w:val="0"/>
      <w:marBottom w:val="0"/>
      <w:divBdr>
        <w:top w:val="none" w:sz="0" w:space="0" w:color="auto"/>
        <w:left w:val="none" w:sz="0" w:space="0" w:color="auto"/>
        <w:bottom w:val="none" w:sz="0" w:space="0" w:color="auto"/>
        <w:right w:val="none" w:sz="0" w:space="0" w:color="auto"/>
      </w:divBdr>
    </w:div>
    <w:div w:id="1846552859">
      <w:bodyDiv w:val="1"/>
      <w:marLeft w:val="0"/>
      <w:marRight w:val="0"/>
      <w:marTop w:val="0"/>
      <w:marBottom w:val="0"/>
      <w:divBdr>
        <w:top w:val="none" w:sz="0" w:space="0" w:color="auto"/>
        <w:left w:val="none" w:sz="0" w:space="0" w:color="auto"/>
        <w:bottom w:val="none" w:sz="0" w:space="0" w:color="auto"/>
        <w:right w:val="none" w:sz="0" w:space="0" w:color="auto"/>
      </w:divBdr>
    </w:div>
    <w:div w:id="20242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7040-EDE4-4A41-88A5-196BDF1B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10850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Thu Trang (TDCNKT)</dc:creator>
  <cp:lastModifiedBy>Administrator</cp:lastModifiedBy>
  <cp:revision>3</cp:revision>
  <cp:lastPrinted>2025-11-04T07:21:00Z</cp:lastPrinted>
  <dcterms:created xsi:type="dcterms:W3CDTF">2025-11-04T07:21:00Z</dcterms:created>
  <dcterms:modified xsi:type="dcterms:W3CDTF">2025-11-05T01:48:00Z</dcterms:modified>
</cp:coreProperties>
</file>