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78" w:type="pct"/>
        <w:jc w:val="center"/>
        <w:tblCellMar>
          <w:left w:w="85" w:type="dxa"/>
          <w:right w:w="85" w:type="dxa"/>
        </w:tblCellMar>
        <w:tblLook w:val="04A0" w:firstRow="1" w:lastRow="0" w:firstColumn="1" w:lastColumn="0" w:noHBand="0" w:noVBand="1"/>
      </w:tblPr>
      <w:tblGrid>
        <w:gridCol w:w="3969"/>
        <w:gridCol w:w="5245"/>
      </w:tblGrid>
      <w:tr w:rsidR="005353EA" w:rsidTr="00543EEE">
        <w:trPr>
          <w:trHeight w:val="851"/>
          <w:jc w:val="center"/>
        </w:trPr>
        <w:tc>
          <w:tcPr>
            <w:tcW w:w="2154" w:type="pct"/>
          </w:tcPr>
          <w:p w:rsidR="005353EA" w:rsidRDefault="005353EA" w:rsidP="00543EEE">
            <w:pPr>
              <w:spacing w:after="0" w:line="240" w:lineRule="auto"/>
              <w:ind w:firstLine="0"/>
              <w:jc w:val="center"/>
              <w:rPr>
                <w:b/>
                <w:lang w:val="en-US"/>
              </w:rPr>
            </w:pPr>
            <w:r>
              <w:rPr>
                <w:b/>
                <w:noProof/>
                <w:sz w:val="24"/>
                <w:lang w:val="en-US" w:eastAsia="zh-CN"/>
              </w:rPr>
              <mc:AlternateContent>
                <mc:Choice Requires="wps">
                  <w:drawing>
                    <wp:anchor distT="0" distB="0" distL="114300" distR="114300" simplePos="0" relativeHeight="251660288" behindDoc="0" locked="0" layoutInCell="1" allowOverlap="1" wp14:anchorId="50941BBC" wp14:editId="5CF8DC2D">
                      <wp:simplePos x="0" y="0"/>
                      <wp:positionH relativeFrom="column">
                        <wp:posOffset>805815</wp:posOffset>
                      </wp:positionH>
                      <wp:positionV relativeFrom="paragraph">
                        <wp:posOffset>420370</wp:posOffset>
                      </wp:positionV>
                      <wp:extent cx="8382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2CADDE" id="Line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3.45pt,33.1pt" to="129.4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"/>
                  </w:pict>
                </mc:Fallback>
              </mc:AlternateContent>
            </w:r>
            <w:r>
              <w:rPr>
                <w:b/>
                <w:sz w:val="24"/>
              </w:rPr>
              <w:t>BỘ</w:t>
            </w:r>
            <w:r>
              <w:rPr>
                <w:b/>
                <w:sz w:val="24"/>
                <w:lang w:val="en-US"/>
              </w:rPr>
              <w:t xml:space="preserve"> NỘI VỤ</w:t>
            </w:r>
          </w:p>
        </w:tc>
        <w:tc>
          <w:tcPr>
            <w:tcW w:w="2846" w:type="pct"/>
          </w:tcPr>
          <w:p w:rsidR="005353EA" w:rsidRDefault="005353EA" w:rsidP="00543EEE">
            <w:pPr>
              <w:spacing w:after="0" w:line="240" w:lineRule="auto"/>
              <w:ind w:firstLine="0"/>
              <w:jc w:val="center"/>
              <w:rPr>
                <w:b/>
                <w:sz w:val="24"/>
              </w:rPr>
            </w:pPr>
            <w:r>
              <w:rPr>
                <w:b/>
                <w:sz w:val="24"/>
              </w:rPr>
              <w:t>CỘNG HOÀ XÃ HỘI CHỦ NGHĨA VIỆT NAM</w:t>
            </w:r>
          </w:p>
          <w:p w:rsidR="005353EA" w:rsidRDefault="005353EA" w:rsidP="00543EEE">
            <w:pPr>
              <w:spacing w:after="0" w:line="240" w:lineRule="auto"/>
              <w:ind w:firstLine="0"/>
              <w:jc w:val="center"/>
              <w:rPr>
                <w:b/>
                <w:sz w:val="26"/>
                <w:lang w:val="es-ES"/>
              </w:rPr>
            </w:pPr>
            <w:r>
              <w:rPr>
                <w:b/>
                <w:noProof/>
                <w:sz w:val="26"/>
                <w:lang w:val="en-US" w:eastAsia="zh-CN"/>
              </w:rPr>
              <mc:AlternateContent>
                <mc:Choice Requires="wps">
                  <w:drawing>
                    <wp:anchor distT="0" distB="0" distL="114300" distR="114300" simplePos="0" relativeHeight="251661312" behindDoc="0" locked="0" layoutInCell="1" allowOverlap="1" wp14:anchorId="5223A53B" wp14:editId="3C869E14">
                      <wp:simplePos x="0" y="0"/>
                      <wp:positionH relativeFrom="column">
                        <wp:posOffset>492125</wp:posOffset>
                      </wp:positionH>
                      <wp:positionV relativeFrom="paragraph">
                        <wp:posOffset>266700</wp:posOffset>
                      </wp:positionV>
                      <wp:extent cx="224790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line">
                                <a:avLst/>
                              </a:prstGeom>
                              <a:noFill/>
                              <a:ln w="9525">
                                <a:solidFill>
                                  <a:srgbClr val="000000"/>
                                </a:solidFill>
                                <a:round/>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83F206" id="Line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8.75pt,21pt" to="215.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"/>
                  </w:pict>
                </mc:Fallback>
              </mc:AlternateContent>
            </w:r>
            <w:r>
              <w:rPr>
                <w:b/>
                <w:lang w:val="es-ES"/>
              </w:rPr>
              <w:t>Độc lập - Tự do - Hạnh phúc</w:t>
            </w:r>
          </w:p>
        </w:tc>
      </w:tr>
      <w:tr w:rsidR="005353EA" w:rsidTr="005353EA">
        <w:trPr>
          <w:trHeight w:val="424"/>
          <w:jc w:val="center"/>
        </w:trPr>
        <w:tc>
          <w:tcPr>
            <w:tcW w:w="2154" w:type="pct"/>
          </w:tcPr>
          <w:p w:rsidR="005353EA" w:rsidRDefault="005353EA" w:rsidP="00543EEE">
            <w:pPr>
              <w:spacing w:after="0" w:line="240" w:lineRule="auto"/>
              <w:ind w:firstLine="0"/>
              <w:jc w:val="center"/>
              <w:rPr>
                <w:spacing w:val="-4"/>
                <w:lang w:val="en-US"/>
              </w:rPr>
            </w:pPr>
            <w:r>
              <w:rPr>
                <w:lang w:val="es-ES"/>
              </w:rPr>
              <w:t>Số:            /BC-</w:t>
            </w:r>
            <w:r>
              <w:rPr>
                <w:lang w:val="en-US"/>
              </w:rPr>
              <w:t>BNV</w:t>
            </w:r>
          </w:p>
        </w:tc>
        <w:tc>
          <w:tcPr>
            <w:tcW w:w="2846" w:type="pct"/>
          </w:tcPr>
          <w:p w:rsidR="005353EA" w:rsidRDefault="005353EA" w:rsidP="00543EEE">
            <w:pPr>
              <w:spacing w:after="0" w:line="240" w:lineRule="auto"/>
              <w:ind w:firstLine="0"/>
              <w:jc w:val="center"/>
              <w:rPr>
                <w:b/>
                <w:bCs/>
                <w:i/>
                <w:lang w:val="es-ES"/>
              </w:rPr>
            </w:pPr>
            <w:r>
              <w:rPr>
                <w:i/>
                <w:lang w:val="es-ES"/>
              </w:rPr>
              <w:t>Hà Nội, ngày        tháng       năm 202</w:t>
            </w:r>
            <w:r w:rsidR="00291B37">
              <w:rPr>
                <w:i/>
                <w:lang w:val="es-ES"/>
              </w:rPr>
              <w:t>5</w:t>
            </w:r>
          </w:p>
        </w:tc>
      </w:tr>
    </w:tbl>
    <w:p w:rsidR="005353EA" w:rsidRDefault="002B58B9" w:rsidP="005353EA">
      <w:pPr>
        <w:pStyle w:val="Title"/>
        <w:rPr>
          <w:rFonts w:eastAsia="Times New Roman"/>
          <w:lang w:val="es-ES"/>
        </w:rPr>
      </w:pPr>
      <w:r>
        <w:rPr>
          <w:rFonts w:eastAsia="Times New Roman"/>
          <w:noProof/>
          <w:lang w:val="en-US" w:eastAsia="zh-CN"/>
        </w:rPr>
        <mc:AlternateContent>
          <mc:Choice Requires="wps">
            <w:drawing>
              <wp:anchor distT="0" distB="0" distL="114300" distR="114300" simplePos="0" relativeHeight="251662336" behindDoc="0" locked="0" layoutInCell="1" allowOverlap="1" wp14:anchorId="136B3059" wp14:editId="122A79F6">
                <wp:simplePos x="0" y="0"/>
                <wp:positionH relativeFrom="column">
                  <wp:posOffset>-80010</wp:posOffset>
                </wp:positionH>
                <wp:positionV relativeFrom="paragraph">
                  <wp:posOffset>237490</wp:posOffset>
                </wp:positionV>
                <wp:extent cx="1257300" cy="3333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25730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B58B9" w:rsidRPr="002B58B9" w:rsidRDefault="002B58B9" w:rsidP="002B58B9">
                            <w:pPr>
                              <w:spacing w:before="60" w:after="60" w:line="240" w:lineRule="auto"/>
                              <w:ind w:firstLine="0"/>
                              <w:jc w:val="center"/>
                              <w:rPr>
                                <w:b/>
                                <w:lang w:val="en-US"/>
                              </w:rPr>
                            </w:pPr>
                            <w:r w:rsidRPr="002B58B9">
                              <w:rPr>
                                <w:b/>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1" o:spid="_x0000_s1026" type="#_x0000_t202" style="position:absolute;left:0;text-align:left;margin-left:-6.3pt;margin-top:18.7pt;width:99pt;height:2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" fillcolor="white [3201]" strokeweight=".5pt">
                <v:textbox>
                  <w:txbxContent>
                    <w:p w:rsidR="002B58B9" w:rsidRPr="002B58B9" w:rsidRDefault="002B58B9" w:rsidP="002B58B9">
                      <w:pPr>
                        <w:spacing w:before="60" w:after="60" w:line="240" w:lineRule="auto"/>
                        <w:ind w:firstLine="0"/>
                        <w:jc w:val="center"/>
                        <w:rPr>
                          <w:b/>
                          <w:lang w:val="en-US"/>
                        </w:rPr>
                      </w:pPr>
                      <w:bookmarkStart w:id="1" w:name="_GoBack"/>
                      <w:r w:rsidRPr="002B58B9">
                        <w:rPr>
                          <w:b/>
                          <w:lang w:val="en-US"/>
                        </w:rPr>
                        <w:t>DỰ THẢO</w:t>
                      </w:r>
                      <w:bookmarkEnd w:id="1"/>
                    </w:p>
                  </w:txbxContent>
                </v:textbox>
              </v:shape>
            </w:pict>
          </mc:Fallback>
        </mc:AlternateContent>
      </w:r>
    </w:p>
    <w:p w:rsidR="005353EA" w:rsidRDefault="005353EA" w:rsidP="00543EEE">
      <w:pPr>
        <w:pStyle w:val="Title"/>
        <w:spacing w:line="240" w:lineRule="auto"/>
        <w:rPr>
          <w:rFonts w:hint="eastAsia"/>
        </w:rPr>
      </w:pPr>
      <w:r>
        <w:t>BÁO CÁO</w:t>
      </w:r>
    </w:p>
    <w:p w:rsidR="005353EA" w:rsidRDefault="00523A25" w:rsidP="00543EEE">
      <w:pPr>
        <w:pStyle w:val="Title"/>
        <w:spacing w:line="240" w:lineRule="auto"/>
        <w:rPr>
          <w:rFonts w:hint="eastAsia"/>
        </w:rPr>
      </w:pPr>
      <w:r>
        <w:rPr>
          <w:rFonts w:eastAsia="Times New Roman"/>
          <w:noProof/>
          <w:lang w:val="en-US" w:eastAsia="zh-CN"/>
        </w:rPr>
        <mc:AlternateContent>
          <mc:Choice Requires="wps">
            <w:drawing>
              <wp:anchor distT="0" distB="0" distL="114300" distR="114300" simplePos="0" relativeHeight="251659264" behindDoc="0" locked="0" layoutInCell="1" allowOverlap="1" wp14:anchorId="02958B9E" wp14:editId="3E19D72F">
                <wp:simplePos x="0" y="0"/>
                <wp:positionH relativeFrom="margin">
                  <wp:posOffset>2194560</wp:posOffset>
                </wp:positionH>
                <wp:positionV relativeFrom="paragraph">
                  <wp:posOffset>251991</wp:posOffset>
                </wp:positionV>
                <wp:extent cx="1348740" cy="0"/>
                <wp:effectExtent l="0" t="0" r="0" b="0"/>
                <wp:wrapNone/>
                <wp:docPr id="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8740" cy="0"/>
                        </a:xfrm>
                        <a:prstGeom prst="line">
                          <a:avLst/>
                        </a:prstGeom>
                        <a:noFill/>
                        <a:ln w="9525">
                          <a:solidFill>
                            <a:srgbClr val="000000"/>
                          </a:solidFill>
                          <a:round/>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6B45CF4" id="Line 43"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172.8pt,19.85pt" to="279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">
                <w10:wrap anchorx="margin"/>
              </v:line>
            </w:pict>
          </mc:Fallback>
        </mc:AlternateContent>
      </w:r>
      <w:r w:rsidR="005353EA">
        <w:t>Tổng kết thi hành Luật Bảo hiểm xã hội năm 20</w:t>
      </w:r>
      <w:r w:rsidR="005353EA" w:rsidRPr="000811EE">
        <w:rPr>
          <w:lang w:val="es-ES"/>
        </w:rPr>
        <w:t>2</w:t>
      </w:r>
      <w:r w:rsidR="005353EA">
        <w:t>4</w:t>
      </w:r>
    </w:p>
    <w:p w:rsidR="005353EA" w:rsidRDefault="005353EA" w:rsidP="00543EEE">
      <w:pPr>
        <w:pStyle w:val="Title"/>
        <w:spacing w:before="120" w:after="0" w:line="276" w:lineRule="auto"/>
      </w:pPr>
    </w:p>
    <w:p w:rsidR="005353EA" w:rsidRPr="000811EE" w:rsidRDefault="005353EA" w:rsidP="00543EEE">
      <w:pPr>
        <w:spacing w:before="120" w:after="0" w:line="276" w:lineRule="auto"/>
      </w:pPr>
      <w:r>
        <w:t xml:space="preserve">Ngày 29/6/2024, tại Kỳ họp thứ 7, Quốc hội khóa XV đã thông qua Luật Bảo hiểm xã hội số 41/2024/QH15 </w:t>
      </w:r>
      <w:r>
        <w:rPr>
          <w:i/>
        </w:rPr>
        <w:t xml:space="preserve">(sau đây được viết là Luật BHXH 2024) </w:t>
      </w:r>
      <w:r>
        <w:t xml:space="preserve">thay thế </w:t>
      </w:r>
      <w:r>
        <w:rPr>
          <w:rFonts w:eastAsia="Calibri" w:cs="Times New Roman"/>
          <w:szCs w:val="28"/>
          <w:lang w:val="vi-VN"/>
        </w:rPr>
        <w:t>Luật Bảo hiểm xã hội số 58/2014/QH13</w:t>
      </w:r>
      <w:r>
        <w:rPr>
          <w:rFonts w:eastAsia="Calibri" w:cs="Times New Roman"/>
          <w:szCs w:val="28"/>
        </w:rPr>
        <w:t xml:space="preserve"> </w:t>
      </w:r>
      <w:r>
        <w:rPr>
          <w:bCs/>
          <w:iCs/>
          <w:spacing w:val="-2"/>
          <w:szCs w:val="28"/>
          <w:lang w:val="vi-VN"/>
        </w:rPr>
        <w:t>đã được sửa đổi, bổ sung một số</w:t>
      </w:r>
      <w:r>
        <w:rPr>
          <w:bCs/>
          <w:iCs/>
          <w:szCs w:val="28"/>
          <w:lang w:val="vi-VN"/>
        </w:rPr>
        <w:t xml:space="preserve"> </w:t>
      </w:r>
      <w:r>
        <w:rPr>
          <w:bCs/>
          <w:iCs/>
          <w:spacing w:val="-4"/>
          <w:szCs w:val="28"/>
          <w:lang w:val="vi-VN"/>
        </w:rPr>
        <w:t>điều theo Luật số 84/2015/QH13, Luật số 35/2018/QH14, Bộ luật số 45/2019/QH14</w:t>
      </w:r>
      <w:r w:rsidRPr="000811EE">
        <w:rPr>
          <w:bCs/>
          <w:iCs/>
          <w:spacing w:val="-4"/>
          <w:szCs w:val="28"/>
        </w:rPr>
        <w:t xml:space="preserve">. </w:t>
      </w:r>
      <w:r w:rsidRPr="000811EE">
        <w:t>Thực hiện Luật ban hành văn bản quy phạm pháp luật số 64/2025/QH15 của Quốc hội, Chính phủ xin báo cáo tình hình việc thi hành Luật BHXH 2024</w:t>
      </w:r>
      <w:r w:rsidR="00816DD4" w:rsidRPr="000811EE">
        <w:t xml:space="preserve"> và khó khăn, vướng mắc liên quan đến </w:t>
      </w:r>
      <w:r w:rsidR="00A04348" w:rsidRPr="000811EE">
        <w:t>sau sắp xếp tổ chức bộ máy của hệ thống chính trị, đơn vị hành chính và tổ chức chính quyền địa phương 02 cấp</w:t>
      </w:r>
      <w:r w:rsidRPr="000811EE">
        <w:t xml:space="preserve"> như sau.</w:t>
      </w:r>
    </w:p>
    <w:p w:rsidR="009B1E84" w:rsidRPr="000811EE" w:rsidRDefault="009B1E84" w:rsidP="00543EEE">
      <w:pPr>
        <w:spacing w:before="120" w:after="0" w:line="276" w:lineRule="auto"/>
        <w:rPr>
          <w:b/>
        </w:rPr>
      </w:pPr>
      <w:r w:rsidRPr="000811EE">
        <w:rPr>
          <w:b/>
        </w:rPr>
        <w:t>I. Bối cảnh thực hiện tổng kết</w:t>
      </w:r>
    </w:p>
    <w:p w:rsidR="00E40765" w:rsidRPr="000811EE" w:rsidRDefault="00E40765" w:rsidP="00543EEE">
      <w:pPr>
        <w:spacing w:before="120" w:after="0" w:line="276" w:lineRule="auto"/>
      </w:pPr>
      <w:r w:rsidRPr="000811EE">
        <w:t>Việt Nam đang thực hiện mạnh mẽ cuộc cách mạng tinh gọn tổ chức bộ máy trong hệ thống chính trị nhằm xây dựng bộ máy nhà nước tinh gọn, hiệu năng, hiệu lực, hiệu quả, đáp ứng tốt hơn yêu cầu phát triển kinh tế - xã hội và hội nhập quốc tế. Trong bối cảnh đó, việc sắp xếp đơn vị hành chính các cấp và xây dựng mô hình tổ chức chính quyền địa phương 02 cấp được xem là một trong những giải pháp chiến lược nhằm thực hiện mục tiêu trên. Chủ trương này đã được thể hiện rõ trong các Kết luận</w:t>
      </w:r>
      <w:r w:rsidR="005A26F6" w:rsidRPr="000811EE">
        <w:t>, Kế hoạch</w:t>
      </w:r>
      <w:r w:rsidRPr="000811EE">
        <w:t xml:space="preserve"> của </w:t>
      </w:r>
      <w:r w:rsidRPr="00AD0A51">
        <w:rPr>
          <w:rFonts w:cs="Times New Roman"/>
          <w:szCs w:val="28"/>
        </w:rPr>
        <w:t>Ban Chấp hành Trương ương Đảng</w:t>
      </w:r>
      <w:r>
        <w:rPr>
          <w:rFonts w:cs="Times New Roman"/>
          <w:szCs w:val="28"/>
        </w:rPr>
        <w:t>,</w:t>
      </w:r>
      <w:r w:rsidRPr="000811EE">
        <w:t xml:space="preserve"> Bộ Chính trị, Ban Bí thư, </w:t>
      </w:r>
      <w:r w:rsidR="005A26F6" w:rsidRPr="000811EE">
        <w:t xml:space="preserve">Ban Chỉ đạo Trung ương </w:t>
      </w:r>
      <w:r w:rsidRPr="000811EE">
        <w:t>cụ thể bao gồm:</w:t>
      </w:r>
    </w:p>
    <w:p w:rsidR="009B1E84" w:rsidRPr="000811EE" w:rsidRDefault="005A26F6" w:rsidP="00543EEE">
      <w:pPr>
        <w:spacing w:before="120" w:after="0" w:line="276" w:lineRule="auto"/>
      </w:pPr>
      <w:r w:rsidRPr="000811EE">
        <w:t>- Kế hoạch số 141/KH-BCDDTKNQ18 ngày 06/12/2024 của</w:t>
      </w:r>
      <w:r w:rsidR="00BC063E" w:rsidRPr="000811EE">
        <w:t xml:space="preserve"> Ban Chỉ đạo Trung ương tổng kết việc thực hiện Nghị quyết số 18-NQ-TW ngày 25/10/2017 của Hội nghị Trung ương khóa </w:t>
      </w:r>
      <w:r w:rsidR="00BC063E" w:rsidRPr="00AD0A51">
        <w:rPr>
          <w:rFonts w:cs="Times New Roman"/>
          <w:szCs w:val="28"/>
        </w:rPr>
        <w:t>ương khóa XII</w:t>
      </w:r>
      <w:r w:rsidR="00BC063E">
        <w:rPr>
          <w:rFonts w:cs="Times New Roman"/>
          <w:szCs w:val="28"/>
        </w:rPr>
        <w:t xml:space="preserve">; </w:t>
      </w:r>
      <w:r w:rsidR="009B1E84" w:rsidRPr="00AD0A51">
        <w:rPr>
          <w:rFonts w:cs="Times New Roman"/>
          <w:szCs w:val="28"/>
        </w:rPr>
        <w:t>Kết luận số 121-KLTW ngày 14/01/2025 của Ban Chấp hành Trương ương Đảng khóa XIII về tổng kết thực hiện Nghị quyết số 18-NQ/TW ngày 25/10/2017 của Ban Chấp hành trung ương khóa XII một số vấn đề về tiếp tục đổi mới, sắp xếp tổ chức bộ máy của hệ thống chính trị tinh gọn, hoạt động hiệu lực hiệu quả, theo đó Bộ Lao động – Thương binh và Xã hội và Bộ Nội vụ hợp nhất thành Bộ Nội vụ</w:t>
      </w:r>
      <w:r>
        <w:rPr>
          <w:rFonts w:cs="Times New Roman"/>
          <w:szCs w:val="28"/>
        </w:rPr>
        <w:t>;</w:t>
      </w:r>
      <w:r w:rsidR="00BC063E">
        <w:rPr>
          <w:rFonts w:cs="Times New Roman"/>
          <w:szCs w:val="28"/>
        </w:rPr>
        <w:t xml:space="preserve"> Bảo hiểm xã hội Việt Nam là đơn vị thuộc Bộ Tài chính;</w:t>
      </w:r>
    </w:p>
    <w:p w:rsidR="009B1E84" w:rsidRPr="000811EE" w:rsidRDefault="009B1E84" w:rsidP="00543EEE">
      <w:pPr>
        <w:spacing w:before="120" w:after="0" w:line="276" w:lineRule="auto"/>
      </w:pPr>
      <w:r w:rsidRPr="00AD0A51">
        <w:rPr>
          <w:rFonts w:cs="Times New Roman"/>
          <w:szCs w:val="28"/>
        </w:rPr>
        <w:t xml:space="preserve">- Điều 9 Hiến pháp nước Cộng hòa xã hội chủ nghĩa Việt Nam được sửa đổi, bổ sung tại khoản 1 Điều 1 Nghị quyết số 203/2025/QH15 ngày 16/6/2025 của Quốc hội sửa đổi bổ sung một số điều của Hiến pháp nước Cộng hòa xã hội </w:t>
      </w:r>
      <w:r w:rsidRPr="00AD0A51">
        <w:rPr>
          <w:rFonts w:cs="Times New Roman"/>
          <w:szCs w:val="28"/>
        </w:rPr>
        <w:lastRenderedPageBreak/>
        <w:t>chủ nghĩ Việt Nam theo đó Công đoàn là tổ chức Chính trị xã hội trực thuộc mặt trận Tổ Quốc Việ</w:t>
      </w:r>
      <w:r w:rsidR="005A26F6">
        <w:rPr>
          <w:rFonts w:cs="Times New Roman"/>
          <w:szCs w:val="28"/>
        </w:rPr>
        <w:t>t Nam;</w:t>
      </w:r>
    </w:p>
    <w:p w:rsidR="009B1E84" w:rsidRPr="000811EE" w:rsidRDefault="009B1E84" w:rsidP="00543EEE">
      <w:pPr>
        <w:spacing w:before="120" w:after="0" w:line="276" w:lineRule="auto"/>
      </w:pPr>
      <w:r w:rsidRPr="00AD0A51">
        <w:rPr>
          <w:rFonts w:eastAsia="Arial Unicode MS" w:cs="Times New Roman"/>
          <w:color w:val="0D0D0D"/>
          <w:szCs w:val="28"/>
          <w:lang w:eastAsia="zh-CN" w:bidi="hi-IN"/>
        </w:rPr>
        <w:t>Khoản 3 Điều 1 Luật sửa đổi, b</w:t>
      </w:r>
      <w:r w:rsidRPr="00AD0A51">
        <w:rPr>
          <w:rFonts w:cs="Times New Roman"/>
          <w:color w:val="000000"/>
          <w:szCs w:val="28"/>
          <w:shd w:val="clear" w:color="auto" w:fill="FFFFFF"/>
        </w:rPr>
        <w:t>ổ</w:t>
      </w:r>
      <w:r w:rsidRPr="00AD0A51">
        <w:rPr>
          <w:rFonts w:cs="Times New Roman"/>
          <w:caps/>
          <w:color w:val="000000"/>
          <w:szCs w:val="28"/>
          <w:shd w:val="clear" w:color="auto" w:fill="FFFFFF"/>
        </w:rPr>
        <w:t xml:space="preserve"> </w:t>
      </w:r>
      <w:r w:rsidRPr="00AD0A51">
        <w:rPr>
          <w:rFonts w:cs="Times New Roman"/>
          <w:color w:val="000000"/>
          <w:szCs w:val="28"/>
          <w:shd w:val="clear" w:color="auto" w:fill="FFFFFF"/>
        </w:rPr>
        <w:t>sung một số điều của Luật Mặt trận Tổ quốc Việt Nam, Luật Công đoàn, Luật Thanh niên và Luật Thực hiện dân chủ ở cơ sở số 97/2025/QH15 quy định: “</w:t>
      </w:r>
      <w:r w:rsidRPr="00AD0A51">
        <w:rPr>
          <w:rFonts w:cs="Times New Roman"/>
          <w:i/>
          <w:color w:val="000000"/>
          <w:szCs w:val="28"/>
          <w:shd w:val="clear" w:color="auto" w:fill="FFFFFF"/>
        </w:rPr>
        <w:t xml:space="preserve">Các tổ chức chính trị - xã hội (gồm Công đoàn Việt Nam, Hội Nông dân Việt Nam, Đoàn Thanh niên Cộng sản Hồ Chí Minh, Hội Liên hiệp Phụ nữ Việt Nam, Hội Cựu chiến binh Việt Nam) và các hội quần chúng do Đảng, Nhà nước giao nhiệm vụ trực thuộc Mặt trận Tổ quốc Việt Nam, được tổ chức và hoạt động thống nhất trong Mặt trận Tổ quốc Việt Nam.” </w:t>
      </w:r>
    </w:p>
    <w:p w:rsidR="009B1E84" w:rsidRPr="000811EE" w:rsidRDefault="009B1E84" w:rsidP="00543EEE">
      <w:pPr>
        <w:spacing w:before="120" w:after="0" w:line="276" w:lineRule="auto"/>
      </w:pPr>
      <w:r w:rsidRPr="00AD0A51">
        <w:rPr>
          <w:rFonts w:cs="Times New Roman"/>
          <w:i/>
          <w:color w:val="000000"/>
          <w:szCs w:val="28"/>
          <w:shd w:val="clear" w:color="auto" w:fill="FFFFFF"/>
        </w:rPr>
        <w:t xml:space="preserve">- </w:t>
      </w:r>
      <w:r w:rsidRPr="00AD0A51">
        <w:rPr>
          <w:rFonts w:cs="Times New Roman"/>
          <w:szCs w:val="28"/>
        </w:rPr>
        <w:t xml:space="preserve">Nghị quyết số 60-NQ/TW ngày 12/4/2025 của Hội nghị lần thứ 11 Ban Chấp hành Trung ương Đảng khóa XII thống nhất chủ trương: </w:t>
      </w:r>
      <w:r w:rsidRPr="00AD0A51">
        <w:rPr>
          <w:rFonts w:cs="Times New Roman"/>
          <w:color w:val="000000"/>
          <w:szCs w:val="28"/>
          <w:shd w:val="clear" w:color="auto" w:fill="FFFFFF"/>
        </w:rPr>
        <w:t xml:space="preserve">(i) tổ chức chính quyền địa phương 2 cấp: Cấp tỉnh (tỉnh, thành phố trực thuộc Trung ương), cấp xã (xã, phường, đặc khu trực thuộc tỉnh, thành phố); (iii) </w:t>
      </w:r>
      <w:r w:rsidRPr="00AD0A51">
        <w:rPr>
          <w:rFonts w:cs="Times New Roman"/>
          <w:szCs w:val="28"/>
        </w:rPr>
        <w:t>kết thúc hoạt động của công đoàn viên chức, công đoàn lực lượ</w:t>
      </w:r>
      <w:r w:rsidR="005A26F6">
        <w:rPr>
          <w:rFonts w:cs="Times New Roman"/>
          <w:szCs w:val="28"/>
        </w:rPr>
        <w:t>ng vũ trang;</w:t>
      </w:r>
    </w:p>
    <w:p w:rsidR="009B1E84" w:rsidRPr="000811EE" w:rsidRDefault="009B1E84" w:rsidP="00543EEE">
      <w:pPr>
        <w:spacing w:before="120" w:after="0" w:line="276" w:lineRule="auto"/>
      </w:pPr>
      <w:r w:rsidRPr="00AD0A51">
        <w:rPr>
          <w:rFonts w:cs="Times New Roman"/>
          <w:szCs w:val="28"/>
        </w:rPr>
        <w:t>Luật Chính quyền địa phương số 72/2025/QH15 đã được Quốc hội thông qua ngày 16/6/2025 trong đó quy định đ</w:t>
      </w:r>
      <w:r w:rsidRPr="00AD0A51">
        <w:rPr>
          <w:rFonts w:cs="Times New Roman"/>
          <w:color w:val="152C4A"/>
          <w:szCs w:val="28"/>
        </w:rPr>
        <w:t>ơn vị hành chính của nước Cộng hòa xã hội chủ nghĩa Việt Nam được tổ chức thành 02 cấp, gồm có: a) Tỉnh, thành phố trực thuộc trung ương và Xã, phường, đặc khu trực thuộc cấp tỉ</w:t>
      </w:r>
      <w:r w:rsidR="005A26F6">
        <w:rPr>
          <w:rFonts w:cs="Times New Roman"/>
          <w:color w:val="152C4A"/>
          <w:szCs w:val="28"/>
        </w:rPr>
        <w:t>nh;</w:t>
      </w:r>
    </w:p>
    <w:p w:rsidR="009B1E84" w:rsidRPr="000811EE" w:rsidRDefault="009B1E84" w:rsidP="00543EEE">
      <w:pPr>
        <w:spacing w:before="120" w:after="0" w:line="276" w:lineRule="auto"/>
      </w:pPr>
      <w:r w:rsidRPr="00AD0A51">
        <w:rPr>
          <w:rFonts w:cs="Times New Roman"/>
          <w:szCs w:val="28"/>
        </w:rPr>
        <w:t>- Kết luận số 137-KL/TW ngày 28/3/2025 của Bộ Chính trị, Ban Bí thư về Đề án sắp xếp, tổ chức lại đơn vị hành chính các cấp và xây dựng mô hình tổ chức chính quyền địa phương 2 cấp đã kết luận: “</w:t>
      </w:r>
      <w:r w:rsidRPr="00AD0A51">
        <w:rPr>
          <w:rFonts w:cs="Times New Roman"/>
          <w:i/>
          <w:color w:val="222222"/>
          <w:szCs w:val="28"/>
        </w:rPr>
        <w:t>Kết thúc việc sử dụng người hoạt động không chuyên trách ở cấp xã; giao chính quyền địa phương xem xét, có thể sắp xếp người hoạt động không chuyên trách ở cấp xã đáp ứng yêu cầu nhiệm vụ tham gia công tác tại thôn, tổ dân phố và thực hiện chế độ, chính sách đối với cán bộ không bố trí công tác theo quy định.”</w:t>
      </w:r>
    </w:p>
    <w:p w:rsidR="009B1E84" w:rsidRPr="000811EE" w:rsidRDefault="009B1E84" w:rsidP="00543EEE">
      <w:pPr>
        <w:spacing w:before="120" w:after="0" w:line="276" w:lineRule="auto"/>
      </w:pPr>
      <w:r w:rsidRPr="00AD0A51">
        <w:rPr>
          <w:rFonts w:cs="Times New Roman"/>
          <w:i/>
          <w:color w:val="080809"/>
          <w:szCs w:val="28"/>
          <w:shd w:val="clear" w:color="auto" w:fill="FFFFFF"/>
        </w:rPr>
        <w:t xml:space="preserve">- </w:t>
      </w:r>
      <w:r w:rsidRPr="00AD0A51">
        <w:rPr>
          <w:rFonts w:cs="Times New Roman"/>
          <w:color w:val="080809"/>
          <w:szCs w:val="28"/>
          <w:shd w:val="clear" w:color="auto" w:fill="FFFFFF"/>
        </w:rPr>
        <w:t>Kết luận số 134-KL/TW ngày 28/3/2025 của Bộ Chính trị, Ban Bí thư về Đề án sắp xếp hệ thống cơ quan thanh tra tinh, gọn, hiệu năng, hiệu lực, hiệu quả đã thống nhất: “</w:t>
      </w:r>
      <w:r w:rsidRPr="00AD0A51">
        <w:rPr>
          <w:rFonts w:cs="Times New Roman"/>
          <w:i/>
          <w:color w:val="080809"/>
          <w:szCs w:val="28"/>
          <w:shd w:val="clear" w:color="auto" w:fill="FFFFFF"/>
        </w:rPr>
        <w:t>Đồng ý chủ trương sắp xếp, tinh gọn tổ chức bộ máy hệ thống cơ quan thanh tra theo hai cấp ở Trung ương và địa phương. Trong đó ở Trung ương kết thúc hoạt động của Thanh tra các Bộ để sắp xếp lại thành các Cục thanh tra…. Bảo hiểm xã hội Việt Nam và các cơ quan được giao thực hiện chức năng thanh tra chuyên ngành: không tổ chức thanh tra chuyên ngành mà thực hiện chức năng kiểm tra chuyên ngành và các chức năng khác theo quy định của pháp luật.”</w:t>
      </w:r>
    </w:p>
    <w:p w:rsidR="009B1E84" w:rsidRPr="000811EE" w:rsidRDefault="009B1E84" w:rsidP="00543EEE">
      <w:pPr>
        <w:spacing w:before="120" w:after="0" w:line="276" w:lineRule="auto"/>
      </w:pPr>
      <w:r w:rsidRPr="00AD0A51">
        <w:rPr>
          <w:rFonts w:cs="Times New Roman"/>
          <w:szCs w:val="28"/>
        </w:rPr>
        <w:t xml:space="preserve">Điểm s khoản 1 Điều 62 Luật Thanh tra số 84/2025/QH15 quy định: “Bãi bỏ cụm từ “thanh tra chuyên ngành về đóng bảo hiểm xã hội, bảo hiểm thất nghiệp, bảo hiểm y tế;” tại khoản 1 Điều 16; cụm từ “Thanh tra chuyên ngành về 2 đóng bảo hiểm xã hội, bảo hiểm thất nghiệp, bảo hiểm y tế.” tại khoản 5 Điều 17; cụm </w:t>
      </w:r>
      <w:r w:rsidRPr="00AD0A51">
        <w:rPr>
          <w:rFonts w:cs="Times New Roman"/>
          <w:szCs w:val="28"/>
        </w:rPr>
        <w:lastRenderedPageBreak/>
        <w:t>từ “thanh tra,” tại khoản 5 Điều 136; cụm từ “thanh tra,” tại khoản 2, khoản 6 Điều 137 của Luật Bảo hiểm xã hội số</w:t>
      </w:r>
      <w:r w:rsidR="005A26F6">
        <w:rPr>
          <w:rFonts w:cs="Times New Roman"/>
          <w:szCs w:val="28"/>
        </w:rPr>
        <w:t xml:space="preserve"> 41/2024/QH15”;</w:t>
      </w:r>
    </w:p>
    <w:p w:rsidR="00E40765" w:rsidRPr="00D304BA" w:rsidRDefault="009B1E84" w:rsidP="00543EEE">
      <w:pPr>
        <w:spacing w:before="120" w:after="0" w:line="276" w:lineRule="auto"/>
        <w:rPr>
          <w:rFonts w:cs="Times New Roman"/>
          <w:szCs w:val="28"/>
        </w:rPr>
      </w:pPr>
      <w:r w:rsidRPr="00914849">
        <w:rPr>
          <w:rFonts w:cs="Times New Roman"/>
          <w:szCs w:val="28"/>
        </w:rPr>
        <w:t>Lu</w:t>
      </w:r>
      <w:r w:rsidRPr="000450EB">
        <w:rPr>
          <w:rFonts w:cs="Times New Roman"/>
          <w:szCs w:val="28"/>
        </w:rPr>
        <w:t xml:space="preserve">ật </w:t>
      </w:r>
      <w:r w:rsidR="00D304BA">
        <w:rPr>
          <w:rFonts w:cs="Times New Roman"/>
          <w:szCs w:val="28"/>
        </w:rPr>
        <w:t>BHXH</w:t>
      </w:r>
      <w:r w:rsidRPr="000450EB">
        <w:rPr>
          <w:rFonts w:cs="Times New Roman"/>
          <w:szCs w:val="28"/>
        </w:rPr>
        <w:t xml:space="preserve"> 2024 (có hiệu lực từ ngày 01/7/2025) được ban hành nhằm thể chế hóa quan </w:t>
      </w:r>
      <w:r w:rsidRPr="000450EB">
        <w:rPr>
          <w:rFonts w:cs="Times New Roman" w:hint="eastAsia"/>
          <w:szCs w:val="28"/>
        </w:rPr>
        <w:t>đ</w:t>
      </w:r>
      <w:r w:rsidRPr="000450EB">
        <w:rPr>
          <w:rFonts w:cs="Times New Roman"/>
          <w:szCs w:val="28"/>
        </w:rPr>
        <w:t xml:space="preserve">iểm, </w:t>
      </w:r>
      <w:r w:rsidRPr="000450EB">
        <w:rPr>
          <w:rFonts w:cs="Times New Roman" w:hint="eastAsia"/>
          <w:szCs w:val="28"/>
        </w:rPr>
        <w:t>đư</w:t>
      </w:r>
      <w:r w:rsidRPr="000450EB">
        <w:rPr>
          <w:rFonts w:cs="Times New Roman"/>
          <w:szCs w:val="28"/>
        </w:rPr>
        <w:t>ờng lối, nội dung cải cách BHXH trong Nghị quyết số 28-NQ/TW và các v</w:t>
      </w:r>
      <w:r w:rsidRPr="000450EB">
        <w:rPr>
          <w:rFonts w:cs="Times New Roman" w:hint="eastAsia"/>
          <w:szCs w:val="28"/>
        </w:rPr>
        <w:t>ă</w:t>
      </w:r>
      <w:r w:rsidRPr="000450EB">
        <w:rPr>
          <w:rFonts w:cs="Times New Roman"/>
          <w:szCs w:val="28"/>
        </w:rPr>
        <w:t xml:space="preserve">n kiện, nghị quyết có liên quan; sửa đổi, bổ sung toàn diện khắc phục những bất cập, tồn tại hạn chế trong quá trình triển khai Luật BHXH năm 2014. Luật BHXH năm 2024 đã quy định cụ thể về vị trí, quyền hạn, trách nhiệm của cơ quan BHXH (vị trí khi đó là cơ quan thuộc Chính phủ), các Bộ, ngành trong quản lý, thực hiện chính sách BHXH. Tuy nhiên, </w:t>
      </w:r>
      <w:r w:rsidRPr="00D304BA">
        <w:rPr>
          <w:rFonts w:cs="Times New Roman"/>
          <w:b/>
          <w:i/>
          <w:szCs w:val="28"/>
        </w:rPr>
        <w:t>Luậ</w:t>
      </w:r>
      <w:r w:rsidR="00D304BA" w:rsidRPr="00D304BA">
        <w:rPr>
          <w:rFonts w:cs="Times New Roman"/>
          <w:b/>
          <w:i/>
          <w:szCs w:val="28"/>
        </w:rPr>
        <w:t xml:space="preserve">t BHXH </w:t>
      </w:r>
      <w:r w:rsidRPr="00D304BA">
        <w:rPr>
          <w:rFonts w:cs="Times New Roman"/>
          <w:b/>
          <w:i/>
          <w:szCs w:val="28"/>
        </w:rPr>
        <w:t>2024 được xây dựng và thông qua trước khi thực hiện sắp xếp tổ chức bộ máy.</w:t>
      </w:r>
      <w:r w:rsidR="00D304BA">
        <w:rPr>
          <w:rFonts w:cs="Times New Roman"/>
          <w:b/>
          <w:i/>
          <w:szCs w:val="28"/>
        </w:rPr>
        <w:t xml:space="preserve"> </w:t>
      </w:r>
      <w:r w:rsidR="00D304BA">
        <w:rPr>
          <w:rFonts w:cs="Times New Roman"/>
          <w:szCs w:val="28"/>
        </w:rPr>
        <w:t>Vì vậy</w:t>
      </w:r>
      <w:r w:rsidR="00D304BA" w:rsidRPr="00D304BA">
        <w:rPr>
          <w:rFonts w:cs="Times New Roman"/>
          <w:szCs w:val="28"/>
        </w:rPr>
        <w:t>, cần thiết phải sửa đổi, bổ sung các quy định tại Luật BHXH năm 2024 để đảm bảo phù hợ</w:t>
      </w:r>
      <w:r w:rsidR="00D304BA">
        <w:rPr>
          <w:rFonts w:cs="Times New Roman"/>
          <w:szCs w:val="28"/>
        </w:rPr>
        <w:t xml:space="preserve">p với việc </w:t>
      </w:r>
      <w:r w:rsidRPr="000450EB">
        <w:rPr>
          <w:rFonts w:cs="Times New Roman"/>
          <w:szCs w:val="28"/>
        </w:rPr>
        <w:t>sắp xếp tổ chức bộ</w:t>
      </w:r>
      <w:r w:rsidR="00D304BA">
        <w:rPr>
          <w:rFonts w:cs="Times New Roman"/>
          <w:szCs w:val="28"/>
        </w:rPr>
        <w:t xml:space="preserve"> máy.</w:t>
      </w:r>
    </w:p>
    <w:p w:rsidR="009B1E84" w:rsidRPr="000811EE" w:rsidRDefault="009B1E84" w:rsidP="00543EEE">
      <w:pPr>
        <w:spacing w:before="120" w:after="0" w:line="276" w:lineRule="auto"/>
        <w:rPr>
          <w:b/>
        </w:rPr>
      </w:pPr>
      <w:r w:rsidRPr="000811EE">
        <w:rPr>
          <w:b/>
        </w:rPr>
        <w:t>II. Kết quả thực hiện</w:t>
      </w:r>
    </w:p>
    <w:p w:rsidR="005353EA" w:rsidRPr="000811EE" w:rsidRDefault="005353EA" w:rsidP="00543EEE">
      <w:pPr>
        <w:spacing w:before="120" w:after="0" w:line="276" w:lineRule="auto"/>
        <w:rPr>
          <w:b/>
        </w:rPr>
      </w:pPr>
      <w:r w:rsidRPr="000811EE">
        <w:rPr>
          <w:b/>
        </w:rPr>
        <w:t>1. Công tác chỉ đạo, tổ chức triển khai Luật Bảo hiểm xã hội 2024</w:t>
      </w:r>
    </w:p>
    <w:p w:rsidR="005353EA" w:rsidRDefault="005353EA" w:rsidP="00543EEE">
      <w:pPr>
        <w:spacing w:before="120" w:after="0" w:line="276" w:lineRule="auto"/>
        <w:rPr>
          <w:color w:val="000000" w:themeColor="text1"/>
          <w:lang w:val="nl-NL"/>
        </w:rPr>
      </w:pPr>
      <w:r w:rsidRPr="003F5F1A">
        <w:rPr>
          <w:color w:val="000000" w:themeColor="text1"/>
          <w:lang w:val="nl-NL"/>
        </w:rPr>
        <w:t xml:space="preserve">Căn cứ Luật BHXH 2024 và Nghị quyết số 142/2024/QH15 </w:t>
      </w:r>
      <w:r w:rsidRPr="003F5F1A">
        <w:rPr>
          <w:color w:val="000000" w:themeColor="text1"/>
          <w:spacing w:val="-6"/>
          <w:lang w:val="nl-NL"/>
        </w:rPr>
        <w:t>của Quốc hội, Thủ tướng Chính phủ đã ban hành: (1) Quyết định số 717/QĐ-TTg</w:t>
      </w:r>
      <w:r w:rsidRPr="003F5F1A">
        <w:rPr>
          <w:color w:val="000000" w:themeColor="text1"/>
          <w:lang w:val="nl-NL"/>
        </w:rPr>
        <w:t xml:space="preserve"> ngày 27/7/2024 ban hành Danh mục và phân công cơ quan chủ trì soạn thảo văn bản quy định chi tiết thi hành các luật, nghị quyết được Quốc hội khoá XV thông qua tại Kỳ họp thứ 7; (2) Quyết định số 1370/QĐ-TTg ngày 12/11/2024 ban hành Kế hoạch triển khai thi hành Luật BHXH và Nghị quyết số 142/2024/QH15 của Quốc hộ</w:t>
      </w:r>
      <w:r>
        <w:rPr>
          <w:color w:val="000000" w:themeColor="text1"/>
          <w:lang w:val="nl-NL"/>
        </w:rPr>
        <w:t>i.</w:t>
      </w:r>
    </w:p>
    <w:p w:rsidR="005353EA" w:rsidRPr="000811EE" w:rsidRDefault="005353EA" w:rsidP="00543EEE">
      <w:pPr>
        <w:spacing w:before="120" w:after="0" w:line="276" w:lineRule="auto"/>
        <w:rPr>
          <w:lang w:val="nl-NL"/>
        </w:rPr>
      </w:pPr>
      <w:r>
        <w:rPr>
          <w:color w:val="000000" w:themeColor="text1"/>
          <w:lang w:val="nl-NL"/>
        </w:rPr>
        <w:t>Trên cơ sở đó, Chính phủ và các Bộ đã ban hành các Nghị định và Thông tư</w:t>
      </w:r>
      <w:r w:rsidRPr="000811EE">
        <w:rPr>
          <w:lang w:val="nl-NL"/>
        </w:rPr>
        <w:t>, cụ thể như sau:</w:t>
      </w:r>
    </w:p>
    <w:p w:rsidR="005353EA" w:rsidRDefault="005353EA" w:rsidP="00543EEE">
      <w:pPr>
        <w:spacing w:before="120" w:after="0" w:line="276" w:lineRule="auto"/>
        <w:rPr>
          <w:lang w:val="es-ES"/>
        </w:rPr>
      </w:pPr>
      <w:r w:rsidRPr="000811EE">
        <w:rPr>
          <w:lang w:val="nl-NL"/>
        </w:rPr>
        <w:t xml:space="preserve">- </w:t>
      </w:r>
      <w:r>
        <w:rPr>
          <w:lang w:val="es-ES"/>
        </w:rPr>
        <w:t>Nghị định</w:t>
      </w:r>
      <w:r w:rsidRPr="000811EE">
        <w:rPr>
          <w:lang w:val="nl-NL"/>
        </w:rPr>
        <w:t xml:space="preserve"> số 157/2025/NĐ-CP ngày 25/6/2025 của Chính phủ </w:t>
      </w:r>
      <w:r>
        <w:rPr>
          <w:lang w:val="es-ES"/>
        </w:rPr>
        <w:t>quy định chi tiết và biện pháp thi hành một số điều của Luật Bảo hiểm xã hội về bảo hiểm xã hội bắt buộc đối với quân nhân, công an nhân dân, dân quân thường trực và người làm công tác cơ yếu hưởng lương như đối với quân nhân;</w:t>
      </w:r>
    </w:p>
    <w:p w:rsidR="005353EA" w:rsidRDefault="005353EA" w:rsidP="00543EEE">
      <w:pPr>
        <w:spacing w:before="120" w:after="0" w:line="276" w:lineRule="auto"/>
        <w:rPr>
          <w:lang w:val="es-ES"/>
        </w:rPr>
      </w:pPr>
      <w:r w:rsidRPr="000811EE">
        <w:rPr>
          <w:lang w:val="es-ES"/>
        </w:rPr>
        <w:t xml:space="preserve">- </w:t>
      </w:r>
      <w:r>
        <w:rPr>
          <w:lang w:val="es-ES"/>
        </w:rPr>
        <w:t>Nghị định</w:t>
      </w:r>
      <w:r w:rsidRPr="000811EE">
        <w:rPr>
          <w:lang w:val="es-ES"/>
        </w:rPr>
        <w:t xml:space="preserve"> số 158/2025/NĐ-CP ngày 25/6/2025</w:t>
      </w:r>
      <w:r>
        <w:rPr>
          <w:lang w:val="es-ES"/>
        </w:rPr>
        <w:t xml:space="preserve"> </w:t>
      </w:r>
      <w:r w:rsidRPr="000811EE">
        <w:rPr>
          <w:lang w:val="es-ES"/>
        </w:rPr>
        <w:t xml:space="preserve">của Chính phủ </w:t>
      </w:r>
      <w:r>
        <w:rPr>
          <w:lang w:val="es-ES"/>
        </w:rPr>
        <w:t>quy định chi tiết và hướng dẫn thi hành một số điều của </w:t>
      </w:r>
      <w:bookmarkStart w:id="0" w:name="tvpllink_yfljpzdlyt_1"/>
      <w:r>
        <w:rPr>
          <w:lang w:val="es-ES"/>
        </w:rPr>
        <w:fldChar w:fldCharType="begin"/>
      </w:r>
      <w:r>
        <w:rPr>
          <w:lang w:val="es-ES"/>
        </w:rPr>
        <w:instrText xml:space="preserve"> HYPERLINK "https://thuvienphapluat.vn/van-ban/Bao-hiem/Luat-Bao-hiem-xa-hoi-2024-557190.aspx" \t "https://thuvienphapluat.vn/van-ban/Bao-hiem/_blank" </w:instrText>
      </w:r>
      <w:r>
        <w:rPr>
          <w:lang w:val="es-ES"/>
        </w:rPr>
        <w:fldChar w:fldCharType="separate"/>
      </w:r>
      <w:r>
        <w:rPr>
          <w:lang w:val="es-ES"/>
        </w:rPr>
        <w:t>Luật Bảo hiểm x</w:t>
      </w:r>
      <w:bookmarkEnd w:id="0"/>
      <w:r>
        <w:rPr>
          <w:lang w:val="es-ES"/>
        </w:rPr>
        <w:fldChar w:fldCharType="end"/>
      </w:r>
      <w:r>
        <w:rPr>
          <w:lang w:val="es-ES"/>
        </w:rPr>
        <w:t>ã hội về bảo hiểm xã hội bắt buộc;</w:t>
      </w:r>
    </w:p>
    <w:p w:rsidR="005353EA" w:rsidRDefault="005353EA" w:rsidP="00543EEE">
      <w:pPr>
        <w:spacing w:before="120" w:after="0" w:line="276" w:lineRule="auto"/>
        <w:rPr>
          <w:lang w:val="es-ES"/>
        </w:rPr>
      </w:pPr>
      <w:r w:rsidRPr="000811EE">
        <w:rPr>
          <w:lang w:val="es-ES"/>
        </w:rPr>
        <w:t xml:space="preserve">- </w:t>
      </w:r>
      <w:r>
        <w:rPr>
          <w:lang w:val="es-ES"/>
        </w:rPr>
        <w:t>Nghị định</w:t>
      </w:r>
      <w:r w:rsidRPr="000811EE">
        <w:rPr>
          <w:lang w:val="es-ES"/>
        </w:rPr>
        <w:t xml:space="preserve"> số 159/2025/NĐ-CP ngày 25/6/2025 của Chính phủ</w:t>
      </w:r>
      <w:r>
        <w:rPr>
          <w:lang w:val="es-ES"/>
        </w:rPr>
        <w:t xml:space="preserve"> quy định chi tiết và hướng dẫn thi hành một số điều của </w:t>
      </w:r>
      <w:hyperlink r:id="rId9" w:tgtFrame="https://thuvienphapluat.vn/van-ban/Bao-hiem/_blank" w:history="1">
        <w:r>
          <w:rPr>
            <w:lang w:val="es-ES"/>
          </w:rPr>
          <w:t>Luật Bảo hiểm x</w:t>
        </w:r>
      </w:hyperlink>
      <w:r>
        <w:rPr>
          <w:lang w:val="es-ES"/>
        </w:rPr>
        <w:t xml:space="preserve">ã hội về bảo hiểm xã hội </w:t>
      </w:r>
      <w:r w:rsidRPr="000811EE">
        <w:rPr>
          <w:lang w:val="es-ES"/>
        </w:rPr>
        <w:t>tự nguyện</w:t>
      </w:r>
      <w:r>
        <w:rPr>
          <w:lang w:val="es-ES"/>
        </w:rPr>
        <w:t>;</w:t>
      </w:r>
    </w:p>
    <w:p w:rsidR="005353EA" w:rsidRPr="000811EE" w:rsidRDefault="005353EA" w:rsidP="00543EEE">
      <w:pPr>
        <w:spacing w:before="120" w:after="0" w:line="276" w:lineRule="auto"/>
        <w:rPr>
          <w:lang w:val="es-ES"/>
        </w:rPr>
      </w:pPr>
      <w:r w:rsidRPr="000811EE">
        <w:rPr>
          <w:lang w:val="es-ES"/>
        </w:rPr>
        <w:t>- Nghị định số 164/2025/NĐ-CP ngày 29/6/2025 của Chính phủ quy định về giao dịch điện tử trong lĩnh vực bảo hiểm xã hội và Cơ sở dữ liệu quốc gia về bảo hiểm;</w:t>
      </w:r>
    </w:p>
    <w:p w:rsidR="005353EA" w:rsidRDefault="005353EA" w:rsidP="00543EEE">
      <w:pPr>
        <w:spacing w:before="120" w:after="0" w:line="276" w:lineRule="auto"/>
        <w:rPr>
          <w:lang w:val="es-ES"/>
        </w:rPr>
      </w:pPr>
      <w:r w:rsidRPr="000811EE">
        <w:rPr>
          <w:lang w:val="es-ES"/>
        </w:rPr>
        <w:lastRenderedPageBreak/>
        <w:t xml:space="preserve">- </w:t>
      </w:r>
      <w:r>
        <w:rPr>
          <w:lang w:val="es-ES"/>
        </w:rPr>
        <w:t>Nghị định</w:t>
      </w:r>
      <w:r w:rsidRPr="000811EE">
        <w:rPr>
          <w:lang w:val="es-ES"/>
        </w:rPr>
        <w:t xml:space="preserve"> số 176/2025/NĐ-CP ngày 30/6/2025</w:t>
      </w:r>
      <w:r>
        <w:rPr>
          <w:lang w:val="es-ES"/>
        </w:rPr>
        <w:t xml:space="preserve"> </w:t>
      </w:r>
      <w:r w:rsidRPr="000811EE">
        <w:rPr>
          <w:lang w:val="es-ES"/>
        </w:rPr>
        <w:t xml:space="preserve">của Chính phủ </w:t>
      </w:r>
      <w:r>
        <w:rPr>
          <w:lang w:val="es-ES"/>
        </w:rPr>
        <w:t>quy định chi tiết và hướng dẫn thi hành một số điều của </w:t>
      </w:r>
      <w:hyperlink r:id="rId10" w:tgtFrame="https://thuvienphapluat.vn/van-ban/Bao-hiem/_blank" w:history="1">
        <w:r>
          <w:rPr>
            <w:lang w:val="es-ES"/>
          </w:rPr>
          <w:t>Luật Bảo hiểm x</w:t>
        </w:r>
      </w:hyperlink>
      <w:r>
        <w:rPr>
          <w:lang w:val="es-ES"/>
        </w:rPr>
        <w:t xml:space="preserve">ã hội về </w:t>
      </w:r>
      <w:r w:rsidRPr="000811EE">
        <w:rPr>
          <w:lang w:val="es-ES"/>
        </w:rPr>
        <w:t>trợ cấp hưu trí xã hội</w:t>
      </w:r>
      <w:r>
        <w:rPr>
          <w:lang w:val="es-ES"/>
        </w:rPr>
        <w:t>;</w:t>
      </w:r>
    </w:p>
    <w:p w:rsidR="005353EA" w:rsidRDefault="005353EA" w:rsidP="00543EEE">
      <w:pPr>
        <w:spacing w:before="120" w:after="0" w:line="276" w:lineRule="auto"/>
        <w:rPr>
          <w:lang w:val="es-ES"/>
        </w:rPr>
      </w:pPr>
      <w:r w:rsidRPr="000811EE">
        <w:rPr>
          <w:lang w:val="es-ES"/>
        </w:rPr>
        <w:t xml:space="preserve">- </w:t>
      </w:r>
      <w:r>
        <w:rPr>
          <w:lang w:val="es-ES"/>
        </w:rPr>
        <w:t>Nghị định</w:t>
      </w:r>
      <w:r w:rsidRPr="000811EE">
        <w:rPr>
          <w:lang w:val="es-ES"/>
        </w:rPr>
        <w:t xml:space="preserve"> số 212/2025/NĐ-CP ngày 25/7/2025 của Chính phủ</w:t>
      </w:r>
      <w:r>
        <w:rPr>
          <w:lang w:val="es-ES"/>
        </w:rPr>
        <w:t xml:space="preserve"> quy định chi tiết hoạt động đầu tư từ quỹ bảo hiểm xã hội, bảo hiểm y tế, bảo hiểm thất nghiệp;</w:t>
      </w:r>
    </w:p>
    <w:p w:rsidR="005353EA" w:rsidRDefault="005353EA" w:rsidP="00543EEE">
      <w:pPr>
        <w:spacing w:before="120" w:after="0" w:line="276" w:lineRule="auto"/>
        <w:rPr>
          <w:lang w:val="es-ES"/>
        </w:rPr>
      </w:pPr>
      <w:r w:rsidRPr="000811EE">
        <w:rPr>
          <w:lang w:val="es-ES"/>
        </w:rPr>
        <w:t xml:space="preserve">- </w:t>
      </w:r>
      <w:r>
        <w:rPr>
          <w:lang w:val="es-ES"/>
        </w:rPr>
        <w:t xml:space="preserve">Nghị định </w:t>
      </w:r>
      <w:r w:rsidRPr="000811EE">
        <w:rPr>
          <w:lang w:val="es-ES"/>
        </w:rPr>
        <w:t xml:space="preserve">số 233/2025/NĐ-CP ngày 26/8/2025 của Chính phủ </w:t>
      </w:r>
      <w:r>
        <w:rPr>
          <w:lang w:val="es-ES"/>
        </w:rPr>
        <w:t>quy định cơ chế tài chính về bảo hiểm xã hội, bảo hiểm thất nghiệp, bảo hiểm y tế; chi tổ chức và hoạt động bảo hiểm xã hội, bảo hiểm thất nghiệp, bảo hiểm y tế.</w:t>
      </w:r>
    </w:p>
    <w:p w:rsidR="005353EA" w:rsidRDefault="005353EA" w:rsidP="00543EEE">
      <w:pPr>
        <w:spacing w:before="120" w:after="0" w:line="276" w:lineRule="auto"/>
        <w:rPr>
          <w:lang w:val="es-ES"/>
        </w:rPr>
      </w:pPr>
      <w:r w:rsidRPr="000811EE">
        <w:rPr>
          <w:lang w:val="es-ES"/>
        </w:rPr>
        <w:t xml:space="preserve">- </w:t>
      </w:r>
      <w:r>
        <w:rPr>
          <w:lang w:val="es-ES"/>
        </w:rPr>
        <w:t>Thông tư</w:t>
      </w:r>
      <w:r w:rsidRPr="000811EE">
        <w:rPr>
          <w:lang w:val="es-ES"/>
        </w:rPr>
        <w:t xml:space="preserve"> số 11/2025/TT-BNV</w:t>
      </w:r>
      <w:r>
        <w:rPr>
          <w:lang w:val="es-ES"/>
        </w:rPr>
        <w:t xml:space="preserve"> </w:t>
      </w:r>
      <w:r w:rsidRPr="000811EE">
        <w:rPr>
          <w:lang w:val="es-ES"/>
        </w:rPr>
        <w:t xml:space="preserve">ngày 30/6/2025 của Bộ trưởng Bộ Nội vụ </w:t>
      </w:r>
      <w:r>
        <w:rPr>
          <w:lang w:val="es-ES"/>
        </w:rPr>
        <w:t xml:space="preserve">quy định chi tiết một số điều của Luật Bảo hiểm xã hội về bảo hiểm xã hội </w:t>
      </w:r>
      <w:r w:rsidRPr="000811EE">
        <w:rPr>
          <w:lang w:val="es-ES"/>
        </w:rPr>
        <w:t>tự nguyện</w:t>
      </w:r>
      <w:r>
        <w:rPr>
          <w:lang w:val="es-ES"/>
        </w:rPr>
        <w:t>;</w:t>
      </w:r>
    </w:p>
    <w:p w:rsidR="005353EA" w:rsidRDefault="005353EA" w:rsidP="00543EEE">
      <w:pPr>
        <w:spacing w:before="120" w:after="0" w:line="276" w:lineRule="auto"/>
        <w:rPr>
          <w:lang w:val="es-ES"/>
        </w:rPr>
      </w:pPr>
      <w:r w:rsidRPr="000811EE">
        <w:rPr>
          <w:lang w:val="es-ES"/>
        </w:rPr>
        <w:t xml:space="preserve">- </w:t>
      </w:r>
      <w:r>
        <w:rPr>
          <w:lang w:val="es-ES"/>
        </w:rPr>
        <w:t>Thông tư</w:t>
      </w:r>
      <w:r w:rsidRPr="000811EE">
        <w:rPr>
          <w:lang w:val="es-ES"/>
        </w:rPr>
        <w:t xml:space="preserve"> số 12/2025/TT-BNV</w:t>
      </w:r>
      <w:r>
        <w:rPr>
          <w:lang w:val="es-ES"/>
        </w:rPr>
        <w:t xml:space="preserve"> </w:t>
      </w:r>
      <w:r w:rsidRPr="000811EE">
        <w:rPr>
          <w:lang w:val="es-ES"/>
        </w:rPr>
        <w:t xml:space="preserve">ngày 30/6/2025 của Bộ trưởng Bộ Nội vụ </w:t>
      </w:r>
      <w:r>
        <w:rPr>
          <w:lang w:val="es-ES"/>
        </w:rPr>
        <w:t>quy định chi tiết một số điều của Luật Bảo hiểm xã hội về bảo hiểm xã hội bắt buộc;</w:t>
      </w:r>
    </w:p>
    <w:p w:rsidR="005353EA" w:rsidRDefault="005353EA" w:rsidP="00543EEE">
      <w:pPr>
        <w:spacing w:before="120" w:after="0" w:line="276" w:lineRule="auto"/>
        <w:rPr>
          <w:lang w:val="es-ES"/>
        </w:rPr>
      </w:pPr>
      <w:r>
        <w:rPr>
          <w:lang w:val="es-ES"/>
        </w:rPr>
        <w:t>- Thông tư số 25/2025/TT-BYT ngày 30/6/2025 của Bộ trưởng Bộ Y tế q</w:t>
      </w:r>
      <w:r w:rsidRPr="00843FC0">
        <w:rPr>
          <w:lang w:val="es-ES"/>
        </w:rPr>
        <w:t>uy định chi tiết thi hành Luật Bảo hiểm xã hội, Luật An toàn, vệ sinh lao động về lĩnh vực y tế và một số điều của Luật Khám chữa, bệnh</w:t>
      </w:r>
      <w:r>
        <w:rPr>
          <w:lang w:val="es-ES"/>
        </w:rPr>
        <w:t>.</w:t>
      </w:r>
    </w:p>
    <w:p w:rsidR="004418ED" w:rsidRDefault="004418ED" w:rsidP="00543EEE">
      <w:pPr>
        <w:spacing w:before="120" w:after="0" w:line="276" w:lineRule="auto"/>
        <w:rPr>
          <w:rFonts w:eastAsia="Times New Roman" w:cs="Times New Roman"/>
          <w:color w:val="000000"/>
          <w:szCs w:val="28"/>
        </w:rPr>
      </w:pPr>
      <w:r>
        <w:rPr>
          <w:lang w:val="es-ES"/>
        </w:rPr>
        <w:t xml:space="preserve">- </w:t>
      </w:r>
      <w:r w:rsidR="00C6388C" w:rsidRPr="00C45DD1">
        <w:rPr>
          <w:rFonts w:eastAsia="Times New Roman" w:cs="Times New Roman"/>
          <w:color w:val="000000"/>
          <w:szCs w:val="28"/>
        </w:rPr>
        <w:t>Thông tư số 90/2025/TT-BQP ngày 19/8/2025 của Bộ trưởng Bộ Quốc phòng hướng dẫn thực hiện bảo hiểm xã hội bắt buộc đối với quân nhân và người làm công tác cơ yếu hưởng lương như đối với quân nhân.</w:t>
      </w:r>
    </w:p>
    <w:p w:rsidR="00C6388C" w:rsidRDefault="00C6388C" w:rsidP="00543EEE">
      <w:pPr>
        <w:spacing w:before="120" w:after="0" w:line="276" w:lineRule="auto"/>
        <w:rPr>
          <w:lang w:val="es-ES"/>
        </w:rPr>
      </w:pPr>
      <w:r>
        <w:rPr>
          <w:lang w:val="es-ES"/>
        </w:rPr>
        <w:t xml:space="preserve">- Thông tư </w:t>
      </w:r>
      <w:r>
        <w:t>số 88/2025/TT-BCA ngày 17/9/2025 của Bộ trưởng Bộ Công an hướng dẫn thực hiện bảo hiểm xã hội bắt buộc đối với sĩ quan, hạ sỹ quan, chiến sỹ Công an nhân dân.</w:t>
      </w:r>
    </w:p>
    <w:p w:rsidR="005353EA" w:rsidRDefault="005353EA" w:rsidP="00543EEE">
      <w:pPr>
        <w:spacing w:before="120" w:after="0" w:line="276" w:lineRule="auto"/>
        <w:rPr>
          <w:lang w:val="es-ES"/>
        </w:rPr>
      </w:pPr>
      <w:r>
        <w:rPr>
          <w:lang w:val="es-ES"/>
        </w:rPr>
        <w:t>Trong quá trình xây dựng, trình ban hành và ban hành các văn bản quy phạm pháp luật mặc dù gặp không ít khó khăn nhưng nhờ sự phối hợp chặt chẽ giữa các bộ, ngành, cơ quan liên quan, các văn bản đã được ban hành bảo đảm tiến độ và yêu cầu đặt ra.</w:t>
      </w:r>
      <w:r w:rsidRPr="000811EE">
        <w:rPr>
          <w:lang w:val="es-ES"/>
        </w:rPr>
        <w:t xml:space="preserve"> </w:t>
      </w:r>
      <w:r>
        <w:rPr>
          <w:lang w:val="es-ES"/>
        </w:rPr>
        <w:t>Nhìn chung, các văn bản quy phạm pháp luật, văn bản chỉ đạo, hướng dẫn thực hiện Luật BHXH 20</w:t>
      </w:r>
      <w:r w:rsidRPr="000811EE">
        <w:rPr>
          <w:lang w:val="es-ES"/>
        </w:rPr>
        <w:t>2</w:t>
      </w:r>
      <w:r>
        <w:rPr>
          <w:lang w:val="es-ES"/>
        </w:rPr>
        <w:t>4 ở tất cả các cấp đã được ban hành kịp thời, bảo đảm tiến độ và chất lượng, tạo điều kiện thuận lợi cho công tác tổ chức triển khai thực hiện.</w:t>
      </w:r>
      <w:bookmarkStart w:id="1" w:name="_Toc63186681"/>
    </w:p>
    <w:p w:rsidR="005353EA" w:rsidRPr="005353EA" w:rsidRDefault="005353EA" w:rsidP="00543EEE">
      <w:pPr>
        <w:spacing w:before="120" w:after="0" w:line="276" w:lineRule="auto"/>
        <w:rPr>
          <w:b/>
          <w:lang w:val="es-ES"/>
        </w:rPr>
      </w:pPr>
      <w:r w:rsidRPr="005353EA">
        <w:rPr>
          <w:b/>
          <w:lang w:val="es-ES"/>
        </w:rPr>
        <w:t xml:space="preserve">2. </w:t>
      </w:r>
      <w:r w:rsidRPr="005353EA">
        <w:rPr>
          <w:rFonts w:eastAsia="Calibri"/>
          <w:b/>
        </w:rPr>
        <w:t>Công tác ban hành văn bản hướng dẫn nghiệp vụ</w:t>
      </w:r>
      <w:bookmarkEnd w:id="1"/>
      <w:r w:rsidRPr="005353EA">
        <w:rPr>
          <w:rFonts w:eastAsia="Calibri"/>
          <w:b/>
        </w:rPr>
        <w:t xml:space="preserve"> </w:t>
      </w:r>
    </w:p>
    <w:p w:rsidR="005353EA" w:rsidRDefault="005353EA" w:rsidP="00543EEE">
      <w:pPr>
        <w:spacing w:before="120" w:after="0" w:line="276" w:lineRule="auto"/>
        <w:rPr>
          <w:lang w:val="es-ES"/>
        </w:rPr>
      </w:pPr>
      <w:r>
        <w:rPr>
          <w:lang w:val="es-ES"/>
        </w:rPr>
        <w:t xml:space="preserve">Ban hành các văn bản về quy trình, thủ tục tham gia BHXH và thụ hưởng các chế độ BHXH đóng vai trò quan trọng trong việc đưa pháp luật bảo hiểm xã hội vào cuộc sống. Ngay sau khi Luật BHXH 2024 có hiệu lực thi hành, BHXH Việt Nam đã rà soát, xây dựng, hoàn thiện quy định về hồ sơ và quy trình thu, chi, </w:t>
      </w:r>
      <w:r>
        <w:rPr>
          <w:lang w:val="es-ES"/>
        </w:rPr>
        <w:lastRenderedPageBreak/>
        <w:t>giải quyết hưởng các chế độ BHXH. Đồng thời BHXH Việt Nam đã tổng hợp các nội dung vướng mắc phát sinh trong quá trình thực hiện chính sách BHXH đề nghị Bộ Nội vụ, Bộ Y tế, Bộ Tài chính hướng dẫn kịp thời.</w:t>
      </w:r>
    </w:p>
    <w:p w:rsidR="005353EA" w:rsidRPr="005353EA" w:rsidRDefault="005353EA" w:rsidP="00543EEE">
      <w:pPr>
        <w:spacing w:before="120" w:after="0" w:line="276" w:lineRule="auto"/>
        <w:rPr>
          <w:b/>
          <w:lang w:val="es-ES"/>
        </w:rPr>
      </w:pPr>
      <w:r w:rsidRPr="005353EA">
        <w:rPr>
          <w:b/>
          <w:lang w:val="es-ES"/>
        </w:rPr>
        <w:t>3. Công tác tuyên truyền, phổ biến chính sách, pháp luật về BHXH</w:t>
      </w:r>
    </w:p>
    <w:p w:rsidR="005353EA" w:rsidRDefault="005353EA" w:rsidP="00543EEE">
      <w:pPr>
        <w:spacing w:before="120" w:after="0" w:line="276" w:lineRule="auto"/>
        <w:rPr>
          <w:lang w:val="es-ES"/>
        </w:rPr>
      </w:pPr>
      <w:r>
        <w:rPr>
          <w:lang w:val="es-ES"/>
        </w:rPr>
        <w:t xml:space="preserve">Trách nhiệm tuyên truyền, phổ biến chính sách, pháp luật về BHXH được Luật BHXH 2024 quy định rõ đối với Bộ Lao động - Thương binh và Xã hội, Ủy ban nhân dân các cấp, tổ chức công đoàn, Mặt trận Tổ quốc Việt Nam và các tổ chức thành viên, tổ chức đại diện của người sử dụng lao động và cơ quan BHXH. </w:t>
      </w:r>
    </w:p>
    <w:p w:rsidR="005353EA" w:rsidRDefault="005353EA" w:rsidP="00543EEE">
      <w:pPr>
        <w:spacing w:before="120" w:after="0" w:line="276" w:lineRule="auto"/>
        <w:rPr>
          <w:lang w:val="es-ES"/>
        </w:rPr>
      </w:pPr>
      <w:r>
        <w:rPr>
          <w:lang w:val="es-ES"/>
        </w:rPr>
        <w:t>Tuyên truyền, phổ biến chính sách, pháp luật về BHXH luôn được coi là một trong những nội dung quan trọng trong tuyên truyền các chủ trương, chính sách của Đảng, pháp luật của Nhà nước do đó công tác luôn đồng hành với các hoạt động về BHXH, đã và đang góp phần không nhỏ để hỗ trợ, nâng cao nhận thức của người dân trong việc tham gia bảo hiểm xã hội nói chung và bảo hiểm xã hội tự nguyện nói riêng; giúp người lao động và người sử dụng lao động hiểu được chủ trương, chính sách của Nhà nước về công tác bảo hiểm xã hội và việc tổ chức thực hiện của ngành BHXH.</w:t>
      </w:r>
    </w:p>
    <w:p w:rsidR="005353EA" w:rsidRDefault="005353EA" w:rsidP="00543EEE">
      <w:pPr>
        <w:spacing w:before="120" w:after="0" w:line="276" w:lineRule="auto"/>
        <w:rPr>
          <w:lang w:val="es-ES"/>
        </w:rPr>
      </w:pPr>
      <w:r>
        <w:rPr>
          <w:lang w:val="es-ES"/>
        </w:rPr>
        <w:t>Ngay sau khi Luật BHXH 2024 được thông qua, các Bộ, ngành; Ủy ban nhân dân các tỉnh, thành phố; cơ quan, đoàn thể và cơ quan BHXH đã phối hợp tổ chức nhiều hội nghị, hội thảo về bảo hiểm xã hội, đối thoại trực tiếp với các nhóm đối tượng tại các vùng, miền, các khu công nghiệp và khu dân cư.</w:t>
      </w:r>
    </w:p>
    <w:p w:rsidR="005353EA" w:rsidRPr="00C75690" w:rsidRDefault="00BC063E" w:rsidP="00543EEE">
      <w:pPr>
        <w:spacing w:before="120" w:after="0" w:line="276" w:lineRule="auto"/>
        <w:rPr>
          <w:b/>
          <w:lang w:val="es-ES"/>
        </w:rPr>
      </w:pPr>
      <w:r w:rsidRPr="00C75690">
        <w:rPr>
          <w:b/>
          <w:lang w:val="es-ES"/>
        </w:rPr>
        <w:t>4. Khó khăn, vướng mắc và vấn đề phát sinh</w:t>
      </w:r>
    </w:p>
    <w:p w:rsidR="00BC063E" w:rsidRDefault="00C75690" w:rsidP="00543EEE">
      <w:pPr>
        <w:spacing w:before="120" w:after="0" w:line="276" w:lineRule="auto"/>
        <w:rPr>
          <w:lang w:val="es-ES"/>
        </w:rPr>
      </w:pPr>
      <w:r>
        <w:rPr>
          <w:lang w:val="es-ES"/>
        </w:rPr>
        <w:t>Đối với các quy định về chính sách, pháp luật BHXH và việc tổ chức triển khai thi hành Luật BHXH 2024 về cơ bản không có vướng mắc. Tuy nhiên, vướng mắc chủ yếu tập trung sau khi sắp xếp tổ chức bộ máy của các cơ quan nhà nước. Từ đó mà vị trí, chức năng, nhiệm vụ của các cơ quan sẽ thay đổi</w:t>
      </w:r>
      <w:r w:rsidR="00816DD4">
        <w:rPr>
          <w:lang w:val="es-ES"/>
        </w:rPr>
        <w:t xml:space="preserve"> tương ứng</w:t>
      </w:r>
      <w:r>
        <w:rPr>
          <w:lang w:val="es-ES"/>
        </w:rPr>
        <w:t>.</w:t>
      </w:r>
    </w:p>
    <w:p w:rsidR="00BC063E" w:rsidRPr="00C75690" w:rsidRDefault="00BC063E" w:rsidP="00543EEE">
      <w:pPr>
        <w:spacing w:before="120" w:after="0" w:line="276" w:lineRule="auto"/>
        <w:rPr>
          <w:b/>
          <w:lang w:val="es-ES"/>
        </w:rPr>
      </w:pPr>
      <w:r w:rsidRPr="00C75690">
        <w:rPr>
          <w:b/>
          <w:lang w:val="es-ES"/>
        </w:rPr>
        <w:t>III. Đề xuất, kiến nghị</w:t>
      </w:r>
    </w:p>
    <w:p w:rsidR="00BC063E" w:rsidRDefault="00C75690" w:rsidP="00543EEE">
      <w:pPr>
        <w:spacing w:before="120" w:after="0" w:line="276" w:lineRule="auto"/>
        <w:rPr>
          <w:lang w:val="es-ES"/>
        </w:rPr>
      </w:pPr>
      <w:r>
        <w:rPr>
          <w:lang w:val="es-ES"/>
        </w:rPr>
        <w:t xml:space="preserve">Trên cơ sở tình hình thực tiễn nêu trên, để </w:t>
      </w:r>
      <w:r w:rsidRPr="00C75690">
        <w:rPr>
          <w:lang w:val="es-ES"/>
        </w:rPr>
        <w:t xml:space="preserve">kịp thời thể chế hóa đầy đủ </w:t>
      </w:r>
      <w:r>
        <w:rPr>
          <w:lang w:val="es-ES"/>
        </w:rPr>
        <w:t>các</w:t>
      </w:r>
      <w:r w:rsidRPr="00C75690">
        <w:rPr>
          <w:lang w:val="es-ES"/>
        </w:rPr>
        <w:t xml:space="preserve"> chủ trương, định hướng trong các Nghị quyết của Đảng, các quy định tại Hiến pháp, Luật Chính quyền địa phương, Luật Thanh tra về sắp xếp tổ chức bộ máy của hệ thống chính trị, tổ chức chính quyền địa phương 02 cấp,</w:t>
      </w:r>
      <w:r>
        <w:rPr>
          <w:lang w:val="es-ES"/>
        </w:rPr>
        <w:t xml:space="preserve"> Chính phủ đề xuất thực hiện sửa đổi Luật BHXH 2024 theo hướng k</w:t>
      </w:r>
      <w:r w:rsidRPr="00C75690">
        <w:rPr>
          <w:lang w:val="es-ES"/>
        </w:rPr>
        <w:t>ế thừa các quy định hiện hành còn phù hợp với thực tiễn,</w:t>
      </w:r>
      <w:r w:rsidR="00816DD4">
        <w:rPr>
          <w:lang w:val="es-ES"/>
        </w:rPr>
        <w:t xml:space="preserve"> về cơ bản giữ nguyên nội dung của chính sách;</w:t>
      </w:r>
      <w:r w:rsidRPr="00C75690">
        <w:rPr>
          <w:lang w:val="es-ES"/>
        </w:rPr>
        <w:t xml:space="preserve"> </w:t>
      </w:r>
      <w:r w:rsidRPr="00C75690">
        <w:rPr>
          <w:i/>
          <w:lang w:val="es-ES"/>
        </w:rPr>
        <w:t xml:space="preserve">chỉ sửa đổi, bổ sung một số điều liên quan đến tổ chức bộ máy sau khi thực hiện sắp xếp bảo đảm thống nhất trong quá trình triển khai thực hiện, tránh mâu thuẫn chồng chéo trong quá trình triển khai thực hiện giữa các Bộ, ngành và bảo đảm phù hợp </w:t>
      </w:r>
      <w:r w:rsidRPr="00C75690">
        <w:rPr>
          <w:i/>
          <w:lang w:val="es-ES"/>
        </w:rPr>
        <w:lastRenderedPageBreak/>
        <w:t>với việc vận hành mô hình chính quyền địa phương chỉ còn cấp tỉnh và cấp xã</w:t>
      </w:r>
      <w:r w:rsidR="000811EE">
        <w:rPr>
          <w:lang w:val="es-ES"/>
        </w:rPr>
        <w:t>, cụ thể:</w:t>
      </w:r>
    </w:p>
    <w:p w:rsidR="000811EE" w:rsidRPr="0020031F" w:rsidRDefault="000811EE" w:rsidP="00543EEE">
      <w:pPr>
        <w:spacing w:before="120" w:after="0" w:line="276" w:lineRule="auto"/>
        <w:rPr>
          <w:lang w:val="fr-FR"/>
        </w:rPr>
      </w:pPr>
      <w:r w:rsidRPr="0020031F">
        <w:rPr>
          <w:lang w:val="fr-FR"/>
        </w:rPr>
        <w:t xml:space="preserve">- Để </w:t>
      </w:r>
      <w:r w:rsidRPr="0020031F">
        <w:rPr>
          <w:shd w:val="clear" w:color="auto" w:fill="FFFFFF"/>
          <w:lang w:val="fr-FR"/>
        </w:rPr>
        <w:t xml:space="preserve">phù hợp với </w:t>
      </w:r>
      <w:r w:rsidRPr="0020031F">
        <w:rPr>
          <w:lang w:val="fr-FR"/>
        </w:rPr>
        <w:t xml:space="preserve">Điều 9 Hiến pháp nước Cộng hòa xã hội chủ nghĩa Việt Nam được sửa đổi, bổ sung tại khoản 1 Điều 1 Nghị quyết số 203/2025/QH15 ngày 16/6/2025 của Quốc hội và </w:t>
      </w:r>
      <w:r w:rsidRPr="0020031F">
        <w:rPr>
          <w:rFonts w:eastAsia="Arial Unicode MS"/>
          <w:lang w:val="fr-FR" w:eastAsia="zh-CN" w:bidi="hi-IN"/>
        </w:rPr>
        <w:t>khoản 3 Điều 1 Luật sửa đổi, b</w:t>
      </w:r>
      <w:r w:rsidRPr="0020031F">
        <w:rPr>
          <w:shd w:val="clear" w:color="auto" w:fill="FFFFFF"/>
          <w:lang w:val="fr-FR"/>
        </w:rPr>
        <w:t>ổ</w:t>
      </w:r>
      <w:r w:rsidRPr="0020031F">
        <w:rPr>
          <w:caps/>
          <w:shd w:val="clear" w:color="auto" w:fill="FFFFFF"/>
          <w:lang w:val="fr-FR"/>
        </w:rPr>
        <w:t xml:space="preserve"> </w:t>
      </w:r>
      <w:r w:rsidRPr="0020031F">
        <w:rPr>
          <w:shd w:val="clear" w:color="auto" w:fill="FFFFFF"/>
          <w:lang w:val="fr-FR"/>
        </w:rPr>
        <w:t xml:space="preserve">sung một số điều của Luật Mặt trận Tổ quốc Việt Nam, Luật Công đoàn, Luật Thanh niên và Luật Thực hiện dân chủ ở cơ sở số 97/2025/QH15 về thành viên của Mặt trận Tổ quốc Việt Nam, </w:t>
      </w:r>
      <w:r w:rsidRPr="0020031F">
        <w:rPr>
          <w:lang w:val="fr-FR"/>
        </w:rPr>
        <w:t>Điều 14 đã sửa đổi, bổ sung những nội dung sau: (i) Bỏ cụm từ “</w:t>
      </w:r>
      <w:r w:rsidRPr="0020031F">
        <w:rPr>
          <w:i/>
          <w:lang w:val="fr-FR"/>
        </w:rPr>
        <w:t>công đoàn”</w:t>
      </w:r>
      <w:r w:rsidRPr="0020031F">
        <w:rPr>
          <w:lang w:val="fr-FR"/>
        </w:rPr>
        <w:t xml:space="preserve"> tại tiêu đề của Điều 14;  (ii) Sửa cụm từ “</w:t>
      </w:r>
      <w:r w:rsidRPr="0020031F">
        <w:rPr>
          <w:i/>
          <w:lang w:val="fr-FR"/>
        </w:rPr>
        <w:t>tổ chức thành viên của Mặt trận”</w:t>
      </w:r>
      <w:r w:rsidRPr="0020031F">
        <w:rPr>
          <w:lang w:val="fr-FR"/>
        </w:rPr>
        <w:t xml:space="preserve"> tại tiêu đề của Điều 14 và khoản 2 thành “</w:t>
      </w:r>
      <w:r w:rsidRPr="0020031F">
        <w:rPr>
          <w:i/>
          <w:lang w:val="fr-FR"/>
        </w:rPr>
        <w:t>tổ chức chính trị - xã hội trực thuộc Mặt trận</w:t>
      </w:r>
      <w:r w:rsidRPr="0020031F">
        <w:rPr>
          <w:lang w:val="fr-FR"/>
        </w:rPr>
        <w:t>”; (iii) đưa nội dung về quyền và trách nhiệm của Mặt trận Tổ quốc Việt Nam tại khoản 2 lên thành khoản 1 để thể hiện vai trò của Mặt trận Tổ quốc Việt Nam đầu tiên, sau đó mới đến vai trò của công đoàn; (iv) rà soát lại quyền và trách nhiệm của Mặt trận Tổ quốc và Công đoàn Việt Nam nhằm đảm bảo quyền, trách nhiệm của Công đoàn tại khoản 2 tránh trung lặp với quyền và trách nhiệm của Mặt trận Tổ quốc Việt Nam đã được quy định tại khoản 01.</w:t>
      </w:r>
    </w:p>
    <w:p w:rsidR="000811EE" w:rsidRPr="0020031F" w:rsidRDefault="000811EE" w:rsidP="00543EEE">
      <w:pPr>
        <w:spacing w:before="120" w:after="0" w:line="276" w:lineRule="auto"/>
        <w:rPr>
          <w:lang w:val="fr-FR"/>
        </w:rPr>
      </w:pPr>
      <w:r w:rsidRPr="0020031F">
        <w:rPr>
          <w:lang w:val="fr-FR"/>
        </w:rPr>
        <w:t>- Để phù hợp với cơ cấu tổ chức của Chính phủ theo Nghị quyết số 176/2025/QH15 và đảm bảo tính ổn định khi tiếp tục rà soát sắp xếp tổ chức bộ máy nhà nước thì tại Điều 16 sửa đổi, bổ sung theo hướng chỉ quy định chức năng của cơ quan bảo hiểm xã hội như sau: “</w:t>
      </w:r>
      <w:r w:rsidRPr="0020031F">
        <w:rPr>
          <w:i/>
          <w:lang w:val="vi-VN"/>
        </w:rPr>
        <w:t>Cơ quan bảo hiểm xã hội có chức năng thực hiện chế độ, chính sách bảo hiểm xã hội; quản lý và sử dụng các quỹ bảo hiểm xã hội, quỹ bảo hiểm thất nghiệp, quỹ bảo hiểm y tế</w:t>
      </w:r>
      <w:r w:rsidRPr="0020031F">
        <w:rPr>
          <w:lang w:val="fr-FR"/>
        </w:rPr>
        <w:t xml:space="preserve">”. </w:t>
      </w:r>
    </w:p>
    <w:p w:rsidR="000811EE" w:rsidRPr="0020031F" w:rsidRDefault="000811EE" w:rsidP="00543EEE">
      <w:pPr>
        <w:spacing w:before="120" w:after="0" w:line="276" w:lineRule="auto"/>
        <w:rPr>
          <w:lang w:val="vi-VN"/>
        </w:rPr>
      </w:pPr>
      <w:r w:rsidRPr="0020031F">
        <w:rPr>
          <w:lang w:val="fr-FR"/>
        </w:rPr>
        <w:t xml:space="preserve">- Sửa đổi khoản 2 Điều 19 về đại điện các Bộ, ngành tham gia Hội đồng quản lý bảo hiểm xã hội như sau : </w:t>
      </w:r>
      <w:r w:rsidRPr="0020031F">
        <w:rPr>
          <w:i/>
          <w:lang w:val="vi-VN"/>
        </w:rPr>
        <w:t>“</w:t>
      </w:r>
      <w:r w:rsidRPr="0020031F">
        <w:rPr>
          <w:i/>
          <w:shd w:val="clear" w:color="auto" w:fill="FFFFFF"/>
          <w:lang w:val="vi-VN"/>
        </w:rPr>
        <w:t>2. Hội đồng quản lý bảo hiểm xã hội gồm đại diện Tổng Liên đoàn Lao động Việt Nam, tổ chức đại diện người sử dụng lao động ở trung ương, Bộ Tài chính, Bộ Nội vụ, Bộ Y tế</w:t>
      </w:r>
      <w:r w:rsidRPr="0020031F">
        <w:rPr>
          <w:i/>
          <w:strike/>
          <w:shd w:val="clear" w:color="auto" w:fill="FFFFFF"/>
          <w:lang w:val="vi-VN"/>
        </w:rPr>
        <w:t>,</w:t>
      </w:r>
      <w:r w:rsidRPr="0020031F">
        <w:rPr>
          <w:i/>
          <w:shd w:val="clear" w:color="auto" w:fill="FFFFFF"/>
          <w:lang w:val="vi-VN"/>
        </w:rPr>
        <w:t xml:space="preserve"> Bộ Công an, Bộ Quốc phòng, Ngân hàng nhà nước Việt Nam, </w:t>
      </w:r>
      <w:r w:rsidRPr="0020031F">
        <w:rPr>
          <w:b/>
          <w:i/>
          <w:shd w:val="clear" w:color="auto" w:fill="FFFFFF"/>
          <w:lang w:val="vi-VN"/>
        </w:rPr>
        <w:t>cơ quan bảo hiểm xã hội</w:t>
      </w:r>
      <w:r w:rsidRPr="0020031F">
        <w:rPr>
          <w:i/>
          <w:shd w:val="clear" w:color="auto" w:fill="FFFFFF"/>
          <w:lang w:val="vi-VN"/>
        </w:rPr>
        <w:t xml:space="preserve"> và tổ chức, cá nhân khác có liên quan.” </w:t>
      </w:r>
      <w:r w:rsidRPr="0020031F">
        <w:rPr>
          <w:shd w:val="clear" w:color="auto" w:fill="FFFFFF"/>
          <w:lang w:val="vi-VN"/>
        </w:rPr>
        <w:t>để phù hợp với cơ cấu tổ chức của Chính phủ theo quy định tại Nghị quyết số 176/2025/QH15</w:t>
      </w:r>
    </w:p>
    <w:p w:rsidR="000811EE" w:rsidRPr="0020031F" w:rsidRDefault="000811EE" w:rsidP="00543EEE">
      <w:pPr>
        <w:spacing w:before="120" w:after="0" w:line="276" w:lineRule="auto"/>
        <w:rPr>
          <w:lang w:val="vi-VN"/>
        </w:rPr>
      </w:pPr>
      <w:r w:rsidRPr="0020031F">
        <w:rPr>
          <w:lang w:val="vi-VN"/>
        </w:rPr>
        <w:t xml:space="preserve">- </w:t>
      </w:r>
      <w:r w:rsidRPr="0020031F">
        <w:rPr>
          <w:rFonts w:eastAsia="Arial Unicode MS"/>
          <w:lang w:val="vi-VN" w:eastAsia="zh-CN" w:bidi="hi-IN"/>
        </w:rPr>
        <w:t xml:space="preserve">Luật Bảo hiểm xã hội năm 2024 có quy định về điều kiện về thời gian đóng BHXH để hưởng chế độ hưu trí (lương hưu) đối với người lao động; theo đó, thời gian đóng BHXH của người lao động </w:t>
      </w:r>
      <w:r w:rsidRPr="0020031F">
        <w:rPr>
          <w:lang w:val="vi-VN"/>
        </w:rPr>
        <w:t xml:space="preserve">nghỉ từ ngày 01/7/2025 (ngày Luật BHXH số 41/2024/QH15 có hiệu lực) </w:t>
      </w:r>
      <w:r w:rsidRPr="0020031F">
        <w:rPr>
          <w:rFonts w:eastAsia="Arial Unicode MS"/>
          <w:lang w:val="vi-VN" w:eastAsia="zh-CN" w:bidi="hi-IN"/>
        </w:rPr>
        <w:t xml:space="preserve">bao gồm thời gian đóng BHXH khi làm </w:t>
      </w:r>
      <w:r w:rsidRPr="0020031F">
        <w:rPr>
          <w:lang w:val="vi-VN"/>
        </w:rPr>
        <w:t>nghề, công việc nặng nhọc, độc hại, nguy hiểm hoặc đặc biệt nặng nhọc, độc hại, nguy hiểm cả trước và sau ngày 01/3/2025. Quy định về Danh mục nghề, công việc đặc biệt nặng nhọc, độc hại, nguy hiểm trước ngày 01/3/2025 do Bộ trưởng Bộ Lao động - Thương binh và Xã hội ban hành, từ sau ngày 01/3/2025 do Bộ trưởng Bộ Nội vụ ban hành.</w:t>
      </w:r>
    </w:p>
    <w:p w:rsidR="000811EE" w:rsidRPr="0020031F" w:rsidRDefault="000811EE" w:rsidP="00543EEE">
      <w:pPr>
        <w:spacing w:before="120" w:after="0" w:line="276" w:lineRule="auto"/>
        <w:rPr>
          <w:lang w:val="vi-VN"/>
        </w:rPr>
      </w:pPr>
      <w:r w:rsidRPr="0020031F">
        <w:rPr>
          <w:lang w:val="vi-VN"/>
        </w:rPr>
        <w:lastRenderedPageBreak/>
        <w:t xml:space="preserve">Do vậy, tại dự thảo Luật sửa đổi, bổ sung khoản 7 Điều 33, điểm b khoản 1 Điều 43, điểm b khoản 1 Điều 64, điểm b khoản 1 Điều 64, điểm c khoản 1 Điều 65, điểm b khoản 2 Điều 65 theo hướng: người lao động làm nghề, công việc đặc biệt nặng nhọc, độc hại, nguy hiểm thuộc danh mục nghề, công việc đặc biệt nặng nhọc, độc hại, nguy hiểm do </w:t>
      </w:r>
      <w:r w:rsidR="000C428E" w:rsidRPr="00543EEE">
        <w:rPr>
          <w:lang w:val="vi-VN"/>
        </w:rPr>
        <w:t xml:space="preserve">Bộ trưởng Bộ Nộ vụ </w:t>
      </w:r>
      <w:r w:rsidRPr="0020031F">
        <w:rPr>
          <w:lang w:val="vi-VN"/>
        </w:rPr>
        <w:t>ban hành.</w:t>
      </w:r>
    </w:p>
    <w:p w:rsidR="000811EE" w:rsidRPr="0020031F" w:rsidRDefault="000811EE" w:rsidP="00543EEE">
      <w:pPr>
        <w:spacing w:before="120" w:after="0" w:line="276" w:lineRule="auto"/>
        <w:rPr>
          <w:lang w:val="vi-VN"/>
        </w:rPr>
      </w:pPr>
      <w:r w:rsidRPr="0020031F">
        <w:rPr>
          <w:lang w:val="vi-VN"/>
        </w:rPr>
        <w:t xml:space="preserve">- Dự thảo Luật quy định về thời gian nghỉ dưỡng sức, phục hồi sức khỏe cho người lao động đối với trường hợp không có công đoàn cơ sở tại khoản 2 Điều 46 và khoản 02 Điều 60 theo hướng: </w:t>
      </w:r>
      <w:r w:rsidRPr="0020031F">
        <w:rPr>
          <w:shd w:val="clear" w:color="auto" w:fill="FFFFFF"/>
          <w:lang w:val="vi-VN"/>
        </w:rPr>
        <w:t xml:space="preserve">trường hợp đơn vị sử dụng lao động </w:t>
      </w:r>
      <w:r w:rsidRPr="0020031F">
        <w:rPr>
          <w:i/>
          <w:iCs/>
          <w:shd w:val="clear" w:color="auto" w:fill="FFFFFF"/>
          <w:lang w:val="vi-VN"/>
        </w:rPr>
        <w:t>không có</w:t>
      </w:r>
      <w:r w:rsidRPr="0020031F">
        <w:rPr>
          <w:shd w:val="clear" w:color="auto" w:fill="FFFFFF"/>
          <w:lang w:val="vi-VN"/>
        </w:rPr>
        <w:t xml:space="preserve"> công đoàn cơ sở thì do người sử dụng lao động quyết định.</w:t>
      </w:r>
    </w:p>
    <w:p w:rsidR="000811EE" w:rsidRPr="0020031F" w:rsidRDefault="000811EE" w:rsidP="00543EEE">
      <w:pPr>
        <w:spacing w:before="120" w:after="0" w:line="276" w:lineRule="auto"/>
        <w:rPr>
          <w:shd w:val="clear" w:color="auto" w:fill="FFFFFF"/>
          <w:lang w:val="vi-VN"/>
        </w:rPr>
      </w:pPr>
      <w:r w:rsidRPr="0020031F">
        <w:rPr>
          <w:lang w:val="vi-VN"/>
        </w:rPr>
        <w:t xml:space="preserve">Luật Bảo hiểm xã hội số 41/2024/QH15 đang quy định trách nhiệm quản lý nhà nước về BHXH của các Bộ, ngành: Bộ Lao động - Thương binh và Xã hội (nay là Bộ Nội vụ); Bộ Tài chính, Uỷ ban nhân dân các cấp; Bảo hiểm xã hội Việt Nam và thể hiện tại Điều 134, 136 và Điều 137. Tuy nhiên, sau khi sắp xếp tổ chức bộ máy thì trách nhiệm của các Bộ, ngành liên quan đến quản lý nhà nước về BHXH có sự thay đổi, do vậy, dự thảo Luật đã sửa đổi, bổ sung để phù hợp với chức năng, nhiệm vụ của các Bộ ngành liên quan đến BHXH của các Bộ ngành sau khi sắp xếp như sau: </w:t>
      </w:r>
    </w:p>
    <w:p w:rsidR="000811EE" w:rsidRPr="0020031F" w:rsidRDefault="000811EE" w:rsidP="00543EEE">
      <w:pPr>
        <w:spacing w:before="120" w:after="0" w:line="276" w:lineRule="auto"/>
        <w:rPr>
          <w:shd w:val="clear" w:color="auto" w:fill="FFFFFF"/>
          <w:lang w:val="vi-VN"/>
        </w:rPr>
      </w:pPr>
      <w:r w:rsidRPr="0020031F">
        <w:rPr>
          <w:lang w:val="vi-VN"/>
        </w:rPr>
        <w:t xml:space="preserve">- Bổ sung trách nhiệm về quản lý nhà nước về BHXH của Bộ Y tế vào khoản 2 Điều 134: </w:t>
      </w:r>
      <w:bookmarkStart w:id="2" w:name="_Hlk209517397"/>
      <w:r w:rsidRPr="0020031F">
        <w:rPr>
          <w:b/>
          <w:i/>
          <w:lang w:val="vi-VN"/>
        </w:rPr>
        <w:t>Bộ Y tế là cơ quan giúp Chính phủ thực hiện quản lý nhà nước về trợ cấp hưu trí xã hội</w:t>
      </w:r>
      <w:bookmarkEnd w:id="2"/>
      <w:r w:rsidRPr="0020031F">
        <w:rPr>
          <w:b/>
          <w:i/>
          <w:lang w:val="vi-VN"/>
        </w:rPr>
        <w:t>;</w:t>
      </w:r>
    </w:p>
    <w:p w:rsidR="000811EE" w:rsidRPr="0020031F" w:rsidRDefault="000811EE" w:rsidP="00543EEE">
      <w:pPr>
        <w:spacing w:before="120" w:after="0" w:line="276" w:lineRule="auto"/>
        <w:rPr>
          <w:shd w:val="clear" w:color="auto" w:fill="FFFFFF"/>
          <w:lang w:val="vi-VN"/>
        </w:rPr>
      </w:pPr>
      <w:r w:rsidRPr="0020031F">
        <w:rPr>
          <w:lang w:val="vi-VN"/>
        </w:rPr>
        <w:t>- Sửa đổi khoản 3 Điều 134 như sau</w:t>
      </w:r>
      <w:r w:rsidRPr="0020031F">
        <w:rPr>
          <w:i/>
          <w:lang w:val="vi-VN"/>
        </w:rPr>
        <w:t xml:space="preserve">: </w:t>
      </w:r>
      <w:r w:rsidRPr="0020031F">
        <w:rPr>
          <w:shd w:val="clear" w:color="auto" w:fill="FFFFFF"/>
          <w:lang w:val="vi-VN"/>
        </w:rPr>
        <w:t xml:space="preserve">Bộ, cơ quan ngang Bộ, trong phạm vi nhiệm vụ, quyền hạn của mình, có trách nhiệm thực hiện và phối hợp với Bộ Lao động - Thương binh và Xã hội, Bộ Tài chính, </w:t>
      </w:r>
      <w:r w:rsidRPr="0020031F">
        <w:rPr>
          <w:b/>
          <w:i/>
          <w:shd w:val="clear" w:color="auto" w:fill="FFFFFF"/>
          <w:lang w:val="vi-VN"/>
        </w:rPr>
        <w:t>Bộ Y tế</w:t>
      </w:r>
      <w:r w:rsidRPr="0020031F">
        <w:rPr>
          <w:shd w:val="clear" w:color="auto" w:fill="FFFFFF"/>
          <w:lang w:val="vi-VN"/>
        </w:rPr>
        <w:t xml:space="preserve"> trong thực hiện quản lý nhà nước về bảo hiểm xã hội.</w:t>
      </w:r>
    </w:p>
    <w:p w:rsidR="000811EE" w:rsidRPr="0020031F" w:rsidRDefault="000811EE" w:rsidP="00543EEE">
      <w:pPr>
        <w:spacing w:before="120" w:after="0" w:line="276" w:lineRule="auto"/>
        <w:rPr>
          <w:shd w:val="clear" w:color="auto" w:fill="FFFFFF"/>
          <w:lang w:val="vi-VN"/>
        </w:rPr>
      </w:pPr>
      <w:r w:rsidRPr="0020031F">
        <w:rPr>
          <w:lang w:val="vi-VN"/>
        </w:rPr>
        <w:t>- Bỏ các quy định về trách nhiệm về quản lý nhà nước về trợ cấp hưu trí xã hội của Bộ Lao động - Thương binh và Xã hội (nay là Bộ Nội vụ) tại Điều 136: (i) X</w:t>
      </w:r>
      <w:r w:rsidRPr="0020031F">
        <w:rPr>
          <w:shd w:val="clear" w:color="auto" w:fill="FFFFFF"/>
          <w:lang w:val="vi-VN"/>
        </w:rPr>
        <w:t>ây dựng, trình cấp có thẩm quyền ban hành hoặc ban hành theo thẩm quyền chính sách, pháp luật về trợ cấp hưu trí xã hội (Khoản 1); (ii) Tuyên truyền, phổ biến, giáo dục pháp luật về trợ cấp hưu trí xã hội (khoản 3); (iii) Chỉ đạo, hướng dẫn tổ chức thực hiện chính sách, pháp luật về trợ cấp hưu trí xã hội (khoản 4); (iv) Kiểm tra, thanh tra, xử lý vi phạm pháp luật, giải quyết khiếu nại, tố cáo về trợ cấp hưu trí xã hội (khoản 5).</w:t>
      </w:r>
    </w:p>
    <w:p w:rsidR="000811EE" w:rsidRPr="0020031F" w:rsidRDefault="000811EE" w:rsidP="00543EEE">
      <w:pPr>
        <w:spacing w:before="120" w:after="0" w:line="276" w:lineRule="auto"/>
        <w:rPr>
          <w:shd w:val="clear" w:color="auto" w:fill="FFFFFF"/>
          <w:lang w:val="vi-VN"/>
        </w:rPr>
      </w:pPr>
      <w:r w:rsidRPr="0020031F">
        <w:rPr>
          <w:shd w:val="clear" w:color="auto" w:fill="FFFFFF"/>
          <w:lang w:val="vi-VN"/>
        </w:rPr>
        <w:t>- Bổ sung Điều 137a về trách nhiệm của Bộ Y tế trong quản lý nhà nước về trợ cấp hưu trí xã hội.</w:t>
      </w:r>
    </w:p>
    <w:p w:rsidR="000811EE" w:rsidRPr="0020031F" w:rsidRDefault="000811EE" w:rsidP="00543EEE">
      <w:pPr>
        <w:spacing w:before="120" w:after="0" w:line="276" w:lineRule="auto"/>
        <w:rPr>
          <w:shd w:val="clear" w:color="auto" w:fill="FFFFFF"/>
          <w:lang w:val="vi-VN"/>
        </w:rPr>
      </w:pPr>
      <w:r w:rsidRPr="0020031F">
        <w:rPr>
          <w:shd w:val="clear" w:color="auto" w:fill="FFFFFF"/>
          <w:lang w:val="vi-VN"/>
        </w:rPr>
        <w:t>- Đồng thời, để phù hợp với tổ chức chính quyền địa phương hiện nay</w:t>
      </w:r>
      <w:r w:rsidRPr="0020031F">
        <w:rPr>
          <w:lang w:val="vi-VN"/>
        </w:rPr>
        <w:t xml:space="preserve"> theo quy định tại khoản 1 Điều 2 Luật Tổ chức chính quyền địa phương số 72/2025/QH15 (Chính quyền địa phương ở cấp tỉnh và cấp xã là cấp chính quyền </w:t>
      </w:r>
      <w:r w:rsidRPr="0020031F">
        <w:rPr>
          <w:lang w:val="vi-VN"/>
        </w:rPr>
        <w:lastRenderedPageBreak/>
        <w:t xml:space="preserve">địa phương gồm có Hội đồng nhân dân và Ủy ban nhân dân) và nhằm tăng cường tính hiệu quả trong quản lý nhà nước về bảo hiểm xã hội ở địa phương, tăng cường sự tham gia Hội đồng nhân dân để quyết định những nội dung quan trọng trên địa bàn cấp xã, thì tại dự thảo Luật đã sửa đổi khoản 1 Điều 138 theo hướng: </w:t>
      </w:r>
      <w:r w:rsidRPr="0020031F">
        <w:rPr>
          <w:shd w:val="clear" w:color="auto" w:fill="FFFFFF"/>
          <w:lang w:val="vi-VN"/>
        </w:rPr>
        <w:t>Ủy ban nhân dân cùng cấp (trước đây chỉ quy định đối với cấp tỉnh) chịu trách nhiệm trước Hội đồng nhân dân cùng cấp trong việc chỉ đạo, tổ chức thực hiện chính sách bảo hiểm xã hội, phát triển đối tượng tham gia bảo hiểm xã hội bắt buộc, bảo hiểm xã hội tự nguyện và chậm đóng bảo hiểm xã hội bắt buộc, trốn đóng bảo hiểm xã hội bắt buộc trong phạm vi địa phương.</w:t>
      </w:r>
    </w:p>
    <w:p w:rsidR="000811EE" w:rsidRPr="0020031F" w:rsidRDefault="000811EE" w:rsidP="00543EEE">
      <w:pPr>
        <w:spacing w:before="120" w:after="0" w:line="276" w:lineRule="auto"/>
        <w:rPr>
          <w:shd w:val="clear" w:color="auto" w:fill="FFFFFF"/>
          <w:lang w:val="vi-VN"/>
        </w:rPr>
      </w:pPr>
      <w:r w:rsidRPr="0020031F">
        <w:rPr>
          <w:shd w:val="clear" w:color="auto" w:fill="FFFFFF"/>
          <w:lang w:val="vi-VN"/>
        </w:rPr>
        <w:t xml:space="preserve">- </w:t>
      </w:r>
      <w:r w:rsidRPr="0020031F">
        <w:rPr>
          <w:rFonts w:eastAsia="Arial Unicode MS"/>
          <w:lang w:val="vi-VN" w:eastAsia="zh-CN" w:bidi="hi-IN"/>
        </w:rPr>
        <w:t xml:space="preserve">Quốc hội đã thông qua Luật Thanh tra số 84/2025QH15 ngày 29/6/2025, có hiệu lực thi hành từ ngày 01/7/2025 trong đó đã quy định các cơ quan có thẩm quyền thanh tra, theo đó hiện nay không có cơ quan thanh tra tại các Bộ Tài chính, Nội vụ, Y tế. </w:t>
      </w:r>
      <w:r w:rsidRPr="0020031F">
        <w:rPr>
          <w:lang w:val="vi-VN"/>
        </w:rPr>
        <w:t>Đồng thời, tại</w:t>
      </w:r>
      <w:r w:rsidRPr="0020031F">
        <w:rPr>
          <w:rFonts w:eastAsia="Arial Unicode MS"/>
          <w:lang w:val="vi-VN" w:eastAsia="zh-CN" w:bidi="hi-IN"/>
        </w:rPr>
        <w:t xml:space="preserve"> </w:t>
      </w:r>
      <w:r w:rsidRPr="0020031F">
        <w:rPr>
          <w:lang w:val="vi-VN"/>
        </w:rPr>
        <w:t>điểm s khoản 1 Điều 62 đã quy định: “</w:t>
      </w:r>
      <w:r w:rsidRPr="0020031F">
        <w:rPr>
          <w:i/>
          <w:lang w:val="vi-VN"/>
        </w:rPr>
        <w:t>s) Bãi bỏ cụm từ “thanh tra chuyên ngành về đóng bảo hiểm xã hội, bảo hiểm thất nghiệp, bảo hiểm y tế;” tại khoản 1 Điều 16; cụm từ “Thanh tra chuyên ngành về đóng bảo hiểm xã hội, bảo hiểm thất nghiệp, bảo hiểm y tế.” tại khoản 5 Điều 17; cụm từ “thanh tra,” tại khoản 5 Điều 136; cụm từ “thanh tra,” tại khoản 2, khoản 6 Điều 137 của Luật Bảo hiểm xã hội số 41/2024/QH15”</w:t>
      </w:r>
    </w:p>
    <w:p w:rsidR="000811EE" w:rsidRPr="0020031F" w:rsidRDefault="000811EE" w:rsidP="00543EEE">
      <w:pPr>
        <w:spacing w:before="120" w:after="0" w:line="276" w:lineRule="auto"/>
        <w:rPr>
          <w:rFonts w:eastAsia="Arial Unicode MS"/>
          <w:lang w:val="vi-VN" w:eastAsia="zh-CN" w:bidi="hi-IN"/>
        </w:rPr>
      </w:pPr>
      <w:r w:rsidRPr="0020031F">
        <w:rPr>
          <w:rFonts w:eastAsia="Arial Unicode MS"/>
          <w:lang w:val="vi-VN" w:eastAsia="zh-CN" w:bidi="hi-IN"/>
        </w:rPr>
        <w:t>Do vậy, tại dự thảo Luật chỉ còn nội dung liên quan đến “kiểm tra” về bảo hiểm xã hội.</w:t>
      </w:r>
    </w:p>
    <w:p w:rsidR="000811EE" w:rsidRPr="0020031F" w:rsidRDefault="000811EE" w:rsidP="00543EEE">
      <w:pPr>
        <w:spacing w:before="120" w:after="0" w:line="276" w:lineRule="auto"/>
        <w:rPr>
          <w:rFonts w:eastAsia="Arial Unicode MS"/>
          <w:lang w:val="vi-VN" w:eastAsia="zh-CN" w:bidi="hi-IN"/>
        </w:rPr>
      </w:pPr>
      <w:r w:rsidRPr="0020031F">
        <w:rPr>
          <w:shd w:val="clear" w:color="auto" w:fill="FFFFFF"/>
          <w:lang w:val="vi-VN"/>
        </w:rPr>
        <w:t xml:space="preserve">- Đồng thời sửa đổi </w:t>
      </w:r>
      <w:r w:rsidRPr="0020031F">
        <w:rPr>
          <w:rFonts w:eastAsia="Arial Unicode MS"/>
          <w:lang w:val="vi-VN" w:eastAsia="zh-CN" w:bidi="hi-IN"/>
        </w:rPr>
        <w:t>tên gọi Bộ Lao động - Thương binh và Xã hội thành Bộ Nội vụ tại các Điều: điểm b khoản 12 Điều 18, khoản 2 Điều 19, khoản 8 Điều 33, khoản 6 Điều 45, khoản 4 Điều 46, khoản 5 Điều 59, khoản 5 Điều 60, khoản 3 Điều 69, khoản 5 Điều 86, khoản 1 Điều 87, khoản 4 Điều 101, khoản 2 và khoản 3 Điều 134, tên tiêu đề của Điều 136, khoản 3 Điều 137.</w:t>
      </w:r>
    </w:p>
    <w:p w:rsidR="000811EE" w:rsidRPr="0020031F" w:rsidRDefault="000811EE" w:rsidP="00543EEE">
      <w:pPr>
        <w:spacing w:before="120" w:after="0" w:line="276" w:lineRule="auto"/>
        <w:rPr>
          <w:rFonts w:eastAsia="Arial Unicode MS"/>
          <w:lang w:val="vi-VN" w:eastAsia="zh-CN" w:bidi="hi-IN"/>
        </w:rPr>
      </w:pPr>
      <w:r w:rsidRPr="0020031F">
        <w:rPr>
          <w:rFonts w:eastAsia="Arial Unicode MS"/>
          <w:lang w:val="vi-VN" w:eastAsia="zh-CN" w:bidi="hi-IN"/>
        </w:rPr>
        <w:t>- Theo quy định Luật Tổ chức chính quyền địa phương thì t</w:t>
      </w:r>
      <w:r w:rsidRPr="0020031F">
        <w:rPr>
          <w:lang w:val="vi-VN"/>
        </w:rPr>
        <w:t xml:space="preserve">ừ ngày 01/7/2025 thì mô hình chính quyền địa phương gồm 2 cấp (cấp tỉnh, cấp xã); tuy nhiên, cơ quan bảo hiểm xã hội được tổ chức theo khu vực, quản lý trên địa bàn nhiều xã, do đó quy định cơ quan bảo hiểm xã hội báo cáo “Ủy ban nhân dân cùng cấp” là không còn phù hợp; Ngoài ra, theo </w:t>
      </w:r>
      <w:r w:rsidRPr="0020031F">
        <w:rPr>
          <w:rFonts w:eastAsia="Arial Unicode MS"/>
          <w:lang w:val="eu-ES" w:eastAsia="zh-CN" w:bidi="hi-IN"/>
        </w:rPr>
        <w:t>Kế hoạch số 141/KH-BCĐTKNQ18 ngày 06/12/2024 của Ban chỉ đạo về tổng kết việc thực hiện Nghị quyết số 18-NQ/TW định hướng sắp xếp, tinh gọn tổ chức bộ máy của Chính phủ thì Bảo hiểm xã hội Việt Nam không còn là cơ quan thuộc Chính phủ; do vậy, các quy định: Chính phủ ban hành quy định chức năng, nhiệm vụ, quyền hạn và cơ cấu tổ chức của Bảo hiểm xã hội Việt Nam (khoản 2 Điều 16), Bộ Nội vụ trình Chính phủ ban hành Nghị định quy định chức năng, nhiệm vụ, quyền hạn và cơ cấu tổ chức của Bảo hiểm xã hội Việt Nam</w:t>
      </w:r>
      <w:r w:rsidRPr="0020031F">
        <w:rPr>
          <w:lang w:val="vi-VN"/>
        </w:rPr>
        <w:t xml:space="preserve"> (khoản 11 Điều 136) và Bảo hiểm xã hội Việt Nam phối hợp với các Bộ, ngành thực hiện các nhiệm vụ quản lý nhà nước về bảo hiểm </w:t>
      </w:r>
      <w:r w:rsidRPr="0020031F">
        <w:rPr>
          <w:lang w:val="vi-VN"/>
        </w:rPr>
        <w:lastRenderedPageBreak/>
        <w:t xml:space="preserve">xã hội (khoản 5 Điều 134) là không phù hợp với vị trí pháp lý hiện tại của cơ quan bảo hiểm xã hội. </w:t>
      </w:r>
    </w:p>
    <w:p w:rsidR="00CE1564" w:rsidRPr="00543EEE" w:rsidRDefault="000811EE" w:rsidP="00543EEE">
      <w:pPr>
        <w:spacing w:before="120" w:after="0" w:line="276" w:lineRule="auto"/>
        <w:rPr>
          <w:rFonts w:eastAsia="Arial Unicode MS"/>
          <w:lang w:val="vi-VN" w:eastAsia="zh-CN" w:bidi="hi-IN"/>
        </w:rPr>
      </w:pPr>
      <w:r w:rsidRPr="0020031F">
        <w:rPr>
          <w:rFonts w:eastAsia="Arial Unicode MS"/>
          <w:lang w:val="vi-VN" w:eastAsia="zh-CN" w:bidi="hi-IN"/>
        </w:rPr>
        <w:t xml:space="preserve">Do vậy, tại dự thảo Luật đã bỏ các quy định tại </w:t>
      </w:r>
      <w:r w:rsidRPr="0020031F">
        <w:rPr>
          <w:lang w:val="vi-VN"/>
        </w:rPr>
        <w:t>khoản 2 Điều 16, điểm c khoản 12 và khoản 18 Điều 18, khoản 5 Điều 134,  khoản 11 Điều 136</w:t>
      </w:r>
      <w:r w:rsidRPr="0020031F">
        <w:rPr>
          <w:rFonts w:eastAsia="Arial Unicode MS"/>
          <w:lang w:val="vi-VN" w:eastAsia="zh-CN" w:bidi="hi-IN"/>
        </w:rPr>
        <w:t>.</w:t>
      </w:r>
    </w:p>
    <w:p w:rsidR="005852B9" w:rsidRDefault="005852B9" w:rsidP="00543EEE">
      <w:pPr>
        <w:spacing w:before="120" w:after="0" w:line="276" w:lineRule="auto"/>
        <w:rPr>
          <w:szCs w:val="28"/>
        </w:rPr>
      </w:pPr>
      <w:r w:rsidRPr="007B669D">
        <w:rPr>
          <w:szCs w:val="28"/>
        </w:rPr>
        <w:t xml:space="preserve">Trên đây là Báo cáo </w:t>
      </w:r>
      <w:r>
        <w:rPr>
          <w:szCs w:val="28"/>
        </w:rPr>
        <w:t>tổng kết thi hành</w:t>
      </w:r>
      <w:r w:rsidRPr="007B669D">
        <w:rPr>
          <w:szCs w:val="28"/>
        </w:rPr>
        <w:t xml:space="preserve"> Luật Bảo hiểm xã hội số 41/2024/QH15./.</w:t>
      </w:r>
    </w:p>
    <w:p w:rsidR="005852B9" w:rsidRPr="00543EEE" w:rsidRDefault="005852B9" w:rsidP="005852B9">
      <w:pPr>
        <w:rPr>
          <w:rFonts w:eastAsia="Arial Unicode MS"/>
          <w:lang w:val="vi-VN" w:eastAsia="zh-CN" w:bidi="hi-IN"/>
        </w:rPr>
      </w:pPr>
    </w:p>
    <w:tbl>
      <w:tblPr>
        <w:tblW w:w="9214" w:type="dxa"/>
        <w:tblInd w:w="-142" w:type="dxa"/>
        <w:tblLook w:val="01E0" w:firstRow="1" w:lastRow="1" w:firstColumn="1" w:lastColumn="1" w:noHBand="0" w:noVBand="0"/>
      </w:tblPr>
      <w:tblGrid>
        <w:gridCol w:w="5387"/>
        <w:gridCol w:w="3827"/>
      </w:tblGrid>
      <w:tr w:rsidR="009C0E96" w:rsidTr="00543EEE">
        <w:trPr>
          <w:trHeight w:val="2118"/>
        </w:trPr>
        <w:tc>
          <w:tcPr>
            <w:tcW w:w="5387" w:type="dxa"/>
          </w:tcPr>
          <w:p w:rsidR="009C0E96" w:rsidRDefault="009C0E96" w:rsidP="00543EEE">
            <w:pPr>
              <w:spacing w:after="0" w:line="240" w:lineRule="auto"/>
              <w:ind w:firstLine="0"/>
              <w:rPr>
                <w:b/>
                <w:i/>
              </w:rPr>
            </w:pPr>
            <w:r>
              <w:rPr>
                <w:b/>
                <w:i/>
              </w:rPr>
              <w:t>Nơi nhận:</w:t>
            </w:r>
          </w:p>
          <w:p w:rsidR="009C0E96" w:rsidRDefault="009C0E96" w:rsidP="00543EEE">
            <w:pPr>
              <w:spacing w:after="0" w:line="240" w:lineRule="auto"/>
              <w:ind w:firstLine="0"/>
              <w:rPr>
                <w:sz w:val="22"/>
              </w:rPr>
            </w:pPr>
            <w:r>
              <w:rPr>
                <w:sz w:val="22"/>
              </w:rPr>
              <w:t>- Chính phủ;</w:t>
            </w:r>
          </w:p>
          <w:p w:rsidR="009C0E96" w:rsidRDefault="009C0E96" w:rsidP="00543EEE">
            <w:pPr>
              <w:spacing w:after="0" w:line="240" w:lineRule="auto"/>
              <w:ind w:firstLine="0"/>
              <w:rPr>
                <w:sz w:val="22"/>
              </w:rPr>
            </w:pPr>
            <w:r>
              <w:rPr>
                <w:sz w:val="22"/>
              </w:rPr>
              <w:t xml:space="preserve">- Thủ tướng Chính phủ; </w:t>
            </w:r>
          </w:p>
          <w:p w:rsidR="009C0E96" w:rsidRDefault="009C0E96" w:rsidP="00543EEE">
            <w:pPr>
              <w:spacing w:after="0" w:line="240" w:lineRule="auto"/>
              <w:ind w:firstLine="0"/>
              <w:rPr>
                <w:sz w:val="22"/>
              </w:rPr>
            </w:pPr>
            <w:r>
              <w:rPr>
                <w:sz w:val="22"/>
              </w:rPr>
              <w:t>- Bộ trưởng;</w:t>
            </w:r>
          </w:p>
          <w:p w:rsidR="009C0E96" w:rsidRDefault="009C0E96" w:rsidP="00543EEE">
            <w:pPr>
              <w:spacing w:after="0" w:line="240" w:lineRule="auto"/>
              <w:ind w:firstLine="0"/>
              <w:rPr>
                <w:sz w:val="22"/>
              </w:rPr>
            </w:pPr>
            <w:r>
              <w:rPr>
                <w:sz w:val="22"/>
              </w:rPr>
              <w:t>- Các Bộ: Tài chính, Quốc phòng, Công an, Tư pháp;</w:t>
            </w:r>
          </w:p>
          <w:p w:rsidR="009C0E96" w:rsidRPr="00840F80" w:rsidRDefault="009C0E96" w:rsidP="00543EEE">
            <w:pPr>
              <w:spacing w:after="0" w:line="240" w:lineRule="auto"/>
              <w:ind w:firstLine="0"/>
              <w:rPr>
                <w:sz w:val="22"/>
              </w:rPr>
            </w:pPr>
            <w:r>
              <w:rPr>
                <w:sz w:val="22"/>
              </w:rPr>
              <w:t xml:space="preserve">- </w:t>
            </w:r>
            <w:r w:rsidRPr="00840F80">
              <w:rPr>
                <w:sz w:val="22"/>
              </w:rPr>
              <w:t>Lưu</w:t>
            </w:r>
            <w:r>
              <w:rPr>
                <w:sz w:val="22"/>
              </w:rPr>
              <w:t>:</w:t>
            </w:r>
            <w:r w:rsidRPr="00840F80">
              <w:rPr>
                <w:sz w:val="22"/>
              </w:rPr>
              <w:t xml:space="preserve"> </w:t>
            </w:r>
            <w:r>
              <w:rPr>
                <w:sz w:val="22"/>
              </w:rPr>
              <w:t>VT, CTL&amp;</w:t>
            </w:r>
            <w:r>
              <w:rPr>
                <w:sz w:val="22"/>
                <w:szCs w:val="22"/>
              </w:rPr>
              <w:t>BHXH</w:t>
            </w:r>
            <w:r>
              <w:rPr>
                <w:sz w:val="22"/>
                <w:szCs w:val="22"/>
                <w:vertAlign w:val="subscript"/>
              </w:rPr>
              <w:t>(NTH)</w:t>
            </w:r>
            <w:r>
              <w:rPr>
                <w:sz w:val="22"/>
                <w:szCs w:val="22"/>
              </w:rPr>
              <w:t>.</w:t>
            </w:r>
          </w:p>
          <w:p w:rsidR="009C0E96" w:rsidRDefault="009C0E96" w:rsidP="00543EEE">
            <w:pPr>
              <w:spacing w:after="0" w:line="240" w:lineRule="auto"/>
              <w:rPr>
                <w:szCs w:val="28"/>
              </w:rPr>
            </w:pPr>
          </w:p>
        </w:tc>
        <w:tc>
          <w:tcPr>
            <w:tcW w:w="3827" w:type="dxa"/>
          </w:tcPr>
          <w:p w:rsidR="009C0E96" w:rsidRDefault="009C0E96" w:rsidP="00543EEE">
            <w:pPr>
              <w:spacing w:after="0" w:line="240" w:lineRule="auto"/>
              <w:jc w:val="center"/>
              <w:rPr>
                <w:b/>
                <w:sz w:val="26"/>
                <w:szCs w:val="26"/>
              </w:rPr>
            </w:pPr>
            <w:r>
              <w:rPr>
                <w:b/>
                <w:sz w:val="26"/>
                <w:szCs w:val="26"/>
              </w:rPr>
              <w:t>KT. BỘ TRƯỞNG</w:t>
            </w:r>
          </w:p>
          <w:p w:rsidR="009C0E96" w:rsidRDefault="009C0E96" w:rsidP="00543EEE">
            <w:pPr>
              <w:spacing w:after="0" w:line="240" w:lineRule="auto"/>
              <w:jc w:val="center"/>
              <w:rPr>
                <w:b/>
                <w:sz w:val="26"/>
                <w:szCs w:val="26"/>
              </w:rPr>
            </w:pPr>
            <w:r>
              <w:rPr>
                <w:b/>
                <w:sz w:val="26"/>
                <w:szCs w:val="26"/>
              </w:rPr>
              <w:t>THỨ TRƯỞNG</w:t>
            </w:r>
          </w:p>
          <w:p w:rsidR="009C0E96" w:rsidRDefault="009C0E96" w:rsidP="00543EEE">
            <w:pPr>
              <w:spacing w:after="0" w:line="240" w:lineRule="auto"/>
              <w:jc w:val="center"/>
              <w:rPr>
                <w:b/>
                <w:sz w:val="26"/>
                <w:szCs w:val="26"/>
              </w:rPr>
            </w:pPr>
          </w:p>
          <w:p w:rsidR="009C0E96" w:rsidRDefault="009C0E96" w:rsidP="00FB63F3">
            <w:pPr>
              <w:spacing w:after="0" w:line="240" w:lineRule="auto"/>
              <w:ind w:firstLine="0"/>
              <w:rPr>
                <w:b/>
                <w:szCs w:val="28"/>
              </w:rPr>
            </w:pPr>
          </w:p>
          <w:p w:rsidR="00FB63F3" w:rsidRDefault="00FB63F3" w:rsidP="00543EEE">
            <w:pPr>
              <w:spacing w:after="0" w:line="240" w:lineRule="auto"/>
              <w:ind w:firstLine="0"/>
              <w:rPr>
                <w:b/>
                <w:szCs w:val="28"/>
              </w:rPr>
            </w:pPr>
          </w:p>
          <w:p w:rsidR="00543EEE" w:rsidRDefault="00543EEE" w:rsidP="00543EEE">
            <w:pPr>
              <w:spacing w:after="0" w:line="240" w:lineRule="auto"/>
              <w:ind w:firstLine="0"/>
              <w:rPr>
                <w:b/>
                <w:szCs w:val="28"/>
              </w:rPr>
            </w:pPr>
            <w:bookmarkStart w:id="3" w:name="_GoBack"/>
            <w:bookmarkEnd w:id="3"/>
          </w:p>
          <w:p w:rsidR="009C0E96" w:rsidRDefault="009C0E96" w:rsidP="00543EEE">
            <w:pPr>
              <w:spacing w:after="0" w:line="240" w:lineRule="auto"/>
              <w:rPr>
                <w:b/>
                <w:szCs w:val="28"/>
              </w:rPr>
            </w:pPr>
          </w:p>
          <w:p w:rsidR="009C0E96" w:rsidRDefault="009C0E96" w:rsidP="00543EEE">
            <w:pPr>
              <w:spacing w:after="0" w:line="240" w:lineRule="auto"/>
              <w:jc w:val="center"/>
              <w:rPr>
                <w:b/>
                <w:szCs w:val="28"/>
              </w:rPr>
            </w:pPr>
            <w:r>
              <w:rPr>
                <w:b/>
                <w:szCs w:val="28"/>
              </w:rPr>
              <w:t>Nguyễn Mạnh Khương</w:t>
            </w:r>
          </w:p>
        </w:tc>
      </w:tr>
    </w:tbl>
    <w:p w:rsidR="00BC063E" w:rsidRDefault="00BC063E" w:rsidP="005353EA">
      <w:pPr>
        <w:rPr>
          <w:lang w:val="es-ES"/>
        </w:rPr>
      </w:pPr>
    </w:p>
    <w:p w:rsidR="00574022" w:rsidRPr="005353EA" w:rsidRDefault="00574022" w:rsidP="00543EEE">
      <w:pPr>
        <w:ind w:firstLine="0"/>
      </w:pPr>
    </w:p>
    <w:sectPr w:rsidR="00574022" w:rsidRPr="005353EA" w:rsidSect="005353EA">
      <w:headerReference w:type="default" r:id="rId11"/>
      <w:pgSz w:w="11907" w:h="16840"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DFC" w:rsidRDefault="002E2DFC">
      <w:pPr>
        <w:spacing w:line="240" w:lineRule="auto"/>
      </w:pPr>
      <w:r>
        <w:separator/>
      </w:r>
    </w:p>
  </w:endnote>
  <w:endnote w:type="continuationSeparator" w:id="0">
    <w:p w:rsidR="002E2DFC" w:rsidRDefault="002E2D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ArialH">
    <w:altName w:val="Segoe Print"/>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pitch w:val="default"/>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EFF" w:usb1="F9DFFFFF" w:usb2="0000007F" w:usb3="00000000" w:csb0="003F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DFC" w:rsidRDefault="002E2DFC">
      <w:pPr>
        <w:spacing w:after="0"/>
      </w:pPr>
      <w:r>
        <w:separator/>
      </w:r>
    </w:p>
  </w:footnote>
  <w:footnote w:type="continuationSeparator" w:id="0">
    <w:p w:rsidR="002E2DFC" w:rsidRDefault="002E2DFC">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494711166"/>
      <w:docPartObj>
        <w:docPartGallery w:val="AutoText"/>
      </w:docPartObj>
    </w:sdtPr>
    <w:sdtEndPr/>
    <w:sdtContent>
      <w:p w:rsidR="003F5F1A" w:rsidRDefault="003F5F1A">
        <w:pPr>
          <w:pStyle w:val="Header"/>
          <w:spacing w:after="0" w:line="240" w:lineRule="auto"/>
          <w:ind w:firstLine="0"/>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543EEE">
          <w:rPr>
            <w:noProof/>
            <w:sz w:val="26"/>
            <w:szCs w:val="26"/>
          </w:rPr>
          <w:t>9</w:t>
        </w:r>
        <w:r>
          <w:rPr>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C8C085E"/>
    <w:multiLevelType w:val="multilevel"/>
    <w:tmpl w:val="EC8C085E"/>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63D81901"/>
    <w:multiLevelType w:val="multilevel"/>
    <w:tmpl w:val="63D81901"/>
    <w:lvl w:ilvl="0">
      <w:start w:val="1"/>
      <w:numFmt w:val="bullet"/>
      <w:pStyle w:val="Giua"/>
      <w:lvlText w:val=""/>
      <w:lvlJc w:val="left"/>
      <w:pPr>
        <w:ind w:left="927" w:hanging="360"/>
      </w:pPr>
      <w:rPr>
        <w:rFonts w:ascii="Wingdings" w:eastAsia="宋体" w:hAnsi="Wingdings" w:cs="Times New Roman" w:hint="default"/>
        <w:b/>
        <w:i w:val="0"/>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AA5"/>
    <w:rsid w:val="0000139D"/>
    <w:rsid w:val="0000231B"/>
    <w:rsid w:val="00002E38"/>
    <w:rsid w:val="0000645A"/>
    <w:rsid w:val="00011AA8"/>
    <w:rsid w:val="0001744E"/>
    <w:rsid w:val="00017B13"/>
    <w:rsid w:val="00017F82"/>
    <w:rsid w:val="00020033"/>
    <w:rsid w:val="00021010"/>
    <w:rsid w:val="00024490"/>
    <w:rsid w:val="00024BF3"/>
    <w:rsid w:val="00024EB1"/>
    <w:rsid w:val="00025C26"/>
    <w:rsid w:val="00026945"/>
    <w:rsid w:val="000278DA"/>
    <w:rsid w:val="00027F0C"/>
    <w:rsid w:val="00035631"/>
    <w:rsid w:val="000375A1"/>
    <w:rsid w:val="0004082C"/>
    <w:rsid w:val="00044980"/>
    <w:rsid w:val="000511EB"/>
    <w:rsid w:val="00052944"/>
    <w:rsid w:val="00053F6C"/>
    <w:rsid w:val="00057118"/>
    <w:rsid w:val="00074261"/>
    <w:rsid w:val="0007612D"/>
    <w:rsid w:val="000811EE"/>
    <w:rsid w:val="00087634"/>
    <w:rsid w:val="00087E65"/>
    <w:rsid w:val="00093F16"/>
    <w:rsid w:val="000958A0"/>
    <w:rsid w:val="00096BFD"/>
    <w:rsid w:val="000A3226"/>
    <w:rsid w:val="000A34EA"/>
    <w:rsid w:val="000A48D4"/>
    <w:rsid w:val="000A5F61"/>
    <w:rsid w:val="000B277A"/>
    <w:rsid w:val="000B55A4"/>
    <w:rsid w:val="000C1526"/>
    <w:rsid w:val="000C2309"/>
    <w:rsid w:val="000C37B6"/>
    <w:rsid w:val="000C428E"/>
    <w:rsid w:val="000C516B"/>
    <w:rsid w:val="000D02A7"/>
    <w:rsid w:val="000D22B7"/>
    <w:rsid w:val="000D707E"/>
    <w:rsid w:val="000E2C9A"/>
    <w:rsid w:val="000E2CCD"/>
    <w:rsid w:val="000E69B6"/>
    <w:rsid w:val="000F3BC8"/>
    <w:rsid w:val="000F4287"/>
    <w:rsid w:val="0010335E"/>
    <w:rsid w:val="0010499F"/>
    <w:rsid w:val="00106413"/>
    <w:rsid w:val="00114E14"/>
    <w:rsid w:val="00120378"/>
    <w:rsid w:val="0013105C"/>
    <w:rsid w:val="00131A50"/>
    <w:rsid w:val="001333E2"/>
    <w:rsid w:val="00136ACC"/>
    <w:rsid w:val="00144D21"/>
    <w:rsid w:val="001503C0"/>
    <w:rsid w:val="001504AB"/>
    <w:rsid w:val="00150F62"/>
    <w:rsid w:val="0015358E"/>
    <w:rsid w:val="00153C64"/>
    <w:rsid w:val="00156290"/>
    <w:rsid w:val="001566A5"/>
    <w:rsid w:val="00164880"/>
    <w:rsid w:val="00170327"/>
    <w:rsid w:val="00171F74"/>
    <w:rsid w:val="00173A7D"/>
    <w:rsid w:val="0017546E"/>
    <w:rsid w:val="001803D6"/>
    <w:rsid w:val="00183237"/>
    <w:rsid w:val="001918C6"/>
    <w:rsid w:val="00191AA5"/>
    <w:rsid w:val="00192B40"/>
    <w:rsid w:val="001951ED"/>
    <w:rsid w:val="001A0B01"/>
    <w:rsid w:val="001A4678"/>
    <w:rsid w:val="001B0367"/>
    <w:rsid w:val="001B331E"/>
    <w:rsid w:val="001B396F"/>
    <w:rsid w:val="001B58AE"/>
    <w:rsid w:val="001B5C67"/>
    <w:rsid w:val="001B63C3"/>
    <w:rsid w:val="001B7992"/>
    <w:rsid w:val="001C09A0"/>
    <w:rsid w:val="001C58C1"/>
    <w:rsid w:val="001C5BEE"/>
    <w:rsid w:val="001C7977"/>
    <w:rsid w:val="001D10D2"/>
    <w:rsid w:val="001D337B"/>
    <w:rsid w:val="001D38D7"/>
    <w:rsid w:val="001D50BB"/>
    <w:rsid w:val="001D51FE"/>
    <w:rsid w:val="001E02CB"/>
    <w:rsid w:val="001E0548"/>
    <w:rsid w:val="001E26FE"/>
    <w:rsid w:val="001E4D68"/>
    <w:rsid w:val="001E7170"/>
    <w:rsid w:val="001F36C6"/>
    <w:rsid w:val="00200E48"/>
    <w:rsid w:val="00206C74"/>
    <w:rsid w:val="00210630"/>
    <w:rsid w:val="00222930"/>
    <w:rsid w:val="00225C2C"/>
    <w:rsid w:val="00232227"/>
    <w:rsid w:val="002326FD"/>
    <w:rsid w:val="0023294D"/>
    <w:rsid w:val="0023495C"/>
    <w:rsid w:val="00236505"/>
    <w:rsid w:val="0023734A"/>
    <w:rsid w:val="00240C6A"/>
    <w:rsid w:val="00240C6C"/>
    <w:rsid w:val="00241CAB"/>
    <w:rsid w:val="0024443E"/>
    <w:rsid w:val="00244630"/>
    <w:rsid w:val="00245F80"/>
    <w:rsid w:val="0025071C"/>
    <w:rsid w:val="00251D53"/>
    <w:rsid w:val="00253A9A"/>
    <w:rsid w:val="00253B7F"/>
    <w:rsid w:val="002546F9"/>
    <w:rsid w:val="00257611"/>
    <w:rsid w:val="002605D9"/>
    <w:rsid w:val="00260E6B"/>
    <w:rsid w:val="00274BE2"/>
    <w:rsid w:val="00290342"/>
    <w:rsid w:val="00291B37"/>
    <w:rsid w:val="00294030"/>
    <w:rsid w:val="00295FB5"/>
    <w:rsid w:val="002A44EE"/>
    <w:rsid w:val="002A4965"/>
    <w:rsid w:val="002A5FE3"/>
    <w:rsid w:val="002B1435"/>
    <w:rsid w:val="002B58B9"/>
    <w:rsid w:val="002B7844"/>
    <w:rsid w:val="002C121F"/>
    <w:rsid w:val="002C26D3"/>
    <w:rsid w:val="002C2F95"/>
    <w:rsid w:val="002C32AB"/>
    <w:rsid w:val="002C3FC9"/>
    <w:rsid w:val="002C4C69"/>
    <w:rsid w:val="002C5C65"/>
    <w:rsid w:val="002C767B"/>
    <w:rsid w:val="002D2305"/>
    <w:rsid w:val="002D27BF"/>
    <w:rsid w:val="002D2F6E"/>
    <w:rsid w:val="002E1B53"/>
    <w:rsid w:val="002E1F66"/>
    <w:rsid w:val="002E2BAC"/>
    <w:rsid w:val="002E2DFC"/>
    <w:rsid w:val="002E2FF6"/>
    <w:rsid w:val="002E61D2"/>
    <w:rsid w:val="002E6D8D"/>
    <w:rsid w:val="002E7475"/>
    <w:rsid w:val="003031C6"/>
    <w:rsid w:val="0030376C"/>
    <w:rsid w:val="00303C1B"/>
    <w:rsid w:val="00304CF3"/>
    <w:rsid w:val="003074BB"/>
    <w:rsid w:val="003112E3"/>
    <w:rsid w:val="00311D07"/>
    <w:rsid w:val="003124C4"/>
    <w:rsid w:val="00314304"/>
    <w:rsid w:val="00315174"/>
    <w:rsid w:val="003201ED"/>
    <w:rsid w:val="0032076B"/>
    <w:rsid w:val="00326EEB"/>
    <w:rsid w:val="00330A2F"/>
    <w:rsid w:val="00331110"/>
    <w:rsid w:val="00337A94"/>
    <w:rsid w:val="0034100A"/>
    <w:rsid w:val="003417D0"/>
    <w:rsid w:val="003419D2"/>
    <w:rsid w:val="00347FEA"/>
    <w:rsid w:val="00352CEB"/>
    <w:rsid w:val="003562DA"/>
    <w:rsid w:val="003630E9"/>
    <w:rsid w:val="00372A4A"/>
    <w:rsid w:val="00375D9D"/>
    <w:rsid w:val="0038150C"/>
    <w:rsid w:val="00381E53"/>
    <w:rsid w:val="00391B18"/>
    <w:rsid w:val="00393341"/>
    <w:rsid w:val="00393ACD"/>
    <w:rsid w:val="00393AE8"/>
    <w:rsid w:val="00394103"/>
    <w:rsid w:val="00394702"/>
    <w:rsid w:val="00394977"/>
    <w:rsid w:val="003949E0"/>
    <w:rsid w:val="0039568E"/>
    <w:rsid w:val="003A20CB"/>
    <w:rsid w:val="003A3571"/>
    <w:rsid w:val="003A3FD5"/>
    <w:rsid w:val="003A4781"/>
    <w:rsid w:val="003A5E67"/>
    <w:rsid w:val="003A653B"/>
    <w:rsid w:val="003A6CC1"/>
    <w:rsid w:val="003A7841"/>
    <w:rsid w:val="003B0F40"/>
    <w:rsid w:val="003B3697"/>
    <w:rsid w:val="003B7C3C"/>
    <w:rsid w:val="003C1A1D"/>
    <w:rsid w:val="003C4A4F"/>
    <w:rsid w:val="003C5E6F"/>
    <w:rsid w:val="003C7279"/>
    <w:rsid w:val="003D093D"/>
    <w:rsid w:val="003D5CE1"/>
    <w:rsid w:val="003E0AD9"/>
    <w:rsid w:val="003E0F78"/>
    <w:rsid w:val="003E16A8"/>
    <w:rsid w:val="003E1BE6"/>
    <w:rsid w:val="003F3A6C"/>
    <w:rsid w:val="003F5F1A"/>
    <w:rsid w:val="004004B6"/>
    <w:rsid w:val="00400827"/>
    <w:rsid w:val="00403C39"/>
    <w:rsid w:val="00410AE7"/>
    <w:rsid w:val="004113A7"/>
    <w:rsid w:val="004148C8"/>
    <w:rsid w:val="00417176"/>
    <w:rsid w:val="004208AD"/>
    <w:rsid w:val="00425775"/>
    <w:rsid w:val="00427E01"/>
    <w:rsid w:val="00431570"/>
    <w:rsid w:val="00433665"/>
    <w:rsid w:val="004418ED"/>
    <w:rsid w:val="00442B48"/>
    <w:rsid w:val="00447028"/>
    <w:rsid w:val="00450C04"/>
    <w:rsid w:val="00453D1B"/>
    <w:rsid w:val="00454A60"/>
    <w:rsid w:val="0045578E"/>
    <w:rsid w:val="00470819"/>
    <w:rsid w:val="004712AC"/>
    <w:rsid w:val="0047526A"/>
    <w:rsid w:val="00477B41"/>
    <w:rsid w:val="00482882"/>
    <w:rsid w:val="00491245"/>
    <w:rsid w:val="00496A0C"/>
    <w:rsid w:val="0049720A"/>
    <w:rsid w:val="004A08CE"/>
    <w:rsid w:val="004B17C3"/>
    <w:rsid w:val="004B54EE"/>
    <w:rsid w:val="004C57D0"/>
    <w:rsid w:val="004D12DF"/>
    <w:rsid w:val="004D144B"/>
    <w:rsid w:val="004D1DA5"/>
    <w:rsid w:val="004D3F19"/>
    <w:rsid w:val="004D4958"/>
    <w:rsid w:val="004D7DB9"/>
    <w:rsid w:val="004E7305"/>
    <w:rsid w:val="00507442"/>
    <w:rsid w:val="005210FD"/>
    <w:rsid w:val="0052161E"/>
    <w:rsid w:val="00522739"/>
    <w:rsid w:val="00523A25"/>
    <w:rsid w:val="00526C21"/>
    <w:rsid w:val="005339B5"/>
    <w:rsid w:val="00534233"/>
    <w:rsid w:val="005353EA"/>
    <w:rsid w:val="00543EEE"/>
    <w:rsid w:val="005503E4"/>
    <w:rsid w:val="0055053A"/>
    <w:rsid w:val="00553878"/>
    <w:rsid w:val="00556E39"/>
    <w:rsid w:val="00563C20"/>
    <w:rsid w:val="00564B41"/>
    <w:rsid w:val="005708CA"/>
    <w:rsid w:val="00574022"/>
    <w:rsid w:val="00574FC0"/>
    <w:rsid w:val="005764EE"/>
    <w:rsid w:val="00576B81"/>
    <w:rsid w:val="00581E20"/>
    <w:rsid w:val="005852B9"/>
    <w:rsid w:val="00594582"/>
    <w:rsid w:val="00594CC0"/>
    <w:rsid w:val="005A14FD"/>
    <w:rsid w:val="005A26F6"/>
    <w:rsid w:val="005B2181"/>
    <w:rsid w:val="005C1AF9"/>
    <w:rsid w:val="005C64B7"/>
    <w:rsid w:val="005C744B"/>
    <w:rsid w:val="005C771A"/>
    <w:rsid w:val="005D0092"/>
    <w:rsid w:val="005D1E53"/>
    <w:rsid w:val="005D2754"/>
    <w:rsid w:val="005D3D0F"/>
    <w:rsid w:val="005D43D0"/>
    <w:rsid w:val="005D470B"/>
    <w:rsid w:val="005D491F"/>
    <w:rsid w:val="005D4B11"/>
    <w:rsid w:val="005E33D3"/>
    <w:rsid w:val="005E3C03"/>
    <w:rsid w:val="005E5A13"/>
    <w:rsid w:val="005E5FCA"/>
    <w:rsid w:val="005E796B"/>
    <w:rsid w:val="005F0AAC"/>
    <w:rsid w:val="005F5554"/>
    <w:rsid w:val="006024B6"/>
    <w:rsid w:val="00602EBB"/>
    <w:rsid w:val="00616A55"/>
    <w:rsid w:val="00617254"/>
    <w:rsid w:val="00617C0E"/>
    <w:rsid w:val="00620645"/>
    <w:rsid w:val="006228CF"/>
    <w:rsid w:val="00622DEB"/>
    <w:rsid w:val="00623C8F"/>
    <w:rsid w:val="006354A3"/>
    <w:rsid w:val="00636A9C"/>
    <w:rsid w:val="00647190"/>
    <w:rsid w:val="00651B17"/>
    <w:rsid w:val="00651CAF"/>
    <w:rsid w:val="00652235"/>
    <w:rsid w:val="00653B34"/>
    <w:rsid w:val="006559E8"/>
    <w:rsid w:val="006567D6"/>
    <w:rsid w:val="006621A9"/>
    <w:rsid w:val="00675CCE"/>
    <w:rsid w:val="00676BB6"/>
    <w:rsid w:val="00686C47"/>
    <w:rsid w:val="00686FCC"/>
    <w:rsid w:val="006901A4"/>
    <w:rsid w:val="006934B5"/>
    <w:rsid w:val="0069436B"/>
    <w:rsid w:val="0069643E"/>
    <w:rsid w:val="006A009A"/>
    <w:rsid w:val="006A1417"/>
    <w:rsid w:val="006A1DBF"/>
    <w:rsid w:val="006A4D28"/>
    <w:rsid w:val="006A4F98"/>
    <w:rsid w:val="006A658E"/>
    <w:rsid w:val="006A695E"/>
    <w:rsid w:val="006A78C9"/>
    <w:rsid w:val="006B0509"/>
    <w:rsid w:val="006C1D08"/>
    <w:rsid w:val="006C7898"/>
    <w:rsid w:val="006D214D"/>
    <w:rsid w:val="006E2313"/>
    <w:rsid w:val="006E2696"/>
    <w:rsid w:val="006E2CC7"/>
    <w:rsid w:val="006E500A"/>
    <w:rsid w:val="006F2BBB"/>
    <w:rsid w:val="00701D5D"/>
    <w:rsid w:val="0070559B"/>
    <w:rsid w:val="00706BA6"/>
    <w:rsid w:val="00711738"/>
    <w:rsid w:val="00713A56"/>
    <w:rsid w:val="00714CB9"/>
    <w:rsid w:val="00716F29"/>
    <w:rsid w:val="0072099F"/>
    <w:rsid w:val="0072301F"/>
    <w:rsid w:val="007310CD"/>
    <w:rsid w:val="00732DB0"/>
    <w:rsid w:val="00733042"/>
    <w:rsid w:val="0073611D"/>
    <w:rsid w:val="00740B8B"/>
    <w:rsid w:val="007419F9"/>
    <w:rsid w:val="007434BD"/>
    <w:rsid w:val="00750CFF"/>
    <w:rsid w:val="00760FA7"/>
    <w:rsid w:val="007679FC"/>
    <w:rsid w:val="00772C04"/>
    <w:rsid w:val="007804DD"/>
    <w:rsid w:val="00790C7E"/>
    <w:rsid w:val="007A194B"/>
    <w:rsid w:val="007A1EF7"/>
    <w:rsid w:val="007A478F"/>
    <w:rsid w:val="007A6B3A"/>
    <w:rsid w:val="007B0EF9"/>
    <w:rsid w:val="007B7717"/>
    <w:rsid w:val="007C5D10"/>
    <w:rsid w:val="007D42C2"/>
    <w:rsid w:val="007E3E82"/>
    <w:rsid w:val="007E5074"/>
    <w:rsid w:val="007E581D"/>
    <w:rsid w:val="007E6CC2"/>
    <w:rsid w:val="007F2609"/>
    <w:rsid w:val="007F6EB0"/>
    <w:rsid w:val="0080137F"/>
    <w:rsid w:val="00802605"/>
    <w:rsid w:val="00802E9F"/>
    <w:rsid w:val="008055A3"/>
    <w:rsid w:val="0080614A"/>
    <w:rsid w:val="00806F94"/>
    <w:rsid w:val="008073F8"/>
    <w:rsid w:val="00813B48"/>
    <w:rsid w:val="00816CB3"/>
    <w:rsid w:val="00816DD4"/>
    <w:rsid w:val="0082527D"/>
    <w:rsid w:val="008355AD"/>
    <w:rsid w:val="0083749A"/>
    <w:rsid w:val="00843FC0"/>
    <w:rsid w:val="00846097"/>
    <w:rsid w:val="008502CE"/>
    <w:rsid w:val="008519CD"/>
    <w:rsid w:val="00854469"/>
    <w:rsid w:val="008546BD"/>
    <w:rsid w:val="00863F6B"/>
    <w:rsid w:val="00865E48"/>
    <w:rsid w:val="00872229"/>
    <w:rsid w:val="008746F3"/>
    <w:rsid w:val="00883580"/>
    <w:rsid w:val="00890BB3"/>
    <w:rsid w:val="008940B0"/>
    <w:rsid w:val="008954D0"/>
    <w:rsid w:val="0089754F"/>
    <w:rsid w:val="008A03F6"/>
    <w:rsid w:val="008A3101"/>
    <w:rsid w:val="008B23C3"/>
    <w:rsid w:val="008C0C9F"/>
    <w:rsid w:val="008C6062"/>
    <w:rsid w:val="008D2D00"/>
    <w:rsid w:val="008D4BCE"/>
    <w:rsid w:val="008D5071"/>
    <w:rsid w:val="008D5BDC"/>
    <w:rsid w:val="008D5F01"/>
    <w:rsid w:val="008D6D91"/>
    <w:rsid w:val="008E149D"/>
    <w:rsid w:val="008E5719"/>
    <w:rsid w:val="008F289A"/>
    <w:rsid w:val="008F75FC"/>
    <w:rsid w:val="009025D5"/>
    <w:rsid w:val="00902617"/>
    <w:rsid w:val="0090562E"/>
    <w:rsid w:val="00906284"/>
    <w:rsid w:val="00916C50"/>
    <w:rsid w:val="009205FB"/>
    <w:rsid w:val="0092416B"/>
    <w:rsid w:val="00930EB9"/>
    <w:rsid w:val="009343F0"/>
    <w:rsid w:val="00952135"/>
    <w:rsid w:val="00954E27"/>
    <w:rsid w:val="00956C0B"/>
    <w:rsid w:val="00961947"/>
    <w:rsid w:val="00962857"/>
    <w:rsid w:val="0096770C"/>
    <w:rsid w:val="00970A98"/>
    <w:rsid w:val="0097251E"/>
    <w:rsid w:val="00983DBD"/>
    <w:rsid w:val="0098438F"/>
    <w:rsid w:val="009864D6"/>
    <w:rsid w:val="00987497"/>
    <w:rsid w:val="009974AA"/>
    <w:rsid w:val="00997A1D"/>
    <w:rsid w:val="00997EEF"/>
    <w:rsid w:val="009A06A8"/>
    <w:rsid w:val="009A2CF9"/>
    <w:rsid w:val="009B1DB3"/>
    <w:rsid w:val="009B1E84"/>
    <w:rsid w:val="009B2961"/>
    <w:rsid w:val="009B79F1"/>
    <w:rsid w:val="009C00C2"/>
    <w:rsid w:val="009C0E96"/>
    <w:rsid w:val="009C0FD1"/>
    <w:rsid w:val="009C278E"/>
    <w:rsid w:val="009C6BA0"/>
    <w:rsid w:val="009C6F14"/>
    <w:rsid w:val="009D2CD8"/>
    <w:rsid w:val="009D3730"/>
    <w:rsid w:val="009D7FBF"/>
    <w:rsid w:val="009E2E24"/>
    <w:rsid w:val="009E7C48"/>
    <w:rsid w:val="009F00FE"/>
    <w:rsid w:val="009F2DA1"/>
    <w:rsid w:val="009F39F1"/>
    <w:rsid w:val="009F3C0B"/>
    <w:rsid w:val="009F4EBB"/>
    <w:rsid w:val="00A04348"/>
    <w:rsid w:val="00A049EF"/>
    <w:rsid w:val="00A05A50"/>
    <w:rsid w:val="00A05B0B"/>
    <w:rsid w:val="00A06249"/>
    <w:rsid w:val="00A06253"/>
    <w:rsid w:val="00A109F1"/>
    <w:rsid w:val="00A11E1E"/>
    <w:rsid w:val="00A12296"/>
    <w:rsid w:val="00A16DAF"/>
    <w:rsid w:val="00A231D6"/>
    <w:rsid w:val="00A2330B"/>
    <w:rsid w:val="00A32234"/>
    <w:rsid w:val="00A32C3A"/>
    <w:rsid w:val="00A35C99"/>
    <w:rsid w:val="00A40707"/>
    <w:rsid w:val="00A44BF7"/>
    <w:rsid w:val="00A472AC"/>
    <w:rsid w:val="00A478CE"/>
    <w:rsid w:val="00A47C7D"/>
    <w:rsid w:val="00A5141E"/>
    <w:rsid w:val="00A52C64"/>
    <w:rsid w:val="00A5311C"/>
    <w:rsid w:val="00A533FE"/>
    <w:rsid w:val="00A5442D"/>
    <w:rsid w:val="00A55436"/>
    <w:rsid w:val="00A56723"/>
    <w:rsid w:val="00A61E9A"/>
    <w:rsid w:val="00A7019D"/>
    <w:rsid w:val="00A82062"/>
    <w:rsid w:val="00A82A65"/>
    <w:rsid w:val="00A86E0A"/>
    <w:rsid w:val="00A91E4E"/>
    <w:rsid w:val="00A95C68"/>
    <w:rsid w:val="00AA08CB"/>
    <w:rsid w:val="00AB210B"/>
    <w:rsid w:val="00AB69DB"/>
    <w:rsid w:val="00AC0272"/>
    <w:rsid w:val="00AC7834"/>
    <w:rsid w:val="00AD442A"/>
    <w:rsid w:val="00AD5B5F"/>
    <w:rsid w:val="00AE0857"/>
    <w:rsid w:val="00AF4FEB"/>
    <w:rsid w:val="00AF5E80"/>
    <w:rsid w:val="00B045BF"/>
    <w:rsid w:val="00B04B9A"/>
    <w:rsid w:val="00B052AC"/>
    <w:rsid w:val="00B16A22"/>
    <w:rsid w:val="00B25E73"/>
    <w:rsid w:val="00B362C1"/>
    <w:rsid w:val="00B40276"/>
    <w:rsid w:val="00B51821"/>
    <w:rsid w:val="00B51AA7"/>
    <w:rsid w:val="00B55F0A"/>
    <w:rsid w:val="00B60EC6"/>
    <w:rsid w:val="00B618DA"/>
    <w:rsid w:val="00B62537"/>
    <w:rsid w:val="00B62A6F"/>
    <w:rsid w:val="00B62F66"/>
    <w:rsid w:val="00B71D11"/>
    <w:rsid w:val="00B72362"/>
    <w:rsid w:val="00B76586"/>
    <w:rsid w:val="00B77E2E"/>
    <w:rsid w:val="00B8477C"/>
    <w:rsid w:val="00B85D0A"/>
    <w:rsid w:val="00B8761D"/>
    <w:rsid w:val="00B90C65"/>
    <w:rsid w:val="00B9477B"/>
    <w:rsid w:val="00BA1E20"/>
    <w:rsid w:val="00BA5D80"/>
    <w:rsid w:val="00BA62F0"/>
    <w:rsid w:val="00BB2085"/>
    <w:rsid w:val="00BB2C50"/>
    <w:rsid w:val="00BB5F31"/>
    <w:rsid w:val="00BC063E"/>
    <w:rsid w:val="00BC263D"/>
    <w:rsid w:val="00BD6771"/>
    <w:rsid w:val="00BD6BA4"/>
    <w:rsid w:val="00BE10F1"/>
    <w:rsid w:val="00BE2686"/>
    <w:rsid w:val="00BE6C52"/>
    <w:rsid w:val="00BE78E2"/>
    <w:rsid w:val="00BF08D9"/>
    <w:rsid w:val="00BF0F19"/>
    <w:rsid w:val="00BF324E"/>
    <w:rsid w:val="00C030C2"/>
    <w:rsid w:val="00C11828"/>
    <w:rsid w:val="00C13FC7"/>
    <w:rsid w:val="00C14A9B"/>
    <w:rsid w:val="00C233C9"/>
    <w:rsid w:val="00C25017"/>
    <w:rsid w:val="00C26BD6"/>
    <w:rsid w:val="00C27B38"/>
    <w:rsid w:val="00C320BB"/>
    <w:rsid w:val="00C40418"/>
    <w:rsid w:val="00C40E3A"/>
    <w:rsid w:val="00C44FE4"/>
    <w:rsid w:val="00C46FA2"/>
    <w:rsid w:val="00C471B1"/>
    <w:rsid w:val="00C50355"/>
    <w:rsid w:val="00C51675"/>
    <w:rsid w:val="00C5299C"/>
    <w:rsid w:val="00C57E38"/>
    <w:rsid w:val="00C606B1"/>
    <w:rsid w:val="00C628D7"/>
    <w:rsid w:val="00C6388C"/>
    <w:rsid w:val="00C6634A"/>
    <w:rsid w:val="00C67255"/>
    <w:rsid w:val="00C710C0"/>
    <w:rsid w:val="00C722AC"/>
    <w:rsid w:val="00C75192"/>
    <w:rsid w:val="00C75690"/>
    <w:rsid w:val="00C851BC"/>
    <w:rsid w:val="00C919D0"/>
    <w:rsid w:val="00C92208"/>
    <w:rsid w:val="00C96F0A"/>
    <w:rsid w:val="00CA7254"/>
    <w:rsid w:val="00CB1AF4"/>
    <w:rsid w:val="00CB305E"/>
    <w:rsid w:val="00CB5BDA"/>
    <w:rsid w:val="00CB5C11"/>
    <w:rsid w:val="00CB63D9"/>
    <w:rsid w:val="00CB68D6"/>
    <w:rsid w:val="00CC0601"/>
    <w:rsid w:val="00CC24F1"/>
    <w:rsid w:val="00CC28F1"/>
    <w:rsid w:val="00CD26CA"/>
    <w:rsid w:val="00CD36CF"/>
    <w:rsid w:val="00CD5213"/>
    <w:rsid w:val="00CD593D"/>
    <w:rsid w:val="00CE0C65"/>
    <w:rsid w:val="00CE1564"/>
    <w:rsid w:val="00CE2471"/>
    <w:rsid w:val="00CE4953"/>
    <w:rsid w:val="00CF553B"/>
    <w:rsid w:val="00CF5E37"/>
    <w:rsid w:val="00CF6E47"/>
    <w:rsid w:val="00CF7C44"/>
    <w:rsid w:val="00D01471"/>
    <w:rsid w:val="00D0178C"/>
    <w:rsid w:val="00D03FC1"/>
    <w:rsid w:val="00D03FFE"/>
    <w:rsid w:val="00D12769"/>
    <w:rsid w:val="00D162BA"/>
    <w:rsid w:val="00D168D1"/>
    <w:rsid w:val="00D227B6"/>
    <w:rsid w:val="00D2628C"/>
    <w:rsid w:val="00D304BA"/>
    <w:rsid w:val="00D3338D"/>
    <w:rsid w:val="00D37504"/>
    <w:rsid w:val="00D405F8"/>
    <w:rsid w:val="00D47749"/>
    <w:rsid w:val="00D52318"/>
    <w:rsid w:val="00D56646"/>
    <w:rsid w:val="00D5754A"/>
    <w:rsid w:val="00D60ACE"/>
    <w:rsid w:val="00D62847"/>
    <w:rsid w:val="00D65856"/>
    <w:rsid w:val="00D67445"/>
    <w:rsid w:val="00D74460"/>
    <w:rsid w:val="00D7643F"/>
    <w:rsid w:val="00D878D5"/>
    <w:rsid w:val="00DC6097"/>
    <w:rsid w:val="00DD3AE1"/>
    <w:rsid w:val="00DD781F"/>
    <w:rsid w:val="00DE0F76"/>
    <w:rsid w:val="00DE5C68"/>
    <w:rsid w:val="00DF51C4"/>
    <w:rsid w:val="00E01A45"/>
    <w:rsid w:val="00E034DC"/>
    <w:rsid w:val="00E0578F"/>
    <w:rsid w:val="00E06535"/>
    <w:rsid w:val="00E06729"/>
    <w:rsid w:val="00E1277E"/>
    <w:rsid w:val="00E13720"/>
    <w:rsid w:val="00E1727C"/>
    <w:rsid w:val="00E2357E"/>
    <w:rsid w:val="00E23BD4"/>
    <w:rsid w:val="00E2594B"/>
    <w:rsid w:val="00E273E6"/>
    <w:rsid w:val="00E3223F"/>
    <w:rsid w:val="00E40765"/>
    <w:rsid w:val="00E44783"/>
    <w:rsid w:val="00E500EA"/>
    <w:rsid w:val="00E55A15"/>
    <w:rsid w:val="00E604E5"/>
    <w:rsid w:val="00E63A8E"/>
    <w:rsid w:val="00E64A8D"/>
    <w:rsid w:val="00E67F5B"/>
    <w:rsid w:val="00E871C8"/>
    <w:rsid w:val="00E9304C"/>
    <w:rsid w:val="00E930B6"/>
    <w:rsid w:val="00E96E25"/>
    <w:rsid w:val="00EA34C9"/>
    <w:rsid w:val="00EA6211"/>
    <w:rsid w:val="00EA7ACB"/>
    <w:rsid w:val="00EB1E69"/>
    <w:rsid w:val="00EB4A06"/>
    <w:rsid w:val="00EC2A12"/>
    <w:rsid w:val="00EC3CF5"/>
    <w:rsid w:val="00EC3FBC"/>
    <w:rsid w:val="00EF039D"/>
    <w:rsid w:val="00EF5913"/>
    <w:rsid w:val="00EF791D"/>
    <w:rsid w:val="00F06949"/>
    <w:rsid w:val="00F10215"/>
    <w:rsid w:val="00F11895"/>
    <w:rsid w:val="00F12D9C"/>
    <w:rsid w:val="00F16573"/>
    <w:rsid w:val="00F21CD3"/>
    <w:rsid w:val="00F21F09"/>
    <w:rsid w:val="00F35952"/>
    <w:rsid w:val="00F3614B"/>
    <w:rsid w:val="00F40057"/>
    <w:rsid w:val="00F4157B"/>
    <w:rsid w:val="00F465DF"/>
    <w:rsid w:val="00F55A8F"/>
    <w:rsid w:val="00F60D1C"/>
    <w:rsid w:val="00F67987"/>
    <w:rsid w:val="00F71812"/>
    <w:rsid w:val="00F71929"/>
    <w:rsid w:val="00F72F1F"/>
    <w:rsid w:val="00F741AE"/>
    <w:rsid w:val="00F743FB"/>
    <w:rsid w:val="00F74EFE"/>
    <w:rsid w:val="00F80352"/>
    <w:rsid w:val="00F83373"/>
    <w:rsid w:val="00F83748"/>
    <w:rsid w:val="00F8498B"/>
    <w:rsid w:val="00F85078"/>
    <w:rsid w:val="00F85E7A"/>
    <w:rsid w:val="00F9123A"/>
    <w:rsid w:val="00F92CD2"/>
    <w:rsid w:val="00F94352"/>
    <w:rsid w:val="00F9438E"/>
    <w:rsid w:val="00F9702A"/>
    <w:rsid w:val="00FA2E46"/>
    <w:rsid w:val="00FB281D"/>
    <w:rsid w:val="00FB3724"/>
    <w:rsid w:val="00FB63F3"/>
    <w:rsid w:val="00FC0A29"/>
    <w:rsid w:val="00FD51F5"/>
    <w:rsid w:val="00FE5394"/>
    <w:rsid w:val="00FE6612"/>
    <w:rsid w:val="00FF0365"/>
    <w:rsid w:val="00FF06F1"/>
    <w:rsid w:val="00FF5A3E"/>
    <w:rsid w:val="5EC4086F"/>
    <w:rsid w:val="68D82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64CB599"/>
  <w15:docId w15:val="{D6FCEDC1-7DA7-4D76-8C30-E24320E43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lsdException w:name="heading 6" w:semiHidden="1" w:uiPriority="9" w:unhideWhenUsed="1"/>
    <w:lsdException w:name="heading 7" w:semiHidden="1" w:uiPriority="9" w:unhideWhenUsed="1" w:qFormat="1"/>
    <w:lsdException w:name="heading 8" w:uiPriority="0"/>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semiHidden="1" w:unhideWhenUsed="1"/>
    <w:lsdException w:name="Block Text" w:semiHidden="1" w:unhideWhenUsed="1"/>
    <w:lsdException w:name="FollowedHyperlink"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qFormat="1"/>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64" w:lineRule="auto"/>
      <w:ind w:firstLine="720"/>
      <w:jc w:val="both"/>
    </w:pPr>
    <w:rPr>
      <w:rFonts w:eastAsiaTheme="minorHAnsi" w:cstheme="minorBidi"/>
      <w:sz w:val="28"/>
      <w:szCs w:val="24"/>
      <w:lang w:val="af-ZA"/>
    </w:rPr>
  </w:style>
  <w:style w:type="paragraph" w:styleId="Heading1">
    <w:name w:val="heading 1"/>
    <w:basedOn w:val="Normal"/>
    <w:next w:val="Normal"/>
    <w:link w:val="Heading1Char"/>
    <w:qFormat/>
    <w:pPr>
      <w:keepNext/>
      <w:keepLines/>
      <w:ind w:firstLine="0"/>
      <w:jc w:val="center"/>
      <w:outlineLvl w:val="0"/>
    </w:pPr>
    <w:rPr>
      <w:rFonts w:eastAsia="Times New Roman" w:cs="Times New Roman"/>
      <w:b/>
      <w:szCs w:val="32"/>
      <w:lang w:val="es-ES"/>
    </w:rPr>
  </w:style>
  <w:style w:type="paragraph" w:styleId="Heading2">
    <w:name w:val="heading 2"/>
    <w:basedOn w:val="Normal"/>
    <w:next w:val="Normal"/>
    <w:link w:val="Heading2Char"/>
    <w:unhideWhenUsed/>
    <w:qFormat/>
    <w:pPr>
      <w:keepNext/>
      <w:keepLines/>
      <w:outlineLvl w:val="1"/>
    </w:pPr>
    <w:rPr>
      <w:rFonts w:eastAsia="Times New Roman" w:cs="Times New Roman"/>
      <w:b/>
      <w:sz w:val="24"/>
      <w:szCs w:val="26"/>
      <w:lang w:val="es-ES"/>
    </w:rPr>
  </w:style>
  <w:style w:type="paragraph" w:styleId="Heading3">
    <w:name w:val="heading 3"/>
    <w:basedOn w:val="Normal"/>
    <w:next w:val="Normal"/>
    <w:link w:val="Heading3Char"/>
    <w:unhideWhenUsed/>
    <w:qFormat/>
    <w:pPr>
      <w:keepNext/>
      <w:keepLines/>
      <w:outlineLvl w:val="2"/>
    </w:pPr>
    <w:rPr>
      <w:rFonts w:eastAsia="Times New Roman" w:cs="Times New Roman"/>
      <w:b/>
      <w:lang w:val="es-ES"/>
    </w:rPr>
  </w:style>
  <w:style w:type="paragraph" w:styleId="Heading4">
    <w:name w:val="heading 4"/>
    <w:basedOn w:val="Normal"/>
    <w:next w:val="Normal"/>
    <w:link w:val="Heading4Char"/>
    <w:unhideWhenUsed/>
    <w:qFormat/>
    <w:pPr>
      <w:keepNext/>
      <w:keepLines/>
      <w:outlineLvl w:val="3"/>
    </w:pPr>
    <w:rPr>
      <w:b/>
      <w:i/>
      <w:lang w:val="es-ES"/>
    </w:rPr>
  </w:style>
  <w:style w:type="paragraph" w:styleId="Heading5">
    <w:name w:val="heading 5"/>
    <w:basedOn w:val="Normal"/>
    <w:next w:val="Normal"/>
    <w:link w:val="Heading5Char"/>
    <w:pPr>
      <w:keepNext/>
      <w:spacing w:before="120" w:line="360" w:lineRule="exact"/>
      <w:jc w:val="center"/>
      <w:outlineLvl w:val="4"/>
    </w:pPr>
    <w:rPr>
      <w:rFonts w:ascii=".VnArialH" w:eastAsia="Times New Roman" w:hAnsi=".VnArialH" w:cs="Times New Roman"/>
      <w:b/>
      <w:szCs w:val="20"/>
      <w:lang w:val="es-ES"/>
    </w:rPr>
  </w:style>
  <w:style w:type="paragraph" w:styleId="Heading8">
    <w:name w:val="heading 8"/>
    <w:basedOn w:val="Normal"/>
    <w:next w:val="Normal"/>
    <w:link w:val="Heading8Char"/>
    <w:pPr>
      <w:keepNext/>
      <w:spacing w:line="276" w:lineRule="auto"/>
      <w:jc w:val="center"/>
      <w:outlineLvl w:val="7"/>
    </w:pPr>
    <w:rPr>
      <w:rFonts w:ascii=".VnTimeH" w:eastAsia="Times New Roman" w:hAnsi=".VnTimeH" w:cs="Times New Roman"/>
      <w:b/>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
    <w:name w:val="Body Text"/>
    <w:basedOn w:val="Normal"/>
    <w:link w:val="BodyTextChar"/>
    <w:pPr>
      <w:spacing w:line="276" w:lineRule="auto"/>
    </w:pPr>
    <w:rPr>
      <w:rFonts w:ascii=".VnTime" w:eastAsia="Times New Roman" w:hAnsi=".VnTime" w:cs="Times New Roman"/>
      <w:szCs w:val="20"/>
      <w:lang w:val="es-ES" w:eastAsia="en-AU"/>
    </w:rPr>
  </w:style>
  <w:style w:type="paragraph" w:styleId="BodyText2">
    <w:name w:val="Body Text 2"/>
    <w:basedOn w:val="Normal"/>
    <w:link w:val="BodyText2Char"/>
    <w:pPr>
      <w:spacing w:before="120" w:line="288" w:lineRule="auto"/>
    </w:pPr>
    <w:rPr>
      <w:rFonts w:ascii=".VnTime" w:eastAsia="Times New Roman" w:hAnsi=".VnTime" w:cs="Times New Roman"/>
      <w:szCs w:val="20"/>
      <w:lang w:val="es-ES"/>
    </w:rPr>
  </w:style>
  <w:style w:type="paragraph" w:styleId="BodyTextIndent">
    <w:name w:val="Body Text Indent"/>
    <w:basedOn w:val="Normal"/>
    <w:link w:val="BodyTextIndentChar"/>
    <w:pPr>
      <w:spacing w:line="276" w:lineRule="auto"/>
    </w:pPr>
    <w:rPr>
      <w:rFonts w:ascii=".VnTimeH" w:eastAsia="Times New Roman" w:hAnsi=".VnTimeH" w:cs="Times New Roman"/>
      <w:sz w:val="26"/>
      <w:szCs w:val="20"/>
      <w:lang w:val="zh-CN" w:eastAsia="zh-CN"/>
    </w:rPr>
  </w:style>
  <w:style w:type="paragraph" w:styleId="BodyTextIndent2">
    <w:name w:val="Body Text Indent 2"/>
    <w:basedOn w:val="Normal"/>
    <w:link w:val="BodyTextIndent2Char"/>
    <w:pPr>
      <w:spacing w:before="120" w:line="276" w:lineRule="auto"/>
    </w:pPr>
    <w:rPr>
      <w:rFonts w:ascii=".VnTime" w:eastAsia="Times New Roman" w:hAnsi=".VnTime" w:cs="Times New Roman"/>
      <w:szCs w:val="20"/>
      <w:lang w:val="es-ES"/>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unhideWhenUsed/>
    <w:rPr>
      <w:b/>
      <w:bCs/>
    </w:rPr>
  </w:style>
  <w:style w:type="character" w:styleId="Emphasis">
    <w:name w:val="Emphasis"/>
    <w:basedOn w:val="DefaultParagraphFont"/>
    <w:rPr>
      <w:i/>
      <w:i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link w:val="FooterChar"/>
    <w:uiPriority w:val="99"/>
    <w:pPr>
      <w:tabs>
        <w:tab w:val="center" w:pos="4320"/>
        <w:tab w:val="right" w:pos="8640"/>
      </w:tabs>
      <w:spacing w:line="276" w:lineRule="auto"/>
    </w:pPr>
    <w:rPr>
      <w:rFonts w:eastAsia="Times New Roman" w:cs="Times New Roman"/>
      <w:szCs w:val="28"/>
      <w:lang w:val="es-ES"/>
    </w:rPr>
  </w:style>
  <w:style w:type="character" w:styleId="FootnoteReference">
    <w:name w:val="footnote reference"/>
    <w:basedOn w:val="DefaultParagraphFont"/>
    <w:uiPriority w:val="99"/>
    <w:qFormat/>
    <w:rPr>
      <w:vertAlign w:val="superscript"/>
    </w:rPr>
  </w:style>
  <w:style w:type="paragraph" w:styleId="FootnoteText">
    <w:name w:val="footnote text"/>
    <w:basedOn w:val="Normal"/>
    <w:link w:val="FootnoteTextChar"/>
    <w:uiPriority w:val="99"/>
    <w:qFormat/>
    <w:pPr>
      <w:spacing w:after="60"/>
    </w:pPr>
    <w:rPr>
      <w:rFonts w:eastAsia="Times New Roman" w:cs="Times New Roman"/>
      <w:sz w:val="20"/>
      <w:szCs w:val="20"/>
      <w:lang w:val="es-ES"/>
    </w:rPr>
  </w:style>
  <w:style w:type="paragraph" w:styleId="Header">
    <w:name w:val="header"/>
    <w:basedOn w:val="Normal"/>
    <w:link w:val="HeaderChar"/>
    <w:uiPriority w:val="99"/>
    <w:pPr>
      <w:tabs>
        <w:tab w:val="center" w:pos="4320"/>
        <w:tab w:val="right" w:pos="8640"/>
      </w:tabs>
      <w:spacing w:line="276" w:lineRule="auto"/>
    </w:pPr>
    <w:rPr>
      <w:rFonts w:eastAsia="Times New Roman" w:cs="Times New Roman"/>
      <w:szCs w:val="28"/>
      <w:lang w:val="es-ES"/>
    </w:rPr>
  </w:style>
  <w:style w:type="character" w:styleId="Hyperlink">
    <w:name w:val="Hyperlink"/>
    <w:basedOn w:val="DefaultParagraphFont"/>
    <w:uiPriority w:val="99"/>
    <w:rPr>
      <w:color w:val="0000FF"/>
      <w:u w:val="single"/>
    </w:rPr>
  </w:style>
  <w:style w:type="paragraph" w:styleId="NormalWeb">
    <w:name w:val="Normal (Web)"/>
    <w:basedOn w:val="Normal"/>
    <w:uiPriority w:val="99"/>
    <w:unhideWhenUsed/>
    <w:pPr>
      <w:spacing w:before="100" w:beforeAutospacing="1" w:after="100" w:afterAutospacing="1"/>
    </w:pPr>
    <w:rPr>
      <w:rFonts w:eastAsia="Times New Roman" w:cs="Times New Roman"/>
    </w:rPr>
  </w:style>
  <w:style w:type="character" w:styleId="PageNumber">
    <w:name w:val="page number"/>
    <w:basedOn w:val="DefaultParagraphFont"/>
  </w:style>
  <w:style w:type="character" w:styleId="Strong">
    <w:name w:val="Strong"/>
    <w:basedOn w:val="DefaultParagraphFont"/>
    <w:uiPriority w:val="22"/>
    <w:qFormat/>
    <w:rPr>
      <w:b/>
      <w:bCs/>
    </w:rPr>
  </w:style>
  <w:style w:type="table" w:styleId="TableGrid">
    <w:name w:val="Table Grid"/>
    <w:basedOn w:val="TableNormal"/>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ind w:firstLine="0"/>
      <w:jc w:val="center"/>
    </w:pPr>
    <w:rPr>
      <w:rFonts w:ascii="Times New Roman Bold" w:eastAsiaTheme="majorEastAsia" w:hAnsi="Times New Roman Bold" w:cstheme="majorBidi"/>
      <w:b/>
      <w:szCs w:val="56"/>
    </w:rPr>
  </w:style>
  <w:style w:type="paragraph" w:styleId="TOC1">
    <w:name w:val="toc 1"/>
    <w:basedOn w:val="Normal"/>
    <w:next w:val="Normal"/>
    <w:autoRedefine/>
    <w:uiPriority w:val="39"/>
    <w:pPr>
      <w:spacing w:after="100" w:line="276" w:lineRule="auto"/>
    </w:pPr>
    <w:rPr>
      <w:rFonts w:eastAsia="Times New Roman" w:cs="Times New Roman"/>
      <w:szCs w:val="28"/>
      <w:lang w:val="es-ES"/>
    </w:rPr>
  </w:style>
  <w:style w:type="paragraph" w:styleId="TOC2">
    <w:name w:val="toc 2"/>
    <w:basedOn w:val="Normal"/>
    <w:next w:val="Normal"/>
    <w:autoRedefine/>
    <w:uiPriority w:val="39"/>
    <w:pPr>
      <w:spacing w:after="100" w:line="276" w:lineRule="auto"/>
      <w:ind w:left="280"/>
    </w:pPr>
    <w:rPr>
      <w:rFonts w:eastAsia="Times New Roman" w:cs="Times New Roman"/>
      <w:szCs w:val="28"/>
      <w:lang w:val="es-ES"/>
    </w:rPr>
  </w:style>
  <w:style w:type="paragraph" w:styleId="TOC3">
    <w:name w:val="toc 3"/>
    <w:basedOn w:val="Normal"/>
    <w:next w:val="Normal"/>
    <w:autoRedefine/>
    <w:uiPriority w:val="39"/>
    <w:pPr>
      <w:tabs>
        <w:tab w:val="right" w:leader="dot" w:pos="9062"/>
      </w:tabs>
      <w:spacing w:after="100"/>
      <w:ind w:left="561"/>
    </w:pPr>
    <w:rPr>
      <w:rFonts w:eastAsia="Times New Roman" w:cs="Times New Roman"/>
      <w:szCs w:val="28"/>
      <w:lang w:val="es-ES"/>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Heading11">
    <w:name w:val="Heading 11"/>
    <w:basedOn w:val="Normal"/>
    <w:next w:val="Normal"/>
    <w:pPr>
      <w:keepNext/>
      <w:keepLines/>
      <w:spacing w:line="276" w:lineRule="auto"/>
      <w:jc w:val="center"/>
      <w:outlineLvl w:val="0"/>
    </w:pPr>
    <w:rPr>
      <w:rFonts w:eastAsia="Times New Roman" w:cs="Times New Roman"/>
      <w:b/>
      <w:szCs w:val="32"/>
      <w:lang w:val="es-ES"/>
    </w:rPr>
  </w:style>
  <w:style w:type="paragraph" w:customStyle="1" w:styleId="Heading21">
    <w:name w:val="Heading 21"/>
    <w:basedOn w:val="Normal"/>
    <w:next w:val="Normal"/>
    <w:unhideWhenUsed/>
    <w:pPr>
      <w:keepNext/>
      <w:keepLines/>
      <w:spacing w:line="276" w:lineRule="auto"/>
      <w:outlineLvl w:val="1"/>
    </w:pPr>
    <w:rPr>
      <w:rFonts w:eastAsia="Times New Roman" w:cs="Times New Roman"/>
      <w:b/>
      <w:szCs w:val="26"/>
      <w:lang w:val="es-ES"/>
    </w:rPr>
  </w:style>
  <w:style w:type="paragraph" w:customStyle="1" w:styleId="Heading31">
    <w:name w:val="Heading 31"/>
    <w:basedOn w:val="Normal"/>
    <w:next w:val="Normal"/>
    <w:unhideWhenUsed/>
    <w:pPr>
      <w:keepNext/>
      <w:keepLines/>
      <w:spacing w:line="276" w:lineRule="auto"/>
      <w:outlineLvl w:val="2"/>
    </w:pPr>
    <w:rPr>
      <w:rFonts w:eastAsia="Times New Roman" w:cs="Times New Roman"/>
      <w:b/>
      <w:lang w:val="es-ES"/>
    </w:rPr>
  </w:style>
  <w:style w:type="paragraph" w:customStyle="1" w:styleId="Heading41">
    <w:name w:val="Heading 41"/>
    <w:basedOn w:val="Normal"/>
    <w:next w:val="Normal"/>
    <w:pPr>
      <w:keepNext/>
      <w:spacing w:line="276" w:lineRule="auto"/>
      <w:outlineLvl w:val="3"/>
    </w:pPr>
    <w:rPr>
      <w:rFonts w:eastAsia="Times New Roman" w:cs="Times New Roman"/>
      <w:b/>
      <w:i/>
      <w:szCs w:val="20"/>
      <w:lang w:val="es-ES"/>
    </w:rPr>
  </w:style>
  <w:style w:type="character" w:customStyle="1" w:styleId="Heading5Char">
    <w:name w:val="Heading 5 Char"/>
    <w:basedOn w:val="DefaultParagraphFont"/>
    <w:link w:val="Heading5"/>
    <w:rPr>
      <w:rFonts w:ascii=".VnArialH" w:eastAsia="Times New Roman" w:hAnsi=".VnArialH" w:cs="Times New Roman"/>
      <w:b/>
      <w:szCs w:val="20"/>
      <w:lang w:val="es-ES"/>
    </w:rPr>
  </w:style>
  <w:style w:type="character" w:customStyle="1" w:styleId="Heading8Char">
    <w:name w:val="Heading 8 Char"/>
    <w:basedOn w:val="DefaultParagraphFont"/>
    <w:link w:val="Heading8"/>
    <w:rPr>
      <w:rFonts w:ascii=".VnTimeH" w:eastAsia="Times New Roman" w:hAnsi=".VnTimeH" w:cs="Times New Roman"/>
      <w:b/>
      <w:sz w:val="20"/>
      <w:szCs w:val="20"/>
      <w:lang w:val="es-ES"/>
    </w:rPr>
  </w:style>
  <w:style w:type="character" w:customStyle="1" w:styleId="Heading1Char">
    <w:name w:val="Heading 1 Char"/>
    <w:basedOn w:val="DefaultParagraphFont"/>
    <w:link w:val="Heading1"/>
    <w:rPr>
      <w:rFonts w:ascii="Times New Roman" w:eastAsia="Times New Roman" w:hAnsi="Times New Roman" w:cs="Times New Roman"/>
      <w:b/>
      <w:sz w:val="28"/>
      <w:szCs w:val="32"/>
      <w:lang w:val="es-ES"/>
    </w:rPr>
  </w:style>
  <w:style w:type="character" w:customStyle="1" w:styleId="Heading2Char">
    <w:name w:val="Heading 2 Char"/>
    <w:basedOn w:val="DefaultParagraphFont"/>
    <w:link w:val="Heading2"/>
    <w:rPr>
      <w:rFonts w:ascii="Times New Roman" w:eastAsia="Times New Roman" w:hAnsi="Times New Roman" w:cs="Times New Roman"/>
      <w:b/>
      <w:szCs w:val="26"/>
      <w:lang w:val="es-ES"/>
    </w:rPr>
  </w:style>
  <w:style w:type="character" w:customStyle="1" w:styleId="Heading3Char">
    <w:name w:val="Heading 3 Char"/>
    <w:basedOn w:val="DefaultParagraphFont"/>
    <w:link w:val="Heading3"/>
    <w:rPr>
      <w:rFonts w:ascii="Times New Roman" w:eastAsia="Times New Roman" w:hAnsi="Times New Roman" w:cs="Times New Roman"/>
      <w:b/>
      <w:sz w:val="28"/>
      <w:lang w:val="es-ES"/>
    </w:rPr>
  </w:style>
  <w:style w:type="character" w:customStyle="1" w:styleId="Heading4Char">
    <w:name w:val="Heading 4 Char"/>
    <w:basedOn w:val="DefaultParagraphFont"/>
    <w:link w:val="Heading4"/>
    <w:rPr>
      <w:rFonts w:ascii="Times New Roman" w:hAnsi="Times New Roman"/>
      <w:b/>
      <w:i/>
      <w:sz w:val="28"/>
      <w:lang w:val="es-ES"/>
    </w:rPr>
  </w:style>
  <w:style w:type="character" w:customStyle="1" w:styleId="FooterChar">
    <w:name w:val="Footer Char"/>
    <w:basedOn w:val="DefaultParagraphFont"/>
    <w:link w:val="Footer"/>
    <w:uiPriority w:val="99"/>
    <w:rPr>
      <w:rFonts w:ascii="Times New Roman" w:eastAsia="Times New Roman" w:hAnsi="Times New Roman" w:cs="Times New Roman"/>
      <w:sz w:val="28"/>
      <w:szCs w:val="28"/>
      <w:lang w:val="es-ES"/>
    </w:rPr>
  </w:style>
  <w:style w:type="character" w:customStyle="1" w:styleId="BodyTextChar">
    <w:name w:val="Body Text Char"/>
    <w:basedOn w:val="DefaultParagraphFont"/>
    <w:link w:val="BodyText"/>
    <w:rPr>
      <w:rFonts w:ascii=".VnTime" w:eastAsia="Times New Roman" w:hAnsi=".VnTime" w:cs="Times New Roman"/>
      <w:sz w:val="28"/>
      <w:szCs w:val="20"/>
      <w:lang w:val="es-ES" w:eastAsia="en-AU"/>
    </w:rPr>
  </w:style>
  <w:style w:type="character" w:customStyle="1" w:styleId="BodyTextIndent2Char">
    <w:name w:val="Body Text Indent 2 Char"/>
    <w:basedOn w:val="DefaultParagraphFont"/>
    <w:link w:val="BodyTextIndent2"/>
    <w:rPr>
      <w:rFonts w:ascii=".VnTime" w:eastAsia="Times New Roman" w:hAnsi=".VnTime" w:cs="Times New Roman"/>
      <w:sz w:val="28"/>
      <w:szCs w:val="20"/>
      <w:lang w:val="es-ES"/>
    </w:rPr>
  </w:style>
  <w:style w:type="character" w:customStyle="1" w:styleId="BodyText2Char">
    <w:name w:val="Body Text 2 Char"/>
    <w:basedOn w:val="DefaultParagraphFont"/>
    <w:link w:val="BodyText2"/>
    <w:rPr>
      <w:rFonts w:ascii=".VnTime" w:eastAsia="Times New Roman" w:hAnsi=".VnTime" w:cs="Times New Roman"/>
      <w:sz w:val="28"/>
      <w:szCs w:val="20"/>
      <w:lang w:val="es-ES"/>
    </w:rPr>
  </w:style>
  <w:style w:type="character" w:customStyle="1" w:styleId="BodyTextIndentChar">
    <w:name w:val="Body Text Indent Char"/>
    <w:basedOn w:val="DefaultParagraphFont"/>
    <w:link w:val="BodyTextIndent"/>
    <w:rPr>
      <w:rFonts w:ascii=".VnTimeH" w:eastAsia="Times New Roman" w:hAnsi=".VnTimeH" w:cs="Times New Roman"/>
      <w:sz w:val="26"/>
      <w:szCs w:val="20"/>
      <w:lang w:val="zh-CN" w:eastAsia="zh-CN"/>
    </w:rPr>
  </w:style>
  <w:style w:type="paragraph" w:customStyle="1" w:styleId="n-dieund">
    <w:name w:val="n-dieund"/>
    <w:basedOn w:val="Normal"/>
    <w:pPr>
      <w:spacing w:line="276" w:lineRule="auto"/>
      <w:ind w:firstLine="709"/>
    </w:pPr>
    <w:rPr>
      <w:rFonts w:ascii=".VnTime" w:eastAsia="MS Mincho" w:hAnsi=".VnTime" w:cs="Times New Roman"/>
      <w:szCs w:val="20"/>
      <w:lang w:val="es-ES" w:eastAsia="ja-JP"/>
    </w:rPr>
  </w:style>
  <w:style w:type="character" w:customStyle="1" w:styleId="hl">
    <w:name w:val="hl"/>
    <w:basedOn w:val="DefaultParagraphFont"/>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val="es-ES"/>
    </w:rPr>
  </w:style>
  <w:style w:type="paragraph" w:customStyle="1" w:styleId="n-dieu">
    <w:name w:val="n-dieu"/>
    <w:basedOn w:val="Normal"/>
    <w:pPr>
      <w:spacing w:before="180" w:line="276" w:lineRule="auto"/>
      <w:ind w:firstLine="709"/>
    </w:pPr>
    <w:rPr>
      <w:rFonts w:ascii=".VnTime" w:eastAsia="MS Mincho" w:hAnsi=".VnTime" w:cs="Times New Roman"/>
      <w:b/>
      <w:i/>
      <w:szCs w:val="20"/>
      <w:lang w:val="it-IT" w:eastAsia="ja-JP"/>
    </w:rPr>
  </w:style>
  <w:style w:type="character" w:customStyle="1" w:styleId="HeaderChar">
    <w:name w:val="Header Char"/>
    <w:basedOn w:val="DefaultParagraphFont"/>
    <w:link w:val="Header"/>
    <w:uiPriority w:val="99"/>
    <w:rPr>
      <w:rFonts w:ascii="Times New Roman" w:eastAsia="Times New Roman" w:hAnsi="Times New Roman" w:cs="Times New Roman"/>
      <w:sz w:val="28"/>
      <w:szCs w:val="28"/>
      <w:lang w:val="es-ES"/>
    </w:rPr>
  </w:style>
  <w:style w:type="paragraph" w:customStyle="1" w:styleId="CharCharChar">
    <w:name w:val="Char Char Char"/>
    <w:basedOn w:val="Normal"/>
    <w:semiHidden/>
    <w:pPr>
      <w:pageBreakBefore/>
      <w:spacing w:before="100" w:beforeAutospacing="1" w:after="100" w:afterAutospacing="1" w:line="276" w:lineRule="auto"/>
    </w:pPr>
    <w:rPr>
      <w:rFonts w:ascii="Tahoma" w:eastAsia="Times New Roman" w:hAnsi="Tahoma" w:cs="Times New Roman"/>
      <w:sz w:val="20"/>
      <w:szCs w:val="20"/>
      <w:lang w:val="es-ES"/>
    </w:rPr>
  </w:style>
  <w:style w:type="paragraph" w:customStyle="1" w:styleId="Char">
    <w:name w:val="Char"/>
    <w:basedOn w:val="Normal"/>
    <w:semiHidden/>
    <w:pPr>
      <w:pageBreakBefore/>
      <w:spacing w:before="100" w:beforeAutospacing="1" w:after="100" w:afterAutospacing="1" w:line="276" w:lineRule="auto"/>
    </w:pPr>
    <w:rPr>
      <w:rFonts w:ascii="Tahoma" w:eastAsia="Times New Roman" w:hAnsi="Tahoma" w:cs="Times New Roman"/>
      <w:sz w:val="20"/>
      <w:szCs w:val="20"/>
      <w:lang w:val="es-ES"/>
    </w:rPr>
  </w:style>
  <w:style w:type="paragraph" w:customStyle="1" w:styleId="Bngbiu">
    <w:name w:val="Bảng biểu"/>
    <w:basedOn w:val="Normal"/>
    <w:autoRedefine/>
    <w:pPr>
      <w:spacing w:before="120" w:line="288" w:lineRule="auto"/>
      <w:jc w:val="right"/>
    </w:pPr>
    <w:rPr>
      <w:rFonts w:eastAsia="Times New Roman" w:cs="Times New Roman"/>
      <w:bCs/>
      <w:i/>
      <w:szCs w:val="20"/>
      <w:lang w:val="nl-NL" w:eastAsia="zh-CN"/>
    </w:rPr>
  </w:style>
  <w:style w:type="character" w:customStyle="1" w:styleId="normal-h">
    <w:name w:val="normal-h"/>
    <w:basedOn w:val="DefaultParagraphFont"/>
  </w:style>
  <w:style w:type="paragraph" w:customStyle="1" w:styleId="Giua">
    <w:name w:val="Giua"/>
    <w:basedOn w:val="Normal"/>
    <w:autoRedefine/>
    <w:pPr>
      <w:numPr>
        <w:numId w:val="1"/>
      </w:numPr>
      <w:tabs>
        <w:tab w:val="left" w:pos="900"/>
      </w:tabs>
      <w:spacing w:before="120" w:line="288" w:lineRule="auto"/>
    </w:pPr>
    <w:rPr>
      <w:rFonts w:eastAsia="Times New Roman" w:cs="Times New Roman"/>
      <w:b/>
      <w:spacing w:val="24"/>
      <w:lang w:val="nl-NL"/>
    </w:rPr>
  </w:style>
  <w:style w:type="paragraph" w:customStyle="1" w:styleId="dieu">
    <w:name w:val="dieu"/>
    <w:basedOn w:val="Giua"/>
    <w:link w:val="dieuChar"/>
    <w:autoRedefine/>
    <w:pPr>
      <w:ind w:firstLine="720"/>
    </w:pPr>
    <w:rPr>
      <w:sz w:val="26"/>
      <w:szCs w:val="26"/>
    </w:rPr>
  </w:style>
  <w:style w:type="character" w:customStyle="1" w:styleId="dieuChar">
    <w:name w:val="dieu Char"/>
    <w:basedOn w:val="DefaultParagraphFont"/>
    <w:link w:val="dieu"/>
    <w:rPr>
      <w:rFonts w:ascii="Times New Roman" w:eastAsia="Times New Roman" w:hAnsi="Times New Roman" w:cs="Times New Roman"/>
      <w:b/>
      <w:spacing w:val="24"/>
      <w:sz w:val="26"/>
      <w:szCs w:val="26"/>
      <w:lang w:val="nl-NL"/>
    </w:rPr>
  </w:style>
  <w:style w:type="character" w:customStyle="1" w:styleId="st">
    <w:name w:val="st"/>
    <w:basedOn w:val="DefaultParagraphFont"/>
  </w:style>
  <w:style w:type="character" w:customStyle="1" w:styleId="docsearchtitle">
    <w:name w:val="docsearchtitle"/>
    <w:basedOn w:val="DefaultParagraphFont"/>
  </w:style>
  <w:style w:type="paragraph" w:customStyle="1" w:styleId="Revision1">
    <w:name w:val="Revision1"/>
    <w:hidden/>
    <w:uiPriority w:val="99"/>
    <w:semiHidden/>
    <w:rPr>
      <w:rFonts w:ascii="Arial" w:eastAsia="Calibri" w:hAnsi="Arial"/>
      <w:sz w:val="22"/>
      <w:szCs w:val="22"/>
    </w:rPr>
  </w:style>
  <w:style w:type="table" w:customStyle="1" w:styleId="TableGrid1">
    <w:name w:val="Table Grid1"/>
    <w:basedOn w:val="TableNormal"/>
    <w:uiPriority w:val="59"/>
    <w:pPr>
      <w:jc w:val="center"/>
    </w:pPr>
    <w:rPr>
      <w:rFonts w:ascii="Arial" w:eastAsia="Calibri"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Pr>
      <w:rFonts w:ascii="Times New Roman" w:hAnsi="Times New Roman" w:cs="Times New Roman" w:hint="default"/>
      <w:color w:val="000000"/>
      <w:sz w:val="28"/>
      <w:szCs w:val="28"/>
    </w:rPr>
  </w:style>
  <w:style w:type="character" w:customStyle="1" w:styleId="fontstyle21">
    <w:name w:val="fontstyle21"/>
    <w:rPr>
      <w:rFonts w:ascii="Times New Roman" w:hAnsi="Times New Roman" w:cs="Times New Roman" w:hint="default"/>
      <w:color w:val="000000"/>
      <w:sz w:val="28"/>
      <w:szCs w:val="28"/>
    </w:rPr>
  </w:style>
  <w:style w:type="paragraph" w:customStyle="1" w:styleId="font5">
    <w:name w:val="font5"/>
    <w:basedOn w:val="Normal"/>
    <w:pPr>
      <w:spacing w:before="100" w:beforeAutospacing="1" w:after="100" w:afterAutospacing="1"/>
    </w:pPr>
    <w:rPr>
      <w:rFonts w:eastAsia="Times New Roman" w:cs="Times New Roman"/>
      <w:color w:val="000000"/>
      <w:lang w:val="en-US"/>
    </w:rPr>
  </w:style>
  <w:style w:type="paragraph" w:customStyle="1" w:styleId="xl95">
    <w:name w:val="xl95"/>
    <w:basedOn w:val="Normal"/>
    <w:pPr>
      <w:spacing w:before="100" w:beforeAutospacing="1" w:after="100" w:afterAutospacing="1"/>
    </w:pPr>
    <w:rPr>
      <w:rFonts w:eastAsia="Times New Roman" w:cs="Times New Roman"/>
      <w:color w:val="000000"/>
      <w:sz w:val="26"/>
      <w:szCs w:val="26"/>
      <w:lang w:val="en-US"/>
    </w:rPr>
  </w:style>
  <w:style w:type="paragraph" w:customStyle="1" w:styleId="xl96">
    <w:name w:val="xl96"/>
    <w:basedOn w:val="Normal"/>
    <w:pPr>
      <w:spacing w:before="100" w:beforeAutospacing="1" w:after="100" w:afterAutospacing="1"/>
      <w:jc w:val="center"/>
    </w:pPr>
    <w:rPr>
      <w:rFonts w:eastAsia="Times New Roman" w:cs="Times New Roman"/>
      <w:color w:val="000000"/>
      <w:szCs w:val="28"/>
      <w:lang w:val="en-US"/>
    </w:rPr>
  </w:style>
  <w:style w:type="paragraph" w:customStyle="1" w:styleId="xl97">
    <w:name w:val="xl97"/>
    <w:basedOn w:val="Normal"/>
    <w:pPr>
      <w:spacing w:before="100" w:beforeAutospacing="1" w:after="100" w:afterAutospacing="1"/>
      <w:jc w:val="center"/>
    </w:pPr>
    <w:rPr>
      <w:rFonts w:eastAsia="Times New Roman" w:cs="Times New Roman"/>
      <w:i/>
      <w:iCs/>
      <w:color w:val="000000"/>
      <w:sz w:val="26"/>
      <w:szCs w:val="26"/>
      <w:lang w:val="en-US"/>
    </w:rPr>
  </w:style>
  <w:style w:type="paragraph" w:customStyle="1" w:styleId="xl98">
    <w:name w:val="xl98"/>
    <w:basedOn w:val="Normal"/>
    <w:pPr>
      <w:spacing w:before="100" w:beforeAutospacing="1" w:after="100" w:afterAutospacing="1"/>
      <w:textAlignment w:val="center"/>
    </w:pPr>
    <w:rPr>
      <w:rFonts w:eastAsia="Times New Roman" w:cs="Times New Roman"/>
      <w:b/>
      <w:bCs/>
      <w:szCs w:val="28"/>
      <w:lang w:val="en-US"/>
    </w:rPr>
  </w:style>
  <w:style w:type="paragraph" w:customStyle="1" w:styleId="xl99">
    <w:name w:val="xl99"/>
    <w:basedOn w:val="Normal"/>
    <w:pPr>
      <w:spacing w:before="100" w:beforeAutospacing="1" w:after="100" w:afterAutospacing="1"/>
    </w:pPr>
    <w:rPr>
      <w:rFonts w:eastAsia="Times New Roman" w:cs="Times New Roman"/>
      <w:color w:val="000000"/>
      <w:szCs w:val="28"/>
      <w:lang w:val="en-US"/>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lang w:val="en-US"/>
    </w:rPr>
  </w:style>
  <w:style w:type="paragraph" w:customStyle="1" w:styleId="xl101">
    <w:name w:val="xl101"/>
    <w:basedOn w:val="Normal"/>
    <w:pPr>
      <w:spacing w:before="100" w:beforeAutospacing="1" w:after="100" w:afterAutospacing="1"/>
    </w:pPr>
    <w:rPr>
      <w:rFonts w:eastAsia="Times New Roman" w:cs="Times New Roman"/>
      <w:color w:val="000000"/>
      <w:szCs w:val="28"/>
      <w:lang w:val="en-US"/>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lang w:val="en-US"/>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lang w:val="en-US"/>
    </w:rPr>
  </w:style>
  <w:style w:type="paragraph" w:customStyle="1" w:styleId="xl104">
    <w:name w:val="xl104"/>
    <w:basedOn w:val="Normal"/>
    <w:pPr>
      <w:spacing w:before="100" w:beforeAutospacing="1" w:after="100" w:afterAutospacing="1"/>
      <w:textAlignment w:val="center"/>
    </w:pPr>
    <w:rPr>
      <w:rFonts w:eastAsia="Times New Roman" w:cs="Times New Roman"/>
      <w:b/>
      <w:bCs/>
      <w:szCs w:val="28"/>
      <w:lang w:val="en-US"/>
    </w:rPr>
  </w:style>
  <w:style w:type="paragraph" w:customStyle="1" w:styleId="xl105">
    <w:name w:val="xl105"/>
    <w:basedOn w:val="Normal"/>
    <w:pPr>
      <w:spacing w:before="100" w:beforeAutospacing="1" w:after="100" w:afterAutospacing="1"/>
      <w:textAlignment w:val="center"/>
    </w:pPr>
    <w:rPr>
      <w:rFonts w:eastAsia="Times New Roman" w:cs="Times New Roman"/>
      <w:b/>
      <w:bCs/>
      <w:color w:val="000000"/>
      <w:sz w:val="26"/>
      <w:szCs w:val="26"/>
      <w:lang w:val="en-US"/>
    </w:rPr>
  </w:style>
  <w:style w:type="paragraph" w:customStyle="1" w:styleId="xl106">
    <w:name w:val="xl10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0000"/>
      <w:sz w:val="26"/>
      <w:szCs w:val="26"/>
      <w:lang w:val="en-US"/>
    </w:rPr>
  </w:style>
  <w:style w:type="paragraph" w:customStyle="1" w:styleId="xl107">
    <w:name w:val="xl10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0000"/>
      <w:sz w:val="26"/>
      <w:szCs w:val="26"/>
      <w:lang w:val="en-US"/>
    </w:r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lang w:val="en-US"/>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lang w:val="en-US"/>
    </w:rPr>
  </w:style>
  <w:style w:type="paragraph" w:customStyle="1" w:styleId="xl110">
    <w:name w:val="xl110"/>
    <w:basedOn w:val="Normal"/>
    <w:pPr>
      <w:spacing w:before="100" w:beforeAutospacing="1" w:after="100" w:afterAutospacing="1"/>
      <w:textAlignment w:val="center"/>
    </w:pPr>
    <w:rPr>
      <w:rFonts w:eastAsia="Times New Roman" w:cs="Times New Roman"/>
      <w:szCs w:val="28"/>
      <w:lang w:val="en-US"/>
    </w:r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lang w:val="en-US"/>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lang w:val="en-US"/>
    </w:r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lang w:val="en-US"/>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lang w:val="en-US"/>
    </w:rPr>
  </w:style>
  <w:style w:type="paragraph" w:customStyle="1" w:styleId="xl115">
    <w:name w:val="xl11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lang w:val="en-US"/>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lang w:val="en-US"/>
    </w:rPr>
  </w:style>
  <w:style w:type="paragraph" w:customStyle="1" w:styleId="xl117">
    <w:name w:val="xl11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lang w:val="en-US"/>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lang w:val="en-US"/>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lang w:val="en-US"/>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lang w:val="en-US"/>
    </w:r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lang w:val="en-US"/>
    </w:rPr>
  </w:style>
  <w:style w:type="paragraph" w:customStyle="1" w:styleId="xl122">
    <w:name w:val="xl12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lang w:val="en-US"/>
    </w:rPr>
  </w:style>
  <w:style w:type="paragraph" w:customStyle="1" w:styleId="xl123">
    <w:name w:val="xl12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000000"/>
      <w:lang w:val="en-US"/>
    </w:rPr>
  </w:style>
  <w:style w:type="paragraph" w:customStyle="1" w:styleId="xl124">
    <w:name w:val="xl12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00"/>
      <w:lang w:val="en-US"/>
    </w:rPr>
  </w:style>
  <w:style w:type="paragraph" w:customStyle="1" w:styleId="xl125">
    <w:name w:val="xl1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lang w:val="en-US"/>
    </w:rPr>
  </w:style>
  <w:style w:type="paragraph" w:customStyle="1" w:styleId="xl126">
    <w:name w:val="xl12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lang w:val="en-US"/>
    </w:rPr>
  </w:style>
  <w:style w:type="paragraph" w:customStyle="1" w:styleId="xl127">
    <w:name w:val="xl1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lang w:val="en-US"/>
    </w:r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color w:val="000000"/>
      <w:lang w:val="en-US"/>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00"/>
      <w:lang w:val="en-US"/>
    </w:rPr>
  </w:style>
  <w:style w:type="paragraph" w:customStyle="1" w:styleId="xl130">
    <w:name w:val="xl1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lang w:val="en-US"/>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lang w:val="en-US"/>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lang w:val="en-US"/>
    </w:r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lang w:val="en-US"/>
    </w:rPr>
  </w:style>
  <w:style w:type="paragraph" w:customStyle="1" w:styleId="xl134">
    <w:name w:val="xl1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lang w:val="en-US"/>
    </w:rPr>
  </w:style>
  <w:style w:type="paragraph" w:customStyle="1" w:styleId="xl135">
    <w:name w:val="xl13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lang w:val="en-US"/>
    </w:rPr>
  </w:style>
  <w:style w:type="paragraph" w:customStyle="1" w:styleId="xl136">
    <w:name w:val="xl13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lang w:val="en-US"/>
    </w:rPr>
  </w:style>
  <w:style w:type="paragraph" w:customStyle="1" w:styleId="xl137">
    <w:name w:val="xl13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lang w:val="en-US"/>
    </w:rPr>
  </w:style>
  <w:style w:type="paragraph" w:customStyle="1" w:styleId="xl138">
    <w:name w:val="xl138"/>
    <w:basedOn w:val="Normal"/>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b/>
      <w:bCs/>
      <w:color w:val="000000"/>
      <w:lang w:val="en-US"/>
    </w:rPr>
  </w:style>
  <w:style w:type="paragraph" w:customStyle="1" w:styleId="xl139">
    <w:name w:val="xl139"/>
    <w:basedOn w:val="Normal"/>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000000"/>
      <w:lang w:val="en-US"/>
    </w:rPr>
  </w:style>
  <w:style w:type="paragraph" w:customStyle="1" w:styleId="xl140">
    <w:name w:val="xl140"/>
    <w:basedOn w:val="Normal"/>
    <w:pPr>
      <w:spacing w:before="100" w:beforeAutospacing="1" w:after="100" w:afterAutospacing="1"/>
      <w:jc w:val="center"/>
    </w:pPr>
    <w:rPr>
      <w:rFonts w:eastAsia="Times New Roman" w:cs="Times New Roman"/>
      <w:b/>
      <w:bCs/>
      <w:color w:val="000000"/>
      <w:sz w:val="26"/>
      <w:szCs w:val="26"/>
      <w:lang w:val="en-US"/>
    </w:rPr>
  </w:style>
  <w:style w:type="paragraph" w:customStyle="1" w:styleId="xl141">
    <w:name w:val="xl141"/>
    <w:basedOn w:val="Normal"/>
    <w:pPr>
      <w:spacing w:before="100" w:beforeAutospacing="1" w:after="100" w:afterAutospacing="1"/>
    </w:pPr>
    <w:rPr>
      <w:rFonts w:eastAsia="Times New Roman" w:cs="Times New Roman"/>
      <w:color w:val="000000"/>
      <w:sz w:val="26"/>
      <w:szCs w:val="26"/>
      <w:lang w:val="en-US"/>
    </w:rPr>
  </w:style>
  <w:style w:type="paragraph" w:customStyle="1" w:styleId="xl142">
    <w:name w:val="xl142"/>
    <w:basedOn w:val="Normal"/>
    <w:pPr>
      <w:spacing w:before="100" w:beforeAutospacing="1" w:after="100" w:afterAutospacing="1"/>
      <w:jc w:val="center"/>
    </w:pPr>
    <w:rPr>
      <w:rFonts w:eastAsia="Times New Roman" w:cs="Times New Roman"/>
      <w:i/>
      <w:iCs/>
      <w:sz w:val="26"/>
      <w:szCs w:val="26"/>
      <w:lang w:val="en-US"/>
    </w:rPr>
  </w:style>
  <w:style w:type="paragraph" w:customStyle="1" w:styleId="xl143">
    <w:name w:val="xl14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lang w:val="en-US"/>
    </w:rPr>
  </w:style>
  <w:style w:type="paragraph" w:customStyle="1" w:styleId="3">
    <w:name w:val="3"/>
    <w:basedOn w:val="Normal"/>
    <w:pPr>
      <w:spacing w:line="360" w:lineRule="auto"/>
      <w:ind w:right="-1"/>
      <w:outlineLvl w:val="1"/>
    </w:pPr>
    <w:rPr>
      <w:rFonts w:eastAsia="Times New Roman" w:cs="Times New Roman"/>
      <w:i/>
      <w:sz w:val="26"/>
      <w:szCs w:val="26"/>
      <w:lang w:val="nl-NL"/>
    </w:rPr>
  </w:style>
  <w:style w:type="paragraph" w:customStyle="1" w:styleId="TOCHeading1">
    <w:name w:val="TOC Heading1"/>
    <w:basedOn w:val="Heading1"/>
    <w:next w:val="Normal"/>
    <w:uiPriority w:val="39"/>
    <w:unhideWhenUsed/>
    <w:qFormat/>
  </w:style>
  <w:style w:type="character" w:customStyle="1" w:styleId="Heading1Char1">
    <w:name w:val="Heading 1 Char1"/>
    <w:basedOn w:val="DefaultParagraphFont"/>
    <w:uiPriority w:val="9"/>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Pr>
      <w:rFonts w:asciiTheme="majorHAnsi" w:eastAsiaTheme="majorEastAsia" w:hAnsiTheme="majorHAnsi" w:cstheme="majorBidi"/>
      <w:color w:val="1F3864" w:themeColor="accent1" w:themeShade="80"/>
    </w:rPr>
  </w:style>
  <w:style w:type="character" w:customStyle="1" w:styleId="Heading4Char1">
    <w:name w:val="Heading 4 Char1"/>
    <w:basedOn w:val="DefaultParagraphFont"/>
    <w:uiPriority w:val="9"/>
    <w:semiHidden/>
    <w:rPr>
      <w:rFonts w:asciiTheme="majorHAnsi" w:eastAsiaTheme="majorEastAsia" w:hAnsiTheme="majorHAnsi" w:cstheme="majorBidi"/>
      <w:i/>
      <w:iCs/>
      <w:color w:val="2F5496" w:themeColor="accent1" w:themeShade="BF"/>
    </w:rPr>
  </w:style>
  <w:style w:type="table" w:customStyle="1" w:styleId="TableGrid2">
    <w:name w:val="Table Grid2"/>
    <w:basedOn w:val="TableNormal"/>
    <w:uiPriority w:val="39"/>
    <w:rPr>
      <w:color w:val="00000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Pr>
      <w:rFonts w:ascii="Times New Roman Bold" w:eastAsiaTheme="majorEastAsia" w:hAnsi="Times New Roman Bold" w:cstheme="majorBidi"/>
      <w:b/>
      <w:sz w:val="28"/>
      <w:szCs w:val="56"/>
      <w:lang w:val="af-ZA"/>
    </w:rPr>
  </w:style>
  <w:style w:type="paragraph" w:customStyle="1" w:styleId="Donvitinh">
    <w:name w:val="Don vi tinh"/>
    <w:basedOn w:val="Normal"/>
    <w:link w:val="DonvitinhChar"/>
    <w:qFormat/>
    <w:pPr>
      <w:ind w:firstLine="0"/>
      <w:jc w:val="right"/>
    </w:pPr>
    <w:rPr>
      <w:i/>
      <w:lang w:val="vi-VN"/>
    </w:rPr>
  </w:style>
  <w:style w:type="paragraph" w:customStyle="1" w:styleId="Bangbieu">
    <w:name w:val="Bang bieu"/>
    <w:basedOn w:val="Normal"/>
    <w:link w:val="BangbieuChar"/>
    <w:qFormat/>
    <w:pPr>
      <w:spacing w:before="60" w:after="60"/>
      <w:ind w:firstLine="0"/>
      <w:jc w:val="center"/>
    </w:pPr>
    <w:rPr>
      <w:rFonts w:cs="Times New Roman"/>
      <w:color w:val="000000"/>
      <w:sz w:val="24"/>
      <w:szCs w:val="28"/>
      <w:lang w:val="vi-VN"/>
    </w:rPr>
  </w:style>
  <w:style w:type="character" w:customStyle="1" w:styleId="DonvitinhChar">
    <w:name w:val="Don vi tinh Char"/>
    <w:basedOn w:val="DefaultParagraphFont"/>
    <w:link w:val="Donvitinh"/>
    <w:rPr>
      <w:rFonts w:ascii="Times New Roman" w:hAnsi="Times New Roman"/>
      <w:i/>
      <w:sz w:val="28"/>
      <w:lang w:val="vi-VN"/>
    </w:rPr>
  </w:style>
  <w:style w:type="character" w:customStyle="1" w:styleId="BangbieuChar">
    <w:name w:val="Bang bieu Char"/>
    <w:basedOn w:val="DefaultParagraphFont"/>
    <w:link w:val="Bangbieu"/>
    <w:rPr>
      <w:rFonts w:ascii="Times New Roman" w:hAnsi="Times New Roman" w:cs="Times New Roman"/>
      <w:color w:val="000000"/>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241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thuvienphapluat.vn/van-ban/Bao-hiem/Luat-Bao-hiem-xa-hoi-2024-557190.aspx" TargetMode="External"/><Relationship Id="rId4" Type="http://schemas.openxmlformats.org/officeDocument/2006/relationships/styles" Target="styles.xml"/><Relationship Id="rId9" Type="http://schemas.openxmlformats.org/officeDocument/2006/relationships/hyperlink" Target="https://thuvienphapluat.vn/van-ban/Bao-hiem/Luat-Bao-hiem-xa-hoi-2024-55719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FFCD06-09BB-4712-8E3D-B50CF767F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3130</Words>
  <Characters>17842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Admin</cp:lastModifiedBy>
  <cp:revision>14</cp:revision>
  <dcterms:created xsi:type="dcterms:W3CDTF">2025-11-12T00:09:00Z</dcterms:created>
  <dcterms:modified xsi:type="dcterms:W3CDTF">2025-11-12T17:46:00Z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32E77AB8FCF842648A272D1FBA9B9129_13</vt:lpwstr>
  </property>
</Properties>
</file>