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88" w:type="dxa"/>
        <w:tblLayout w:type="fixed"/>
        <w:tblLook w:val="0000"/>
      </w:tblPr>
      <w:tblGrid>
        <w:gridCol w:w="3608"/>
        <w:gridCol w:w="5880"/>
      </w:tblGrid>
      <w:tr w:rsidR="009C0D6F" w:rsidRPr="00A8528C" w:rsidTr="0019774A">
        <w:tc>
          <w:tcPr>
            <w:tcW w:w="3608" w:type="dxa"/>
          </w:tcPr>
          <w:p w:rsidR="009C0D6F" w:rsidRPr="00A8528C" w:rsidRDefault="009C0D6F" w:rsidP="00843C19">
            <w:pPr>
              <w:widowControl w:val="0"/>
              <w:spacing w:line="340" w:lineRule="exact"/>
              <w:jc w:val="center"/>
              <w:rPr>
                <w:rFonts w:eastAsia="Times New Roman"/>
                <w:b/>
                <w:sz w:val="24"/>
                <w:szCs w:val="24"/>
                <w:lang w:val="nl-NL"/>
              </w:rPr>
            </w:pPr>
            <w:r w:rsidRPr="00A8528C">
              <w:rPr>
                <w:rFonts w:eastAsia="Times New Roman"/>
                <w:b/>
                <w:sz w:val="24"/>
                <w:szCs w:val="24"/>
                <w:lang w:val="nl-NL"/>
              </w:rPr>
              <w:t>BỘ TÀI CHÍNH</w:t>
            </w:r>
          </w:p>
          <w:p w:rsidR="009C0D6F" w:rsidRPr="00A8528C" w:rsidRDefault="009C0D6F" w:rsidP="00843C19">
            <w:pPr>
              <w:widowControl w:val="0"/>
              <w:spacing w:line="340" w:lineRule="exact"/>
              <w:jc w:val="center"/>
              <w:rPr>
                <w:rFonts w:eastAsia="Times New Roman"/>
                <w:lang w:val="nl-NL"/>
              </w:rPr>
            </w:pPr>
            <w:r w:rsidRPr="00A8528C">
              <w:rPr>
                <w:rFonts w:eastAsia="Times New Roman"/>
                <w:lang w:val="nl-NL"/>
              </w:rPr>
              <w:t>——</w:t>
            </w:r>
          </w:p>
          <w:p w:rsidR="00D30001" w:rsidRDefault="00D30001" w:rsidP="00843C19">
            <w:pPr>
              <w:widowControl w:val="0"/>
              <w:spacing w:line="340" w:lineRule="exact"/>
              <w:jc w:val="center"/>
              <w:rPr>
                <w:rFonts w:eastAsia="Times New Roman"/>
                <w:sz w:val="24"/>
                <w:szCs w:val="24"/>
                <w:lang w:val="nl-NL"/>
              </w:rPr>
            </w:pPr>
          </w:p>
          <w:p w:rsidR="009C0D6F" w:rsidRPr="0013599F" w:rsidRDefault="00D30001" w:rsidP="00257512">
            <w:pPr>
              <w:widowControl w:val="0"/>
              <w:jc w:val="center"/>
              <w:rPr>
                <w:lang w:val="nl-NL"/>
              </w:rPr>
            </w:pPr>
            <w:r w:rsidRPr="0013599F">
              <w:rPr>
                <w:rFonts w:eastAsia="Times New Roman"/>
                <w:lang w:val="nl-NL"/>
              </w:rPr>
              <w:t xml:space="preserve">Số: </w:t>
            </w:r>
            <w:r w:rsidR="00257512">
              <w:rPr>
                <w:rFonts w:eastAsia="Times New Roman"/>
                <w:lang w:val="nl-NL"/>
              </w:rPr>
              <w:t xml:space="preserve">       </w:t>
            </w:r>
            <w:r w:rsidRPr="0013599F">
              <w:rPr>
                <w:rFonts w:eastAsia="Times New Roman"/>
                <w:lang w:val="nl-NL"/>
              </w:rPr>
              <w:t>/BC-BTC</w:t>
            </w:r>
          </w:p>
          <w:p w:rsidR="009C0D6F" w:rsidRPr="00A8528C" w:rsidRDefault="009C0D6F" w:rsidP="00D30001">
            <w:pPr>
              <w:widowControl w:val="0"/>
              <w:spacing w:line="340" w:lineRule="exact"/>
              <w:rPr>
                <w:rFonts w:ascii="Calibri" w:eastAsia="Times New Roman" w:hAnsi="Calibri"/>
                <w:sz w:val="16"/>
                <w:szCs w:val="16"/>
                <w:lang w:val="nl-NL"/>
              </w:rPr>
            </w:pPr>
          </w:p>
        </w:tc>
        <w:tc>
          <w:tcPr>
            <w:tcW w:w="5880" w:type="dxa"/>
          </w:tcPr>
          <w:p w:rsidR="009C0D6F" w:rsidRPr="00A8528C" w:rsidRDefault="009C0D6F" w:rsidP="00D30001">
            <w:pPr>
              <w:widowControl w:val="0"/>
              <w:jc w:val="center"/>
              <w:rPr>
                <w:rFonts w:eastAsia="Times New Roman"/>
                <w:b/>
                <w:sz w:val="24"/>
                <w:lang w:val="nl-NL"/>
              </w:rPr>
            </w:pPr>
            <w:r w:rsidRPr="00A8528C">
              <w:rPr>
                <w:rFonts w:eastAsia="Times New Roman"/>
                <w:b/>
                <w:sz w:val="24"/>
                <w:lang w:val="nl-NL"/>
              </w:rPr>
              <w:t>CỘNG HOÀ XÃ HỘI CHỦ NGHĨA VIỆT NAM</w:t>
            </w:r>
          </w:p>
          <w:p w:rsidR="009C0D6F" w:rsidRPr="00A8528C" w:rsidRDefault="009C0D6F" w:rsidP="00D30001">
            <w:pPr>
              <w:widowControl w:val="0"/>
              <w:jc w:val="center"/>
              <w:rPr>
                <w:rFonts w:eastAsia="Times New Roman"/>
                <w:b/>
              </w:rPr>
            </w:pPr>
            <w:r w:rsidRPr="00A8528C">
              <w:rPr>
                <w:rFonts w:eastAsia="Times New Roman"/>
                <w:b/>
              </w:rPr>
              <w:t xml:space="preserve">Độc lập </w:t>
            </w:r>
            <w:r w:rsidRPr="00A8528C">
              <w:rPr>
                <w:rFonts w:eastAsia="Times New Roman"/>
              </w:rPr>
              <w:t>-</w:t>
            </w:r>
            <w:r w:rsidRPr="00A8528C">
              <w:rPr>
                <w:rFonts w:eastAsia="Times New Roman"/>
                <w:b/>
              </w:rPr>
              <w:t xml:space="preserve"> Tự do </w:t>
            </w:r>
            <w:r w:rsidRPr="00A8528C">
              <w:rPr>
                <w:rFonts w:eastAsia="Times New Roman"/>
              </w:rPr>
              <w:t>-</w:t>
            </w:r>
            <w:r w:rsidRPr="00A8528C">
              <w:rPr>
                <w:rFonts w:eastAsia="Times New Roman"/>
                <w:b/>
              </w:rPr>
              <w:t xml:space="preserve"> Hạnh phúc</w:t>
            </w:r>
          </w:p>
          <w:p w:rsidR="009C0D6F" w:rsidRPr="00A8528C" w:rsidRDefault="009C0D6F" w:rsidP="00D30001">
            <w:pPr>
              <w:widowControl w:val="0"/>
              <w:spacing w:line="340" w:lineRule="exact"/>
              <w:jc w:val="center"/>
              <w:rPr>
                <w:rFonts w:eastAsia="Times New Roman"/>
              </w:rPr>
            </w:pPr>
            <w:r w:rsidRPr="00A8528C">
              <w:rPr>
                <w:rFonts w:eastAsia="Times New Roman"/>
              </w:rPr>
              <w:t>———————————</w:t>
            </w:r>
          </w:p>
          <w:p w:rsidR="009C0D6F" w:rsidRPr="00A8528C" w:rsidRDefault="009C0D6F" w:rsidP="00257512">
            <w:pPr>
              <w:widowControl w:val="0"/>
              <w:spacing w:before="60" w:line="340" w:lineRule="exact"/>
              <w:jc w:val="center"/>
              <w:rPr>
                <w:rFonts w:eastAsia="Times New Roman"/>
                <w:i/>
              </w:rPr>
            </w:pPr>
            <w:r w:rsidRPr="00A8528C">
              <w:rPr>
                <w:rFonts w:eastAsia="Times New Roman"/>
                <w:i/>
              </w:rPr>
              <w:t>Hà Nội, ngày</w:t>
            </w:r>
            <w:r w:rsidR="00257512">
              <w:rPr>
                <w:rFonts w:eastAsia="Times New Roman"/>
                <w:i/>
              </w:rPr>
              <w:t xml:space="preserve">         </w:t>
            </w:r>
            <w:r w:rsidRPr="00A8528C">
              <w:rPr>
                <w:rFonts w:eastAsia="Times New Roman"/>
                <w:i/>
              </w:rPr>
              <w:t>tháng</w:t>
            </w:r>
            <w:r w:rsidR="00257512">
              <w:rPr>
                <w:rFonts w:eastAsia="Times New Roman"/>
                <w:i/>
              </w:rPr>
              <w:t xml:space="preserve">       </w:t>
            </w:r>
            <w:r w:rsidR="00D457AE" w:rsidRPr="00A8528C">
              <w:rPr>
                <w:rFonts w:eastAsia="Times New Roman"/>
                <w:i/>
              </w:rPr>
              <w:t xml:space="preserve">năm </w:t>
            </w:r>
            <w:r w:rsidR="00FC349C">
              <w:rPr>
                <w:rFonts w:eastAsia="Times New Roman"/>
                <w:i/>
              </w:rPr>
              <w:t>2025</w:t>
            </w:r>
          </w:p>
        </w:tc>
      </w:tr>
    </w:tbl>
    <w:p w:rsidR="00B80CD4" w:rsidRDefault="00B80CD4" w:rsidP="0047024C">
      <w:pPr>
        <w:jc w:val="center"/>
        <w:rPr>
          <w:rFonts w:eastAsia="Times New Roman"/>
          <w:b/>
          <w:lang w:val="nl-NL"/>
        </w:rPr>
      </w:pPr>
    </w:p>
    <w:p w:rsidR="00FC349C" w:rsidRDefault="001903DB" w:rsidP="0047024C">
      <w:pPr>
        <w:jc w:val="center"/>
        <w:rPr>
          <w:rFonts w:eastAsia="Times New Roman"/>
          <w:b/>
          <w:lang w:val="nl-NL"/>
        </w:rPr>
      </w:pPr>
      <w:r w:rsidRPr="00A8528C">
        <w:rPr>
          <w:rFonts w:eastAsia="Times New Roman"/>
          <w:b/>
          <w:lang w:val="nl-NL"/>
        </w:rPr>
        <w:t>BÁO CÁO</w:t>
      </w:r>
    </w:p>
    <w:p w:rsidR="00D26E46" w:rsidRPr="00A8528C" w:rsidRDefault="00FC349C" w:rsidP="00D26E46">
      <w:pPr>
        <w:jc w:val="center"/>
        <w:rPr>
          <w:i/>
          <w:iCs/>
          <w:lang w:val="vi-VN"/>
        </w:rPr>
      </w:pPr>
      <w:r>
        <w:rPr>
          <w:rFonts w:eastAsia="Times New Roman"/>
          <w:b/>
          <w:lang w:val="nl-NL"/>
        </w:rPr>
        <w:t>T</w:t>
      </w:r>
      <w:r w:rsidR="005A4297">
        <w:rPr>
          <w:rFonts w:eastAsia="Times New Roman"/>
          <w:b/>
          <w:lang w:val="nl-NL"/>
        </w:rPr>
        <w:t xml:space="preserve">ổng kết thi hành </w:t>
      </w:r>
      <w:r w:rsidR="001813EC">
        <w:rPr>
          <w:rFonts w:eastAsia="Times New Roman"/>
          <w:b/>
          <w:lang w:val="nl-NL"/>
        </w:rPr>
        <w:t>các văn bản quy phạm pháp luật hướng dẫn hỗ trợ lãi suất vay vốn và cấp bù chênh lệch lãi suất thực hiện chính sách tín dụng của Nhà nước</w:t>
      </w:r>
    </w:p>
    <w:p w:rsidR="00A47519" w:rsidRDefault="00D07189" w:rsidP="00A47519">
      <w:pPr>
        <w:widowControl w:val="0"/>
        <w:spacing w:after="120" w:line="340" w:lineRule="exact"/>
        <w:jc w:val="center"/>
        <w:outlineLvl w:val="0"/>
        <w:rPr>
          <w:lang w:val="nl-NL"/>
        </w:rPr>
      </w:pPr>
      <w:r>
        <w:rPr>
          <w:lang w:val="nl-NL"/>
        </w:rPr>
        <w:t>______________</w:t>
      </w:r>
    </w:p>
    <w:p w:rsidR="00377224" w:rsidRPr="00A8528C" w:rsidRDefault="00377224" w:rsidP="00D07189">
      <w:pPr>
        <w:widowControl w:val="0"/>
        <w:spacing w:before="120" w:after="120" w:line="360" w:lineRule="exact"/>
        <w:jc w:val="both"/>
        <w:rPr>
          <w:bCs/>
          <w:lang w:val="nl-NL"/>
        </w:rPr>
      </w:pPr>
    </w:p>
    <w:p w:rsidR="00000000" w:rsidRDefault="0094613C">
      <w:pPr>
        <w:widowControl w:val="0"/>
        <w:spacing w:before="120" w:after="120" w:line="320" w:lineRule="exact"/>
        <w:ind w:firstLine="720"/>
        <w:jc w:val="both"/>
        <w:rPr>
          <w:bCs/>
          <w:lang w:val="nl-NL"/>
        </w:rPr>
      </w:pPr>
      <w:r>
        <w:rPr>
          <w:bCs/>
          <w:lang w:val="nl-NL"/>
        </w:rPr>
        <w:t>Thực hiện quy định của Luật Ban hành văn bản quy phạm pháp luật, Bộ Tài chính đã tiến hành tổng kết việc thi hành các văn bản hướng dẫn hỗ trợ lãi suất vay vốn và cấp bù chênh lệch lãi suất thông qua hệ thống ngân hàng thương mại. Kết quả như sau:</w:t>
      </w:r>
    </w:p>
    <w:p w:rsidR="00000000" w:rsidRDefault="0094613C">
      <w:pPr>
        <w:widowControl w:val="0"/>
        <w:spacing w:before="120" w:after="120" w:line="320" w:lineRule="exact"/>
        <w:ind w:firstLine="720"/>
        <w:jc w:val="both"/>
        <w:rPr>
          <w:b/>
          <w:bCs/>
          <w:lang w:val="nl-NL"/>
        </w:rPr>
      </w:pPr>
      <w:r>
        <w:rPr>
          <w:b/>
          <w:bCs/>
          <w:lang w:val="nl-NL"/>
        </w:rPr>
        <w:t>I. Bối cảnh thực hiện tổng kết</w:t>
      </w:r>
    </w:p>
    <w:p w:rsidR="00000000" w:rsidRDefault="0094613C">
      <w:pPr>
        <w:widowControl w:val="0"/>
        <w:spacing w:before="120" w:after="120" w:line="320" w:lineRule="exact"/>
        <w:ind w:firstLine="720"/>
        <w:jc w:val="both"/>
        <w:rPr>
          <w:b/>
          <w:bCs/>
          <w:lang w:val="nl-NL"/>
        </w:rPr>
      </w:pPr>
      <w:r>
        <w:rPr>
          <w:b/>
          <w:bCs/>
          <w:lang w:val="nl-NL"/>
        </w:rPr>
        <w:t>1. Bối cảnh trong nước và quốc tế liên quan đến các chính sách</w:t>
      </w:r>
    </w:p>
    <w:p w:rsidR="00000000" w:rsidRDefault="0094613C">
      <w:pPr>
        <w:autoSpaceDE w:val="0"/>
        <w:autoSpaceDN w:val="0"/>
        <w:adjustRightInd w:val="0"/>
        <w:spacing w:before="120" w:after="120" w:line="320" w:lineRule="exact"/>
        <w:ind w:firstLine="709"/>
        <w:jc w:val="both"/>
        <w:rPr>
          <w:bCs/>
        </w:rPr>
      </w:pPr>
      <w:proofErr w:type="gramStart"/>
      <w:r>
        <w:rPr>
          <w:bCs/>
        </w:rPr>
        <w:t>Trong thời gian qua, công tác xây dựng, hoàn thiện thể chế pháp luật luôn được xác định là một trong ba đột phá chiến lược.</w:t>
      </w:r>
      <w:proofErr w:type="gramEnd"/>
      <w:r>
        <w:rPr>
          <w:bCs/>
        </w:rPr>
        <w:t xml:space="preserve"> Các chỉ đạo tại Kết luận số 119-KL/TW của Bộ Chính trị, văn bản số 108-KL/VPTW của Văn phòng Trung ương Đảng, </w:t>
      </w:r>
      <w:r>
        <w:rPr>
          <w:spacing w:val="-6"/>
        </w:rPr>
        <w:t xml:space="preserve">Nghị quyết số 66-NQ/TW </w:t>
      </w:r>
      <w:r>
        <w:rPr>
          <w:bCs/>
        </w:rPr>
        <w:t xml:space="preserve">cũng như công văn số 868/TTg-TKBT của Thủ tướng Chính phủ đều nhấn mạnh yêu cầu đổi mới mạnh mẽ tư duy và quy trình xây dựng pháp luật theo hướng bám sát thực tiễn, thúc đẩy phát triển, quản </w:t>
      </w:r>
      <w:proofErr w:type="gramStart"/>
      <w:r>
        <w:rPr>
          <w:bCs/>
        </w:rPr>
        <w:t>lý</w:t>
      </w:r>
      <w:proofErr w:type="gramEnd"/>
      <w:r>
        <w:rPr>
          <w:bCs/>
        </w:rPr>
        <w:t xml:space="preserve"> hiệu quả và tăng tính khả thi trong tổ chức thực hiện.</w:t>
      </w:r>
    </w:p>
    <w:p w:rsidR="00000000" w:rsidRDefault="0094613C">
      <w:pPr>
        <w:spacing w:before="120" w:after="120" w:line="320" w:lineRule="exact"/>
        <w:ind w:firstLineChars="258" w:firstLine="707"/>
        <w:jc w:val="both"/>
        <w:rPr>
          <w:spacing w:val="-6"/>
        </w:rPr>
      </w:pPr>
      <w:r>
        <w:rPr>
          <w:spacing w:val="-6"/>
        </w:rPr>
        <w:t>Tại Nghị quyết số 66-NQ/TW ngày 30/4/2025 của Bộ Chính trị về đổi mới công tác xây dựng và thi hành pháp luật đáp ứng yêu cầu phát triển đất nước trong kỷ nguyên mới, công tác xây dựng và thi hành pháp luật là “đột phá của đột phá” trong hoàn thiện thể chế, là một nhiệm vụ trọng tâm của tiến trình xây dựng và hoàn thiện Nhà nước pháp quyền xã hội chủ nghĩa Việt Nam của Nhân dân, do Nhân dân và vì Nhân dân, dưới sự lãnh đạo của Đảng.</w:t>
      </w:r>
    </w:p>
    <w:p w:rsidR="00000000" w:rsidRDefault="0094613C">
      <w:pPr>
        <w:autoSpaceDE w:val="0"/>
        <w:autoSpaceDN w:val="0"/>
        <w:adjustRightInd w:val="0"/>
        <w:spacing w:before="120" w:after="120" w:line="320" w:lineRule="exact"/>
        <w:ind w:firstLine="709"/>
        <w:jc w:val="both"/>
        <w:rPr>
          <w:bCs/>
        </w:rPr>
      </w:pPr>
      <w:proofErr w:type="gramStart"/>
      <w:r>
        <w:rPr>
          <w:bCs/>
        </w:rPr>
        <w:t>Bối cảnh đẩy mạnh cải cách hành chính, tinh gọn bộ máy và thúc đẩy chuyển đổi số trong lĩnh vực tài chính – ngân sách cũng đặt ra yêu cầu mới đối với công tác thanh toán, quyết toán cấp bù lãi suất.</w:t>
      </w:r>
      <w:proofErr w:type="gramEnd"/>
      <w:r>
        <w:rPr>
          <w:bCs/>
        </w:rPr>
        <w:t xml:space="preserve"> </w:t>
      </w:r>
      <w:proofErr w:type="gramStart"/>
      <w:r>
        <w:rPr>
          <w:bCs/>
        </w:rPr>
        <w:t>Theo đó, quy trình thanh toán, quyết toán cần đơn giản hóa hồ sơ, phân rõ trách nhiệm giữa các bên liên quan, đồng thời đẩy nhanh tiến độ kiểm soát chi, nâng cao hiệu quả sử dụng ngân sách nhà nước.</w:t>
      </w:r>
      <w:proofErr w:type="gramEnd"/>
    </w:p>
    <w:p w:rsidR="00000000" w:rsidRDefault="00B80CD4">
      <w:pPr>
        <w:autoSpaceDE w:val="0"/>
        <w:autoSpaceDN w:val="0"/>
        <w:adjustRightInd w:val="0"/>
        <w:spacing w:before="120" w:after="120" w:line="320" w:lineRule="exact"/>
        <w:ind w:firstLine="709"/>
        <w:jc w:val="both"/>
        <w:rPr>
          <w:bCs/>
        </w:rPr>
      </w:pPr>
      <w:r>
        <w:rPr>
          <w:bCs/>
        </w:rPr>
        <w:t>Việc xây dựng và trình Chính phủ ban hành Nghị định quy định về thanh toán, quyết toán vốn ngân sách nhà nước để cấp bù lãi suất cho các ngân hàng thương mại thực hiện các chính sách tín dụng ưu đãi của Nhà nước là yêu cầu cấp thiết, xuất phát từ sự cần thiết phải thể chế hoá kịp thời các chủ trương, định hướng lớn của Đảng, Quốc hội và Chính phủ trong công tác xây dựng pháp luật.</w:t>
      </w:r>
    </w:p>
    <w:p w:rsidR="00000000" w:rsidRDefault="0094613C">
      <w:pPr>
        <w:autoSpaceDE w:val="0"/>
        <w:autoSpaceDN w:val="0"/>
        <w:adjustRightInd w:val="0"/>
        <w:spacing w:before="120" w:after="120" w:line="320" w:lineRule="exact"/>
        <w:ind w:firstLine="709"/>
        <w:jc w:val="both"/>
        <w:rPr>
          <w:b/>
          <w:bCs/>
          <w:lang w:val="nl-NL"/>
        </w:rPr>
      </w:pPr>
      <w:r>
        <w:rPr>
          <w:b/>
          <w:bCs/>
          <w:lang w:val="nl-NL"/>
        </w:rPr>
        <w:lastRenderedPageBreak/>
        <w:t>2. Quá trình thực hiện tổng kết</w:t>
      </w:r>
    </w:p>
    <w:p w:rsidR="00000000" w:rsidRDefault="0094613C">
      <w:pPr>
        <w:spacing w:before="120" w:after="120" w:line="320" w:lineRule="exact"/>
        <w:ind w:firstLine="709"/>
        <w:jc w:val="both"/>
        <w:rPr>
          <w:color w:val="000000"/>
        </w:rPr>
      </w:pPr>
      <w:r>
        <w:rPr>
          <w:color w:val="000000"/>
        </w:rPr>
        <w:t>Trong thời gian vừa qua, Chính phủ, Thủ tướng Chính phủ đã ban hành một số chương trình tín dụng ưu đãi, chính sách hỗ trợ lãi suất của Nhà nước để cụ thể hóa các chủ trương của Đảng, Nghị quyết của Quốc hội, cụ thể:</w:t>
      </w:r>
    </w:p>
    <w:p w:rsidR="00000000" w:rsidRDefault="0094613C">
      <w:pPr>
        <w:spacing w:before="120" w:after="120" w:line="320" w:lineRule="exact"/>
        <w:ind w:firstLine="709"/>
        <w:jc w:val="both"/>
        <w:rPr>
          <w:b/>
          <w:spacing w:val="-2"/>
        </w:rPr>
      </w:pPr>
      <w:r>
        <w:rPr>
          <w:i/>
        </w:rPr>
        <w:t xml:space="preserve">(i) </w:t>
      </w:r>
      <w:r>
        <w:t xml:space="preserve">Chương trình hỗ trợ giảm nghèo nhanh và bền vững đối với 61 huyện nghèo </w:t>
      </w:r>
      <w:proofErr w:type="gramStart"/>
      <w:r>
        <w:t>theo</w:t>
      </w:r>
      <w:proofErr w:type="gramEnd"/>
      <w:r>
        <w:t xml:space="preserve"> Nghị quyết số </w:t>
      </w:r>
      <w:hyperlink r:id="rId8" w:tgtFrame="_blank" w:history="1">
        <w:r>
          <w:t>30a/2008/NQ-CP</w:t>
        </w:r>
      </w:hyperlink>
      <w:r>
        <w:t xml:space="preserve"> ngày 27/12/2008 của Chính phủ;</w:t>
      </w:r>
    </w:p>
    <w:p w:rsidR="00000000" w:rsidRDefault="0094613C">
      <w:pPr>
        <w:spacing w:before="120" w:after="120" w:line="320" w:lineRule="exact"/>
        <w:ind w:firstLine="709"/>
        <w:jc w:val="both"/>
        <w:rPr>
          <w:b/>
          <w:spacing w:val="-2"/>
        </w:rPr>
      </w:pPr>
      <w:r>
        <w:rPr>
          <w:i/>
          <w:spacing w:val="-2"/>
        </w:rPr>
        <w:t>(ii)</w:t>
      </w:r>
      <w:r>
        <w:rPr>
          <w:spacing w:val="-2"/>
        </w:rPr>
        <w:t xml:space="preserve"> Chương trình hỗ trợ giảm tổn thất trong nông nghiệp </w:t>
      </w:r>
      <w:proofErr w:type="gramStart"/>
      <w:r>
        <w:rPr>
          <w:spacing w:val="-2"/>
        </w:rPr>
        <w:t>theo</w:t>
      </w:r>
      <w:proofErr w:type="gramEnd"/>
      <w:r>
        <w:rPr>
          <w:spacing w:val="-2"/>
        </w:rPr>
        <w:t xml:space="preserve"> Quyết định số 63/2010/QĐ-TTg ngày 15/10/2010, Quyết định số 65/2011/QĐ-TTg ngày 02/12/2011, Quyết định số 68/2013/QĐ-TTg ngày 14/11/2013 của Thủ tướng Chính phủ;</w:t>
      </w:r>
    </w:p>
    <w:p w:rsidR="00000000" w:rsidRDefault="0094613C">
      <w:pPr>
        <w:spacing w:before="120" w:after="120" w:line="320" w:lineRule="exact"/>
        <w:ind w:firstLine="709"/>
        <w:jc w:val="both"/>
      </w:pPr>
      <w:r>
        <w:rPr>
          <w:i/>
        </w:rPr>
        <w:t>(iii)</w:t>
      </w:r>
      <w:r>
        <w:t xml:space="preserve"> Chương trình cho vay nâng cấp, đóng mới tàu cá </w:t>
      </w:r>
      <w:proofErr w:type="gramStart"/>
      <w:r>
        <w:t>theo</w:t>
      </w:r>
      <w:proofErr w:type="gramEnd"/>
      <w:r>
        <w:t xml:space="preserve"> Nghị định số 67/2014/NĐ-CP ngày 07/7/2014 của Chính phủ về một số chính sách phát triển thủy sản;</w:t>
      </w:r>
    </w:p>
    <w:p w:rsidR="00000000" w:rsidRDefault="0094613C">
      <w:pPr>
        <w:spacing w:before="120" w:after="120" w:line="320" w:lineRule="exact"/>
        <w:ind w:firstLine="706"/>
        <w:jc w:val="both"/>
      </w:pPr>
      <w:r>
        <w:rPr>
          <w:i/>
        </w:rPr>
        <w:t>(iv)</w:t>
      </w:r>
      <w:r>
        <w:t xml:space="preserve"> Chương trình cho vay nhà ở xã hội </w:t>
      </w:r>
      <w:proofErr w:type="gramStart"/>
      <w:r>
        <w:t>theo</w:t>
      </w:r>
      <w:proofErr w:type="gramEnd"/>
      <w:r>
        <w:t xml:space="preserve"> Nghị định số 100/2015/NĐ-CP ngày 20/10/2015 của Chính phủ về phát triển và quản lý nhà ở xã hội;</w:t>
      </w:r>
    </w:p>
    <w:p w:rsidR="00000000" w:rsidRDefault="0094613C">
      <w:pPr>
        <w:widowControl w:val="0"/>
        <w:spacing w:before="120" w:after="120" w:line="320" w:lineRule="exact"/>
        <w:ind w:firstLine="706"/>
        <w:jc w:val="both"/>
        <w:rPr>
          <w:bCs/>
          <w:iCs/>
          <w:color w:val="000000"/>
          <w:spacing w:val="-2"/>
        </w:rPr>
      </w:pPr>
      <w:r>
        <w:rPr>
          <w:i/>
          <w:iCs/>
          <w:color w:val="000000"/>
        </w:rPr>
        <w:t>(v)</w:t>
      </w:r>
      <w:r>
        <w:rPr>
          <w:color w:val="000000"/>
        </w:rPr>
        <w:t xml:space="preserve"> Chương trình hỗ trợ lãi suất 2%</w:t>
      </w:r>
      <w:r>
        <w:rPr>
          <w:bCs/>
          <w:iCs/>
          <w:color w:val="000000"/>
          <w:lang w:val="vi-VN"/>
        </w:rPr>
        <w:t>/năm</w:t>
      </w:r>
      <w:r>
        <w:rPr>
          <w:bCs/>
          <w:iCs/>
          <w:color w:val="000000"/>
          <w:lang w:val="pl-PL"/>
        </w:rPr>
        <w:t xml:space="preserve"> từ nguồn NSNN</w:t>
      </w:r>
      <w:r>
        <w:rPr>
          <w:bCs/>
          <w:iCs/>
          <w:color w:val="000000"/>
          <w:lang w:val="vi-VN"/>
        </w:rPr>
        <w:t xml:space="preserve"> thông qua hệ thống các ngân hàng thương mại</w:t>
      </w:r>
      <w:r>
        <w:rPr>
          <w:bCs/>
          <w:iCs/>
          <w:color w:val="000000"/>
          <w:lang w:val="pl-PL"/>
        </w:rPr>
        <w:t xml:space="preserve"> cho </w:t>
      </w:r>
      <w:r>
        <w:rPr>
          <w:bCs/>
          <w:iCs/>
          <w:color w:val="000000"/>
          <w:lang w:val="vi-VN"/>
        </w:rPr>
        <w:t>doanh nghiệp, hợp tác xã, hộ kinh doanh</w:t>
      </w:r>
      <w:r>
        <w:rPr>
          <w:bCs/>
          <w:iCs/>
          <w:color w:val="000000"/>
          <w:lang w:val="pl-PL"/>
        </w:rPr>
        <w:t xml:space="preserve"> </w:t>
      </w:r>
      <w:proofErr w:type="gramStart"/>
      <w:r>
        <w:rPr>
          <w:bCs/>
          <w:iCs/>
          <w:color w:val="000000"/>
          <w:lang w:val="pl-PL"/>
        </w:rPr>
        <w:t>theo</w:t>
      </w:r>
      <w:proofErr w:type="gramEnd"/>
      <w:r>
        <w:rPr>
          <w:bCs/>
          <w:iCs/>
          <w:color w:val="000000"/>
          <w:lang w:val="pl-PL"/>
        </w:rPr>
        <w:t xml:space="preserve"> N</w:t>
      </w:r>
      <w:r>
        <w:rPr>
          <w:bCs/>
          <w:iCs/>
          <w:color w:val="000000"/>
          <w:lang w:val="vi-VN"/>
        </w:rPr>
        <w:t>ghị quyết số 43/2022/QH15 ngày 11/01/2022</w:t>
      </w:r>
      <w:r>
        <w:rPr>
          <w:bCs/>
          <w:iCs/>
          <w:color w:val="000000"/>
        </w:rPr>
        <w:t xml:space="preserve"> của Quốc hội</w:t>
      </w:r>
      <w:r>
        <w:rPr>
          <w:bCs/>
          <w:iCs/>
          <w:color w:val="000000"/>
          <w:spacing w:val="-2"/>
        </w:rPr>
        <w:t xml:space="preserve">. </w:t>
      </w:r>
    </w:p>
    <w:p w:rsidR="00000000" w:rsidRDefault="0094613C">
      <w:pPr>
        <w:widowControl w:val="0"/>
        <w:spacing w:before="120" w:after="120" w:line="320" w:lineRule="exact"/>
        <w:ind w:firstLine="720"/>
        <w:jc w:val="both"/>
        <w:rPr>
          <w:bCs/>
          <w:spacing w:val="-2"/>
          <w:lang w:val="sv-SE"/>
        </w:rPr>
      </w:pPr>
      <w:r>
        <w:rPr>
          <w:spacing w:val="-2"/>
        </w:rPr>
        <w:t xml:space="preserve">Nội dung về thanh toán, quyết toán các chương trình này được thực hiện </w:t>
      </w:r>
      <w:r>
        <w:rPr>
          <w:bCs/>
          <w:spacing w:val="-2"/>
          <w:lang w:val="sv-SE"/>
        </w:rPr>
        <w:t>theo quy định tại Luật NSNN và các văn bản hướng dẫn đối với từng chương trình tại Quyết định của Thủ tướng Chính phủ và các Thông tư của Bộ Tài chính.</w:t>
      </w:r>
    </w:p>
    <w:p w:rsidR="00000000" w:rsidRDefault="0094613C">
      <w:pPr>
        <w:shd w:val="clear" w:color="auto" w:fill="FFFFFF"/>
        <w:spacing w:before="120" w:after="120" w:line="320" w:lineRule="exact"/>
        <w:ind w:firstLine="709"/>
        <w:jc w:val="both"/>
        <w:rPr>
          <w:color w:val="000000"/>
        </w:rPr>
      </w:pPr>
      <w:r>
        <w:rPr>
          <w:bCs/>
          <w:lang w:val="nl-NL"/>
        </w:rPr>
        <w:t xml:space="preserve">Theo quy định của Luật Đầu tư công năm 2024, </w:t>
      </w:r>
      <w:r>
        <w:rPr>
          <w:i/>
          <w:lang w:val="sv-SE"/>
        </w:rPr>
        <w:t xml:space="preserve">“cấp bù lãi suất tín dụng ưu đãi” </w:t>
      </w:r>
      <w:r>
        <w:rPr>
          <w:iCs/>
          <w:lang w:val="sv-SE"/>
        </w:rPr>
        <w:t xml:space="preserve">thuộc </w:t>
      </w:r>
      <w:r>
        <w:rPr>
          <w:lang w:val="sv-SE"/>
        </w:rPr>
        <w:t xml:space="preserve">đối tượng đầu tư công. </w:t>
      </w:r>
      <w:r>
        <w:rPr>
          <w:color w:val="000000"/>
        </w:rPr>
        <w:t xml:space="preserve">Luật Ngân sách nhà nước năm 2025 giao Chính phủ quy định </w:t>
      </w:r>
      <w:bookmarkStart w:id="0" w:name="khoan_8_25"/>
      <w:r>
        <w:rPr>
          <w:color w:val="000000"/>
        </w:rPr>
        <w:t>quy trình, thủ tục lập dự toán, phân bổ ngân sách, kiểm soát, thanh toán chi ngân sách, quyết toán ngân sách</w:t>
      </w:r>
      <w:bookmarkEnd w:id="0"/>
      <w:r>
        <w:rPr>
          <w:color w:val="000000"/>
        </w:rPr>
        <w:t xml:space="preserve"> (khoản 9 Điều 25). </w:t>
      </w:r>
    </w:p>
    <w:p w:rsidR="00000000" w:rsidRDefault="0094613C">
      <w:pPr>
        <w:widowControl w:val="0"/>
        <w:spacing w:before="120" w:after="120" w:line="320" w:lineRule="exact"/>
        <w:ind w:firstLine="720"/>
        <w:jc w:val="both"/>
        <w:rPr>
          <w:bCs/>
          <w:iCs/>
          <w:lang w:val="nl-NL"/>
        </w:rPr>
      </w:pPr>
      <w:r>
        <w:rPr>
          <w:iCs/>
          <w:lang w:val="sv-SE"/>
        </w:rPr>
        <w:t xml:space="preserve">Do đó, cần thiết tổng kết các quy định pháp luật về </w:t>
      </w:r>
      <w:r>
        <w:rPr>
          <w:spacing w:val="-2"/>
        </w:rPr>
        <w:t xml:space="preserve">thanh toán, quyết toán </w:t>
      </w:r>
      <w:r>
        <w:rPr>
          <w:bCs/>
          <w:lang w:val="nl-NL"/>
        </w:rPr>
        <w:t>hỗ trợ lãi suất vay vốn và cấp bù chênh lệch lãi suất thông qua hệ thống ngân hàng thương mại để rà soát, xây dựng quy định mới phù hợp với pháp luật hiện hành.</w:t>
      </w:r>
    </w:p>
    <w:p w:rsidR="00000000" w:rsidRDefault="0094613C">
      <w:pPr>
        <w:widowControl w:val="0"/>
        <w:spacing w:before="120" w:after="120" w:line="320" w:lineRule="exact"/>
        <w:ind w:firstLine="720"/>
        <w:jc w:val="both"/>
        <w:rPr>
          <w:b/>
          <w:bCs/>
          <w:lang w:val="nl-NL"/>
        </w:rPr>
      </w:pPr>
      <w:r>
        <w:rPr>
          <w:b/>
          <w:bCs/>
          <w:lang w:val="nl-NL"/>
        </w:rPr>
        <w:t>II. Kết quả thực hiện</w:t>
      </w:r>
    </w:p>
    <w:p w:rsidR="00000000" w:rsidRDefault="0094613C">
      <w:pPr>
        <w:widowControl w:val="0"/>
        <w:spacing w:before="120" w:after="120" w:line="320" w:lineRule="exact"/>
        <w:ind w:firstLine="720"/>
        <w:jc w:val="both"/>
        <w:rPr>
          <w:b/>
          <w:bCs/>
          <w:lang w:val="nl-NL"/>
        </w:rPr>
      </w:pPr>
      <w:r>
        <w:rPr>
          <w:b/>
          <w:bCs/>
          <w:lang w:val="nl-NL"/>
        </w:rPr>
        <w:t>1. Công tác chỉ đạo, triển khai và tổ chức thi hành văn bản quy phạm pháp luật</w:t>
      </w:r>
    </w:p>
    <w:p w:rsidR="00000000" w:rsidRDefault="0094613C">
      <w:pPr>
        <w:widowControl w:val="0"/>
        <w:spacing w:before="120" w:after="120" w:line="320" w:lineRule="exact"/>
        <w:ind w:firstLine="720"/>
        <w:jc w:val="both"/>
        <w:rPr>
          <w:bCs/>
          <w:lang w:val="nl-NL"/>
        </w:rPr>
      </w:pPr>
      <w:r>
        <w:rPr>
          <w:bCs/>
          <w:lang w:val="nl-NL"/>
        </w:rPr>
        <w:t>Bộ Tài chính đã tiến hành rà soát hệ thống văn bản hiện hành về thanh toán, quyết toán cấp bù lãi suất/hỗ trợ lãi suất thông qua các ngân hàng thương mại thực hiện các chính sách tín dụng ưu đãi của Nhà nước.</w:t>
      </w:r>
    </w:p>
    <w:p w:rsidR="00000000" w:rsidRDefault="0094613C">
      <w:pPr>
        <w:widowControl w:val="0"/>
        <w:spacing w:before="120" w:after="120" w:line="320" w:lineRule="exact"/>
        <w:ind w:firstLine="720"/>
        <w:jc w:val="both"/>
        <w:rPr>
          <w:lang w:val="nl-NL"/>
        </w:rPr>
      </w:pPr>
      <w:r>
        <w:rPr>
          <w:bCs/>
          <w:lang w:val="nl-NL"/>
        </w:rPr>
        <w:t xml:space="preserve">Đồng thời, Bộ Tài chính đã nắm bắt tình hình dư luận qua các phương tiện thông tin đại chúng, trả lời kiến nghị cử tri, kiến nghị, thắc mắc của các tổ chức tín dụng </w:t>
      </w:r>
      <w:r>
        <w:rPr>
          <w:lang w:val="nl-NL"/>
        </w:rPr>
        <w:t xml:space="preserve">(bằng văn bản và qua Cổng thông tin điện tử của Bộ Tài chính). </w:t>
      </w:r>
    </w:p>
    <w:p w:rsidR="00000000" w:rsidRDefault="0094613C">
      <w:pPr>
        <w:widowControl w:val="0"/>
        <w:spacing w:before="120" w:after="120" w:line="320" w:lineRule="exact"/>
        <w:ind w:firstLine="720"/>
        <w:jc w:val="both"/>
        <w:rPr>
          <w:b/>
          <w:bCs/>
          <w:lang w:val="nl-NL"/>
        </w:rPr>
      </w:pPr>
      <w:r>
        <w:rPr>
          <w:b/>
          <w:bCs/>
          <w:lang w:val="nl-NL"/>
        </w:rPr>
        <w:t>2. Kết quả thi hành văn bản quy phạm pháp luật, đánh giá ưu điểm, bất cập, hạn chế của văn bản quy phạm pháp luật</w:t>
      </w:r>
    </w:p>
    <w:p w:rsidR="00000000" w:rsidRDefault="0094613C">
      <w:pPr>
        <w:widowControl w:val="0"/>
        <w:spacing w:before="120" w:after="120" w:line="320" w:lineRule="exact"/>
        <w:ind w:firstLine="720"/>
        <w:jc w:val="both"/>
        <w:rPr>
          <w:bCs/>
          <w:lang w:val="nl-NL"/>
        </w:rPr>
      </w:pPr>
      <w:r>
        <w:rPr>
          <w:bCs/>
          <w:lang w:val="nl-NL"/>
        </w:rPr>
        <w:lastRenderedPageBreak/>
        <w:t>Căn cứ quy định về chức năng, nhiệm vụ của Bộ Tài chính, thực hiện các chủ trương lớn của Quốc hội, Chính phủ và Thủ tướng Chính phủ về phát triển kinh tế - xã hội bền vững, với trọng tâm là hỗ trợ kinh tế nông thôn, thúc đẩy doanh nghiệp hoạt động và ổn định an sinh xã hội, thời gian vừa qua, Bộ Tài chính đã ban hành hoặc tham mưu ban hành một số văn bản hướng dẫn hỗ trợ lãi suất vay vốn và cấp bù chênh lệch lãi suất thông qua hệ thống ngân hàng thương mại cho một số ngành, lĩnh vực quan trọng, bao gồm:</w:t>
      </w:r>
    </w:p>
    <w:p w:rsidR="00000000" w:rsidRDefault="0094613C">
      <w:pPr>
        <w:tabs>
          <w:tab w:val="left" w:pos="1134"/>
        </w:tabs>
        <w:spacing w:before="120" w:after="120" w:line="320" w:lineRule="exact"/>
        <w:ind w:firstLine="851"/>
        <w:jc w:val="both"/>
        <w:rPr>
          <w:color w:val="000000"/>
          <w:lang w:val="vi-VN"/>
        </w:rPr>
      </w:pPr>
      <w:r>
        <w:rPr>
          <w:bCs/>
          <w:lang w:val="nl-NL"/>
        </w:rPr>
        <w:t xml:space="preserve">- </w:t>
      </w:r>
      <w:r>
        <w:rPr>
          <w:color w:val="000000"/>
          <w:lang w:val="vi-VN"/>
        </w:rPr>
        <w:t>Quyết định số 18/2018/QĐ-TTg ngày 02</w:t>
      </w:r>
      <w:r>
        <w:rPr>
          <w:color w:val="000000"/>
        </w:rPr>
        <w:t>/</w:t>
      </w:r>
      <w:r>
        <w:rPr>
          <w:color w:val="000000"/>
          <w:lang w:val="vi-VN"/>
        </w:rPr>
        <w:t>4</w:t>
      </w:r>
      <w:r>
        <w:rPr>
          <w:color w:val="000000"/>
        </w:rPr>
        <w:t>/</w:t>
      </w:r>
      <w:r>
        <w:rPr>
          <w:color w:val="000000"/>
          <w:lang w:val="vi-VN"/>
        </w:rPr>
        <w:t>2018 của Thủ tướng Chính phủ về hướng dẫn cấp bù chênh lệch lãi suất thực hiện chính sách cho vay nhà ở xã hội theo Nghị định số 100/2015/NĐ-CP ngày 20</w:t>
      </w:r>
      <w:r>
        <w:rPr>
          <w:color w:val="000000"/>
        </w:rPr>
        <w:t>/</w:t>
      </w:r>
      <w:r>
        <w:rPr>
          <w:color w:val="000000"/>
          <w:lang w:val="vi-VN"/>
        </w:rPr>
        <w:t>1</w:t>
      </w:r>
      <w:r>
        <w:rPr>
          <w:color w:val="000000"/>
        </w:rPr>
        <w:t>0/2</w:t>
      </w:r>
      <w:r>
        <w:rPr>
          <w:color w:val="000000"/>
          <w:lang w:val="vi-VN"/>
        </w:rPr>
        <w:t>0</w:t>
      </w:r>
      <w:r>
        <w:rPr>
          <w:color w:val="000000"/>
        </w:rPr>
        <w:t>15</w:t>
      </w:r>
      <w:r>
        <w:rPr>
          <w:color w:val="000000"/>
          <w:lang w:val="vi-VN"/>
        </w:rPr>
        <w:t xml:space="preserve"> của Chính phủ về phát triển và quản lý nhà ở xã hội;</w:t>
      </w:r>
    </w:p>
    <w:p w:rsidR="00000000" w:rsidRDefault="0094613C">
      <w:pPr>
        <w:tabs>
          <w:tab w:val="left" w:pos="1134"/>
        </w:tabs>
        <w:spacing w:before="120" w:after="120" w:line="320" w:lineRule="exact"/>
        <w:ind w:firstLine="851"/>
        <w:jc w:val="both"/>
        <w:rPr>
          <w:color w:val="000000"/>
        </w:rPr>
      </w:pPr>
      <w:r>
        <w:rPr>
          <w:color w:val="000000"/>
          <w:lang w:val="vi-VN"/>
        </w:rPr>
        <w:t>- Thông tư số 188/2012/TT-BTC ngày 07</w:t>
      </w:r>
      <w:r>
        <w:rPr>
          <w:color w:val="000000"/>
        </w:rPr>
        <w:t>/11/2012</w:t>
      </w:r>
      <w:r>
        <w:rPr>
          <w:color w:val="000000"/>
          <w:lang w:val="vi-VN"/>
        </w:rPr>
        <w:t xml:space="preserve"> của Bộ Tài chính hướng dẫn hỗ trợ lãi suất vay vốn và cấp bù chênh lệch lãi suất do thực hiện chính sách hỗ trợ nhằm giảm tổn thất sau thu hoạch đối với nông sản, thủy sản;</w:t>
      </w:r>
    </w:p>
    <w:p w:rsidR="00000000" w:rsidRDefault="0094613C">
      <w:pPr>
        <w:spacing w:before="120" w:after="120" w:line="320" w:lineRule="exact"/>
        <w:ind w:firstLine="851"/>
        <w:jc w:val="both"/>
        <w:rPr>
          <w:color w:val="000000"/>
          <w:lang w:val="vi-VN"/>
        </w:rPr>
      </w:pPr>
      <w:r>
        <w:rPr>
          <w:color w:val="000000"/>
          <w:lang w:val="vi-VN"/>
        </w:rPr>
        <w:t>- Thông tư số 89/2014/TT-BTC ngày 07</w:t>
      </w:r>
      <w:r>
        <w:rPr>
          <w:color w:val="000000"/>
        </w:rPr>
        <w:t>/7/2014</w:t>
      </w:r>
      <w:r>
        <w:rPr>
          <w:color w:val="000000"/>
          <w:lang w:val="vi-VN"/>
        </w:rPr>
        <w:t xml:space="preserve"> của Bộ Tài chính hướng dẫn hỗ trợ lãi suất vay vốn và cấp bù chênh lệch lãi suất do thực hiện chính sách hỗ trợ nhằm giảm tổn thất trong nông nghiệp, được sửa đổi, bổ sung bởi Thông tư số 82/2019/TT-BTC ngày 15</w:t>
      </w:r>
      <w:r>
        <w:rPr>
          <w:color w:val="000000"/>
        </w:rPr>
        <w:t>/11/2019</w:t>
      </w:r>
      <w:r>
        <w:rPr>
          <w:color w:val="000000"/>
          <w:lang w:val="vi-VN"/>
        </w:rPr>
        <w:t>.</w:t>
      </w:r>
    </w:p>
    <w:p w:rsidR="00000000" w:rsidRDefault="0094613C">
      <w:pPr>
        <w:pStyle w:val="FootnoteText"/>
        <w:spacing w:before="120" w:after="120" w:line="320" w:lineRule="exact"/>
        <w:ind w:firstLine="851"/>
        <w:jc w:val="both"/>
        <w:rPr>
          <w:rFonts w:ascii="Times New Roman" w:hAnsi="Times New Roman"/>
          <w:color w:val="000000"/>
          <w:sz w:val="28"/>
          <w:szCs w:val="28"/>
        </w:rPr>
      </w:pPr>
      <w:r>
        <w:rPr>
          <w:rFonts w:ascii="Times New Roman" w:hAnsi="Times New Roman"/>
          <w:color w:val="000000"/>
          <w:sz w:val="28"/>
          <w:szCs w:val="28"/>
          <w:lang w:val="vi-VN"/>
        </w:rPr>
        <w:t>- Thông tư số 114/2014/TT-BTC ngày 20</w:t>
      </w:r>
      <w:r>
        <w:rPr>
          <w:rFonts w:ascii="Times New Roman" w:hAnsi="Times New Roman"/>
          <w:color w:val="000000"/>
          <w:sz w:val="28"/>
          <w:szCs w:val="28"/>
        </w:rPr>
        <w:t>/8/2014</w:t>
      </w:r>
      <w:r>
        <w:rPr>
          <w:rFonts w:ascii="Times New Roman" w:hAnsi="Times New Roman"/>
          <w:color w:val="000000"/>
          <w:sz w:val="28"/>
          <w:szCs w:val="28"/>
          <w:lang w:val="vi-VN"/>
        </w:rPr>
        <w:t xml:space="preserve"> của Bộ Tài chính hướng dẫn cấp bù lãi suất do thực hiện chính sách tín dụng theo Nghị định số 67/2014/NĐ-CP ngày 07</w:t>
      </w:r>
      <w:r>
        <w:rPr>
          <w:rFonts w:ascii="Times New Roman" w:hAnsi="Times New Roman"/>
          <w:color w:val="000000"/>
          <w:sz w:val="28"/>
          <w:szCs w:val="28"/>
        </w:rPr>
        <w:t>/7/2014</w:t>
      </w:r>
      <w:r>
        <w:rPr>
          <w:rFonts w:ascii="Times New Roman" w:hAnsi="Times New Roman"/>
          <w:color w:val="000000"/>
          <w:sz w:val="28"/>
          <w:szCs w:val="28"/>
          <w:lang w:val="vi-VN"/>
        </w:rPr>
        <w:t xml:space="preserve"> của Chính phủ về một số chính sách phát triển thủy sản, được sửa đổi, bổ sung bởi Thông tư số 13/2016/TT-BTC ngày 20</w:t>
      </w:r>
      <w:r>
        <w:rPr>
          <w:rFonts w:ascii="Times New Roman" w:hAnsi="Times New Roman"/>
          <w:color w:val="000000"/>
          <w:sz w:val="28"/>
          <w:szCs w:val="28"/>
        </w:rPr>
        <w:t xml:space="preserve">/01/2016, </w:t>
      </w:r>
      <w:r>
        <w:rPr>
          <w:rFonts w:ascii="Times New Roman" w:hAnsi="Times New Roman"/>
          <w:color w:val="000000"/>
          <w:sz w:val="28"/>
          <w:szCs w:val="28"/>
          <w:lang w:val="vi-VN"/>
        </w:rPr>
        <w:t>Thông tư số 123/2018/TT-BTC ngày 17</w:t>
      </w:r>
      <w:r>
        <w:rPr>
          <w:rFonts w:ascii="Times New Roman" w:hAnsi="Times New Roman"/>
          <w:color w:val="000000"/>
          <w:sz w:val="28"/>
          <w:szCs w:val="28"/>
        </w:rPr>
        <w:t>/12/2018</w:t>
      </w:r>
      <w:r>
        <w:rPr>
          <w:rFonts w:ascii="Times New Roman" w:hAnsi="Times New Roman"/>
          <w:color w:val="000000"/>
          <w:sz w:val="28"/>
          <w:szCs w:val="28"/>
          <w:lang w:val="vi-VN"/>
        </w:rPr>
        <w:t>;</w:t>
      </w:r>
    </w:p>
    <w:p w:rsidR="00000000" w:rsidRDefault="0094613C">
      <w:pPr>
        <w:pStyle w:val="FootnoteText"/>
        <w:spacing w:before="120" w:after="120" w:line="320" w:lineRule="exact"/>
        <w:ind w:firstLine="851"/>
        <w:jc w:val="both"/>
        <w:rPr>
          <w:rFonts w:ascii="Times New Roman" w:hAnsi="Times New Roman"/>
          <w:color w:val="000000"/>
          <w:sz w:val="28"/>
          <w:szCs w:val="28"/>
        </w:rPr>
      </w:pPr>
      <w:r>
        <w:rPr>
          <w:rFonts w:ascii="Times New Roman" w:hAnsi="Times New Roman"/>
          <w:color w:val="000000"/>
          <w:sz w:val="28"/>
          <w:szCs w:val="28"/>
        </w:rPr>
        <w:t>- Thông tư số 53/2000/TT-BTC ngày 06/6/2000 của Bộ Tài chính hướng dẫn cấp bù lãi suất do thực hiện nhiệm vụ cho vay tín dụng đầu tư phát triển của Nhà nước, được sửa đổi, bổ sung bởi Thông tư số 02/2001/TT-BTC ngày 05/01/2021;</w:t>
      </w:r>
    </w:p>
    <w:p w:rsidR="00000000" w:rsidRDefault="0094613C">
      <w:pPr>
        <w:pStyle w:val="FootnoteText"/>
        <w:spacing w:before="120" w:after="120" w:line="320" w:lineRule="exact"/>
        <w:ind w:firstLine="851"/>
        <w:jc w:val="both"/>
        <w:rPr>
          <w:rFonts w:ascii="Times New Roman" w:hAnsi="Times New Roman"/>
          <w:color w:val="000000"/>
          <w:sz w:val="28"/>
          <w:szCs w:val="28"/>
        </w:rPr>
      </w:pPr>
      <w:r>
        <w:rPr>
          <w:rFonts w:ascii="Times New Roman" w:hAnsi="Times New Roman"/>
          <w:color w:val="000000"/>
          <w:sz w:val="28"/>
          <w:szCs w:val="28"/>
        </w:rPr>
        <w:t>- Thông tư số 183/2009/TT-BTC ngày 15/9/2009 của Bộ Tài chính hướng dẫn cấp bù lãi suất do thực hiện chính sách cho vay ưu đãi lãi suất theo Chương trình hỗ trợ các huyện nghèo tại Nghị quyết số 30a/2008/NQ-CP ngày 27/12/2008.</w:t>
      </w:r>
    </w:p>
    <w:p w:rsidR="00000000" w:rsidRDefault="0094613C">
      <w:pPr>
        <w:widowControl w:val="0"/>
        <w:spacing w:before="120" w:after="120" w:line="320" w:lineRule="exact"/>
        <w:ind w:firstLine="720"/>
        <w:jc w:val="both"/>
        <w:rPr>
          <w:lang w:val="pt-BR"/>
        </w:rPr>
      </w:pPr>
      <w:r>
        <w:rPr>
          <w:lang w:val="pt-BR"/>
        </w:rPr>
        <w:t>Các văn bản quy phạm pháp luật hướng dẫn việc hỗ trợ lãi suất vay vốn và cấp bù chênh lệch lãi suất được ban hành nhằm thể chế, cụ thể hóa các chương trình mục tiêu quốc gia, các chủ trương lớn của Quốc hội về phát triển kinh tế - xã hội bền vững và bảo đảm an sinh xã hội. Mục tiêu cốt lõi của chính sách ưu đãi về tín dụng là giảm gánh nặng vốn vay, tạo điều kiện để các chủ thể kinh tế đầu tư vào sản xuất, đổi mới công nghệ, nâng cao năng suất, mở rộng cơ hội tiếp cận an sinh cơ bản, từ đó góp phần thúc đẩy phát triển kinh tế bền vững và nâng cao đời sống của người dân.</w:t>
      </w:r>
    </w:p>
    <w:p w:rsidR="00000000" w:rsidRDefault="0094613C">
      <w:pPr>
        <w:widowControl w:val="0"/>
        <w:spacing w:before="120" w:after="120" w:line="320" w:lineRule="exact"/>
        <w:ind w:firstLine="720"/>
        <w:jc w:val="both"/>
        <w:rPr>
          <w:color w:val="000000"/>
        </w:rPr>
      </w:pPr>
      <w:r>
        <w:rPr>
          <w:lang w:val="pt-BR"/>
        </w:rPr>
        <w:t>a) Đối với Thông tư số 188</w:t>
      </w:r>
      <w:r>
        <w:rPr>
          <w:color w:val="000000"/>
          <w:lang w:val="vi-VN"/>
        </w:rPr>
        <w:t>/2012/TT-BTC</w:t>
      </w:r>
      <w:r>
        <w:rPr>
          <w:color w:val="000000"/>
        </w:rPr>
        <w:t xml:space="preserve"> và Thông tư </w:t>
      </w:r>
      <w:r>
        <w:rPr>
          <w:color w:val="000000"/>
          <w:lang w:val="vi-VN"/>
        </w:rPr>
        <w:t>số 89/2014/TT-BTC</w:t>
      </w:r>
    </w:p>
    <w:p w:rsidR="00000000" w:rsidRDefault="0094613C">
      <w:pPr>
        <w:widowControl w:val="0"/>
        <w:spacing w:before="120" w:after="120" w:line="320" w:lineRule="exact"/>
        <w:ind w:firstLine="720"/>
        <w:jc w:val="both"/>
        <w:rPr>
          <w:lang w:val="pt-BR"/>
        </w:rPr>
      </w:pPr>
      <w:r>
        <w:rPr>
          <w:lang w:val="pt-BR"/>
        </w:rPr>
        <w:t xml:space="preserve">Thông tư số 188/2012/TT-BTC được ban hành nhằm triển khai Quyết </w:t>
      </w:r>
      <w:r>
        <w:rPr>
          <w:lang w:val="pt-BR"/>
        </w:rPr>
        <w:lastRenderedPageBreak/>
        <w:t>định số 63/2010/QĐ-TTg ngày 15/10/2010 của Thủ tướng Chính phủ về chính sách hỗ trợ nhằm giảm tổn thất sau thu hoạch đối với nông sản, thủy sản (được sửa đổi, bổ sung tại Quyết định số 65/2011/QĐ-TTg ngày 02/12/2011). Các quy định tại Thông tư số 188/2012/TT-BTC tạo khung pháp lý cụ thể, tập trung vào nhóm các ngân hàng thương mại có vốn nhà nước, giúp tháo gỡ điểm nghẽn về vốn, khuyến khích nông dân, doanh nghiệp đầu tư máy móc, kho lạnh, thiết bị bảo quản, giúp giảm tỷ lệ hao hụt sau thu hoạch, góp phần ổn định nguồn cung, nâng cao chất lượng nông sản xuất khẩu.</w:t>
      </w:r>
    </w:p>
    <w:p w:rsidR="00000000" w:rsidRDefault="0094613C">
      <w:pPr>
        <w:widowControl w:val="0"/>
        <w:spacing w:before="120" w:after="120" w:line="320" w:lineRule="exact"/>
        <w:ind w:firstLine="720"/>
        <w:jc w:val="both"/>
        <w:rPr>
          <w:lang w:val="pt-BR"/>
        </w:rPr>
      </w:pPr>
      <w:r>
        <w:rPr>
          <w:lang w:val="pt-BR"/>
        </w:rPr>
        <w:t>Cơ chế ban hành tại Thông tư số 188/2012/TT-BTC cho phép các ngân hàng thương mại có vốn nhà nước hỗ trợ lãi suất 100% trong 2 năm đầu và 50% từ năm thứ 3 trở đi, giúp tạo động lực ban đầu mạnh mẽ, đồng thời đảm bảo hiệu quả sử dụng ngân sách nhà nước khi ngân sách nhà nước chỉ hỗ trợ phần lãi suất, không cấp vốn trực tiếp.</w:t>
      </w:r>
    </w:p>
    <w:p w:rsidR="00000000" w:rsidRDefault="0094613C">
      <w:pPr>
        <w:widowControl w:val="0"/>
        <w:spacing w:before="120" w:after="120" w:line="320" w:lineRule="exact"/>
        <w:ind w:firstLine="720"/>
        <w:jc w:val="both"/>
        <w:rPr>
          <w:lang w:val="pt-BR"/>
        </w:rPr>
      </w:pPr>
      <w:r>
        <w:rPr>
          <w:lang w:val="pt-BR"/>
        </w:rPr>
        <w:t>b) Đối với Thông tư số 89/2014/TT-BTC</w:t>
      </w:r>
    </w:p>
    <w:p w:rsidR="00000000" w:rsidRDefault="0094613C">
      <w:pPr>
        <w:widowControl w:val="0"/>
        <w:spacing w:before="120" w:after="120" w:line="320" w:lineRule="exact"/>
        <w:ind w:firstLine="720"/>
        <w:jc w:val="both"/>
        <w:rPr>
          <w:lang w:val="pt-BR"/>
        </w:rPr>
      </w:pPr>
      <w:r>
        <w:rPr>
          <w:lang w:val="pt-BR"/>
        </w:rPr>
        <w:t xml:space="preserve">Triển khai thực hiện Quyết định số 68/2013/QĐ-TTg ngày 14/11/2013 của Thủ tướng Chính phủ về chính sách hỗ trợ nhằm giảm tổn thất trong nông nghiệp, Thông tư số 89/2014/TT-BTC được ban hành trên tinh thần kế thừa và phát huy các điểm mạnh chính sách đã được ban hành tại Thông tư số 188/2012/TT-BTC. Quyết định số 68/2013/QĐ-TTg mở rộng phạm vi doanh nghiệp, hoạt động được hưởng ưu đãi tín dụng: từ các hoạt động, máy móc phục vụ bảo quản sau thu hoạch sang toàn bộ chuỗi sản xuất nông nghiệp (từ trồng trọt, chăn nuôi, thủy sản đến cơ giới hóa, chế biến). Các chính sách ban hành cho phép vay để đầu tư dây chuyền sản xuất, chế tạo máy, thời hạn hỗ trợ tới 12 năm, khuyến khích đầu tư nông nghiệp dài hạn. </w:t>
      </w:r>
    </w:p>
    <w:p w:rsidR="00000000" w:rsidRDefault="0094613C">
      <w:pPr>
        <w:widowControl w:val="0"/>
        <w:spacing w:before="120" w:after="120" w:line="320" w:lineRule="exact"/>
        <w:ind w:firstLine="720"/>
        <w:jc w:val="both"/>
        <w:rPr>
          <w:lang w:val="pt-BR"/>
        </w:rPr>
      </w:pPr>
      <w:r>
        <w:rPr>
          <w:lang w:val="pt-BR"/>
        </w:rPr>
        <w:t>Các quy định tại Thông tư số 89/2014/TT-BTC giữ nguyên cơ chế của Thông tư số 188/2012/TT-BTC cho các khoản vay cũ và điều khoản chuyển tiếp hợp lý, giúp tăng cường tính liên thông trong quy định về các chính sách hướng dẫn hỗ trợ tín dụng, tránh các khoảng trống, gián đoạn trong thực thi khi chủ trương tại Quyết định số 68/2013/QĐ-TTg được ban hành thay thế các chương trình trước đó quy định tại Quyết định số 63/2010/QĐ-TTg (đã được sửa đổi, bổ sung).</w:t>
      </w:r>
    </w:p>
    <w:p w:rsidR="00000000" w:rsidRDefault="0094613C">
      <w:pPr>
        <w:widowControl w:val="0"/>
        <w:spacing w:before="120" w:after="120" w:line="320" w:lineRule="exact"/>
        <w:ind w:firstLine="720"/>
        <w:jc w:val="both"/>
        <w:rPr>
          <w:lang w:val="pt-BR"/>
        </w:rPr>
      </w:pPr>
      <w:r>
        <w:rPr>
          <w:lang w:val="pt-BR"/>
        </w:rPr>
        <w:t>c) Đối với Thông tư số 114/2014/TT-BTC</w:t>
      </w:r>
    </w:p>
    <w:p w:rsidR="00000000" w:rsidRDefault="0094613C">
      <w:pPr>
        <w:widowControl w:val="0"/>
        <w:spacing w:before="120" w:after="120" w:line="320" w:lineRule="exact"/>
        <w:ind w:firstLine="720"/>
        <w:jc w:val="both"/>
        <w:rPr>
          <w:lang w:val="pt-BR"/>
        </w:rPr>
      </w:pPr>
      <w:r>
        <w:rPr>
          <w:lang w:val="pt-BR"/>
        </w:rPr>
        <w:t xml:space="preserve">Thông tư số 114/2014/TT-BTC được ban hành để hướng dẫn hồ sơ, quy trình, thủ tục cấp bù lãi suất do thực hiện chính sách tín dụng đóng mới, nâng cấp tàu quy định tại Nghị định số </w:t>
      </w:r>
      <w:r>
        <w:rPr>
          <w:color w:val="000000"/>
          <w:lang w:val="vi-VN"/>
        </w:rPr>
        <w:t>67/2014/NĐ-CP</w:t>
      </w:r>
      <w:r>
        <w:rPr>
          <w:color w:val="000000"/>
        </w:rPr>
        <w:t xml:space="preserve">. Quy định tại Thông tư </w:t>
      </w:r>
      <w:r>
        <w:rPr>
          <w:lang w:val="pt-BR"/>
        </w:rPr>
        <w:t xml:space="preserve">số 114/2014/TT-BTC được thiết kế để hỗ trợ ngư dân đóng mới, nâng cấp tàu cá vỏ thép, vỏ vật liệu mới phục vụ khai thác xa bờ, giúp tăng cường năng lực đội tàu khai thác, gắn với bảo vệ chủ quyền biển đảo, phát triển kinh tế biển bền vững. </w:t>
      </w:r>
    </w:p>
    <w:p w:rsidR="00000000" w:rsidRDefault="0094613C">
      <w:pPr>
        <w:widowControl w:val="0"/>
        <w:spacing w:before="120" w:after="120" w:line="320" w:lineRule="exact"/>
        <w:ind w:firstLine="720"/>
        <w:jc w:val="both"/>
        <w:rPr>
          <w:lang w:val="pt-BR"/>
        </w:rPr>
      </w:pPr>
      <w:r>
        <w:rPr>
          <w:lang w:val="pt-BR"/>
        </w:rPr>
        <w:t xml:space="preserve">Thông tư số 114/2014/TT-BTC quy định rõ các trường hợp rủi ro bất khả kháng (tàu bị thiên tai, bị bắt giữ, bị đâm va) vẫn được hỗ trợ, giảm thiểu rủi ro tín dụng cho ngân hàng thương mại khi tham gia chương trình hỗ trợ. Với cơ chế hỗ trợ miễn lãi suất 1 năm đầu, các năm sau Nhà nước cấp bù phần chênh </w:t>
      </w:r>
      <w:r>
        <w:rPr>
          <w:lang w:val="pt-BR"/>
        </w:rPr>
        <w:lastRenderedPageBreak/>
        <w:t>lệch lãi suất (7%/năm), Thông tư số 114/2014/TT-BTC tập trung hỗ trợ ngành mũi nhọn là thủy sản, vừa là lĩnh vực xuất khẩu chủ lực, vừa gắn với an ninh quốc phòng.</w:t>
      </w:r>
    </w:p>
    <w:p w:rsidR="00000000" w:rsidRDefault="0094613C">
      <w:pPr>
        <w:widowControl w:val="0"/>
        <w:spacing w:before="120" w:after="120" w:line="320" w:lineRule="exact"/>
        <w:ind w:firstLine="720"/>
        <w:jc w:val="both"/>
        <w:rPr>
          <w:color w:val="000000"/>
        </w:rPr>
      </w:pPr>
      <w:r>
        <w:rPr>
          <w:lang w:val="pt-BR"/>
        </w:rPr>
        <w:t xml:space="preserve">d) Đối với Thông tư số </w:t>
      </w:r>
      <w:r>
        <w:rPr>
          <w:color w:val="000000"/>
        </w:rPr>
        <w:t>53/2000/TT-BTC</w:t>
      </w:r>
    </w:p>
    <w:p w:rsidR="00000000" w:rsidRDefault="0094613C">
      <w:pPr>
        <w:widowControl w:val="0"/>
        <w:spacing w:before="120" w:after="120" w:line="320" w:lineRule="exact"/>
        <w:ind w:firstLine="720"/>
        <w:jc w:val="both"/>
        <w:rPr>
          <w:color w:val="000000"/>
        </w:rPr>
      </w:pPr>
      <w:r>
        <w:rPr>
          <w:color w:val="000000"/>
        </w:rPr>
        <w:t xml:space="preserve">Quy định tại Thông tư số 53/2000/TT-BTC được thiết kế để triển khai kế hoạch tín dụng đầu tư phát triển của Nhà nước </w:t>
      </w:r>
      <w:proofErr w:type="gramStart"/>
      <w:r>
        <w:rPr>
          <w:color w:val="000000"/>
        </w:rPr>
        <w:t>theo</w:t>
      </w:r>
      <w:proofErr w:type="gramEnd"/>
      <w:r>
        <w:rPr>
          <w:color w:val="000000"/>
        </w:rPr>
        <w:t xml:space="preserve"> quyết định của Thủ tướng Chính phủ.</w:t>
      </w:r>
    </w:p>
    <w:p w:rsidR="00000000" w:rsidRDefault="0094613C">
      <w:pPr>
        <w:widowControl w:val="0"/>
        <w:spacing w:before="120" w:after="120" w:line="320" w:lineRule="exact"/>
        <w:ind w:firstLine="720"/>
        <w:jc w:val="both"/>
        <w:rPr>
          <w:color w:val="000000"/>
        </w:rPr>
      </w:pPr>
      <w:r>
        <w:rPr>
          <w:color w:val="000000"/>
        </w:rPr>
        <w:t>đ) Đối với Thông tư số 183/2009/TT-BTC</w:t>
      </w:r>
    </w:p>
    <w:p w:rsidR="00000000" w:rsidRDefault="0094613C">
      <w:pPr>
        <w:widowControl w:val="0"/>
        <w:spacing w:before="120" w:after="120" w:line="320" w:lineRule="exact"/>
        <w:ind w:firstLine="720"/>
        <w:jc w:val="both"/>
        <w:rPr>
          <w:color w:val="000000"/>
        </w:rPr>
      </w:pPr>
      <w:r>
        <w:rPr>
          <w:color w:val="000000"/>
        </w:rPr>
        <w:t xml:space="preserve">Thông tư số 183/2009/TT-BTC được ban hành nhằm cụ thể hóa Nghị quyết số 30a/2008/NQ-CP của Chính phủ về chương trình hỗ trợ giảm nghèo nhanh và bền vững đối với 61 huyện nghèo, với mục tiêu trọng tâm là giúp người dân ở vùng khó khăn được tiếp cận nguồn vốn tín dụng ưu đãi. </w:t>
      </w:r>
      <w:proofErr w:type="gramStart"/>
      <w:r>
        <w:rPr>
          <w:color w:val="000000"/>
        </w:rPr>
        <w:t>Việc cấp bù chênh lệch lãi suất cho các ngân hàng thương mại giúp giảm chi phí vay vốn cho hộ nghèo, tạo điều kiện đầu tư sản xuất và cải thiện đời sống.</w:t>
      </w:r>
      <w:proofErr w:type="gramEnd"/>
      <w:r>
        <w:rPr>
          <w:color w:val="000000"/>
        </w:rPr>
        <w:t xml:space="preserve"> </w:t>
      </w:r>
    </w:p>
    <w:p w:rsidR="00000000" w:rsidRDefault="0094613C">
      <w:pPr>
        <w:widowControl w:val="0"/>
        <w:spacing w:before="120" w:after="120" w:line="320" w:lineRule="exact"/>
        <w:ind w:firstLine="720"/>
        <w:jc w:val="both"/>
        <w:rPr>
          <w:lang w:val="pt-BR"/>
        </w:rPr>
      </w:pPr>
      <w:r>
        <w:rPr>
          <w:color w:val="000000"/>
        </w:rPr>
        <w:t xml:space="preserve">e) </w:t>
      </w:r>
      <w:r>
        <w:rPr>
          <w:lang w:val="pt-BR"/>
        </w:rPr>
        <w:t>Đối với Quyết định số 18/2018/QĐ-TTg</w:t>
      </w:r>
    </w:p>
    <w:p w:rsidR="00000000" w:rsidRDefault="0094613C">
      <w:pPr>
        <w:widowControl w:val="0"/>
        <w:spacing w:before="120" w:after="120" w:line="320" w:lineRule="exact"/>
        <w:ind w:firstLine="720"/>
        <w:jc w:val="both"/>
        <w:rPr>
          <w:lang w:val="pt-BR"/>
        </w:rPr>
      </w:pPr>
      <w:r>
        <w:rPr>
          <w:lang w:val="pt-BR"/>
        </w:rPr>
        <w:t>Quyết định số 18/2018/QĐ-TTg do Bộ Tài chính tham mưu ban hành, nhằm thể chế hóa chủ trương lớn của Quốc hội và Chính phủ về phát triển nhà ở xã hội, đặc biệt cho người thu nhập thấp, công nhân khu công nghiệp, cán bộ, công chức, lực lượng vũ trang..., nằm trong tổng thể chủ trương của Quốc hội về chính sách an sinh xã hội và chiến lược phát triển nhà ở quốc gia.</w:t>
      </w:r>
    </w:p>
    <w:p w:rsidR="00000000" w:rsidRDefault="0094613C">
      <w:pPr>
        <w:widowControl w:val="0"/>
        <w:spacing w:before="120" w:after="120" w:line="320" w:lineRule="exact"/>
        <w:ind w:firstLine="720"/>
        <w:jc w:val="both"/>
        <w:rPr>
          <w:bCs/>
          <w:iCs/>
          <w:lang w:val="nl-NL"/>
        </w:rPr>
      </w:pPr>
      <w:r>
        <w:rPr>
          <w:bCs/>
          <w:iCs/>
          <w:lang w:val="nl-NL"/>
        </w:rPr>
        <w:t>Các văn bản Bộ Tài chính đã ban hành hoặc tham mưu ban hành giúp thực hiện hóa các định hướng của Quốc hội về hỗ trợ doanh nghiệp, phát triển sản xuất nông nghiệp hiện đại, giảm nghèo bền vững, ổn định an sinh xã hội và nâng cao năng lực cạnh tranh quốc gia. Các văn bản hướng dẫn cụ thể quy trình, thủ tục cấp bù lãi suất giúp hoàn thiện khung pháp lý cho các chương trình hỗ trợ tín dụng, khuyến khích các ngân hàng thương mại cho vay các lĩnh vực, ngành trọng điểm. Đồng thời, việc ban hành các văn bản quy phạm này cũng bảo đảm ngân sách nhà nước được sử dụng minh bạch, có kiểm toán, có quyết toán, từ đó nâng cao hiệu quả điều hành tài chính – ngân sách.</w:t>
      </w:r>
    </w:p>
    <w:p w:rsidR="00000000" w:rsidRDefault="0094613C">
      <w:pPr>
        <w:widowControl w:val="0"/>
        <w:spacing w:before="120" w:after="120" w:line="320" w:lineRule="exact"/>
        <w:ind w:firstLine="720"/>
        <w:jc w:val="both"/>
        <w:rPr>
          <w:b/>
          <w:bCs/>
          <w:lang w:val="nl-NL"/>
        </w:rPr>
      </w:pPr>
      <w:r>
        <w:rPr>
          <w:b/>
          <w:bCs/>
          <w:lang w:val="nl-NL"/>
        </w:rPr>
        <w:t>3. Khó khăn, vướng mắc và nguyên nhân</w:t>
      </w:r>
    </w:p>
    <w:p w:rsidR="00000000" w:rsidRDefault="0094613C">
      <w:pPr>
        <w:spacing w:before="120" w:after="120" w:line="320" w:lineRule="exact"/>
        <w:ind w:firstLine="720"/>
        <w:jc w:val="both"/>
        <w:rPr>
          <w:iCs/>
          <w:lang w:val="nl-NL"/>
        </w:rPr>
      </w:pPr>
      <w:r>
        <w:rPr>
          <w:iCs/>
          <w:lang w:val="nl-NL"/>
        </w:rPr>
        <w:t xml:space="preserve">Các văn bản hướng dẫn về thanh toán, quyết toán cấp bù lãi suất, hỗ trợ lãi suất thông qua các ngân hàng thương mại thực hiện các chính sách tín dụng ưu đãi của Nhà nước đến thời điểm hiện tại đều được ban hành hoặc tham mưu ban hành trước thời điểm Luật Đầu tư công số 39/2019/QH14 ngày 13/6/2019 và Luật Ngân sách Nhà nước số 89/2025/QH15 ngày 25/6/2025 có hiệu lực thi hành. </w:t>
      </w:r>
    </w:p>
    <w:p w:rsidR="00000000" w:rsidRDefault="0094613C">
      <w:pPr>
        <w:widowControl w:val="0"/>
        <w:spacing w:before="120" w:after="120" w:line="320" w:lineRule="exact"/>
        <w:ind w:firstLine="720"/>
        <w:jc w:val="both"/>
        <w:rPr>
          <w:b/>
          <w:bCs/>
          <w:lang w:val="nl-NL"/>
        </w:rPr>
      </w:pPr>
      <w:r>
        <w:rPr>
          <w:b/>
          <w:bCs/>
          <w:lang w:val="nl-NL"/>
        </w:rPr>
        <w:t>4. Xác định những vấn đề mới phát sinh trong thực tiễn</w:t>
      </w:r>
    </w:p>
    <w:p w:rsidR="00000000" w:rsidRDefault="0094613C">
      <w:pPr>
        <w:spacing w:before="120" w:after="120" w:line="320" w:lineRule="exact"/>
        <w:ind w:firstLine="720"/>
        <w:jc w:val="both"/>
        <w:rPr>
          <w:iCs/>
          <w:lang w:val="nl-NL"/>
        </w:rPr>
      </w:pPr>
      <w:r>
        <w:rPr>
          <w:iCs/>
          <w:lang w:val="nl-NL"/>
        </w:rPr>
        <w:t xml:space="preserve">Trong bối cảnh chính sách cấp bù lãi suất được sử dụng trong nhiều chính sách, chương trình tín dụng ưu đãi khác nhau, việc ban hành quy trình thanh toán, quyết toán vốn ngân sách nhà nước hỗ trợ lãi suất, cấp bù lãi suất chung để thống nhất là hết sức cần thiết. Mỗi lĩnh vực như nông nghiệp, thủy sản, nhà ở </w:t>
      </w:r>
      <w:r>
        <w:rPr>
          <w:iCs/>
          <w:lang w:val="nl-NL"/>
        </w:rPr>
        <w:lastRenderedPageBreak/>
        <w:t>xã hội,... có văn bản hướng dẫn riêng, dẫn tới nguy cơ chồng chéo, thiếu đồng bộ, tiềm ẩn rủi ro các quy định thiết kế không thống nhất, gây khó khăn cho các ngân hàng thương mại và các đối tượng thụ hưởng.</w:t>
      </w:r>
    </w:p>
    <w:p w:rsidR="00000000" w:rsidRDefault="0094613C">
      <w:pPr>
        <w:spacing w:before="120" w:after="120" w:line="320" w:lineRule="exact"/>
        <w:ind w:firstLine="706"/>
        <w:jc w:val="both"/>
        <w:rPr>
          <w:spacing w:val="-2"/>
          <w:lang w:val="sv-SE"/>
        </w:rPr>
      </w:pPr>
      <w:r>
        <w:rPr>
          <w:iCs/>
          <w:lang w:val="nl-NL"/>
        </w:rPr>
        <w:t xml:space="preserve">Theo quy định tại khoản 6 Điều 5 Luật Đầu tư công, đối tượng đầu tư công bao gồm cấp bù lãi suất tín dụng. </w:t>
      </w:r>
      <w:r>
        <w:rPr>
          <w:lang w:val="sv-SE"/>
        </w:rPr>
        <w:t xml:space="preserve">Tuy nhiên, hiện nay </w:t>
      </w:r>
      <w:r>
        <w:rPr>
          <w:color w:val="212121"/>
        </w:rPr>
        <w:t xml:space="preserve">Nghị định số 85/2025/NĐ-CP ngày 08/4/2025 của Chính phủ, </w:t>
      </w:r>
      <w:r>
        <w:t>Nghị định số 254/2025/NĐ-CP ngày 26/9/2025</w:t>
      </w:r>
      <w:r>
        <w:rPr>
          <w:color w:val="212121"/>
        </w:rPr>
        <w:t xml:space="preserve"> của Chính phủ và các </w:t>
      </w:r>
      <w:r>
        <w:t xml:space="preserve">dự thảo Nghị định của Chính phủ quy định chi tiết thi hành một số điều của Luật Ngân sách Nhà nước năm 2025 </w:t>
      </w:r>
      <w:r>
        <w:rPr>
          <w:bCs/>
          <w:lang w:val="sv-SE"/>
        </w:rPr>
        <w:t xml:space="preserve">chưa có quy định về quy trình thanh toán, quyết toán đối với việc cấp bù lãi suất cho các ngân hàng thương mại để thực hiện chính sách tín dụng của Nhà nước. </w:t>
      </w:r>
      <w:r>
        <w:rPr>
          <w:iCs/>
          <w:lang w:val="nl-NL"/>
        </w:rPr>
        <w:t>Do vậy, cần thiết ban hành Nghị định chung để hướng dẫn thực hiện theo quy định của Luật Đầu tư công.</w:t>
      </w:r>
    </w:p>
    <w:p w:rsidR="00000000" w:rsidRDefault="0094613C">
      <w:pPr>
        <w:widowControl w:val="0"/>
        <w:spacing w:before="120" w:after="120" w:line="320" w:lineRule="exact"/>
        <w:ind w:firstLine="720"/>
        <w:jc w:val="both"/>
        <w:rPr>
          <w:iCs/>
          <w:lang w:val="nl-NL"/>
        </w:rPr>
      </w:pPr>
      <w:r>
        <w:rPr>
          <w:iCs/>
          <w:lang w:val="nl-NL"/>
        </w:rPr>
        <w:t xml:space="preserve">Quy định chung sẽ tạo hành lang pháp lý thống nhất, đồng bộ về nguyên tắc, quy trình, phương thức quyết toán và cơ chế giám sát hỗ trợ lãi suất, cấp bù lãi suất từ ngân sách nhà nước, giúp nâng cao tính minh bạch, trách nhiệm giải trình và hiệu quả sử dụng ngân sách, đồng thời tạo sự chủ động cho các ngân hàng thương mại trong quá trình triển khai. Việc ban hành một Nghị định chung cũng bảo đảm tính công bằng trong các lĩnh vực được áp dụng biện pháp hỗ trợ lãi suất, cấp bù lãi suất từ ngân sách nhà nước, tạo điều kiện để Chính phủ áp dụng công cụ cấp bù lãi suất như một chính sách tài khóa quan trọng, hỗ trợ nền kinh tế và thúc đẩy phát triển bền vững. </w:t>
      </w:r>
    </w:p>
    <w:p w:rsidR="00000000" w:rsidRDefault="0094613C">
      <w:pPr>
        <w:widowControl w:val="0"/>
        <w:spacing w:before="120" w:after="120" w:line="320" w:lineRule="exact"/>
        <w:ind w:firstLine="720"/>
        <w:jc w:val="both"/>
        <w:rPr>
          <w:b/>
          <w:bCs/>
          <w:lang w:val="nl-NL"/>
        </w:rPr>
      </w:pPr>
      <w:r>
        <w:rPr>
          <w:b/>
          <w:bCs/>
          <w:lang w:val="nl-NL"/>
        </w:rPr>
        <w:t>III. Đề xuất, kiến nghị</w:t>
      </w:r>
    </w:p>
    <w:p w:rsidR="00000000" w:rsidRDefault="0094613C">
      <w:pPr>
        <w:widowControl w:val="0"/>
        <w:spacing w:before="120" w:after="120" w:line="320" w:lineRule="exact"/>
        <w:ind w:firstLine="720"/>
        <w:jc w:val="both"/>
        <w:rPr>
          <w:iCs/>
          <w:lang w:val="nl-NL"/>
        </w:rPr>
      </w:pPr>
      <w:r>
        <w:rPr>
          <w:iCs/>
          <w:lang w:val="nl-NL"/>
        </w:rPr>
        <w:t>Căn cứ các nội dung đánh giá nêu trên, Bộ Tài chính kiến nghị Chính phủ ban hành Nghị định về thanh toán, quyết toán hỗ trợ lãi suất, cấp bù lãi suất đối với các ngân hàng thương mại theo các nội dung như Bộ Tài chính báo cáo tại Tờ trình Chính phủ để các ngân hàng thương mại có cơ sở tiếp tục triển khai các chính sách ưu đãi tín dụng.</w:t>
      </w:r>
    </w:p>
    <w:p w:rsidR="00000000" w:rsidRDefault="0094613C">
      <w:pPr>
        <w:spacing w:before="120" w:after="120" w:line="320" w:lineRule="exact"/>
        <w:ind w:firstLine="720"/>
        <w:jc w:val="both"/>
      </w:pPr>
      <w:r>
        <w:rPr>
          <w:lang w:val="vi-VN"/>
        </w:rPr>
        <w:t xml:space="preserve">Trên đây là Báo cáo tổng kết thi hành </w:t>
      </w:r>
      <w:r>
        <w:t>các văn bản quy phạm pháp luật hướng dẫn việc hỗ trợ lãi suất vay vốn và cấp bù chênh lệch lãi suất</w:t>
      </w:r>
      <w:r>
        <w:rPr>
          <w:lang w:val="vi-VN"/>
        </w:rPr>
        <w:t xml:space="preserve">, Bộ Tài chính kính </w:t>
      </w:r>
      <w:r>
        <w:t>báo cáo</w:t>
      </w:r>
      <w:r>
        <w:rPr>
          <w:lang w:val="vi-VN"/>
        </w:rPr>
        <w:t xml:space="preserve"> Chính phủ./</w:t>
      </w:r>
    </w:p>
    <w:tbl>
      <w:tblPr>
        <w:tblW w:w="9322" w:type="dxa"/>
        <w:tblLayout w:type="fixed"/>
        <w:tblLook w:val="0000"/>
      </w:tblPr>
      <w:tblGrid>
        <w:gridCol w:w="4503"/>
        <w:gridCol w:w="4819"/>
      </w:tblGrid>
      <w:tr w:rsidR="00631594" w:rsidRPr="008034FE" w:rsidTr="00B80CD4">
        <w:trPr>
          <w:trHeight w:val="2392"/>
        </w:trPr>
        <w:tc>
          <w:tcPr>
            <w:tcW w:w="4503" w:type="dxa"/>
          </w:tcPr>
          <w:p w:rsidR="00631594" w:rsidRPr="00257512" w:rsidRDefault="00631594" w:rsidP="00B80CD4">
            <w:pPr>
              <w:spacing w:before="120"/>
              <w:rPr>
                <w:rFonts w:eastAsia="Arial"/>
                <w:b/>
                <w:i/>
                <w:sz w:val="24"/>
                <w:szCs w:val="24"/>
                <w:lang w:val="vi-VN"/>
              </w:rPr>
            </w:pPr>
            <w:r w:rsidRPr="00257512">
              <w:rPr>
                <w:rFonts w:eastAsia="Arial"/>
                <w:b/>
                <w:i/>
                <w:sz w:val="24"/>
                <w:szCs w:val="24"/>
                <w:lang w:val="vi-VN"/>
              </w:rPr>
              <w:t>Nơi nhận:</w:t>
            </w:r>
          </w:p>
          <w:p w:rsidR="00631594" w:rsidRPr="00257512" w:rsidRDefault="00631594" w:rsidP="00B80CD4">
            <w:pPr>
              <w:rPr>
                <w:rFonts w:eastAsia="Arial"/>
                <w:sz w:val="24"/>
                <w:szCs w:val="24"/>
                <w:lang w:val="vi-VN"/>
              </w:rPr>
            </w:pPr>
            <w:r w:rsidRPr="00257512">
              <w:rPr>
                <w:rFonts w:eastAsia="Arial"/>
                <w:sz w:val="24"/>
                <w:szCs w:val="24"/>
                <w:lang w:val="vi-VN"/>
              </w:rPr>
              <w:t>- Như trên;</w:t>
            </w:r>
          </w:p>
          <w:p w:rsidR="00631594" w:rsidRPr="00257512" w:rsidRDefault="00631594" w:rsidP="00B80CD4">
            <w:pPr>
              <w:rPr>
                <w:rFonts w:eastAsia="Arial"/>
                <w:sz w:val="24"/>
                <w:szCs w:val="24"/>
                <w:lang w:val="vi-VN"/>
              </w:rPr>
            </w:pPr>
            <w:r w:rsidRPr="00257512">
              <w:rPr>
                <w:rFonts w:eastAsia="Arial"/>
                <w:sz w:val="24"/>
                <w:szCs w:val="24"/>
                <w:lang w:val="vi-VN"/>
              </w:rPr>
              <w:t>- Phó TTgCP Hồ Đức Phớc (để b/c);</w:t>
            </w:r>
          </w:p>
          <w:p w:rsidR="00631594" w:rsidRPr="00257512" w:rsidRDefault="00631594" w:rsidP="00B80CD4">
            <w:pPr>
              <w:rPr>
                <w:rFonts w:eastAsia="Arial"/>
                <w:sz w:val="24"/>
                <w:szCs w:val="24"/>
                <w:lang w:val="vi-VN"/>
              </w:rPr>
            </w:pPr>
            <w:r w:rsidRPr="00257512">
              <w:rPr>
                <w:rFonts w:eastAsia="Arial"/>
                <w:sz w:val="24"/>
                <w:szCs w:val="24"/>
                <w:lang w:val="vi-VN"/>
              </w:rPr>
              <w:t>- Bộ trưởng Bộ Tài chính;</w:t>
            </w:r>
          </w:p>
          <w:p w:rsidR="00631594" w:rsidRPr="00257512" w:rsidRDefault="00631594" w:rsidP="00B80CD4">
            <w:pPr>
              <w:rPr>
                <w:rFonts w:eastAsia="Arial"/>
                <w:sz w:val="24"/>
                <w:szCs w:val="24"/>
                <w:lang w:val="da-DK"/>
              </w:rPr>
            </w:pPr>
            <w:r w:rsidRPr="00257512">
              <w:rPr>
                <w:rFonts w:eastAsia="Arial"/>
                <w:sz w:val="24"/>
                <w:szCs w:val="24"/>
                <w:lang w:val="vi-VN"/>
              </w:rPr>
              <w:t>- Văn phòng Chính phủ;</w:t>
            </w:r>
          </w:p>
          <w:p w:rsidR="00631594" w:rsidRPr="00257512" w:rsidRDefault="00631594" w:rsidP="00B80CD4">
            <w:pPr>
              <w:rPr>
                <w:rFonts w:eastAsia="Arial"/>
                <w:sz w:val="24"/>
                <w:szCs w:val="24"/>
                <w:lang w:val="da-DK"/>
              </w:rPr>
            </w:pPr>
            <w:r w:rsidRPr="00257512">
              <w:rPr>
                <w:rFonts w:eastAsia="Arial"/>
                <w:sz w:val="24"/>
                <w:szCs w:val="24"/>
                <w:lang w:val="da-DK"/>
              </w:rPr>
              <w:t>- Bộ Tư pháp;</w:t>
            </w:r>
          </w:p>
          <w:p w:rsidR="00631594" w:rsidRPr="00257512" w:rsidRDefault="00631594" w:rsidP="00B80CD4">
            <w:pPr>
              <w:rPr>
                <w:rFonts w:eastAsia="Arial"/>
                <w:sz w:val="24"/>
                <w:szCs w:val="24"/>
                <w:lang w:val="pl-PL"/>
              </w:rPr>
            </w:pPr>
            <w:r w:rsidRPr="00257512">
              <w:rPr>
                <w:rFonts w:eastAsia="Arial"/>
                <w:sz w:val="24"/>
                <w:szCs w:val="24"/>
                <w:lang w:val="pl-PL"/>
              </w:rPr>
              <w:t>- Lưu VT, ĐCTC</w:t>
            </w:r>
            <w:r w:rsidRPr="00257512">
              <w:rPr>
                <w:rFonts w:eastAsia="Arial"/>
                <w:sz w:val="24"/>
                <w:szCs w:val="24"/>
                <w:lang w:val="vi-VN"/>
              </w:rPr>
              <w:t>(</w:t>
            </w:r>
            <w:r w:rsidRPr="00257512">
              <w:rPr>
                <w:rFonts w:eastAsia="Arial"/>
                <w:sz w:val="24"/>
                <w:szCs w:val="24"/>
              </w:rPr>
              <w:t>L</w:t>
            </w:r>
            <w:r w:rsidRPr="00257512">
              <w:rPr>
                <w:rFonts w:eastAsia="Arial"/>
                <w:sz w:val="24"/>
                <w:szCs w:val="24"/>
                <w:lang w:val="vi-VN"/>
              </w:rPr>
              <w:t>.T.</w:t>
            </w:r>
            <w:r w:rsidRPr="00257512">
              <w:rPr>
                <w:rFonts w:eastAsia="Arial"/>
                <w:sz w:val="24"/>
                <w:szCs w:val="24"/>
              </w:rPr>
              <w:t>Nga</w:t>
            </w:r>
            <w:r w:rsidRPr="00257512">
              <w:rPr>
                <w:rFonts w:eastAsia="Arial"/>
                <w:sz w:val="24"/>
                <w:szCs w:val="24"/>
                <w:lang w:val="vi-VN"/>
              </w:rPr>
              <w:t>-…b)</w:t>
            </w:r>
            <w:r w:rsidRPr="00257512">
              <w:rPr>
                <w:rFonts w:eastAsia="Arial"/>
                <w:sz w:val="24"/>
                <w:szCs w:val="24"/>
                <w:lang w:val="pl-PL"/>
              </w:rPr>
              <w:t>.</w:t>
            </w:r>
          </w:p>
          <w:p w:rsidR="00631594" w:rsidRPr="008034FE" w:rsidRDefault="00631594" w:rsidP="00B80CD4">
            <w:pPr>
              <w:rPr>
                <w:rFonts w:eastAsia="Arial"/>
                <w:lang w:val="pl-PL"/>
              </w:rPr>
            </w:pPr>
          </w:p>
          <w:p w:rsidR="00631594" w:rsidRPr="008034FE" w:rsidRDefault="00631594" w:rsidP="00B80CD4">
            <w:pPr>
              <w:rPr>
                <w:rFonts w:eastAsia="Arial"/>
                <w:lang w:val="pl-PL"/>
              </w:rPr>
            </w:pPr>
          </w:p>
          <w:p w:rsidR="00631594" w:rsidRPr="008034FE" w:rsidRDefault="00631594" w:rsidP="00B80CD4">
            <w:pPr>
              <w:rPr>
                <w:rFonts w:eastAsia="Arial"/>
                <w:b/>
                <w:i/>
                <w:lang w:val="pl-PL"/>
              </w:rPr>
            </w:pPr>
          </w:p>
        </w:tc>
        <w:tc>
          <w:tcPr>
            <w:tcW w:w="4819" w:type="dxa"/>
            <w:tcBorders>
              <w:left w:val="nil"/>
            </w:tcBorders>
          </w:tcPr>
          <w:p w:rsidR="00631594" w:rsidRPr="008034FE" w:rsidRDefault="00631594" w:rsidP="00B80CD4">
            <w:pPr>
              <w:spacing w:before="120"/>
              <w:jc w:val="center"/>
              <w:rPr>
                <w:rFonts w:eastAsia="Arial"/>
                <w:b/>
                <w:lang w:val="pl-PL"/>
              </w:rPr>
            </w:pPr>
            <w:r w:rsidRPr="008034FE">
              <w:rPr>
                <w:rFonts w:eastAsia="Arial"/>
                <w:b/>
                <w:lang w:val="pl-PL"/>
              </w:rPr>
              <w:t>KT. BỘ TRƯỞNG</w:t>
            </w:r>
          </w:p>
          <w:p w:rsidR="00631594" w:rsidRPr="008034FE" w:rsidRDefault="00631594" w:rsidP="00B80CD4">
            <w:pPr>
              <w:jc w:val="center"/>
              <w:rPr>
                <w:rFonts w:eastAsia="Arial"/>
                <w:b/>
                <w:lang w:val="pl-PL"/>
              </w:rPr>
            </w:pPr>
            <w:r w:rsidRPr="008034FE">
              <w:rPr>
                <w:rFonts w:eastAsia="Arial"/>
                <w:b/>
                <w:lang w:val="pl-PL"/>
              </w:rPr>
              <w:t>THỨ TRƯỞNG</w:t>
            </w:r>
          </w:p>
          <w:p w:rsidR="00631594" w:rsidRPr="008034FE" w:rsidRDefault="00631594" w:rsidP="00B80CD4">
            <w:pPr>
              <w:tabs>
                <w:tab w:val="left" w:pos="3760"/>
              </w:tabs>
              <w:rPr>
                <w:rFonts w:eastAsia="Arial"/>
                <w:b/>
                <w:lang w:val="pl-PL"/>
              </w:rPr>
            </w:pPr>
          </w:p>
          <w:p w:rsidR="00631594" w:rsidRPr="008034FE" w:rsidRDefault="00631594" w:rsidP="00B80CD4">
            <w:pPr>
              <w:tabs>
                <w:tab w:val="left" w:pos="3760"/>
              </w:tabs>
              <w:jc w:val="center"/>
              <w:rPr>
                <w:rFonts w:eastAsia="Arial"/>
                <w:b/>
                <w:lang w:val="pl-PL"/>
              </w:rPr>
            </w:pPr>
          </w:p>
          <w:p w:rsidR="00631594" w:rsidRPr="008034FE" w:rsidRDefault="00631594" w:rsidP="00B80CD4">
            <w:pPr>
              <w:tabs>
                <w:tab w:val="left" w:pos="3760"/>
              </w:tabs>
              <w:jc w:val="center"/>
              <w:rPr>
                <w:rFonts w:eastAsia="Arial"/>
                <w:b/>
                <w:lang w:val="pl-PL"/>
              </w:rPr>
            </w:pPr>
          </w:p>
          <w:p w:rsidR="00631594" w:rsidRPr="008034FE" w:rsidRDefault="00631594" w:rsidP="00B80CD4">
            <w:pPr>
              <w:tabs>
                <w:tab w:val="left" w:pos="3760"/>
              </w:tabs>
              <w:jc w:val="center"/>
              <w:rPr>
                <w:rFonts w:eastAsia="Arial"/>
                <w:b/>
                <w:lang w:val="pl-PL"/>
              </w:rPr>
            </w:pPr>
          </w:p>
          <w:p w:rsidR="00000000" w:rsidRDefault="009702A3">
            <w:pPr>
              <w:tabs>
                <w:tab w:val="left" w:pos="3760"/>
              </w:tabs>
              <w:rPr>
                <w:rFonts w:ascii=".VnTime" w:eastAsia="Arial" w:hAnsi=".VnTime"/>
                <w:b/>
                <w:i/>
                <w:lang w:val="pl-PL"/>
              </w:rPr>
            </w:pPr>
          </w:p>
          <w:p w:rsidR="00631594" w:rsidRPr="008034FE" w:rsidRDefault="00631594" w:rsidP="00B80CD4">
            <w:pPr>
              <w:tabs>
                <w:tab w:val="left" w:pos="3760"/>
              </w:tabs>
              <w:jc w:val="center"/>
              <w:rPr>
                <w:rFonts w:eastAsia="Arial"/>
                <w:b/>
                <w:lang w:val="pl-PL"/>
              </w:rPr>
            </w:pPr>
            <w:r w:rsidRPr="008034FE">
              <w:rPr>
                <w:rFonts w:eastAsia="Arial"/>
                <w:b/>
                <w:lang w:val="pl-PL"/>
              </w:rPr>
              <w:t>Nguyễn Đức Chi</w:t>
            </w:r>
          </w:p>
        </w:tc>
      </w:tr>
    </w:tbl>
    <w:p w:rsidR="00000000" w:rsidRDefault="009702A3" w:rsidP="00B80CD4">
      <w:pPr>
        <w:widowControl w:val="0"/>
        <w:shd w:val="clear" w:color="auto" w:fill="FFFFFF"/>
        <w:spacing w:before="120" w:after="120" w:line="340" w:lineRule="exact"/>
        <w:sectPr w:rsidR="00000000" w:rsidSect="00B80CD4">
          <w:headerReference w:type="default" r:id="rId9"/>
          <w:pgSz w:w="11907" w:h="16840" w:code="9"/>
          <w:pgMar w:top="1134" w:right="1134" w:bottom="1134" w:left="1701" w:header="720" w:footer="720" w:gutter="0"/>
          <w:cols w:space="720"/>
          <w:titlePg/>
          <w:docGrid w:linePitch="381"/>
        </w:sectPr>
      </w:pPr>
    </w:p>
    <w:p w:rsidR="00000000" w:rsidRDefault="00631594">
      <w:pPr>
        <w:widowControl w:val="0"/>
        <w:shd w:val="clear" w:color="auto" w:fill="FFFFFF"/>
        <w:spacing w:before="120" w:after="120" w:line="340" w:lineRule="exact"/>
        <w:jc w:val="center"/>
        <w:rPr>
          <w:rFonts w:eastAsia="Times New Roman"/>
          <w:b/>
        </w:rPr>
      </w:pPr>
      <w:r w:rsidRPr="008034FE">
        <w:rPr>
          <w:rFonts w:eastAsia="Times New Roman"/>
          <w:b/>
        </w:rPr>
        <w:lastRenderedPageBreak/>
        <w:t>Phụ lục</w:t>
      </w:r>
    </w:p>
    <w:p w:rsidR="00631594" w:rsidRDefault="0094613C" w:rsidP="00257512">
      <w:pPr>
        <w:widowControl w:val="0"/>
        <w:shd w:val="clear" w:color="auto" w:fill="FFFFFF"/>
        <w:spacing w:before="120" w:after="120" w:line="340" w:lineRule="exact"/>
        <w:ind w:right="-142"/>
        <w:jc w:val="center"/>
        <w:rPr>
          <w:rFonts w:ascii="Times New Roman Italic" w:eastAsia="Times New Roman" w:hAnsi="Times New Roman Italic"/>
          <w:i/>
          <w:spacing w:val="-4"/>
        </w:rPr>
      </w:pPr>
      <w:r>
        <w:rPr>
          <w:rFonts w:ascii="Times New Roman Italic" w:eastAsia="Times New Roman" w:hAnsi="Times New Roman Italic"/>
          <w:i/>
          <w:noProof/>
          <w:spacing w:val="-4"/>
        </w:rPr>
        <w:pict>
          <v:shapetype id="_x0000_t32" coordsize="21600,21600" o:spt="32" o:oned="t" path="m,l21600,21600e" filled="f">
            <v:path arrowok="t" fillok="f" o:connecttype="none"/>
            <o:lock v:ext="edit" shapetype="t"/>
          </v:shapetype>
          <v:shape id="AutoShape 2" o:spid="_x0000_s2050" type="#_x0000_t32" style="position:absolute;left:0;text-align:left;margin-left:159.45pt;margin-top:22.15pt;width:13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l9uAEAAFYDAAAOAAAAZHJzL2Uyb0RvYy54bWysU8Fu2zAMvQ/YPwi6L44zpN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"/>
        </w:pict>
      </w:r>
      <w:r w:rsidR="00631594" w:rsidRPr="001C4B91">
        <w:rPr>
          <w:rFonts w:ascii="Times New Roman Italic" w:eastAsia="Times New Roman" w:hAnsi="Times New Roman Italic"/>
          <w:i/>
          <w:spacing w:val="-4"/>
        </w:rPr>
        <w:t xml:space="preserve">(Kèm </w:t>
      </w:r>
      <w:proofErr w:type="gramStart"/>
      <w:r w:rsidR="00631594" w:rsidRPr="001C4B91">
        <w:rPr>
          <w:rFonts w:ascii="Times New Roman Italic" w:eastAsia="Times New Roman" w:hAnsi="Times New Roman Italic"/>
          <w:i/>
          <w:spacing w:val="-4"/>
        </w:rPr>
        <w:t>theo</w:t>
      </w:r>
      <w:proofErr w:type="gramEnd"/>
      <w:r w:rsidR="00631594" w:rsidRPr="001C4B91">
        <w:rPr>
          <w:rFonts w:ascii="Times New Roman Italic" w:eastAsia="Times New Roman" w:hAnsi="Times New Roman Italic"/>
          <w:i/>
          <w:spacing w:val="-4"/>
        </w:rPr>
        <w:t xml:space="preserve"> Báo cáo s</w:t>
      </w:r>
      <w:r w:rsidR="00631594" w:rsidRPr="001C4B91">
        <w:rPr>
          <w:rFonts w:ascii="Times New Roman Italic" w:hAnsi="Times New Roman Italic"/>
          <w:i/>
          <w:spacing w:val="-4"/>
        </w:rPr>
        <w:t xml:space="preserve">ố    </w:t>
      </w:r>
      <w:r w:rsidR="00257512">
        <w:rPr>
          <w:rFonts w:ascii="Times New Roman Italic" w:hAnsi="Times New Roman Italic"/>
          <w:i/>
          <w:spacing w:val="-4"/>
        </w:rPr>
        <w:t xml:space="preserve"> </w:t>
      </w:r>
      <w:r w:rsidR="00631594" w:rsidRPr="001C4B91">
        <w:rPr>
          <w:rFonts w:ascii="Times New Roman Italic" w:hAnsi="Times New Roman Italic"/>
          <w:i/>
          <w:spacing w:val="-4"/>
        </w:rPr>
        <w:t xml:space="preserve">   /BC-BTC ngày ….. tháng … năm 2025 của Bộ Tài chính)</w:t>
      </w:r>
    </w:p>
    <w:p w:rsidR="00631594" w:rsidRDefault="00631594" w:rsidP="00631594">
      <w:pPr>
        <w:rPr>
          <w:rFonts w:ascii="Times New Roman Italic" w:eastAsia="Times New Roman" w:hAnsi="Times New Roman Italic"/>
        </w:rPr>
      </w:pPr>
    </w:p>
    <w:p w:rsidR="00631594" w:rsidRPr="001C4B91" w:rsidRDefault="00631594" w:rsidP="00631594">
      <w:pPr>
        <w:tabs>
          <w:tab w:val="left" w:pos="1290"/>
        </w:tabs>
        <w:spacing w:before="120" w:after="120" w:line="340" w:lineRule="exact"/>
        <w:ind w:firstLine="709"/>
        <w:jc w:val="both"/>
        <w:rPr>
          <w:rFonts w:eastAsia="Times New Roman"/>
          <w:b/>
        </w:rPr>
      </w:pPr>
      <w:r w:rsidRPr="001C4B91">
        <w:rPr>
          <w:rFonts w:eastAsia="Times New Roman"/>
          <w:b/>
        </w:rPr>
        <w:t>1. Chủ trương, đường lối của Đảng có liên quan đến dự thảo Nghị định</w:t>
      </w:r>
    </w:p>
    <w:tbl>
      <w:tblPr>
        <w:tblW w:w="144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5136"/>
        <w:gridCol w:w="2410"/>
        <w:gridCol w:w="1877"/>
      </w:tblGrid>
      <w:tr w:rsidR="00631594" w:rsidRPr="00927643" w:rsidTr="000D4F0D">
        <w:tc>
          <w:tcPr>
            <w:tcW w:w="5070" w:type="dxa"/>
            <w:vAlign w:val="center"/>
          </w:tcPr>
          <w:p w:rsidR="00631594" w:rsidRPr="00927643" w:rsidRDefault="00631594" w:rsidP="000D4F0D">
            <w:pPr>
              <w:tabs>
                <w:tab w:val="left" w:pos="1290"/>
              </w:tabs>
              <w:jc w:val="center"/>
              <w:rPr>
                <w:rFonts w:eastAsia="Times New Roman"/>
                <w:b/>
                <w:sz w:val="26"/>
                <w:szCs w:val="26"/>
              </w:rPr>
            </w:pPr>
            <w:r w:rsidRPr="00927643">
              <w:rPr>
                <w:rFonts w:eastAsia="Times New Roman"/>
                <w:b/>
                <w:sz w:val="26"/>
                <w:szCs w:val="26"/>
              </w:rPr>
              <w:t>QUY ĐỊNH CỦA DỰ THẢO NGHỊ ĐỊNH</w:t>
            </w:r>
          </w:p>
        </w:tc>
        <w:tc>
          <w:tcPr>
            <w:tcW w:w="5136" w:type="dxa"/>
            <w:vAlign w:val="center"/>
          </w:tcPr>
          <w:p w:rsidR="00631594" w:rsidRPr="00927643" w:rsidRDefault="00631594" w:rsidP="000D4F0D">
            <w:pPr>
              <w:tabs>
                <w:tab w:val="left" w:pos="1290"/>
              </w:tabs>
              <w:jc w:val="center"/>
              <w:rPr>
                <w:rFonts w:eastAsia="Times New Roman"/>
                <w:b/>
                <w:sz w:val="26"/>
                <w:szCs w:val="26"/>
              </w:rPr>
            </w:pPr>
            <w:r w:rsidRPr="00927643">
              <w:rPr>
                <w:rFonts w:eastAsia="Times New Roman"/>
                <w:b/>
                <w:sz w:val="26"/>
                <w:szCs w:val="26"/>
              </w:rPr>
              <w:t>CHỦ TRƯƠNG ĐƯỜNG LỐI CỦA ĐẢNG</w:t>
            </w:r>
          </w:p>
        </w:tc>
        <w:tc>
          <w:tcPr>
            <w:tcW w:w="2410" w:type="dxa"/>
            <w:vAlign w:val="center"/>
          </w:tcPr>
          <w:p w:rsidR="00631594" w:rsidRPr="00927643" w:rsidRDefault="00631594" w:rsidP="000D4F0D">
            <w:pPr>
              <w:tabs>
                <w:tab w:val="left" w:pos="1290"/>
              </w:tabs>
              <w:jc w:val="center"/>
              <w:rPr>
                <w:rFonts w:eastAsia="Times New Roman"/>
                <w:b/>
                <w:sz w:val="26"/>
                <w:szCs w:val="26"/>
              </w:rPr>
            </w:pPr>
            <w:r w:rsidRPr="00927643">
              <w:rPr>
                <w:rFonts w:eastAsia="Times New Roman"/>
                <w:b/>
                <w:sz w:val="26"/>
                <w:szCs w:val="26"/>
              </w:rPr>
              <w:t>ĐÁNH GIÁ</w:t>
            </w:r>
          </w:p>
          <w:p w:rsidR="00250CB3" w:rsidRPr="00927643" w:rsidRDefault="00250CB3" w:rsidP="000D4F0D">
            <w:pPr>
              <w:tabs>
                <w:tab w:val="left" w:pos="1290"/>
              </w:tabs>
              <w:jc w:val="center"/>
              <w:rPr>
                <w:rFonts w:eastAsia="Times New Roman"/>
                <w:b/>
                <w:sz w:val="26"/>
                <w:szCs w:val="26"/>
              </w:rPr>
            </w:pPr>
            <w:r w:rsidRPr="00927643">
              <w:rPr>
                <w:rFonts w:eastAsia="Times New Roman"/>
                <w:b/>
                <w:sz w:val="26"/>
                <w:szCs w:val="26"/>
              </w:rPr>
              <w:t>(Đã thể chế đầy đủ hoặc một phần)</w:t>
            </w:r>
          </w:p>
        </w:tc>
        <w:tc>
          <w:tcPr>
            <w:tcW w:w="1877" w:type="dxa"/>
            <w:vAlign w:val="center"/>
          </w:tcPr>
          <w:p w:rsidR="00234066" w:rsidRPr="00927643" w:rsidRDefault="00631594" w:rsidP="000D4F0D">
            <w:pPr>
              <w:tabs>
                <w:tab w:val="left" w:pos="1290"/>
              </w:tabs>
              <w:jc w:val="center"/>
              <w:rPr>
                <w:rFonts w:eastAsia="Times New Roman"/>
                <w:b/>
                <w:sz w:val="26"/>
                <w:szCs w:val="26"/>
              </w:rPr>
            </w:pPr>
            <w:r w:rsidRPr="00927643">
              <w:rPr>
                <w:rFonts w:eastAsia="Times New Roman"/>
                <w:b/>
                <w:sz w:val="26"/>
                <w:szCs w:val="26"/>
              </w:rPr>
              <w:t xml:space="preserve">ĐỀ XUẤT </w:t>
            </w:r>
          </w:p>
          <w:p w:rsidR="00631594" w:rsidRPr="00927643" w:rsidRDefault="00631594" w:rsidP="000D4F0D">
            <w:pPr>
              <w:tabs>
                <w:tab w:val="left" w:pos="1290"/>
              </w:tabs>
              <w:jc w:val="center"/>
              <w:rPr>
                <w:rFonts w:eastAsia="Times New Roman"/>
                <w:b/>
                <w:sz w:val="26"/>
                <w:szCs w:val="26"/>
              </w:rPr>
            </w:pPr>
            <w:r w:rsidRPr="00927643">
              <w:rPr>
                <w:rFonts w:eastAsia="Times New Roman"/>
                <w:b/>
                <w:sz w:val="26"/>
                <w:szCs w:val="26"/>
              </w:rPr>
              <w:t>XỬ LÝ</w:t>
            </w:r>
          </w:p>
        </w:tc>
      </w:tr>
      <w:tr w:rsidR="00631594" w:rsidRPr="00927643" w:rsidTr="000D4F0D">
        <w:tc>
          <w:tcPr>
            <w:tcW w:w="5070" w:type="dxa"/>
          </w:tcPr>
          <w:p w:rsidR="00257512" w:rsidRPr="00927643" w:rsidRDefault="00257512" w:rsidP="000D4F0D">
            <w:pPr>
              <w:ind w:left="142" w:right="144"/>
              <w:jc w:val="both"/>
              <w:rPr>
                <w:sz w:val="26"/>
                <w:szCs w:val="26"/>
              </w:rPr>
            </w:pPr>
            <w:r w:rsidRPr="00927643">
              <w:rPr>
                <w:sz w:val="26"/>
                <w:szCs w:val="26"/>
              </w:rPr>
              <w:t>Dự thảo Nghị định đã thể chế đầy đủ các nguyên tắc, phương thức kiểm soát quyền lực, phòng, chống tham nhũng, tiêu cực, lợi ích nhóm, cục bộ trong công tác xây dựng pháp luật thông qua các quy định về:</w:t>
            </w:r>
          </w:p>
          <w:p w:rsidR="00257512" w:rsidRPr="00927643" w:rsidRDefault="00257512" w:rsidP="000D4F0D">
            <w:pPr>
              <w:ind w:left="142" w:right="144"/>
              <w:jc w:val="both"/>
              <w:rPr>
                <w:sz w:val="26"/>
                <w:szCs w:val="26"/>
              </w:rPr>
            </w:pPr>
            <w:r w:rsidRPr="00927643">
              <w:rPr>
                <w:sz w:val="26"/>
                <w:szCs w:val="26"/>
              </w:rPr>
              <w:t>- Nguyên tắc quản lý: tuân thủ quy định Hiến pháp, Luật Ngân sách nhà nước, Luật Đầu tư công và các quy định pháp luật chuyên ngành có liên quan; quy định rõ nhiệm vụ, quyền hạn, thẩm quyền của cơ quan trung ương và các đối tượng liên quan; sử dụng nguồn lực tiết kiệm, hiệu quả, tránh thất thoát, lãng phí; thực hiện công khai, minh bạch trong thanh toán, quyết toán vốn ngân sách nhà nước để cấp bù lãi suất, hỗ trợ lãi suất.</w:t>
            </w:r>
          </w:p>
          <w:p w:rsidR="00257512" w:rsidRPr="00927643" w:rsidRDefault="00257512" w:rsidP="000D4F0D">
            <w:pPr>
              <w:ind w:left="142" w:right="144"/>
              <w:jc w:val="both"/>
              <w:rPr>
                <w:sz w:val="26"/>
                <w:szCs w:val="26"/>
              </w:rPr>
            </w:pPr>
            <w:r w:rsidRPr="00927643">
              <w:rPr>
                <w:sz w:val="26"/>
                <w:szCs w:val="26"/>
              </w:rPr>
              <w:t>- Trong phân bổ, sử dụng nguồn lực, đặc biệt là nguồn lực ngân sách nhà nước phải rõ tiêu chí, rõ đối tượng để ngăn chặn tham nhũng, tiêu cực, tránh thất thoát, lãng phí nguồn lực.</w:t>
            </w:r>
          </w:p>
          <w:p w:rsidR="00257512" w:rsidRPr="00927643" w:rsidRDefault="00257512" w:rsidP="000D4F0D">
            <w:pPr>
              <w:ind w:left="142" w:right="144"/>
              <w:jc w:val="both"/>
              <w:rPr>
                <w:sz w:val="26"/>
                <w:szCs w:val="26"/>
              </w:rPr>
            </w:pPr>
            <w:r w:rsidRPr="00927643">
              <w:rPr>
                <w:sz w:val="26"/>
                <w:szCs w:val="26"/>
              </w:rPr>
              <w:t xml:space="preserve">- Ban hành các cơ chế theo hướng đơn giản quy trình, thủ tục để người dân có thể tham </w:t>
            </w:r>
            <w:r w:rsidRPr="00927643">
              <w:rPr>
                <w:sz w:val="26"/>
                <w:szCs w:val="26"/>
              </w:rPr>
              <w:lastRenderedPageBreak/>
              <w:t>gia thực hiện các chương trình.</w:t>
            </w:r>
          </w:p>
          <w:p w:rsidR="00631594" w:rsidRPr="00927643" w:rsidRDefault="00257512" w:rsidP="000D4F0D">
            <w:pPr>
              <w:tabs>
                <w:tab w:val="left" w:pos="1290"/>
              </w:tabs>
              <w:jc w:val="both"/>
              <w:rPr>
                <w:rFonts w:eastAsia="Times New Roman"/>
                <w:sz w:val="26"/>
                <w:szCs w:val="26"/>
              </w:rPr>
            </w:pPr>
            <w:r w:rsidRPr="00927643">
              <w:rPr>
                <w:sz w:val="26"/>
                <w:szCs w:val="26"/>
              </w:rPr>
              <w:t>- Phân công, phân cấp rõ trách nhiệm của các Bộ, cơ quan.</w:t>
            </w:r>
          </w:p>
        </w:tc>
        <w:tc>
          <w:tcPr>
            <w:tcW w:w="5136" w:type="dxa"/>
          </w:tcPr>
          <w:p w:rsidR="00631594" w:rsidRPr="00927643" w:rsidRDefault="00257512" w:rsidP="000D4F0D">
            <w:pPr>
              <w:tabs>
                <w:tab w:val="left" w:pos="1290"/>
              </w:tabs>
              <w:jc w:val="both"/>
              <w:rPr>
                <w:rFonts w:eastAsia="Times New Roman"/>
                <w:sz w:val="26"/>
                <w:szCs w:val="26"/>
              </w:rPr>
            </w:pPr>
            <w:r w:rsidRPr="00927643">
              <w:rPr>
                <w:sz w:val="26"/>
                <w:szCs w:val="26"/>
                <w:lang w:val="nl-NL"/>
              </w:rPr>
              <w:lastRenderedPageBreak/>
              <w:t>Quy định số 178-QĐ/TW ngày 27/6/2024 của Bộ Chính trị quy định về kiểm soát quyền lực, phòng, chống tham nhũng, tiêu cực trong công tác xây dựng pháp luật.</w:t>
            </w:r>
          </w:p>
        </w:tc>
        <w:tc>
          <w:tcPr>
            <w:tcW w:w="2410" w:type="dxa"/>
          </w:tcPr>
          <w:p w:rsidR="00631594" w:rsidRPr="00927643" w:rsidRDefault="00853308" w:rsidP="000D4F0D">
            <w:pPr>
              <w:tabs>
                <w:tab w:val="left" w:pos="1290"/>
              </w:tabs>
              <w:jc w:val="both"/>
              <w:rPr>
                <w:rFonts w:eastAsia="Times New Roman"/>
                <w:sz w:val="26"/>
                <w:szCs w:val="26"/>
              </w:rPr>
            </w:pPr>
            <w:r w:rsidRPr="00927643">
              <w:rPr>
                <w:rFonts w:eastAsia="Times New Roman"/>
                <w:sz w:val="26"/>
                <w:szCs w:val="26"/>
                <w:lang w:val="pt-BR"/>
              </w:rPr>
              <w:t>Đã thể chế đầy đủ</w:t>
            </w:r>
          </w:p>
        </w:tc>
        <w:tc>
          <w:tcPr>
            <w:tcW w:w="1877" w:type="dxa"/>
          </w:tcPr>
          <w:p w:rsidR="00631594" w:rsidRPr="00927643" w:rsidRDefault="00631594" w:rsidP="000D4F0D">
            <w:pPr>
              <w:tabs>
                <w:tab w:val="left" w:pos="1290"/>
              </w:tabs>
              <w:jc w:val="both"/>
              <w:rPr>
                <w:rFonts w:eastAsia="Times New Roman"/>
                <w:sz w:val="26"/>
                <w:szCs w:val="26"/>
              </w:rPr>
            </w:pPr>
          </w:p>
        </w:tc>
      </w:tr>
      <w:tr w:rsidR="00631594" w:rsidRPr="00927643" w:rsidTr="000D4F0D">
        <w:tc>
          <w:tcPr>
            <w:tcW w:w="5070" w:type="dxa"/>
          </w:tcPr>
          <w:p w:rsidR="00631594" w:rsidRPr="00927643" w:rsidRDefault="00257512" w:rsidP="000D4F0D">
            <w:pPr>
              <w:tabs>
                <w:tab w:val="left" w:pos="1290"/>
              </w:tabs>
              <w:jc w:val="both"/>
              <w:rPr>
                <w:rFonts w:eastAsia="Times New Roman"/>
                <w:sz w:val="26"/>
                <w:szCs w:val="26"/>
              </w:rPr>
            </w:pPr>
            <w:r w:rsidRPr="00927643">
              <w:rPr>
                <w:sz w:val="26"/>
                <w:szCs w:val="26"/>
              </w:rPr>
              <w:lastRenderedPageBreak/>
              <w:t>Nội dung dự thảo Nghị định đảm bảo thực hiện mục tiêu dân chủ, công bằng, đồng bộ, thống nhất, công khai, minh bạch, khả thi với cơ chế tổ chức thực hiện nghiêm minh, nhất quán, bảo đảm cơ sở pháp lý để thanh toán, quyết toán vốn ngân sách nhà nước để cấp bù lãi suất, hỗ trợ lãi suất thông qua các ngân hàng thương mại thực hiện các chính sách tín dụng ưu đãi của nhà nước theo đúng chủ trương tại Nghị quyết số 66-NQ/TW.</w:t>
            </w:r>
          </w:p>
        </w:tc>
        <w:tc>
          <w:tcPr>
            <w:tcW w:w="5136" w:type="dxa"/>
          </w:tcPr>
          <w:p w:rsidR="00631594" w:rsidRPr="00927643" w:rsidRDefault="00853308" w:rsidP="000D4F0D">
            <w:pPr>
              <w:tabs>
                <w:tab w:val="left" w:pos="1290"/>
              </w:tabs>
              <w:jc w:val="both"/>
              <w:rPr>
                <w:rFonts w:eastAsia="Times New Roman"/>
                <w:noProof/>
                <w:spacing w:val="-2"/>
                <w:sz w:val="26"/>
                <w:szCs w:val="26"/>
                <w:lang w:val="nl-NL"/>
              </w:rPr>
            </w:pPr>
            <w:r w:rsidRPr="00927643">
              <w:rPr>
                <w:rFonts w:eastAsia="Times New Roman"/>
                <w:noProof/>
                <w:spacing w:val="-2"/>
                <w:sz w:val="26"/>
                <w:szCs w:val="26"/>
                <w:lang w:val="nl-NL"/>
              </w:rPr>
              <w:t xml:space="preserve">Nghị quyết số 66-NQ/TW ngày 30/4/2025 của Bộ Chính trị về đổi mới công tác xây dựng và thi hành pháp luật đáp ứng yêu cầu phát triển đất nước trong kỷ nguyên mới đề ra quan điểm </w:t>
            </w:r>
            <w:r w:rsidRPr="00927643">
              <w:rPr>
                <w:rFonts w:eastAsia="Times New Roman"/>
                <w:i/>
                <w:iCs/>
                <w:noProof/>
                <w:spacing w:val="-2"/>
                <w:sz w:val="26"/>
                <w:szCs w:val="26"/>
                <w:lang w:val="nl-NL"/>
              </w:rPr>
              <w:t>“Xây dựng pháp luật phải bám sát thực tiễn, ...bảo đảm tính hệ thống...”</w:t>
            </w:r>
            <w:r w:rsidRPr="00927643">
              <w:rPr>
                <w:rFonts w:eastAsia="Times New Roman"/>
                <w:noProof/>
                <w:spacing w:val="-2"/>
                <w:sz w:val="26"/>
                <w:szCs w:val="26"/>
                <w:lang w:val="nl-NL"/>
              </w:rPr>
              <w:t>.</w:t>
            </w:r>
          </w:p>
          <w:p w:rsidR="00257512" w:rsidRPr="00927643" w:rsidRDefault="00257512" w:rsidP="000D4F0D">
            <w:pPr>
              <w:tabs>
                <w:tab w:val="left" w:pos="1290"/>
              </w:tabs>
              <w:jc w:val="both"/>
              <w:rPr>
                <w:rFonts w:eastAsia="Times New Roman"/>
                <w:sz w:val="26"/>
                <w:szCs w:val="26"/>
              </w:rPr>
            </w:pPr>
            <w:r w:rsidRPr="00927643">
              <w:rPr>
                <w:bCs/>
                <w:spacing w:val="-2"/>
                <w:sz w:val="26"/>
                <w:szCs w:val="26"/>
              </w:rPr>
              <w:t>Kết luận số 119-KL/TW ngày 20/01/2025 của Bộ Chính trị về định hướng đổi mới, hoàn thiện quy trình xây dựng pháp luật.</w:t>
            </w:r>
          </w:p>
        </w:tc>
        <w:tc>
          <w:tcPr>
            <w:tcW w:w="2410" w:type="dxa"/>
          </w:tcPr>
          <w:p w:rsidR="00631594" w:rsidRPr="00927643" w:rsidRDefault="00853308" w:rsidP="000D4F0D">
            <w:pPr>
              <w:tabs>
                <w:tab w:val="left" w:pos="1290"/>
              </w:tabs>
              <w:jc w:val="both"/>
              <w:rPr>
                <w:rFonts w:eastAsia="Times New Roman"/>
                <w:sz w:val="26"/>
                <w:szCs w:val="26"/>
              </w:rPr>
            </w:pPr>
            <w:r w:rsidRPr="00927643">
              <w:rPr>
                <w:sz w:val="26"/>
                <w:szCs w:val="26"/>
                <w:lang w:val="nl-NL"/>
              </w:rPr>
              <w:t>Đã thể chế đầy đủ</w:t>
            </w:r>
          </w:p>
        </w:tc>
        <w:tc>
          <w:tcPr>
            <w:tcW w:w="1877" w:type="dxa"/>
          </w:tcPr>
          <w:p w:rsidR="00631594" w:rsidRPr="00927643" w:rsidRDefault="00631594" w:rsidP="000D4F0D">
            <w:pPr>
              <w:tabs>
                <w:tab w:val="left" w:pos="1290"/>
              </w:tabs>
              <w:jc w:val="both"/>
              <w:rPr>
                <w:rFonts w:eastAsia="Times New Roman"/>
                <w:sz w:val="26"/>
                <w:szCs w:val="26"/>
              </w:rPr>
            </w:pPr>
          </w:p>
        </w:tc>
      </w:tr>
      <w:tr w:rsidR="00631594" w:rsidRPr="00927643" w:rsidTr="000D4F0D">
        <w:tc>
          <w:tcPr>
            <w:tcW w:w="5070" w:type="dxa"/>
          </w:tcPr>
          <w:p w:rsidR="00631594" w:rsidRPr="00927643" w:rsidRDefault="00257512" w:rsidP="000D4F0D">
            <w:pPr>
              <w:tabs>
                <w:tab w:val="left" w:pos="960"/>
              </w:tabs>
              <w:jc w:val="both"/>
              <w:rPr>
                <w:rFonts w:eastAsia="Times New Roman"/>
                <w:sz w:val="26"/>
                <w:szCs w:val="26"/>
              </w:rPr>
            </w:pPr>
            <w:r w:rsidRPr="00927643">
              <w:rPr>
                <w:sz w:val="26"/>
                <w:szCs w:val="26"/>
              </w:rPr>
              <w:t>Dự thảo Nghị định đã thể chế hóa nhiệm vụ giải pháp tiếp tục dành nguồn vốn tín dụng ưu đãi và khuyến khích các ngân hàng, định chế tài chính cho vay đối với nông nghiệp, nông thôn để thực hiện chủ trương theo Nghị quyết số 68-NQ/TW.</w:t>
            </w:r>
          </w:p>
        </w:tc>
        <w:tc>
          <w:tcPr>
            <w:tcW w:w="5136" w:type="dxa"/>
          </w:tcPr>
          <w:p w:rsidR="00257512" w:rsidRPr="00927643" w:rsidRDefault="00257512" w:rsidP="000D4F0D">
            <w:pPr>
              <w:tabs>
                <w:tab w:val="left" w:pos="1290"/>
              </w:tabs>
              <w:jc w:val="both"/>
              <w:rPr>
                <w:rFonts w:eastAsia="Times New Roman"/>
                <w:sz w:val="26"/>
                <w:szCs w:val="26"/>
              </w:rPr>
            </w:pPr>
            <w:r w:rsidRPr="00927643">
              <w:rPr>
                <w:sz w:val="26"/>
                <w:szCs w:val="26"/>
              </w:rPr>
              <w:t>Nghị quyết số 26-NQ/TW ngày 05/8/2008 của Ban Chấp hành Trung ương Đảng khóa X về nông nghiệp, nông dân, nông thôn.</w:t>
            </w:r>
          </w:p>
          <w:p w:rsidR="00631594" w:rsidRPr="00927643" w:rsidRDefault="00631594" w:rsidP="000D4F0D">
            <w:pPr>
              <w:ind w:firstLine="720"/>
              <w:rPr>
                <w:rFonts w:eastAsia="Times New Roman"/>
                <w:sz w:val="26"/>
                <w:szCs w:val="26"/>
              </w:rPr>
            </w:pPr>
          </w:p>
        </w:tc>
        <w:tc>
          <w:tcPr>
            <w:tcW w:w="2410" w:type="dxa"/>
          </w:tcPr>
          <w:p w:rsidR="00631594" w:rsidRPr="00927643" w:rsidRDefault="00927643" w:rsidP="000D4F0D">
            <w:pPr>
              <w:tabs>
                <w:tab w:val="left" w:pos="1290"/>
              </w:tabs>
              <w:jc w:val="both"/>
              <w:rPr>
                <w:rFonts w:eastAsia="Times New Roman"/>
                <w:sz w:val="26"/>
                <w:szCs w:val="26"/>
              </w:rPr>
            </w:pPr>
            <w:r w:rsidRPr="00927643">
              <w:rPr>
                <w:sz w:val="26"/>
                <w:szCs w:val="26"/>
                <w:lang w:val="nl-NL"/>
              </w:rPr>
              <w:t>Đã thể chế đầy đủ</w:t>
            </w:r>
          </w:p>
        </w:tc>
        <w:tc>
          <w:tcPr>
            <w:tcW w:w="1877" w:type="dxa"/>
          </w:tcPr>
          <w:p w:rsidR="00631594" w:rsidRPr="00927643" w:rsidRDefault="00631594" w:rsidP="000D4F0D">
            <w:pPr>
              <w:tabs>
                <w:tab w:val="left" w:pos="1290"/>
              </w:tabs>
              <w:jc w:val="both"/>
              <w:rPr>
                <w:rFonts w:eastAsia="Times New Roman"/>
                <w:sz w:val="26"/>
                <w:szCs w:val="26"/>
              </w:rPr>
            </w:pPr>
          </w:p>
        </w:tc>
      </w:tr>
      <w:tr w:rsidR="00631594" w:rsidRPr="00927643" w:rsidTr="000D4F0D">
        <w:tc>
          <w:tcPr>
            <w:tcW w:w="5070" w:type="dxa"/>
          </w:tcPr>
          <w:p w:rsidR="00631594" w:rsidRPr="00927643" w:rsidRDefault="00257512" w:rsidP="000D4F0D">
            <w:pPr>
              <w:tabs>
                <w:tab w:val="left" w:pos="1290"/>
              </w:tabs>
              <w:jc w:val="both"/>
              <w:rPr>
                <w:rFonts w:eastAsia="Times New Roman"/>
                <w:sz w:val="26"/>
                <w:szCs w:val="26"/>
              </w:rPr>
            </w:pPr>
            <w:r w:rsidRPr="00927643">
              <w:rPr>
                <w:sz w:val="26"/>
                <w:szCs w:val="26"/>
              </w:rPr>
              <w:t>Dự thảo Nghị định đã thể chế hóa nhiệm vụ giải pháp tiếp tục dành nguồn vốn tín dụng ưu đãi, khuyến khích các tổ chức tín dụng cho vay đối với nông nghiệp, nông dân, nông thôn để thực hiện chủ trương theo Nghị quyết số 19-NQ/TW.</w:t>
            </w:r>
          </w:p>
        </w:tc>
        <w:tc>
          <w:tcPr>
            <w:tcW w:w="5136" w:type="dxa"/>
          </w:tcPr>
          <w:p w:rsidR="00631594" w:rsidRPr="00927643" w:rsidRDefault="00257512" w:rsidP="000D4F0D">
            <w:pPr>
              <w:tabs>
                <w:tab w:val="left" w:pos="1290"/>
              </w:tabs>
              <w:jc w:val="both"/>
              <w:rPr>
                <w:rFonts w:eastAsia="Times New Roman"/>
                <w:sz w:val="26"/>
                <w:szCs w:val="26"/>
              </w:rPr>
            </w:pPr>
            <w:r w:rsidRPr="00927643">
              <w:rPr>
                <w:sz w:val="26"/>
                <w:szCs w:val="26"/>
              </w:rPr>
              <w:t>Nghị quyết số 19-NQ/TW ngày 16/6/2022 của Hội nghị lần thứ năm Ban Chấp hành Trung ương Đảng khóa XIII về nông nghiệp, nông dân, nông thôn đến năm 2030, tầm nhìn đến năm 2045.</w:t>
            </w:r>
          </w:p>
        </w:tc>
        <w:tc>
          <w:tcPr>
            <w:tcW w:w="2410" w:type="dxa"/>
          </w:tcPr>
          <w:p w:rsidR="00631594" w:rsidRPr="00927643" w:rsidRDefault="00927643" w:rsidP="000D4F0D">
            <w:pPr>
              <w:tabs>
                <w:tab w:val="left" w:pos="1290"/>
              </w:tabs>
              <w:jc w:val="both"/>
              <w:rPr>
                <w:rFonts w:eastAsia="Times New Roman"/>
                <w:sz w:val="26"/>
                <w:szCs w:val="26"/>
              </w:rPr>
            </w:pPr>
            <w:r w:rsidRPr="00927643">
              <w:rPr>
                <w:sz w:val="26"/>
                <w:szCs w:val="26"/>
                <w:lang w:val="nl-NL"/>
              </w:rPr>
              <w:t>Đã thể chế đầy đủ</w:t>
            </w:r>
          </w:p>
        </w:tc>
        <w:tc>
          <w:tcPr>
            <w:tcW w:w="1877" w:type="dxa"/>
          </w:tcPr>
          <w:p w:rsidR="00631594" w:rsidRPr="00927643" w:rsidRDefault="00631594" w:rsidP="000D4F0D">
            <w:pPr>
              <w:tabs>
                <w:tab w:val="left" w:pos="1290"/>
              </w:tabs>
              <w:jc w:val="both"/>
              <w:rPr>
                <w:rFonts w:eastAsia="Times New Roman"/>
                <w:sz w:val="26"/>
                <w:szCs w:val="26"/>
              </w:rPr>
            </w:pPr>
          </w:p>
        </w:tc>
      </w:tr>
      <w:tr w:rsidR="00257512" w:rsidRPr="00927643" w:rsidTr="000D4F0D">
        <w:tc>
          <w:tcPr>
            <w:tcW w:w="5070" w:type="dxa"/>
          </w:tcPr>
          <w:p w:rsidR="00257512" w:rsidRPr="00927643" w:rsidRDefault="00257512" w:rsidP="000D4F0D">
            <w:pPr>
              <w:tabs>
                <w:tab w:val="left" w:pos="1290"/>
              </w:tabs>
              <w:jc w:val="both"/>
              <w:rPr>
                <w:sz w:val="26"/>
                <w:szCs w:val="26"/>
              </w:rPr>
            </w:pPr>
            <w:r w:rsidRPr="00927643">
              <w:rPr>
                <w:sz w:val="26"/>
                <w:szCs w:val="26"/>
              </w:rPr>
              <w:t>Dự thảo Nghị định đã thể chế hóa cơ chế hỗ trợ lãi suất và khuyến khích các tổ chức tín dụng giảm lãi suất cho doanh nghiệp tư nhân vay để triển khai các dự án xanh, tuần hoàn và áp dụng khung tiêu chuẩn môi trường, xã hội, quản trị (ESG).</w:t>
            </w:r>
          </w:p>
        </w:tc>
        <w:tc>
          <w:tcPr>
            <w:tcW w:w="5136" w:type="dxa"/>
          </w:tcPr>
          <w:p w:rsidR="00257512" w:rsidRPr="00927643" w:rsidRDefault="00257512" w:rsidP="000D4F0D">
            <w:pPr>
              <w:tabs>
                <w:tab w:val="left" w:pos="1290"/>
              </w:tabs>
              <w:jc w:val="both"/>
              <w:rPr>
                <w:sz w:val="26"/>
                <w:szCs w:val="26"/>
              </w:rPr>
            </w:pPr>
            <w:r w:rsidRPr="00927643">
              <w:rPr>
                <w:sz w:val="26"/>
                <w:szCs w:val="26"/>
              </w:rPr>
              <w:t>Nghị quyết số 68-NQ/TW ngày 4/5/2025 của Bộ Chính trị về phát triển kinh tế tư nhân</w:t>
            </w:r>
          </w:p>
        </w:tc>
        <w:tc>
          <w:tcPr>
            <w:tcW w:w="2410" w:type="dxa"/>
          </w:tcPr>
          <w:p w:rsidR="00257512" w:rsidRPr="00927643" w:rsidRDefault="00927643" w:rsidP="000D4F0D">
            <w:pPr>
              <w:tabs>
                <w:tab w:val="left" w:pos="1290"/>
              </w:tabs>
              <w:jc w:val="both"/>
              <w:rPr>
                <w:rFonts w:eastAsia="Times New Roman"/>
                <w:sz w:val="26"/>
                <w:szCs w:val="26"/>
              </w:rPr>
            </w:pPr>
            <w:r w:rsidRPr="00927643">
              <w:rPr>
                <w:sz w:val="26"/>
                <w:szCs w:val="26"/>
                <w:lang w:val="nl-NL"/>
              </w:rPr>
              <w:t>Đã thể chế đầy đủ</w:t>
            </w:r>
          </w:p>
        </w:tc>
        <w:tc>
          <w:tcPr>
            <w:tcW w:w="1877" w:type="dxa"/>
          </w:tcPr>
          <w:p w:rsidR="00257512" w:rsidRPr="00927643" w:rsidRDefault="00257512" w:rsidP="000D4F0D">
            <w:pPr>
              <w:tabs>
                <w:tab w:val="left" w:pos="1290"/>
              </w:tabs>
              <w:jc w:val="both"/>
              <w:rPr>
                <w:rFonts w:eastAsia="Times New Roman"/>
                <w:sz w:val="26"/>
                <w:szCs w:val="26"/>
              </w:rPr>
            </w:pPr>
          </w:p>
        </w:tc>
      </w:tr>
    </w:tbl>
    <w:p w:rsidR="00631594" w:rsidRPr="001C4B91" w:rsidRDefault="00631594" w:rsidP="00631594">
      <w:pPr>
        <w:tabs>
          <w:tab w:val="left" w:pos="1290"/>
        </w:tabs>
        <w:spacing w:before="120" w:after="120" w:line="340" w:lineRule="exact"/>
        <w:ind w:firstLine="709"/>
        <w:jc w:val="both"/>
        <w:rPr>
          <w:rFonts w:eastAsia="Times New Roman"/>
          <w:b/>
        </w:rPr>
      </w:pPr>
      <w:r w:rsidRPr="001C4B91">
        <w:rPr>
          <w:rFonts w:eastAsia="Times New Roman"/>
          <w:b/>
        </w:rPr>
        <w:lastRenderedPageBreak/>
        <w:t>2. Văn bản quy phạm pháp luật có liên quan đến dự thảo Nghị định</w:t>
      </w:r>
    </w:p>
    <w:tbl>
      <w:tblPr>
        <w:tblW w:w="1460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5420"/>
        <w:gridCol w:w="2268"/>
        <w:gridCol w:w="1842"/>
      </w:tblGrid>
      <w:tr w:rsidR="00631594" w:rsidRPr="000D4F0D" w:rsidTr="00927643">
        <w:tc>
          <w:tcPr>
            <w:tcW w:w="5070" w:type="dxa"/>
            <w:vAlign w:val="center"/>
          </w:tcPr>
          <w:p w:rsidR="00631594" w:rsidRPr="000D4F0D" w:rsidRDefault="00631594" w:rsidP="000D4F0D">
            <w:pPr>
              <w:tabs>
                <w:tab w:val="left" w:pos="1290"/>
              </w:tabs>
              <w:jc w:val="center"/>
              <w:rPr>
                <w:rFonts w:eastAsia="Times New Roman"/>
                <w:b/>
                <w:sz w:val="26"/>
                <w:szCs w:val="26"/>
              </w:rPr>
            </w:pPr>
            <w:r w:rsidRPr="000D4F0D">
              <w:rPr>
                <w:rFonts w:eastAsia="Times New Roman"/>
                <w:b/>
                <w:sz w:val="26"/>
                <w:szCs w:val="26"/>
              </w:rPr>
              <w:t>QUY ĐỊNH CỦA DỰ THẢO NGHỊ ĐỊNH</w:t>
            </w:r>
          </w:p>
        </w:tc>
        <w:tc>
          <w:tcPr>
            <w:tcW w:w="5420" w:type="dxa"/>
            <w:vAlign w:val="center"/>
          </w:tcPr>
          <w:p w:rsidR="00631594" w:rsidRPr="000D4F0D" w:rsidRDefault="00631594" w:rsidP="000D4F0D">
            <w:pPr>
              <w:tabs>
                <w:tab w:val="left" w:pos="1290"/>
              </w:tabs>
              <w:jc w:val="center"/>
              <w:rPr>
                <w:rFonts w:eastAsia="Times New Roman"/>
                <w:b/>
                <w:sz w:val="26"/>
                <w:szCs w:val="26"/>
              </w:rPr>
            </w:pPr>
            <w:r w:rsidRPr="000D4F0D">
              <w:rPr>
                <w:rFonts w:eastAsia="Times New Roman"/>
                <w:b/>
                <w:sz w:val="26"/>
                <w:szCs w:val="26"/>
              </w:rPr>
              <w:t>QUY ĐỊNH CỦA PHÁP LUẬT HIỆN HÀNH CÓ LIÊN QUAN</w:t>
            </w:r>
          </w:p>
        </w:tc>
        <w:tc>
          <w:tcPr>
            <w:tcW w:w="2268" w:type="dxa"/>
            <w:vAlign w:val="center"/>
          </w:tcPr>
          <w:p w:rsidR="00631594" w:rsidRPr="000D4F0D" w:rsidRDefault="00631594" w:rsidP="000D4F0D">
            <w:pPr>
              <w:tabs>
                <w:tab w:val="left" w:pos="1290"/>
              </w:tabs>
              <w:jc w:val="center"/>
              <w:rPr>
                <w:rFonts w:eastAsia="Times New Roman"/>
                <w:b/>
                <w:sz w:val="26"/>
                <w:szCs w:val="26"/>
              </w:rPr>
            </w:pPr>
            <w:r w:rsidRPr="000D4F0D">
              <w:rPr>
                <w:rFonts w:eastAsia="Times New Roman"/>
                <w:b/>
                <w:sz w:val="26"/>
                <w:szCs w:val="26"/>
              </w:rPr>
              <w:t>ĐÁNH GIÁ</w:t>
            </w:r>
          </w:p>
          <w:p w:rsidR="00250CB3" w:rsidRPr="000D4F0D" w:rsidRDefault="00250CB3" w:rsidP="000D4F0D">
            <w:pPr>
              <w:tabs>
                <w:tab w:val="left" w:pos="1290"/>
              </w:tabs>
              <w:jc w:val="center"/>
              <w:rPr>
                <w:rFonts w:eastAsia="Times New Roman"/>
                <w:b/>
                <w:sz w:val="26"/>
                <w:szCs w:val="26"/>
              </w:rPr>
            </w:pPr>
            <w:r w:rsidRPr="000D4F0D">
              <w:rPr>
                <w:rFonts w:eastAsia="Times New Roman"/>
                <w:b/>
                <w:sz w:val="26"/>
                <w:szCs w:val="26"/>
              </w:rPr>
              <w:t>(Tính hợp hiến, tính hợp pháp, tính thống nhất)</w:t>
            </w:r>
          </w:p>
        </w:tc>
        <w:tc>
          <w:tcPr>
            <w:tcW w:w="1842" w:type="dxa"/>
            <w:vAlign w:val="center"/>
          </w:tcPr>
          <w:p w:rsidR="00234066" w:rsidRPr="000D4F0D" w:rsidRDefault="00631594" w:rsidP="000D4F0D">
            <w:pPr>
              <w:tabs>
                <w:tab w:val="left" w:pos="1290"/>
              </w:tabs>
              <w:jc w:val="center"/>
              <w:rPr>
                <w:rFonts w:eastAsia="Times New Roman"/>
                <w:b/>
                <w:sz w:val="26"/>
                <w:szCs w:val="26"/>
              </w:rPr>
            </w:pPr>
            <w:r w:rsidRPr="000D4F0D">
              <w:rPr>
                <w:rFonts w:eastAsia="Times New Roman"/>
                <w:b/>
                <w:sz w:val="26"/>
                <w:szCs w:val="26"/>
              </w:rPr>
              <w:t xml:space="preserve">ĐỀ XUẤT </w:t>
            </w:r>
          </w:p>
          <w:p w:rsidR="00631594" w:rsidRPr="000D4F0D" w:rsidRDefault="00631594" w:rsidP="000D4F0D">
            <w:pPr>
              <w:tabs>
                <w:tab w:val="left" w:pos="1290"/>
              </w:tabs>
              <w:jc w:val="center"/>
              <w:rPr>
                <w:rFonts w:eastAsia="Times New Roman"/>
                <w:b/>
                <w:sz w:val="26"/>
                <w:szCs w:val="26"/>
              </w:rPr>
            </w:pPr>
            <w:r w:rsidRPr="000D4F0D">
              <w:rPr>
                <w:rFonts w:eastAsia="Times New Roman"/>
                <w:b/>
                <w:sz w:val="26"/>
                <w:szCs w:val="26"/>
              </w:rPr>
              <w:t>XỬ LÝ</w:t>
            </w:r>
          </w:p>
        </w:tc>
      </w:tr>
      <w:tr w:rsidR="000D4F0D" w:rsidRPr="000D4F0D" w:rsidTr="00B80CD4">
        <w:tc>
          <w:tcPr>
            <w:tcW w:w="14600" w:type="dxa"/>
            <w:gridSpan w:val="4"/>
            <w:vAlign w:val="center"/>
          </w:tcPr>
          <w:p w:rsidR="000D4F0D" w:rsidRPr="000D4F0D" w:rsidRDefault="000D4F0D" w:rsidP="000D4F0D">
            <w:pPr>
              <w:tabs>
                <w:tab w:val="left" w:pos="1290"/>
              </w:tabs>
              <w:rPr>
                <w:rFonts w:eastAsia="Times New Roman"/>
                <w:b/>
                <w:sz w:val="26"/>
                <w:szCs w:val="26"/>
              </w:rPr>
            </w:pPr>
            <w:r w:rsidRPr="000D4F0D">
              <w:rPr>
                <w:rFonts w:eastAsia="Times New Roman"/>
                <w:b/>
                <w:sz w:val="26"/>
                <w:szCs w:val="26"/>
              </w:rPr>
              <w:t>I. Các Luật</w:t>
            </w:r>
          </w:p>
        </w:tc>
      </w:tr>
      <w:tr w:rsidR="00631594" w:rsidRPr="000D4F0D" w:rsidTr="00927643">
        <w:tc>
          <w:tcPr>
            <w:tcW w:w="5070" w:type="dxa"/>
          </w:tcPr>
          <w:p w:rsidR="00927643" w:rsidRPr="000D4F0D" w:rsidRDefault="00927643" w:rsidP="000D4F0D">
            <w:pPr>
              <w:ind w:left="143" w:right="140"/>
              <w:jc w:val="both"/>
              <w:rPr>
                <w:sz w:val="26"/>
                <w:szCs w:val="26"/>
              </w:rPr>
            </w:pPr>
            <w:r w:rsidRPr="000D4F0D">
              <w:rPr>
                <w:sz w:val="26"/>
                <w:szCs w:val="26"/>
              </w:rPr>
              <w:t>- Tại Điều 1 quy định về lập kế hoạch, thanh toán, quyết toán vốn ngân sách nhà nước nguồn ngân sách trung ương để (sau đây gọi tắt là cấp bù lãi suất) thông qua các ngân hàng thương mại thực hiện các chính sách tín dụng ưu đãi của nhà nước.</w:t>
            </w:r>
          </w:p>
          <w:p w:rsidR="00631594" w:rsidRPr="000D4F0D" w:rsidRDefault="00927643" w:rsidP="000D4F0D">
            <w:pPr>
              <w:tabs>
                <w:tab w:val="left" w:pos="1290"/>
              </w:tabs>
              <w:jc w:val="both"/>
              <w:rPr>
                <w:rFonts w:eastAsia="Times New Roman"/>
                <w:sz w:val="26"/>
                <w:szCs w:val="26"/>
              </w:rPr>
            </w:pPr>
            <w:r w:rsidRPr="000D4F0D">
              <w:rPr>
                <w:sz w:val="26"/>
                <w:szCs w:val="26"/>
              </w:rPr>
              <w:t>- Tại Điều 4, Điều 5 dự thảo Nghị định quy định chi tiết việc lập kế hoạch, phân bổ và tổ chức điều hành, chấp hành kế hoạch đầu tư công để cấp bù lãi suất theo quy định tại Luật Đầu tư công và các văn bản hướng dẫn.</w:t>
            </w:r>
          </w:p>
        </w:tc>
        <w:tc>
          <w:tcPr>
            <w:tcW w:w="5420" w:type="dxa"/>
          </w:tcPr>
          <w:p w:rsidR="00631594" w:rsidRPr="000D4F0D" w:rsidRDefault="00927643" w:rsidP="000D4F0D">
            <w:pPr>
              <w:tabs>
                <w:tab w:val="left" w:pos="1290"/>
              </w:tabs>
              <w:jc w:val="both"/>
              <w:rPr>
                <w:b/>
                <w:sz w:val="26"/>
                <w:szCs w:val="26"/>
                <w:lang w:val="nl-NL"/>
              </w:rPr>
            </w:pPr>
            <w:r w:rsidRPr="000D4F0D">
              <w:rPr>
                <w:b/>
                <w:sz w:val="26"/>
                <w:szCs w:val="26"/>
                <w:lang w:val="nl-NL"/>
              </w:rPr>
              <w:t>1. Luật Đầu tư công số 58/2024/QH15 (được sửa đổi, bổ sung tại Luật số 90/2025/QH15</w:t>
            </w:r>
          </w:p>
          <w:p w:rsidR="00927643" w:rsidRPr="000D4F0D" w:rsidRDefault="00927643" w:rsidP="000D4F0D">
            <w:pPr>
              <w:tabs>
                <w:tab w:val="left" w:pos="1290"/>
              </w:tabs>
              <w:jc w:val="both"/>
              <w:rPr>
                <w:sz w:val="26"/>
                <w:szCs w:val="26"/>
              </w:rPr>
            </w:pPr>
            <w:r w:rsidRPr="000D4F0D">
              <w:rPr>
                <w:sz w:val="26"/>
                <w:szCs w:val="26"/>
              </w:rPr>
              <w:t xml:space="preserve">- Khoản 3 Điều 86 Luật quy định giao nhiệm vụ Bộ Tài chính: “Chủ trì trình cấp có thẩm quyền ban hành hoặc ban hành theo thẩm quyền quy định về quản lý, thanh toán, quyết toán dự </w:t>
            </w:r>
            <w:proofErr w:type="gramStart"/>
            <w:r w:rsidRPr="000D4F0D">
              <w:rPr>
                <w:sz w:val="26"/>
                <w:szCs w:val="26"/>
              </w:rPr>
              <w:t>án</w:t>
            </w:r>
            <w:proofErr w:type="gramEnd"/>
            <w:r w:rsidRPr="000D4F0D">
              <w:rPr>
                <w:sz w:val="26"/>
                <w:szCs w:val="26"/>
              </w:rPr>
              <w:t xml:space="preserve"> sử dụng vốn đầu tư công”.</w:t>
            </w:r>
          </w:p>
          <w:p w:rsidR="00927643" w:rsidRPr="000D4F0D" w:rsidRDefault="00927643" w:rsidP="000D4F0D">
            <w:pPr>
              <w:ind w:left="139" w:right="141"/>
              <w:jc w:val="both"/>
              <w:rPr>
                <w:sz w:val="26"/>
                <w:szCs w:val="26"/>
              </w:rPr>
            </w:pPr>
            <w:r w:rsidRPr="000D4F0D">
              <w:rPr>
                <w:sz w:val="26"/>
                <w:szCs w:val="26"/>
              </w:rPr>
              <w:t>- Điều 59, 60 của Luật Đầu tư công quy định trình tự lập, phê duyệt, giao kế hoạch đầu tư công trung hạn và hằng năm vốn NSNN.</w:t>
            </w:r>
          </w:p>
          <w:p w:rsidR="00927643" w:rsidRPr="000D4F0D" w:rsidRDefault="00927643" w:rsidP="000D4F0D">
            <w:pPr>
              <w:ind w:left="139" w:right="141"/>
              <w:jc w:val="both"/>
              <w:rPr>
                <w:sz w:val="26"/>
                <w:szCs w:val="26"/>
              </w:rPr>
            </w:pPr>
            <w:r w:rsidRPr="000D4F0D">
              <w:rPr>
                <w:sz w:val="26"/>
                <w:szCs w:val="26"/>
              </w:rPr>
              <w:t xml:space="preserve">- Khoản 6 Điều 60 Luật quy định: Trước ngày 31/12 hằng năm, các Bộ, cơ quan trung ương và địa phương phân bổ chi tiết mức vốn kế hoạch đầu tư vốn NSTW năm sau, …, gửi phương án phân bổ chi tiết cho Bộ Tài chính để tổng hợp, báo cáo Chính phủ và theo dõi thực hiện. </w:t>
            </w:r>
          </w:p>
          <w:p w:rsidR="00927643" w:rsidRPr="000D4F0D" w:rsidRDefault="00927643" w:rsidP="000D4F0D">
            <w:pPr>
              <w:ind w:left="139" w:right="141"/>
              <w:jc w:val="both"/>
              <w:rPr>
                <w:sz w:val="26"/>
                <w:szCs w:val="26"/>
              </w:rPr>
            </w:pPr>
            <w:r w:rsidRPr="000D4F0D">
              <w:rPr>
                <w:sz w:val="26"/>
                <w:szCs w:val="26"/>
              </w:rPr>
              <w:t xml:space="preserve">- Điểm a khoản 1 Điều 69 Luật quy định: Bộ, cơ quan trung ương… có trách nhiệm: Thông báo hoặc quyết định giao kế hoạch đầu tư công cho các cơ quan, đơn vị sử dụng vốn đầu tư công. </w:t>
            </w:r>
          </w:p>
          <w:p w:rsidR="00927643" w:rsidRPr="000D4F0D" w:rsidRDefault="00927643" w:rsidP="000D4F0D">
            <w:pPr>
              <w:tabs>
                <w:tab w:val="left" w:pos="1290"/>
              </w:tabs>
              <w:jc w:val="both"/>
              <w:rPr>
                <w:sz w:val="26"/>
                <w:szCs w:val="26"/>
              </w:rPr>
            </w:pPr>
            <w:r w:rsidRPr="000D4F0D">
              <w:rPr>
                <w:sz w:val="26"/>
                <w:szCs w:val="26"/>
              </w:rPr>
              <w:t xml:space="preserve">- Khoản 2 Điều 68 Luật quy định: Căn cứ quyết định giao kế hoạch của cấp có thẩm quyền, Bộ, cơ quan trung ương … quyết định các giải pháp </w:t>
            </w:r>
            <w:r w:rsidRPr="000D4F0D">
              <w:rPr>
                <w:sz w:val="26"/>
                <w:szCs w:val="26"/>
              </w:rPr>
              <w:lastRenderedPageBreak/>
              <w:t>tổ chức điều hành kế hoạch đầu tư công thuộc nguồn vốn do cấp mình quản lý.</w:t>
            </w:r>
          </w:p>
          <w:p w:rsidR="00927643" w:rsidRPr="000D4F0D" w:rsidRDefault="00927643" w:rsidP="000D4F0D">
            <w:pPr>
              <w:ind w:left="139" w:right="141"/>
              <w:jc w:val="both"/>
              <w:rPr>
                <w:sz w:val="26"/>
                <w:szCs w:val="26"/>
              </w:rPr>
            </w:pPr>
            <w:r w:rsidRPr="000D4F0D">
              <w:rPr>
                <w:sz w:val="26"/>
                <w:szCs w:val="26"/>
              </w:rPr>
              <w:t>- Điều 70 Luật quy định trách nhiệm của các Bộ, cơ quan trung ương và địa phương, Uỷ ban nhân dân cấp huyện, cấp xã, cơ quan, đơn vị sử dụng vốn đầu tư công.</w:t>
            </w:r>
          </w:p>
          <w:p w:rsidR="00927643" w:rsidRPr="000D4F0D" w:rsidRDefault="00927643" w:rsidP="000D4F0D">
            <w:pPr>
              <w:ind w:left="139" w:right="141"/>
              <w:jc w:val="both"/>
              <w:rPr>
                <w:sz w:val="26"/>
                <w:szCs w:val="26"/>
              </w:rPr>
            </w:pPr>
            <w:r w:rsidRPr="000D4F0D">
              <w:rPr>
                <w:sz w:val="26"/>
                <w:szCs w:val="26"/>
              </w:rPr>
              <w:t>- Điều 71 Luật Đầu tư công quy định về điều chỉnh kế hoạch đầu tư công.</w:t>
            </w:r>
          </w:p>
          <w:p w:rsidR="00927643" w:rsidRPr="000D4F0D" w:rsidRDefault="00927643" w:rsidP="000D4F0D">
            <w:pPr>
              <w:tabs>
                <w:tab w:val="left" w:pos="1290"/>
              </w:tabs>
              <w:jc w:val="both"/>
              <w:rPr>
                <w:rFonts w:eastAsia="Times New Roman"/>
                <w:sz w:val="26"/>
                <w:szCs w:val="26"/>
              </w:rPr>
            </w:pPr>
            <w:r w:rsidRPr="000D4F0D">
              <w:rPr>
                <w:sz w:val="26"/>
                <w:szCs w:val="26"/>
              </w:rPr>
              <w:t>- Điều 72 Luật Đầu tư công quy định về thời gian thực hiện và giải ngân vốn kế hoạch đầu tư công hằng năm.</w:t>
            </w:r>
          </w:p>
        </w:tc>
        <w:tc>
          <w:tcPr>
            <w:tcW w:w="2268" w:type="dxa"/>
          </w:tcPr>
          <w:p w:rsidR="00631594" w:rsidRPr="000D4F0D" w:rsidRDefault="000D4F0D" w:rsidP="000D4F0D">
            <w:pPr>
              <w:tabs>
                <w:tab w:val="left" w:pos="1290"/>
              </w:tabs>
              <w:jc w:val="both"/>
              <w:rPr>
                <w:rFonts w:eastAsia="Times New Roman"/>
                <w:sz w:val="26"/>
                <w:szCs w:val="26"/>
              </w:rPr>
            </w:pPr>
            <w:r w:rsidRPr="000D4F0D">
              <w:rPr>
                <w:sz w:val="26"/>
                <w:szCs w:val="26"/>
              </w:rPr>
              <w:lastRenderedPageBreak/>
              <w:t>Dự thảo Nghị định đảm bảo tính hợp pháp, tính thống nhất với quy định của Luật Đầu tư công.</w:t>
            </w:r>
          </w:p>
        </w:tc>
        <w:tc>
          <w:tcPr>
            <w:tcW w:w="1842" w:type="dxa"/>
          </w:tcPr>
          <w:p w:rsidR="00631594" w:rsidRPr="000D4F0D" w:rsidRDefault="00631594" w:rsidP="000D4F0D">
            <w:pPr>
              <w:tabs>
                <w:tab w:val="left" w:pos="1290"/>
              </w:tabs>
              <w:jc w:val="both"/>
              <w:rPr>
                <w:rFonts w:eastAsia="Times New Roman"/>
                <w:sz w:val="26"/>
                <w:szCs w:val="26"/>
              </w:rPr>
            </w:pPr>
          </w:p>
        </w:tc>
      </w:tr>
      <w:tr w:rsidR="00631594" w:rsidRPr="000D4F0D" w:rsidTr="00927643">
        <w:tc>
          <w:tcPr>
            <w:tcW w:w="5070" w:type="dxa"/>
          </w:tcPr>
          <w:p w:rsidR="00631594" w:rsidRPr="000D4F0D" w:rsidRDefault="00927643" w:rsidP="000D4F0D">
            <w:pPr>
              <w:tabs>
                <w:tab w:val="left" w:pos="3540"/>
              </w:tabs>
              <w:jc w:val="both"/>
              <w:rPr>
                <w:sz w:val="26"/>
                <w:szCs w:val="26"/>
                <w:lang w:val="nl-NL"/>
              </w:rPr>
            </w:pPr>
            <w:r w:rsidRPr="000D4F0D">
              <w:rPr>
                <w:sz w:val="26"/>
                <w:szCs w:val="26"/>
                <w:lang w:val="nl-NL"/>
              </w:rPr>
              <w:lastRenderedPageBreak/>
              <w:t>- Điều 5 quy định việc thanh toán  ngân sách nhà nước để cấp bù lãi suất tín dụng ưu đãi</w:t>
            </w:r>
          </w:p>
          <w:p w:rsidR="00927643" w:rsidRPr="000D4F0D" w:rsidRDefault="00927643" w:rsidP="000D4F0D">
            <w:pPr>
              <w:tabs>
                <w:tab w:val="left" w:pos="3540"/>
              </w:tabs>
              <w:jc w:val="both"/>
              <w:rPr>
                <w:sz w:val="26"/>
                <w:szCs w:val="26"/>
              </w:rPr>
            </w:pPr>
            <w:r w:rsidRPr="000D4F0D">
              <w:rPr>
                <w:sz w:val="26"/>
                <w:szCs w:val="26"/>
              </w:rPr>
              <w:t xml:space="preserve">- Điều 6 quy định việc </w:t>
            </w:r>
            <w:r w:rsidRPr="000D4F0D">
              <w:rPr>
                <w:color w:val="000000" w:themeColor="text1"/>
                <w:sz w:val="26"/>
                <w:szCs w:val="26"/>
              </w:rPr>
              <w:t>lập quyết toán ngân sách nhà nước để cấp bù lãi suất của các ngân hàng thương mại phải bảo đảm các yêu cầu quy định tại Điều 67 Luật NSNN</w:t>
            </w:r>
            <w:r w:rsidRPr="000D4F0D">
              <w:rPr>
                <w:sz w:val="26"/>
                <w:szCs w:val="26"/>
              </w:rPr>
              <w:t>.</w:t>
            </w:r>
          </w:p>
          <w:p w:rsidR="00927643" w:rsidRPr="000D4F0D" w:rsidRDefault="00927643" w:rsidP="000D4F0D">
            <w:pPr>
              <w:ind w:left="34" w:right="142"/>
              <w:jc w:val="both"/>
              <w:rPr>
                <w:sz w:val="26"/>
                <w:szCs w:val="26"/>
              </w:rPr>
            </w:pPr>
            <w:r w:rsidRPr="000D4F0D">
              <w:rPr>
                <w:sz w:val="26"/>
                <w:szCs w:val="26"/>
              </w:rPr>
              <w:t>- Điều 7 quy định việc xét duyệt, tổng hợp, báo cáo quyết toán cấp bù lãi suất hằng năm đảm bảo thống nhất với quy định của Luật.</w:t>
            </w:r>
          </w:p>
          <w:p w:rsidR="00927643" w:rsidRPr="000D4F0D" w:rsidRDefault="00927643" w:rsidP="000D4F0D">
            <w:pPr>
              <w:tabs>
                <w:tab w:val="left" w:pos="3540"/>
              </w:tabs>
              <w:jc w:val="both"/>
              <w:rPr>
                <w:rFonts w:eastAsia="Times New Roman"/>
                <w:sz w:val="26"/>
                <w:szCs w:val="26"/>
              </w:rPr>
            </w:pPr>
            <w:r w:rsidRPr="000D4F0D">
              <w:rPr>
                <w:sz w:val="26"/>
                <w:szCs w:val="26"/>
              </w:rPr>
              <w:t xml:space="preserve">- Điều 8 quy định về việc xử lý thu hồ số tiền đã cấp bù lãi suất khi phát hiện khoản vay không thuộc </w:t>
            </w:r>
            <w:r w:rsidRPr="000D4F0D">
              <w:rPr>
                <w:rFonts w:eastAsia="Cambria"/>
                <w:bCs/>
                <w:sz w:val="26"/>
                <w:szCs w:val="26"/>
              </w:rPr>
              <w:t>đối tượng, sử dụng vốn vay sai mục đích hoặc không đáp ứng điều kiện được cấp bù lãi suất trong quá trình thực hiện.</w:t>
            </w:r>
          </w:p>
        </w:tc>
        <w:tc>
          <w:tcPr>
            <w:tcW w:w="5420" w:type="dxa"/>
          </w:tcPr>
          <w:p w:rsidR="00631594" w:rsidRPr="000D4F0D" w:rsidRDefault="00927643" w:rsidP="000D4F0D">
            <w:pPr>
              <w:tabs>
                <w:tab w:val="left" w:pos="1290"/>
              </w:tabs>
              <w:jc w:val="both"/>
              <w:rPr>
                <w:color w:val="000000" w:themeColor="text1"/>
                <w:sz w:val="26"/>
                <w:szCs w:val="26"/>
              </w:rPr>
            </w:pPr>
            <w:r w:rsidRPr="000D4F0D">
              <w:rPr>
                <w:sz w:val="26"/>
                <w:szCs w:val="26"/>
              </w:rPr>
              <w:t xml:space="preserve">- </w:t>
            </w:r>
            <w:r w:rsidRPr="000D4F0D">
              <w:rPr>
                <w:color w:val="000000" w:themeColor="text1"/>
                <w:sz w:val="26"/>
                <w:szCs w:val="26"/>
              </w:rPr>
              <w:t>Điều 58 Luật quy định về tổ chức chi ngân sách nhà nước.</w:t>
            </w:r>
          </w:p>
          <w:p w:rsidR="00927643" w:rsidRPr="000D4F0D" w:rsidRDefault="00927643" w:rsidP="000D4F0D">
            <w:pPr>
              <w:ind w:right="141"/>
              <w:jc w:val="both"/>
              <w:rPr>
                <w:sz w:val="26"/>
                <w:szCs w:val="26"/>
              </w:rPr>
            </w:pPr>
            <w:r w:rsidRPr="000D4F0D">
              <w:rPr>
                <w:sz w:val="26"/>
                <w:szCs w:val="26"/>
              </w:rPr>
              <w:t>- Điều 67 Luật quy định quy định về yêu cầu quyết toán NSNN.</w:t>
            </w:r>
          </w:p>
          <w:p w:rsidR="00927643" w:rsidRPr="000D4F0D" w:rsidRDefault="00927643" w:rsidP="000D4F0D">
            <w:pPr>
              <w:tabs>
                <w:tab w:val="left" w:pos="1290"/>
              </w:tabs>
              <w:jc w:val="both"/>
              <w:rPr>
                <w:color w:val="000000" w:themeColor="text1"/>
                <w:sz w:val="26"/>
                <w:szCs w:val="26"/>
              </w:rPr>
            </w:pPr>
            <w:r w:rsidRPr="000D4F0D">
              <w:rPr>
                <w:sz w:val="26"/>
                <w:szCs w:val="26"/>
              </w:rPr>
              <w:t>- Điều 68 Luật quy định về lập quyết toán NSNN của đơn vị sử dụng ngân sách và chủ đầu tư.</w:t>
            </w:r>
          </w:p>
          <w:p w:rsidR="00927643" w:rsidRPr="000D4F0D" w:rsidRDefault="00927643" w:rsidP="000D4F0D">
            <w:pPr>
              <w:ind w:right="141"/>
              <w:jc w:val="both"/>
              <w:rPr>
                <w:sz w:val="26"/>
                <w:szCs w:val="26"/>
              </w:rPr>
            </w:pPr>
            <w:r w:rsidRPr="000D4F0D">
              <w:rPr>
                <w:sz w:val="26"/>
                <w:szCs w:val="26"/>
              </w:rPr>
              <w:t>- Điều 69 Luật quy định về xét duyệt quyết toán NSNN năm.</w:t>
            </w:r>
          </w:p>
          <w:p w:rsidR="00927643" w:rsidRPr="000D4F0D" w:rsidRDefault="00927643" w:rsidP="000D4F0D">
            <w:pPr>
              <w:tabs>
                <w:tab w:val="left" w:pos="1290"/>
              </w:tabs>
              <w:jc w:val="both"/>
              <w:rPr>
                <w:sz w:val="26"/>
                <w:szCs w:val="26"/>
              </w:rPr>
            </w:pPr>
            <w:r w:rsidRPr="000D4F0D">
              <w:rPr>
                <w:sz w:val="26"/>
                <w:szCs w:val="26"/>
              </w:rPr>
              <w:t>- Điều 70 Luật quy định về tổng hợp quyết toán NSNN.</w:t>
            </w:r>
          </w:p>
          <w:p w:rsidR="00927643" w:rsidRPr="000D4F0D" w:rsidRDefault="00927643" w:rsidP="000D4F0D">
            <w:pPr>
              <w:ind w:right="141"/>
              <w:jc w:val="both"/>
              <w:rPr>
                <w:sz w:val="26"/>
                <w:szCs w:val="26"/>
              </w:rPr>
            </w:pPr>
            <w:r w:rsidRPr="000D4F0D">
              <w:rPr>
                <w:sz w:val="26"/>
                <w:szCs w:val="26"/>
              </w:rPr>
              <w:t>- Khoản 8 Điều 67 Luật quy định những khoản chi NSNN không đúng với quy định của pháp luật phải được thu hồi đầy đủ, kịp thời cho ngân sách; các khoản nộp trả ngân sách cấp trên phải nộp trả kịp thời.</w:t>
            </w:r>
          </w:p>
          <w:p w:rsidR="00927643" w:rsidRPr="000D4F0D" w:rsidRDefault="00927643" w:rsidP="000D4F0D">
            <w:pPr>
              <w:tabs>
                <w:tab w:val="left" w:pos="1290"/>
              </w:tabs>
              <w:jc w:val="both"/>
              <w:rPr>
                <w:color w:val="000000" w:themeColor="text1"/>
                <w:sz w:val="26"/>
                <w:szCs w:val="26"/>
              </w:rPr>
            </w:pPr>
            <w:r w:rsidRPr="000D4F0D">
              <w:rPr>
                <w:sz w:val="26"/>
                <w:szCs w:val="26"/>
              </w:rPr>
              <w:t>- Điều 75 Luật quy định về xử lý các khoản thu, chi NSNN không đúng quy định sau khi quyết toán NSNN được phê chuẩn.</w:t>
            </w:r>
          </w:p>
        </w:tc>
        <w:tc>
          <w:tcPr>
            <w:tcW w:w="2268" w:type="dxa"/>
          </w:tcPr>
          <w:p w:rsidR="00631594" w:rsidRPr="000D4F0D" w:rsidRDefault="000D4F0D" w:rsidP="000D4F0D">
            <w:pPr>
              <w:tabs>
                <w:tab w:val="left" w:pos="1290"/>
              </w:tabs>
              <w:jc w:val="both"/>
              <w:rPr>
                <w:rFonts w:eastAsia="Times New Roman"/>
                <w:sz w:val="26"/>
                <w:szCs w:val="26"/>
              </w:rPr>
            </w:pPr>
            <w:r w:rsidRPr="000D4F0D">
              <w:rPr>
                <w:sz w:val="26"/>
                <w:szCs w:val="26"/>
              </w:rPr>
              <w:t>Dự thảo Nghị định đảm bảo tính hợp pháp, tính thống nhất với quy định của Luật Ngân sách nhà nước.</w:t>
            </w:r>
          </w:p>
        </w:tc>
        <w:tc>
          <w:tcPr>
            <w:tcW w:w="1842" w:type="dxa"/>
          </w:tcPr>
          <w:p w:rsidR="00631594" w:rsidRPr="000D4F0D" w:rsidRDefault="00631594" w:rsidP="000D4F0D">
            <w:pPr>
              <w:tabs>
                <w:tab w:val="left" w:pos="1290"/>
              </w:tabs>
              <w:jc w:val="both"/>
              <w:rPr>
                <w:rFonts w:eastAsia="Times New Roman"/>
                <w:sz w:val="26"/>
                <w:szCs w:val="26"/>
              </w:rPr>
            </w:pPr>
          </w:p>
        </w:tc>
      </w:tr>
      <w:tr w:rsidR="00631594" w:rsidRPr="000D4F0D" w:rsidTr="00927643">
        <w:tc>
          <w:tcPr>
            <w:tcW w:w="5070" w:type="dxa"/>
          </w:tcPr>
          <w:p w:rsidR="00631594" w:rsidRPr="000D4F0D" w:rsidRDefault="000D4F0D" w:rsidP="000D4F0D">
            <w:pPr>
              <w:tabs>
                <w:tab w:val="left" w:pos="1290"/>
              </w:tabs>
              <w:jc w:val="both"/>
              <w:rPr>
                <w:rFonts w:eastAsia="Times New Roman"/>
                <w:sz w:val="26"/>
                <w:szCs w:val="26"/>
              </w:rPr>
            </w:pPr>
            <w:r w:rsidRPr="000D4F0D">
              <w:rPr>
                <w:sz w:val="26"/>
                <w:szCs w:val="26"/>
              </w:rPr>
              <w:t xml:space="preserve">- Điều 2 quy định đối từng áp dụng gồm ngân hàng thương mại được thành lập và hoạt động theo quy định của Luật TCTD thực hiện các </w:t>
            </w:r>
            <w:r w:rsidRPr="000D4F0D">
              <w:rPr>
                <w:sz w:val="26"/>
                <w:szCs w:val="26"/>
              </w:rPr>
              <w:lastRenderedPageBreak/>
              <w:t>chính sách ưu đãi của nhà nước</w:t>
            </w:r>
          </w:p>
        </w:tc>
        <w:tc>
          <w:tcPr>
            <w:tcW w:w="5420" w:type="dxa"/>
          </w:tcPr>
          <w:p w:rsidR="00631594" w:rsidRPr="000D4F0D" w:rsidRDefault="000D4F0D" w:rsidP="000D4F0D">
            <w:pPr>
              <w:tabs>
                <w:tab w:val="left" w:pos="1290"/>
              </w:tabs>
              <w:rPr>
                <w:rFonts w:eastAsia="Times New Roman"/>
                <w:sz w:val="26"/>
                <w:szCs w:val="26"/>
              </w:rPr>
            </w:pPr>
            <w:r w:rsidRPr="000D4F0D">
              <w:rPr>
                <w:b/>
                <w:bCs/>
                <w:sz w:val="26"/>
                <w:szCs w:val="26"/>
              </w:rPr>
              <w:lastRenderedPageBreak/>
              <w:t>3. Luật Các tổ chức tín dụng số 32/2024/QH15</w:t>
            </w:r>
          </w:p>
        </w:tc>
        <w:tc>
          <w:tcPr>
            <w:tcW w:w="2268" w:type="dxa"/>
          </w:tcPr>
          <w:p w:rsidR="00631594" w:rsidRPr="000D4F0D" w:rsidRDefault="000D4F0D" w:rsidP="000D4F0D">
            <w:pPr>
              <w:tabs>
                <w:tab w:val="left" w:pos="1290"/>
              </w:tabs>
              <w:jc w:val="both"/>
              <w:rPr>
                <w:rFonts w:eastAsia="Times New Roman"/>
                <w:sz w:val="26"/>
                <w:szCs w:val="26"/>
              </w:rPr>
            </w:pPr>
            <w:r w:rsidRPr="000D4F0D">
              <w:rPr>
                <w:sz w:val="26"/>
                <w:szCs w:val="26"/>
              </w:rPr>
              <w:t xml:space="preserve">Dự thảo Nghị định đảm bảo tính hợp pháp, tính thống </w:t>
            </w:r>
            <w:r w:rsidRPr="000D4F0D">
              <w:rPr>
                <w:sz w:val="26"/>
                <w:szCs w:val="26"/>
              </w:rPr>
              <w:lastRenderedPageBreak/>
              <w:t>nhất với quy định của Luật Các tổ chức tín dụng.</w:t>
            </w:r>
          </w:p>
        </w:tc>
        <w:tc>
          <w:tcPr>
            <w:tcW w:w="1842" w:type="dxa"/>
          </w:tcPr>
          <w:p w:rsidR="00631594" w:rsidRPr="000D4F0D" w:rsidRDefault="00631594" w:rsidP="000D4F0D">
            <w:pPr>
              <w:tabs>
                <w:tab w:val="left" w:pos="1290"/>
              </w:tabs>
              <w:jc w:val="both"/>
              <w:rPr>
                <w:rFonts w:eastAsia="Times New Roman"/>
                <w:sz w:val="26"/>
                <w:szCs w:val="26"/>
              </w:rPr>
            </w:pPr>
          </w:p>
        </w:tc>
      </w:tr>
      <w:tr w:rsidR="000D4F0D" w:rsidRPr="000D4F0D" w:rsidTr="00B80CD4">
        <w:tc>
          <w:tcPr>
            <w:tcW w:w="14600" w:type="dxa"/>
            <w:gridSpan w:val="4"/>
          </w:tcPr>
          <w:p w:rsidR="000D4F0D" w:rsidRPr="000D4F0D" w:rsidRDefault="000D4F0D" w:rsidP="000D4F0D">
            <w:pPr>
              <w:tabs>
                <w:tab w:val="left" w:pos="1290"/>
              </w:tabs>
              <w:jc w:val="both"/>
              <w:rPr>
                <w:rFonts w:eastAsia="Times New Roman"/>
                <w:sz w:val="26"/>
                <w:szCs w:val="26"/>
              </w:rPr>
            </w:pPr>
            <w:r w:rsidRPr="000D4F0D">
              <w:rPr>
                <w:b/>
                <w:bCs/>
                <w:sz w:val="26"/>
                <w:szCs w:val="26"/>
                <w:lang w:val="nl-NL"/>
              </w:rPr>
              <w:lastRenderedPageBreak/>
              <w:t>II. Các Nghị định của Chính phủ</w:t>
            </w:r>
          </w:p>
        </w:tc>
      </w:tr>
      <w:tr w:rsidR="000D4F0D" w:rsidRPr="000D4F0D" w:rsidTr="00927643">
        <w:tc>
          <w:tcPr>
            <w:tcW w:w="5070" w:type="dxa"/>
          </w:tcPr>
          <w:p w:rsidR="000D4F0D" w:rsidRPr="000D4F0D" w:rsidRDefault="000D4F0D" w:rsidP="000D4F0D">
            <w:pPr>
              <w:ind w:right="140"/>
              <w:jc w:val="both"/>
              <w:rPr>
                <w:sz w:val="26"/>
                <w:szCs w:val="26"/>
                <w:lang w:val="nl-NL"/>
              </w:rPr>
            </w:pPr>
            <w:r w:rsidRPr="000D4F0D">
              <w:rPr>
                <w:sz w:val="26"/>
                <w:szCs w:val="26"/>
                <w:lang w:val="nl-NL"/>
              </w:rPr>
              <w:t>- Điều 1 quy định về thanh toán, quyết toán vốn ngân sách nhà nước để (sau đây gọi tắt là cấp bù lãi suất) thông qua các ngân hàng thương mại thực hiện các chính sách tín dụng ưu đãi của nhà nước.</w:t>
            </w:r>
          </w:p>
          <w:p w:rsidR="000D4F0D" w:rsidRPr="000D4F0D" w:rsidRDefault="000D4F0D" w:rsidP="000D4F0D">
            <w:pPr>
              <w:ind w:right="140"/>
              <w:jc w:val="both"/>
              <w:rPr>
                <w:sz w:val="26"/>
                <w:szCs w:val="26"/>
                <w:lang w:val="nl-NL"/>
              </w:rPr>
            </w:pPr>
            <w:r w:rsidRPr="000D4F0D">
              <w:rPr>
                <w:sz w:val="26"/>
                <w:szCs w:val="26"/>
                <w:lang w:val="nl-NL"/>
              </w:rPr>
              <w:t xml:space="preserve">- Khoản 2 Điều 4 quy định </w:t>
            </w:r>
            <w:r w:rsidRPr="000D4F0D">
              <w:rPr>
                <w:rFonts w:eastAsia="Cambria"/>
                <w:iCs/>
                <w:sz w:val="26"/>
                <w:szCs w:val="26"/>
              </w:rPr>
              <w:t>Ngân hàng Nhà nước Việt Nam tổng hợp nhu cầu cấp bù lãi suất của các ngân hàng thương mại thực hiện các chính sách tín dụng ưu đãi của nhà nước trong kế hoạch đầu tư công nguồn ngân sách nhà nước trung hạn và hằng năm, lập báo cáo và gửi Bộ Tài chính để tổng hợp, báo cáo cấp có thẩm quyền</w:t>
            </w:r>
          </w:p>
        </w:tc>
        <w:tc>
          <w:tcPr>
            <w:tcW w:w="5420" w:type="dxa"/>
          </w:tcPr>
          <w:p w:rsidR="000D4F0D" w:rsidRPr="000D4F0D" w:rsidRDefault="000D4F0D" w:rsidP="000D4F0D">
            <w:pPr>
              <w:ind w:right="144"/>
              <w:jc w:val="both"/>
              <w:rPr>
                <w:b/>
                <w:bCs/>
                <w:sz w:val="26"/>
                <w:szCs w:val="26"/>
                <w:lang w:val="nl-NL"/>
              </w:rPr>
            </w:pPr>
            <w:r w:rsidRPr="000D4F0D">
              <w:rPr>
                <w:b/>
                <w:bCs/>
                <w:color w:val="000000" w:themeColor="text1"/>
                <w:sz w:val="26"/>
                <w:szCs w:val="26"/>
              </w:rPr>
              <w:t>Nghị định số 85/2025/NĐ-CP ngày 08/4/2025 quy định chi tiết một số điều của Luật Đầu tư công.</w:t>
            </w:r>
          </w:p>
          <w:p w:rsidR="000D4F0D" w:rsidRPr="000D4F0D" w:rsidRDefault="000D4F0D" w:rsidP="000D4F0D">
            <w:pPr>
              <w:tabs>
                <w:tab w:val="left" w:pos="1290"/>
              </w:tabs>
              <w:jc w:val="both"/>
              <w:rPr>
                <w:rFonts w:eastAsia="Times New Roman"/>
                <w:sz w:val="26"/>
                <w:szCs w:val="26"/>
              </w:rPr>
            </w:pPr>
            <w:r w:rsidRPr="000D4F0D">
              <w:rPr>
                <w:sz w:val="26"/>
                <w:szCs w:val="26"/>
                <w:lang w:val="nl-NL"/>
              </w:rPr>
              <w:t xml:space="preserve">- Khoản 1 Điều 39 quy định </w:t>
            </w:r>
            <w:r w:rsidRPr="000D4F0D">
              <w:rPr>
                <w:rFonts w:eastAsia="Cambria"/>
                <w:iCs/>
                <w:sz w:val="26"/>
                <w:szCs w:val="26"/>
              </w:rPr>
              <w:t>“Ngân hàng Nhà nước Việt Nam chịu trách nhiệm tổng hợp nhu cầu cấp bù lãi suất của các ngân hàng thương mại thực hiện các chính sách được cấp có thẩm quyền quyết định trong kế hoạch đầu tư công trung hạn và hằng năm, lập báo cáo và gửi Bộ Tài chính để tổng hợp, báo cáo cấp có thẩm quyền”</w:t>
            </w:r>
          </w:p>
        </w:tc>
        <w:tc>
          <w:tcPr>
            <w:tcW w:w="2268" w:type="dxa"/>
          </w:tcPr>
          <w:p w:rsidR="000D4F0D" w:rsidRPr="000D4F0D" w:rsidRDefault="000D4F0D" w:rsidP="000D4F0D">
            <w:pPr>
              <w:tabs>
                <w:tab w:val="left" w:pos="1290"/>
              </w:tabs>
              <w:jc w:val="both"/>
              <w:rPr>
                <w:rFonts w:eastAsia="Times New Roman"/>
                <w:sz w:val="26"/>
                <w:szCs w:val="26"/>
              </w:rPr>
            </w:pPr>
            <w:r w:rsidRPr="000D4F0D">
              <w:rPr>
                <w:sz w:val="26"/>
                <w:szCs w:val="26"/>
              </w:rPr>
              <w:t>Dự thảo Nghị định đảm bảo thống nhất với quy định tại Nghị định số 85/2025/NĐ-CP.</w:t>
            </w:r>
          </w:p>
        </w:tc>
        <w:tc>
          <w:tcPr>
            <w:tcW w:w="1842" w:type="dxa"/>
          </w:tcPr>
          <w:p w:rsidR="000D4F0D" w:rsidRPr="000D4F0D" w:rsidRDefault="000D4F0D" w:rsidP="000D4F0D">
            <w:pPr>
              <w:tabs>
                <w:tab w:val="left" w:pos="1290"/>
              </w:tabs>
              <w:jc w:val="both"/>
              <w:rPr>
                <w:rFonts w:eastAsia="Times New Roman"/>
                <w:sz w:val="26"/>
                <w:szCs w:val="26"/>
              </w:rPr>
            </w:pPr>
          </w:p>
        </w:tc>
      </w:tr>
    </w:tbl>
    <w:p w:rsidR="00631594" w:rsidRDefault="00631594" w:rsidP="00631594">
      <w:pPr>
        <w:tabs>
          <w:tab w:val="left" w:pos="1290"/>
        </w:tabs>
        <w:spacing w:before="120" w:after="120" w:line="340" w:lineRule="exact"/>
        <w:ind w:firstLine="709"/>
        <w:jc w:val="both"/>
        <w:rPr>
          <w:rFonts w:eastAsia="Times New Roman"/>
          <w:b/>
        </w:rPr>
      </w:pPr>
      <w:r w:rsidRPr="001C4B91">
        <w:rPr>
          <w:rFonts w:eastAsia="Times New Roman"/>
          <w:b/>
        </w:rPr>
        <w:t>3. Điều ước quốc tế có liên quan đến dự thảo Nghị định</w:t>
      </w:r>
    </w:p>
    <w:tbl>
      <w:tblPr>
        <w:tblW w:w="1460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5420"/>
        <w:gridCol w:w="2268"/>
        <w:gridCol w:w="1842"/>
      </w:tblGrid>
      <w:tr w:rsidR="00631594" w:rsidRPr="0058386D" w:rsidTr="00927643">
        <w:tc>
          <w:tcPr>
            <w:tcW w:w="5070" w:type="dxa"/>
            <w:vAlign w:val="center"/>
          </w:tcPr>
          <w:p w:rsidR="00631594" w:rsidRPr="0058386D" w:rsidRDefault="00631594" w:rsidP="00B80CD4">
            <w:pPr>
              <w:tabs>
                <w:tab w:val="left" w:pos="1290"/>
              </w:tabs>
              <w:jc w:val="center"/>
              <w:rPr>
                <w:rFonts w:eastAsia="Times New Roman"/>
                <w:b/>
                <w:sz w:val="24"/>
                <w:szCs w:val="24"/>
              </w:rPr>
            </w:pPr>
            <w:r w:rsidRPr="0058386D">
              <w:rPr>
                <w:rFonts w:eastAsia="Times New Roman"/>
                <w:b/>
                <w:sz w:val="24"/>
                <w:szCs w:val="24"/>
              </w:rPr>
              <w:t>QUY ĐỊNH CỦA DỰ THẢO NGHỊ ĐỊNH</w:t>
            </w:r>
          </w:p>
        </w:tc>
        <w:tc>
          <w:tcPr>
            <w:tcW w:w="5420" w:type="dxa"/>
            <w:vAlign w:val="center"/>
          </w:tcPr>
          <w:p w:rsidR="00631594" w:rsidRPr="0058386D" w:rsidRDefault="00631594" w:rsidP="00B80CD4">
            <w:pPr>
              <w:tabs>
                <w:tab w:val="left" w:pos="1290"/>
              </w:tabs>
              <w:jc w:val="center"/>
              <w:rPr>
                <w:rFonts w:eastAsia="Times New Roman"/>
                <w:b/>
                <w:sz w:val="24"/>
                <w:szCs w:val="24"/>
              </w:rPr>
            </w:pPr>
            <w:r w:rsidRPr="0058386D">
              <w:rPr>
                <w:rFonts w:eastAsia="Times New Roman"/>
                <w:b/>
                <w:sz w:val="24"/>
                <w:szCs w:val="24"/>
              </w:rPr>
              <w:t>QUY ĐỊNH CỦA ĐIỀU ƯỚC QUỐC TẾ CÓ LIÊN QUAN</w:t>
            </w:r>
          </w:p>
        </w:tc>
        <w:tc>
          <w:tcPr>
            <w:tcW w:w="2268" w:type="dxa"/>
            <w:vAlign w:val="center"/>
          </w:tcPr>
          <w:p w:rsidR="00631594" w:rsidRDefault="00631594" w:rsidP="00B80CD4">
            <w:pPr>
              <w:tabs>
                <w:tab w:val="left" w:pos="1290"/>
              </w:tabs>
              <w:jc w:val="center"/>
              <w:rPr>
                <w:rFonts w:eastAsia="Times New Roman"/>
                <w:b/>
                <w:sz w:val="24"/>
                <w:szCs w:val="24"/>
              </w:rPr>
            </w:pPr>
            <w:r w:rsidRPr="0058386D">
              <w:rPr>
                <w:rFonts w:eastAsia="Times New Roman"/>
                <w:b/>
                <w:sz w:val="24"/>
                <w:szCs w:val="24"/>
              </w:rPr>
              <w:t>ĐÁNH GIÁ</w:t>
            </w:r>
          </w:p>
          <w:p w:rsidR="005C175F" w:rsidRPr="0058386D" w:rsidRDefault="005C175F" w:rsidP="00B80CD4">
            <w:pPr>
              <w:tabs>
                <w:tab w:val="left" w:pos="1290"/>
              </w:tabs>
              <w:jc w:val="center"/>
              <w:rPr>
                <w:rFonts w:eastAsia="Times New Roman"/>
                <w:b/>
                <w:sz w:val="24"/>
                <w:szCs w:val="24"/>
              </w:rPr>
            </w:pPr>
            <w:r>
              <w:rPr>
                <w:rFonts w:eastAsia="Times New Roman"/>
                <w:b/>
                <w:sz w:val="24"/>
                <w:szCs w:val="24"/>
              </w:rPr>
              <w:t>(Tính tương  thích)</w:t>
            </w:r>
          </w:p>
        </w:tc>
        <w:tc>
          <w:tcPr>
            <w:tcW w:w="1842" w:type="dxa"/>
            <w:vAlign w:val="center"/>
          </w:tcPr>
          <w:p w:rsidR="00234066" w:rsidRDefault="00631594" w:rsidP="00B80CD4">
            <w:pPr>
              <w:tabs>
                <w:tab w:val="left" w:pos="1290"/>
              </w:tabs>
              <w:jc w:val="center"/>
              <w:rPr>
                <w:rFonts w:eastAsia="Times New Roman"/>
                <w:b/>
                <w:sz w:val="24"/>
                <w:szCs w:val="24"/>
              </w:rPr>
            </w:pPr>
            <w:r w:rsidRPr="0058386D">
              <w:rPr>
                <w:rFonts w:eastAsia="Times New Roman"/>
                <w:b/>
                <w:sz w:val="24"/>
                <w:szCs w:val="24"/>
              </w:rPr>
              <w:t xml:space="preserve">ĐỀ XUẤT </w:t>
            </w:r>
          </w:p>
          <w:p w:rsidR="00631594" w:rsidRPr="0058386D" w:rsidRDefault="00631594" w:rsidP="00B80CD4">
            <w:pPr>
              <w:tabs>
                <w:tab w:val="left" w:pos="1290"/>
              </w:tabs>
              <w:jc w:val="center"/>
              <w:rPr>
                <w:rFonts w:eastAsia="Times New Roman"/>
                <w:b/>
                <w:sz w:val="24"/>
                <w:szCs w:val="24"/>
              </w:rPr>
            </w:pPr>
            <w:r w:rsidRPr="0058386D">
              <w:rPr>
                <w:rFonts w:eastAsia="Times New Roman"/>
                <w:b/>
                <w:sz w:val="24"/>
                <w:szCs w:val="24"/>
              </w:rPr>
              <w:t>XỬ LÝ</w:t>
            </w:r>
          </w:p>
        </w:tc>
      </w:tr>
      <w:tr w:rsidR="00631594" w:rsidRPr="0058386D" w:rsidTr="00927643">
        <w:tc>
          <w:tcPr>
            <w:tcW w:w="5070" w:type="dxa"/>
          </w:tcPr>
          <w:p w:rsidR="00631594" w:rsidRPr="0058386D" w:rsidRDefault="00631594" w:rsidP="00B80CD4">
            <w:pPr>
              <w:tabs>
                <w:tab w:val="left" w:pos="1290"/>
              </w:tabs>
              <w:jc w:val="both"/>
              <w:rPr>
                <w:rFonts w:eastAsia="Times New Roman"/>
              </w:rPr>
            </w:pPr>
          </w:p>
        </w:tc>
        <w:tc>
          <w:tcPr>
            <w:tcW w:w="5420" w:type="dxa"/>
          </w:tcPr>
          <w:p w:rsidR="00631594" w:rsidRPr="0058386D" w:rsidRDefault="00631594" w:rsidP="00B80CD4">
            <w:pPr>
              <w:tabs>
                <w:tab w:val="left" w:pos="1290"/>
              </w:tabs>
              <w:jc w:val="both"/>
              <w:rPr>
                <w:rFonts w:eastAsia="Times New Roman"/>
              </w:rPr>
            </w:pPr>
          </w:p>
        </w:tc>
        <w:tc>
          <w:tcPr>
            <w:tcW w:w="2268" w:type="dxa"/>
          </w:tcPr>
          <w:p w:rsidR="00631594" w:rsidRPr="0058386D" w:rsidRDefault="00631594" w:rsidP="00B80CD4">
            <w:pPr>
              <w:tabs>
                <w:tab w:val="left" w:pos="1290"/>
              </w:tabs>
              <w:jc w:val="both"/>
              <w:rPr>
                <w:rFonts w:eastAsia="Times New Roman"/>
              </w:rPr>
            </w:pPr>
          </w:p>
        </w:tc>
        <w:tc>
          <w:tcPr>
            <w:tcW w:w="1842" w:type="dxa"/>
          </w:tcPr>
          <w:p w:rsidR="00631594" w:rsidRPr="0058386D" w:rsidRDefault="00631594" w:rsidP="00B80CD4">
            <w:pPr>
              <w:tabs>
                <w:tab w:val="left" w:pos="1290"/>
              </w:tabs>
              <w:jc w:val="both"/>
              <w:rPr>
                <w:rFonts w:eastAsia="Times New Roman"/>
              </w:rPr>
            </w:pPr>
          </w:p>
        </w:tc>
      </w:tr>
      <w:tr w:rsidR="00631594" w:rsidRPr="0058386D" w:rsidTr="00927643">
        <w:tc>
          <w:tcPr>
            <w:tcW w:w="5070" w:type="dxa"/>
          </w:tcPr>
          <w:p w:rsidR="00631594" w:rsidRPr="0058386D" w:rsidRDefault="00631594" w:rsidP="00B80CD4">
            <w:pPr>
              <w:tabs>
                <w:tab w:val="left" w:pos="1290"/>
              </w:tabs>
              <w:jc w:val="both"/>
              <w:rPr>
                <w:rFonts w:eastAsia="Times New Roman"/>
              </w:rPr>
            </w:pPr>
          </w:p>
        </w:tc>
        <w:tc>
          <w:tcPr>
            <w:tcW w:w="5420" w:type="dxa"/>
          </w:tcPr>
          <w:p w:rsidR="00631594" w:rsidRPr="0058386D" w:rsidRDefault="00631594" w:rsidP="00B80CD4">
            <w:pPr>
              <w:tabs>
                <w:tab w:val="left" w:pos="1290"/>
              </w:tabs>
              <w:jc w:val="both"/>
              <w:rPr>
                <w:rFonts w:eastAsia="Times New Roman"/>
              </w:rPr>
            </w:pPr>
          </w:p>
        </w:tc>
        <w:tc>
          <w:tcPr>
            <w:tcW w:w="2268" w:type="dxa"/>
          </w:tcPr>
          <w:p w:rsidR="00631594" w:rsidRPr="0058386D" w:rsidRDefault="00631594" w:rsidP="00B80CD4">
            <w:pPr>
              <w:tabs>
                <w:tab w:val="left" w:pos="1290"/>
              </w:tabs>
              <w:jc w:val="both"/>
              <w:rPr>
                <w:rFonts w:eastAsia="Times New Roman"/>
              </w:rPr>
            </w:pPr>
          </w:p>
        </w:tc>
        <w:tc>
          <w:tcPr>
            <w:tcW w:w="1842" w:type="dxa"/>
          </w:tcPr>
          <w:p w:rsidR="00631594" w:rsidRPr="0058386D" w:rsidRDefault="00631594" w:rsidP="00B80CD4">
            <w:pPr>
              <w:tabs>
                <w:tab w:val="left" w:pos="1290"/>
              </w:tabs>
              <w:jc w:val="both"/>
              <w:rPr>
                <w:rFonts w:eastAsia="Times New Roman"/>
              </w:rPr>
            </w:pPr>
          </w:p>
        </w:tc>
      </w:tr>
    </w:tbl>
    <w:p w:rsidR="004E6E4E" w:rsidRDefault="004E6E4E" w:rsidP="00997657">
      <w:pPr>
        <w:spacing w:before="120" w:after="120" w:line="340" w:lineRule="exact"/>
        <w:ind w:firstLine="720"/>
        <w:jc w:val="both"/>
      </w:pPr>
    </w:p>
    <w:p w:rsidR="00836469" w:rsidRDefault="00836469" w:rsidP="00997657">
      <w:pPr>
        <w:spacing w:before="120" w:after="120" w:line="340" w:lineRule="exact"/>
        <w:ind w:firstLine="720"/>
        <w:jc w:val="both"/>
      </w:pPr>
    </w:p>
    <w:sectPr w:rsidR="00836469" w:rsidSect="00B80CD4">
      <w:pgSz w:w="16840" w:h="11907" w:orient="landscape" w:code="9"/>
      <w:pgMar w:top="1135" w:right="1134" w:bottom="1134" w:left="1134" w:header="720" w:footer="34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CD4" w:rsidRDefault="00B80CD4" w:rsidP="002D504F">
      <w:r>
        <w:separator/>
      </w:r>
    </w:p>
  </w:endnote>
  <w:endnote w:type="continuationSeparator" w:id="1">
    <w:p w:rsidR="00B80CD4" w:rsidRDefault="00B80CD4" w:rsidP="002D50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CD4" w:rsidRDefault="00B80CD4" w:rsidP="002D504F">
      <w:r>
        <w:separator/>
      </w:r>
    </w:p>
  </w:footnote>
  <w:footnote w:type="continuationSeparator" w:id="1">
    <w:p w:rsidR="00B80CD4" w:rsidRDefault="00B80CD4" w:rsidP="002D5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CD4" w:rsidRPr="006E0FB2" w:rsidRDefault="0094613C" w:rsidP="006E0FB2">
    <w:pPr>
      <w:pStyle w:val="Header"/>
      <w:jc w:val="center"/>
      <w:rPr>
        <w:sz w:val="24"/>
        <w:szCs w:val="24"/>
      </w:rPr>
    </w:pPr>
    <w:r w:rsidRPr="006E0FB2">
      <w:rPr>
        <w:sz w:val="24"/>
        <w:szCs w:val="24"/>
      </w:rPr>
      <w:fldChar w:fldCharType="begin"/>
    </w:r>
    <w:r w:rsidR="00B80CD4" w:rsidRPr="006E0FB2">
      <w:rPr>
        <w:sz w:val="24"/>
        <w:szCs w:val="24"/>
      </w:rPr>
      <w:instrText xml:space="preserve"> PAGE  \* Arabic  \* MERGEFORMAT </w:instrText>
    </w:r>
    <w:r w:rsidRPr="006E0FB2">
      <w:rPr>
        <w:sz w:val="24"/>
        <w:szCs w:val="24"/>
      </w:rPr>
      <w:fldChar w:fldCharType="separate"/>
    </w:r>
    <w:r w:rsidR="009702A3">
      <w:rPr>
        <w:noProof/>
        <w:sz w:val="24"/>
        <w:szCs w:val="24"/>
      </w:rPr>
      <w:t>11</w:t>
    </w:r>
    <w:r w:rsidRPr="006E0FB2">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77FA"/>
    <w:multiLevelType w:val="hybridMultilevel"/>
    <w:tmpl w:val="40D0D9F0"/>
    <w:lvl w:ilvl="0" w:tplc="13C24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867C3C"/>
    <w:multiLevelType w:val="hybridMultilevel"/>
    <w:tmpl w:val="ADEE00AE"/>
    <w:lvl w:ilvl="0" w:tplc="86D03B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C7F4C"/>
    <w:multiLevelType w:val="hybridMultilevel"/>
    <w:tmpl w:val="D9C4D328"/>
    <w:lvl w:ilvl="0" w:tplc="450417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0737F3"/>
    <w:multiLevelType w:val="hybridMultilevel"/>
    <w:tmpl w:val="599AC6CE"/>
    <w:lvl w:ilvl="0" w:tplc="F5F8C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B74DAD"/>
    <w:multiLevelType w:val="hybridMultilevel"/>
    <w:tmpl w:val="91945796"/>
    <w:lvl w:ilvl="0" w:tplc="0A48BB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EC2408"/>
    <w:multiLevelType w:val="hybridMultilevel"/>
    <w:tmpl w:val="28AA8C50"/>
    <w:lvl w:ilvl="0" w:tplc="C89EFEF2">
      <w:start w:val="2"/>
      <w:numFmt w:val="bullet"/>
      <w:lvlText w:val="-"/>
      <w:lvlJc w:val="left"/>
      <w:pPr>
        <w:tabs>
          <w:tab w:val="num" w:pos="1605"/>
        </w:tabs>
        <w:ind w:left="1605" w:hanging="885"/>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0D26FE8"/>
    <w:multiLevelType w:val="hybridMultilevel"/>
    <w:tmpl w:val="5A20D534"/>
    <w:lvl w:ilvl="0" w:tplc="2D44173A">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4877493F"/>
    <w:multiLevelType w:val="hybridMultilevel"/>
    <w:tmpl w:val="A8565A62"/>
    <w:lvl w:ilvl="0" w:tplc="021C507A">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5F41B6"/>
    <w:multiLevelType w:val="hybridMultilevel"/>
    <w:tmpl w:val="892278B2"/>
    <w:lvl w:ilvl="0" w:tplc="6DB892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324263"/>
    <w:multiLevelType w:val="hybridMultilevel"/>
    <w:tmpl w:val="55481AB4"/>
    <w:lvl w:ilvl="0" w:tplc="F880DD5A">
      <w:numFmt w:val="bullet"/>
      <w:lvlText w:val="-"/>
      <w:lvlJc w:val="left"/>
      <w:pPr>
        <w:tabs>
          <w:tab w:val="num" w:pos="1620"/>
        </w:tabs>
        <w:ind w:left="1620" w:hanging="90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1477857"/>
    <w:multiLevelType w:val="hybridMultilevel"/>
    <w:tmpl w:val="60C49ABE"/>
    <w:lvl w:ilvl="0" w:tplc="1F6E1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D77B94"/>
    <w:multiLevelType w:val="hybridMultilevel"/>
    <w:tmpl w:val="3B827B4C"/>
    <w:lvl w:ilvl="0" w:tplc="772C5236">
      <w:start w:val="1"/>
      <w:numFmt w:val="upperRoman"/>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1"/>
  </w:num>
  <w:num w:numId="3">
    <w:abstractNumId w:val="8"/>
  </w:num>
  <w:num w:numId="4">
    <w:abstractNumId w:val="3"/>
  </w:num>
  <w:num w:numId="5">
    <w:abstractNumId w:val="4"/>
  </w:num>
  <w:num w:numId="6">
    <w:abstractNumId w:val="0"/>
  </w:num>
  <w:num w:numId="7">
    <w:abstractNumId w:val="7"/>
  </w:num>
  <w:num w:numId="8">
    <w:abstractNumId w:val="2"/>
  </w:num>
  <w:num w:numId="9">
    <w:abstractNumId w:val="9"/>
  </w:num>
  <w:num w:numId="10">
    <w:abstractNumId w:val="5"/>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revisionView w:markup="0"/>
  <w:defaultTabStop w:val="720"/>
  <w:drawingGridHorizontalSpacing w:val="140"/>
  <w:displayHorizontalDrawingGridEvery w:val="2"/>
  <w:displayVerticalDrawingGridEvery w:val="2"/>
  <w:characterSpacingControl w:val="doNotCompress"/>
  <w:hdrShapeDefaults>
    <o:shapedefaults v:ext="edit" spidmax="2051"/>
  </w:hdrShapeDefaults>
  <w:footnotePr>
    <w:footnote w:id="0"/>
    <w:footnote w:id="1"/>
  </w:footnotePr>
  <w:endnotePr>
    <w:endnote w:id="0"/>
    <w:endnote w:id="1"/>
  </w:endnotePr>
  <w:compat/>
  <w:rsids>
    <w:rsidRoot w:val="009C0D6F"/>
    <w:rsid w:val="00001EF0"/>
    <w:rsid w:val="00004A62"/>
    <w:rsid w:val="00005BD1"/>
    <w:rsid w:val="00011553"/>
    <w:rsid w:val="00011FDD"/>
    <w:rsid w:val="00012615"/>
    <w:rsid w:val="000135DE"/>
    <w:rsid w:val="00015355"/>
    <w:rsid w:val="00015D9C"/>
    <w:rsid w:val="000178BF"/>
    <w:rsid w:val="00023198"/>
    <w:rsid w:val="0002451C"/>
    <w:rsid w:val="00026C9C"/>
    <w:rsid w:val="00031091"/>
    <w:rsid w:val="0003181E"/>
    <w:rsid w:val="0003285F"/>
    <w:rsid w:val="00034DA0"/>
    <w:rsid w:val="00035869"/>
    <w:rsid w:val="000412CF"/>
    <w:rsid w:val="00045185"/>
    <w:rsid w:val="00045AD5"/>
    <w:rsid w:val="000465F7"/>
    <w:rsid w:val="00047805"/>
    <w:rsid w:val="0005097E"/>
    <w:rsid w:val="00053BC7"/>
    <w:rsid w:val="000543F8"/>
    <w:rsid w:val="00054C76"/>
    <w:rsid w:val="0006271A"/>
    <w:rsid w:val="00062B1C"/>
    <w:rsid w:val="0006398A"/>
    <w:rsid w:val="00063AB5"/>
    <w:rsid w:val="00067ACC"/>
    <w:rsid w:val="000709C2"/>
    <w:rsid w:val="00075052"/>
    <w:rsid w:val="00075395"/>
    <w:rsid w:val="0007584D"/>
    <w:rsid w:val="00080C52"/>
    <w:rsid w:val="0008191F"/>
    <w:rsid w:val="00083102"/>
    <w:rsid w:val="0008373B"/>
    <w:rsid w:val="00084DFD"/>
    <w:rsid w:val="00085AA7"/>
    <w:rsid w:val="00091C55"/>
    <w:rsid w:val="00097448"/>
    <w:rsid w:val="000A1232"/>
    <w:rsid w:val="000A25C3"/>
    <w:rsid w:val="000A3286"/>
    <w:rsid w:val="000A789C"/>
    <w:rsid w:val="000A7CAC"/>
    <w:rsid w:val="000B0710"/>
    <w:rsid w:val="000B1447"/>
    <w:rsid w:val="000B227A"/>
    <w:rsid w:val="000B2E44"/>
    <w:rsid w:val="000B563A"/>
    <w:rsid w:val="000B6AFD"/>
    <w:rsid w:val="000C032F"/>
    <w:rsid w:val="000C2BF7"/>
    <w:rsid w:val="000C3A24"/>
    <w:rsid w:val="000C6B86"/>
    <w:rsid w:val="000C6FA7"/>
    <w:rsid w:val="000D2932"/>
    <w:rsid w:val="000D352E"/>
    <w:rsid w:val="000D4F0D"/>
    <w:rsid w:val="000D4F65"/>
    <w:rsid w:val="000D531F"/>
    <w:rsid w:val="000D560C"/>
    <w:rsid w:val="000D792E"/>
    <w:rsid w:val="000E018B"/>
    <w:rsid w:val="000E18B6"/>
    <w:rsid w:val="000E23CC"/>
    <w:rsid w:val="000E282C"/>
    <w:rsid w:val="000E29C0"/>
    <w:rsid w:val="000E36F5"/>
    <w:rsid w:val="000E4702"/>
    <w:rsid w:val="000E50CE"/>
    <w:rsid w:val="000E5DE7"/>
    <w:rsid w:val="000E78F9"/>
    <w:rsid w:val="000F0F34"/>
    <w:rsid w:val="000F3026"/>
    <w:rsid w:val="000F3AD1"/>
    <w:rsid w:val="000F51E4"/>
    <w:rsid w:val="000F797C"/>
    <w:rsid w:val="00100903"/>
    <w:rsid w:val="00101AE1"/>
    <w:rsid w:val="00102B66"/>
    <w:rsid w:val="001030CF"/>
    <w:rsid w:val="00103BE4"/>
    <w:rsid w:val="00105B63"/>
    <w:rsid w:val="00111905"/>
    <w:rsid w:val="00112167"/>
    <w:rsid w:val="001131AF"/>
    <w:rsid w:val="00113627"/>
    <w:rsid w:val="00115F8A"/>
    <w:rsid w:val="00117978"/>
    <w:rsid w:val="0012237A"/>
    <w:rsid w:val="0012322A"/>
    <w:rsid w:val="00123AB4"/>
    <w:rsid w:val="00126847"/>
    <w:rsid w:val="00131831"/>
    <w:rsid w:val="00134F1E"/>
    <w:rsid w:val="0013556E"/>
    <w:rsid w:val="0013599F"/>
    <w:rsid w:val="00137E15"/>
    <w:rsid w:val="00141279"/>
    <w:rsid w:val="001426A0"/>
    <w:rsid w:val="00144938"/>
    <w:rsid w:val="00145D0A"/>
    <w:rsid w:val="0014768F"/>
    <w:rsid w:val="00150D84"/>
    <w:rsid w:val="001531CE"/>
    <w:rsid w:val="00153EB2"/>
    <w:rsid w:val="00155EC4"/>
    <w:rsid w:val="00161D73"/>
    <w:rsid w:val="00165C86"/>
    <w:rsid w:val="00165F62"/>
    <w:rsid w:val="00166DC5"/>
    <w:rsid w:val="001673EA"/>
    <w:rsid w:val="00170442"/>
    <w:rsid w:val="00170EA6"/>
    <w:rsid w:val="001734DF"/>
    <w:rsid w:val="0017474C"/>
    <w:rsid w:val="00174FBD"/>
    <w:rsid w:val="0017684D"/>
    <w:rsid w:val="00177B87"/>
    <w:rsid w:val="00180FF2"/>
    <w:rsid w:val="001813EC"/>
    <w:rsid w:val="00182149"/>
    <w:rsid w:val="00183EDB"/>
    <w:rsid w:val="001846C3"/>
    <w:rsid w:val="001847C3"/>
    <w:rsid w:val="00185AC9"/>
    <w:rsid w:val="00190055"/>
    <w:rsid w:val="001903DB"/>
    <w:rsid w:val="0019094B"/>
    <w:rsid w:val="001932A1"/>
    <w:rsid w:val="00193505"/>
    <w:rsid w:val="00193944"/>
    <w:rsid w:val="00196A52"/>
    <w:rsid w:val="001971EB"/>
    <w:rsid w:val="00197214"/>
    <w:rsid w:val="0019774A"/>
    <w:rsid w:val="001A025F"/>
    <w:rsid w:val="001A033E"/>
    <w:rsid w:val="001A1A0B"/>
    <w:rsid w:val="001A22D9"/>
    <w:rsid w:val="001A31A5"/>
    <w:rsid w:val="001A4AEF"/>
    <w:rsid w:val="001A4C66"/>
    <w:rsid w:val="001A683F"/>
    <w:rsid w:val="001A6A8B"/>
    <w:rsid w:val="001A6B21"/>
    <w:rsid w:val="001B1246"/>
    <w:rsid w:val="001B369D"/>
    <w:rsid w:val="001B460F"/>
    <w:rsid w:val="001B53D1"/>
    <w:rsid w:val="001B6A42"/>
    <w:rsid w:val="001C0102"/>
    <w:rsid w:val="001C1720"/>
    <w:rsid w:val="001C1E26"/>
    <w:rsid w:val="001C2910"/>
    <w:rsid w:val="001C3378"/>
    <w:rsid w:val="001D006E"/>
    <w:rsid w:val="001D2D46"/>
    <w:rsid w:val="001D3B77"/>
    <w:rsid w:val="001D3C4C"/>
    <w:rsid w:val="001D4CB3"/>
    <w:rsid w:val="001D647C"/>
    <w:rsid w:val="001D655C"/>
    <w:rsid w:val="001D7B48"/>
    <w:rsid w:val="001E1970"/>
    <w:rsid w:val="001E40B9"/>
    <w:rsid w:val="001E4434"/>
    <w:rsid w:val="001E4D17"/>
    <w:rsid w:val="001F0EF9"/>
    <w:rsid w:val="001F19D2"/>
    <w:rsid w:val="001F4249"/>
    <w:rsid w:val="001F53AE"/>
    <w:rsid w:val="001F7B09"/>
    <w:rsid w:val="0020296C"/>
    <w:rsid w:val="00203DE9"/>
    <w:rsid w:val="00204289"/>
    <w:rsid w:val="00204C52"/>
    <w:rsid w:val="00204D4B"/>
    <w:rsid w:val="00205F19"/>
    <w:rsid w:val="00206D60"/>
    <w:rsid w:val="002079C9"/>
    <w:rsid w:val="00213FB7"/>
    <w:rsid w:val="002150ED"/>
    <w:rsid w:val="00216BF3"/>
    <w:rsid w:val="00216CE7"/>
    <w:rsid w:val="00217AD7"/>
    <w:rsid w:val="00221832"/>
    <w:rsid w:val="00223861"/>
    <w:rsid w:val="00225BE2"/>
    <w:rsid w:val="002269EF"/>
    <w:rsid w:val="00227371"/>
    <w:rsid w:val="00234066"/>
    <w:rsid w:val="00236EDA"/>
    <w:rsid w:val="002376DE"/>
    <w:rsid w:val="00240612"/>
    <w:rsid w:val="00241589"/>
    <w:rsid w:val="002419BF"/>
    <w:rsid w:val="00241E9B"/>
    <w:rsid w:val="00243282"/>
    <w:rsid w:val="0024386A"/>
    <w:rsid w:val="0024476E"/>
    <w:rsid w:val="00244D74"/>
    <w:rsid w:val="00245E74"/>
    <w:rsid w:val="00250CB3"/>
    <w:rsid w:val="002527F1"/>
    <w:rsid w:val="002535CE"/>
    <w:rsid w:val="00253DAC"/>
    <w:rsid w:val="00253F40"/>
    <w:rsid w:val="002552D9"/>
    <w:rsid w:val="00256C5C"/>
    <w:rsid w:val="002574C6"/>
    <w:rsid w:val="00257512"/>
    <w:rsid w:val="00261831"/>
    <w:rsid w:val="00261FEB"/>
    <w:rsid w:val="00263B32"/>
    <w:rsid w:val="002650B1"/>
    <w:rsid w:val="00272458"/>
    <w:rsid w:val="002725D5"/>
    <w:rsid w:val="00273D47"/>
    <w:rsid w:val="00280EEC"/>
    <w:rsid w:val="002859E6"/>
    <w:rsid w:val="002866D1"/>
    <w:rsid w:val="00287F86"/>
    <w:rsid w:val="0029081A"/>
    <w:rsid w:val="00292D27"/>
    <w:rsid w:val="00293534"/>
    <w:rsid w:val="002941AF"/>
    <w:rsid w:val="00295B2C"/>
    <w:rsid w:val="00295F2F"/>
    <w:rsid w:val="002961D7"/>
    <w:rsid w:val="002A378E"/>
    <w:rsid w:val="002B6336"/>
    <w:rsid w:val="002B716E"/>
    <w:rsid w:val="002C0852"/>
    <w:rsid w:val="002C60FD"/>
    <w:rsid w:val="002D046B"/>
    <w:rsid w:val="002D2D85"/>
    <w:rsid w:val="002D3503"/>
    <w:rsid w:val="002D504F"/>
    <w:rsid w:val="002D6522"/>
    <w:rsid w:val="002E129C"/>
    <w:rsid w:val="002E1DF7"/>
    <w:rsid w:val="002E3C45"/>
    <w:rsid w:val="002E500C"/>
    <w:rsid w:val="002F35B2"/>
    <w:rsid w:val="002F393B"/>
    <w:rsid w:val="00300403"/>
    <w:rsid w:val="00300947"/>
    <w:rsid w:val="00301157"/>
    <w:rsid w:val="00304346"/>
    <w:rsid w:val="00304951"/>
    <w:rsid w:val="00304F5A"/>
    <w:rsid w:val="003051F7"/>
    <w:rsid w:val="0030614E"/>
    <w:rsid w:val="00314BB3"/>
    <w:rsid w:val="00315ADF"/>
    <w:rsid w:val="003161A0"/>
    <w:rsid w:val="00320BBA"/>
    <w:rsid w:val="00321BBE"/>
    <w:rsid w:val="00323CE9"/>
    <w:rsid w:val="00324420"/>
    <w:rsid w:val="00324A2B"/>
    <w:rsid w:val="003257D7"/>
    <w:rsid w:val="00325999"/>
    <w:rsid w:val="00327785"/>
    <w:rsid w:val="00330557"/>
    <w:rsid w:val="003314D7"/>
    <w:rsid w:val="0033286D"/>
    <w:rsid w:val="00332F85"/>
    <w:rsid w:val="003332D5"/>
    <w:rsid w:val="00333B32"/>
    <w:rsid w:val="00337773"/>
    <w:rsid w:val="003419B6"/>
    <w:rsid w:val="003435A4"/>
    <w:rsid w:val="003452F5"/>
    <w:rsid w:val="00345D56"/>
    <w:rsid w:val="00351D01"/>
    <w:rsid w:val="00353CC7"/>
    <w:rsid w:val="003544BA"/>
    <w:rsid w:val="0035486A"/>
    <w:rsid w:val="00355CE8"/>
    <w:rsid w:val="00356E5D"/>
    <w:rsid w:val="003571F1"/>
    <w:rsid w:val="0035763A"/>
    <w:rsid w:val="003579B7"/>
    <w:rsid w:val="003609DB"/>
    <w:rsid w:val="00360D24"/>
    <w:rsid w:val="00361107"/>
    <w:rsid w:val="003618FD"/>
    <w:rsid w:val="003637B4"/>
    <w:rsid w:val="00363D1D"/>
    <w:rsid w:val="00366CDF"/>
    <w:rsid w:val="00367E2C"/>
    <w:rsid w:val="003709F7"/>
    <w:rsid w:val="00370A11"/>
    <w:rsid w:val="00373E53"/>
    <w:rsid w:val="003750E5"/>
    <w:rsid w:val="00376432"/>
    <w:rsid w:val="00377224"/>
    <w:rsid w:val="003812A2"/>
    <w:rsid w:val="00381797"/>
    <w:rsid w:val="00382652"/>
    <w:rsid w:val="003830C9"/>
    <w:rsid w:val="003850EA"/>
    <w:rsid w:val="003850FC"/>
    <w:rsid w:val="00386096"/>
    <w:rsid w:val="00386165"/>
    <w:rsid w:val="003868B4"/>
    <w:rsid w:val="0038783B"/>
    <w:rsid w:val="0039114F"/>
    <w:rsid w:val="003915E1"/>
    <w:rsid w:val="00391E98"/>
    <w:rsid w:val="0039247C"/>
    <w:rsid w:val="00394B39"/>
    <w:rsid w:val="00395291"/>
    <w:rsid w:val="00397B76"/>
    <w:rsid w:val="003A092B"/>
    <w:rsid w:val="003A3E32"/>
    <w:rsid w:val="003A4D0B"/>
    <w:rsid w:val="003A78E8"/>
    <w:rsid w:val="003B14B3"/>
    <w:rsid w:val="003B1CB9"/>
    <w:rsid w:val="003B51BD"/>
    <w:rsid w:val="003B7FF6"/>
    <w:rsid w:val="003C1A39"/>
    <w:rsid w:val="003C1D9B"/>
    <w:rsid w:val="003C2487"/>
    <w:rsid w:val="003C32AB"/>
    <w:rsid w:val="003C3967"/>
    <w:rsid w:val="003C5715"/>
    <w:rsid w:val="003C5CB4"/>
    <w:rsid w:val="003C77D7"/>
    <w:rsid w:val="003D0917"/>
    <w:rsid w:val="003D1512"/>
    <w:rsid w:val="003D156F"/>
    <w:rsid w:val="003D301A"/>
    <w:rsid w:val="003D53CD"/>
    <w:rsid w:val="003E2F1B"/>
    <w:rsid w:val="003E4073"/>
    <w:rsid w:val="003E5DA2"/>
    <w:rsid w:val="003E638C"/>
    <w:rsid w:val="003E7601"/>
    <w:rsid w:val="003F1C37"/>
    <w:rsid w:val="003F372A"/>
    <w:rsid w:val="003F5251"/>
    <w:rsid w:val="003F5F27"/>
    <w:rsid w:val="003F65A3"/>
    <w:rsid w:val="003F67C5"/>
    <w:rsid w:val="003F6A07"/>
    <w:rsid w:val="003F7085"/>
    <w:rsid w:val="003F7265"/>
    <w:rsid w:val="0040321F"/>
    <w:rsid w:val="004040DB"/>
    <w:rsid w:val="00407837"/>
    <w:rsid w:val="00411B9F"/>
    <w:rsid w:val="00422030"/>
    <w:rsid w:val="004252A0"/>
    <w:rsid w:val="004253C2"/>
    <w:rsid w:val="00426622"/>
    <w:rsid w:val="00426A4A"/>
    <w:rsid w:val="0042782F"/>
    <w:rsid w:val="00427E9A"/>
    <w:rsid w:val="00432445"/>
    <w:rsid w:val="00435084"/>
    <w:rsid w:val="0043586F"/>
    <w:rsid w:val="00435D9E"/>
    <w:rsid w:val="00437672"/>
    <w:rsid w:val="0043784D"/>
    <w:rsid w:val="00440701"/>
    <w:rsid w:val="00443681"/>
    <w:rsid w:val="004449E4"/>
    <w:rsid w:val="004458DA"/>
    <w:rsid w:val="00445FCA"/>
    <w:rsid w:val="00446343"/>
    <w:rsid w:val="0044651D"/>
    <w:rsid w:val="004465C5"/>
    <w:rsid w:val="0045106B"/>
    <w:rsid w:val="004520E8"/>
    <w:rsid w:val="004532EF"/>
    <w:rsid w:val="004545CD"/>
    <w:rsid w:val="00454CF8"/>
    <w:rsid w:val="00456F2B"/>
    <w:rsid w:val="00457662"/>
    <w:rsid w:val="004607B6"/>
    <w:rsid w:val="0046190E"/>
    <w:rsid w:val="00464C45"/>
    <w:rsid w:val="0046568F"/>
    <w:rsid w:val="00465A7F"/>
    <w:rsid w:val="00465D20"/>
    <w:rsid w:val="00467885"/>
    <w:rsid w:val="0047024C"/>
    <w:rsid w:val="00472B29"/>
    <w:rsid w:val="0047466C"/>
    <w:rsid w:val="00476E91"/>
    <w:rsid w:val="004831E9"/>
    <w:rsid w:val="004833D1"/>
    <w:rsid w:val="004834F8"/>
    <w:rsid w:val="0049151A"/>
    <w:rsid w:val="004937D9"/>
    <w:rsid w:val="00494F38"/>
    <w:rsid w:val="004A028B"/>
    <w:rsid w:val="004A07BD"/>
    <w:rsid w:val="004A2BCE"/>
    <w:rsid w:val="004A3352"/>
    <w:rsid w:val="004A473F"/>
    <w:rsid w:val="004A547E"/>
    <w:rsid w:val="004A5892"/>
    <w:rsid w:val="004A593B"/>
    <w:rsid w:val="004B019C"/>
    <w:rsid w:val="004B27B8"/>
    <w:rsid w:val="004B454D"/>
    <w:rsid w:val="004B4759"/>
    <w:rsid w:val="004B4AE3"/>
    <w:rsid w:val="004B5B19"/>
    <w:rsid w:val="004B6E63"/>
    <w:rsid w:val="004C283E"/>
    <w:rsid w:val="004C4B6D"/>
    <w:rsid w:val="004C7B0F"/>
    <w:rsid w:val="004D02E4"/>
    <w:rsid w:val="004D0712"/>
    <w:rsid w:val="004D1E91"/>
    <w:rsid w:val="004D5EB0"/>
    <w:rsid w:val="004D617C"/>
    <w:rsid w:val="004D74AD"/>
    <w:rsid w:val="004D7FD9"/>
    <w:rsid w:val="004E01C7"/>
    <w:rsid w:val="004E4B65"/>
    <w:rsid w:val="004E6E4E"/>
    <w:rsid w:val="004E6FD3"/>
    <w:rsid w:val="004F0888"/>
    <w:rsid w:val="004F29B4"/>
    <w:rsid w:val="004F441C"/>
    <w:rsid w:val="004F53C2"/>
    <w:rsid w:val="00500A1B"/>
    <w:rsid w:val="00501A28"/>
    <w:rsid w:val="005038ED"/>
    <w:rsid w:val="0050684C"/>
    <w:rsid w:val="0050721B"/>
    <w:rsid w:val="005117BE"/>
    <w:rsid w:val="005129AA"/>
    <w:rsid w:val="00512E25"/>
    <w:rsid w:val="005148E9"/>
    <w:rsid w:val="005150AB"/>
    <w:rsid w:val="00517004"/>
    <w:rsid w:val="005176F8"/>
    <w:rsid w:val="00520D4D"/>
    <w:rsid w:val="005253B1"/>
    <w:rsid w:val="00525F87"/>
    <w:rsid w:val="00526928"/>
    <w:rsid w:val="00526D65"/>
    <w:rsid w:val="00527859"/>
    <w:rsid w:val="005309D6"/>
    <w:rsid w:val="005314E8"/>
    <w:rsid w:val="005352EA"/>
    <w:rsid w:val="005353EE"/>
    <w:rsid w:val="00540AC0"/>
    <w:rsid w:val="00541ED0"/>
    <w:rsid w:val="0054505D"/>
    <w:rsid w:val="0054588C"/>
    <w:rsid w:val="0055250F"/>
    <w:rsid w:val="00553562"/>
    <w:rsid w:val="00554D37"/>
    <w:rsid w:val="0056000C"/>
    <w:rsid w:val="00561C18"/>
    <w:rsid w:val="005644DF"/>
    <w:rsid w:val="00565615"/>
    <w:rsid w:val="00570276"/>
    <w:rsid w:val="005712CA"/>
    <w:rsid w:val="00571694"/>
    <w:rsid w:val="00571C18"/>
    <w:rsid w:val="00572713"/>
    <w:rsid w:val="005733C2"/>
    <w:rsid w:val="00573681"/>
    <w:rsid w:val="00575644"/>
    <w:rsid w:val="00576076"/>
    <w:rsid w:val="00576D29"/>
    <w:rsid w:val="00580836"/>
    <w:rsid w:val="00580F03"/>
    <w:rsid w:val="00581845"/>
    <w:rsid w:val="00582E45"/>
    <w:rsid w:val="00583353"/>
    <w:rsid w:val="005875BB"/>
    <w:rsid w:val="00592962"/>
    <w:rsid w:val="005939AA"/>
    <w:rsid w:val="005973DD"/>
    <w:rsid w:val="00597837"/>
    <w:rsid w:val="005A08AC"/>
    <w:rsid w:val="005A14D3"/>
    <w:rsid w:val="005A282F"/>
    <w:rsid w:val="005A3DAA"/>
    <w:rsid w:val="005A4297"/>
    <w:rsid w:val="005A475C"/>
    <w:rsid w:val="005A5FA8"/>
    <w:rsid w:val="005B09E5"/>
    <w:rsid w:val="005B2685"/>
    <w:rsid w:val="005B3E2C"/>
    <w:rsid w:val="005B5250"/>
    <w:rsid w:val="005B6764"/>
    <w:rsid w:val="005B6DD6"/>
    <w:rsid w:val="005C175F"/>
    <w:rsid w:val="005C2503"/>
    <w:rsid w:val="005C40CD"/>
    <w:rsid w:val="005C4A60"/>
    <w:rsid w:val="005C7414"/>
    <w:rsid w:val="005D38AD"/>
    <w:rsid w:val="005D5839"/>
    <w:rsid w:val="005D7954"/>
    <w:rsid w:val="005E3B3C"/>
    <w:rsid w:val="005E4046"/>
    <w:rsid w:val="005E5215"/>
    <w:rsid w:val="005E580C"/>
    <w:rsid w:val="005F124C"/>
    <w:rsid w:val="005F21B6"/>
    <w:rsid w:val="005F221A"/>
    <w:rsid w:val="006006CC"/>
    <w:rsid w:val="00600DAB"/>
    <w:rsid w:val="00605332"/>
    <w:rsid w:val="00605BE5"/>
    <w:rsid w:val="006115F5"/>
    <w:rsid w:val="006117C9"/>
    <w:rsid w:val="006130C1"/>
    <w:rsid w:val="00615546"/>
    <w:rsid w:val="00622BFD"/>
    <w:rsid w:val="00624346"/>
    <w:rsid w:val="00626625"/>
    <w:rsid w:val="00630E89"/>
    <w:rsid w:val="00631594"/>
    <w:rsid w:val="00633FEB"/>
    <w:rsid w:val="0063443F"/>
    <w:rsid w:val="00634C9F"/>
    <w:rsid w:val="0063728B"/>
    <w:rsid w:val="006372A9"/>
    <w:rsid w:val="00641A8F"/>
    <w:rsid w:val="00642027"/>
    <w:rsid w:val="00643184"/>
    <w:rsid w:val="00644B36"/>
    <w:rsid w:val="006467A1"/>
    <w:rsid w:val="006519D9"/>
    <w:rsid w:val="006543F5"/>
    <w:rsid w:val="00655691"/>
    <w:rsid w:val="00657731"/>
    <w:rsid w:val="00660713"/>
    <w:rsid w:val="006612BA"/>
    <w:rsid w:val="00661945"/>
    <w:rsid w:val="00661BD0"/>
    <w:rsid w:val="00662E26"/>
    <w:rsid w:val="0066443B"/>
    <w:rsid w:val="00665C23"/>
    <w:rsid w:val="006674D4"/>
    <w:rsid w:val="00667EC0"/>
    <w:rsid w:val="00672C06"/>
    <w:rsid w:val="006736C1"/>
    <w:rsid w:val="006742A8"/>
    <w:rsid w:val="0067454E"/>
    <w:rsid w:val="00677BBA"/>
    <w:rsid w:val="0068388F"/>
    <w:rsid w:val="00686261"/>
    <w:rsid w:val="0068627E"/>
    <w:rsid w:val="006924EC"/>
    <w:rsid w:val="0069311E"/>
    <w:rsid w:val="00693D6D"/>
    <w:rsid w:val="00694EFE"/>
    <w:rsid w:val="006959D6"/>
    <w:rsid w:val="006A42D0"/>
    <w:rsid w:val="006A52FD"/>
    <w:rsid w:val="006A6E24"/>
    <w:rsid w:val="006B3E46"/>
    <w:rsid w:val="006C09A1"/>
    <w:rsid w:val="006C51D4"/>
    <w:rsid w:val="006C6701"/>
    <w:rsid w:val="006D0E4B"/>
    <w:rsid w:val="006D37BD"/>
    <w:rsid w:val="006D4DF3"/>
    <w:rsid w:val="006D508A"/>
    <w:rsid w:val="006D5E69"/>
    <w:rsid w:val="006D648F"/>
    <w:rsid w:val="006D6585"/>
    <w:rsid w:val="006D7BD6"/>
    <w:rsid w:val="006E0FB2"/>
    <w:rsid w:val="006E24D7"/>
    <w:rsid w:val="006E29CD"/>
    <w:rsid w:val="006E4D3D"/>
    <w:rsid w:val="006F0070"/>
    <w:rsid w:val="006F1FED"/>
    <w:rsid w:val="006F2B3A"/>
    <w:rsid w:val="006F3249"/>
    <w:rsid w:val="006F3B1C"/>
    <w:rsid w:val="006F5EA0"/>
    <w:rsid w:val="006F6270"/>
    <w:rsid w:val="00700011"/>
    <w:rsid w:val="00701C6C"/>
    <w:rsid w:val="00704457"/>
    <w:rsid w:val="00704BD1"/>
    <w:rsid w:val="007056A0"/>
    <w:rsid w:val="00710AB1"/>
    <w:rsid w:val="007118E1"/>
    <w:rsid w:val="00714E0E"/>
    <w:rsid w:val="00716371"/>
    <w:rsid w:val="00721F5F"/>
    <w:rsid w:val="00722EBB"/>
    <w:rsid w:val="00725021"/>
    <w:rsid w:val="0072667F"/>
    <w:rsid w:val="007269C3"/>
    <w:rsid w:val="00730A85"/>
    <w:rsid w:val="00730FFC"/>
    <w:rsid w:val="00732DC4"/>
    <w:rsid w:val="00733012"/>
    <w:rsid w:val="007355CF"/>
    <w:rsid w:val="0073662B"/>
    <w:rsid w:val="00740B33"/>
    <w:rsid w:val="0074518D"/>
    <w:rsid w:val="007477DE"/>
    <w:rsid w:val="00747B3B"/>
    <w:rsid w:val="00750259"/>
    <w:rsid w:val="00752F42"/>
    <w:rsid w:val="00754288"/>
    <w:rsid w:val="007548F8"/>
    <w:rsid w:val="00761837"/>
    <w:rsid w:val="00762F4D"/>
    <w:rsid w:val="00765290"/>
    <w:rsid w:val="007654AB"/>
    <w:rsid w:val="00767C35"/>
    <w:rsid w:val="007705D1"/>
    <w:rsid w:val="007744D9"/>
    <w:rsid w:val="007762FA"/>
    <w:rsid w:val="00776712"/>
    <w:rsid w:val="00776BF2"/>
    <w:rsid w:val="0077713A"/>
    <w:rsid w:val="007803EE"/>
    <w:rsid w:val="00780D55"/>
    <w:rsid w:val="00781D16"/>
    <w:rsid w:val="00785A18"/>
    <w:rsid w:val="00791096"/>
    <w:rsid w:val="007913B9"/>
    <w:rsid w:val="00794535"/>
    <w:rsid w:val="007A0C89"/>
    <w:rsid w:val="007B248C"/>
    <w:rsid w:val="007B303E"/>
    <w:rsid w:val="007B3F83"/>
    <w:rsid w:val="007B649C"/>
    <w:rsid w:val="007B7F7E"/>
    <w:rsid w:val="007C108F"/>
    <w:rsid w:val="007D2D18"/>
    <w:rsid w:val="007D6309"/>
    <w:rsid w:val="007E15CB"/>
    <w:rsid w:val="007E1987"/>
    <w:rsid w:val="007E2643"/>
    <w:rsid w:val="007E38FA"/>
    <w:rsid w:val="007E412C"/>
    <w:rsid w:val="007E4C66"/>
    <w:rsid w:val="007E7E10"/>
    <w:rsid w:val="007F1354"/>
    <w:rsid w:val="007F1CF8"/>
    <w:rsid w:val="007F1D3D"/>
    <w:rsid w:val="007F3049"/>
    <w:rsid w:val="007F37E8"/>
    <w:rsid w:val="007F4281"/>
    <w:rsid w:val="007F6EC9"/>
    <w:rsid w:val="008038E4"/>
    <w:rsid w:val="0080461F"/>
    <w:rsid w:val="00804EA3"/>
    <w:rsid w:val="00805A04"/>
    <w:rsid w:val="00810076"/>
    <w:rsid w:val="00811A5E"/>
    <w:rsid w:val="00817BBA"/>
    <w:rsid w:val="00821AD8"/>
    <w:rsid w:val="00824AA0"/>
    <w:rsid w:val="00830144"/>
    <w:rsid w:val="008311AC"/>
    <w:rsid w:val="0083321E"/>
    <w:rsid w:val="00833822"/>
    <w:rsid w:val="008344E2"/>
    <w:rsid w:val="00834D4F"/>
    <w:rsid w:val="008350B3"/>
    <w:rsid w:val="0083561E"/>
    <w:rsid w:val="00835C1B"/>
    <w:rsid w:val="00836469"/>
    <w:rsid w:val="0083762E"/>
    <w:rsid w:val="008423FA"/>
    <w:rsid w:val="00842F7D"/>
    <w:rsid w:val="00843C19"/>
    <w:rsid w:val="00843D2F"/>
    <w:rsid w:val="00843F05"/>
    <w:rsid w:val="00844003"/>
    <w:rsid w:val="008441A7"/>
    <w:rsid w:val="00845EC3"/>
    <w:rsid w:val="00847198"/>
    <w:rsid w:val="0085198E"/>
    <w:rsid w:val="00852A99"/>
    <w:rsid w:val="00853308"/>
    <w:rsid w:val="00853D58"/>
    <w:rsid w:val="008540BB"/>
    <w:rsid w:val="008558D5"/>
    <w:rsid w:val="008561C9"/>
    <w:rsid w:val="0085767F"/>
    <w:rsid w:val="00863D07"/>
    <w:rsid w:val="00866C6C"/>
    <w:rsid w:val="0086774C"/>
    <w:rsid w:val="0087014A"/>
    <w:rsid w:val="00871414"/>
    <w:rsid w:val="0087150F"/>
    <w:rsid w:val="00871588"/>
    <w:rsid w:val="00871796"/>
    <w:rsid w:val="00875BFB"/>
    <w:rsid w:val="00875FE6"/>
    <w:rsid w:val="00876779"/>
    <w:rsid w:val="0088091C"/>
    <w:rsid w:val="00882A83"/>
    <w:rsid w:val="00883726"/>
    <w:rsid w:val="00885FA4"/>
    <w:rsid w:val="0088657F"/>
    <w:rsid w:val="00887293"/>
    <w:rsid w:val="00887CDB"/>
    <w:rsid w:val="00887E8D"/>
    <w:rsid w:val="00890A72"/>
    <w:rsid w:val="00893B1D"/>
    <w:rsid w:val="00893DF6"/>
    <w:rsid w:val="008941EB"/>
    <w:rsid w:val="00894652"/>
    <w:rsid w:val="00895C8A"/>
    <w:rsid w:val="008A43B4"/>
    <w:rsid w:val="008A491D"/>
    <w:rsid w:val="008A762E"/>
    <w:rsid w:val="008B37B2"/>
    <w:rsid w:val="008B5189"/>
    <w:rsid w:val="008B63DC"/>
    <w:rsid w:val="008B6946"/>
    <w:rsid w:val="008B73DE"/>
    <w:rsid w:val="008B7BB5"/>
    <w:rsid w:val="008C1B7C"/>
    <w:rsid w:val="008C3642"/>
    <w:rsid w:val="008C372F"/>
    <w:rsid w:val="008C44CD"/>
    <w:rsid w:val="008C4E77"/>
    <w:rsid w:val="008D093C"/>
    <w:rsid w:val="008D0F69"/>
    <w:rsid w:val="008D2B6B"/>
    <w:rsid w:val="008D30EB"/>
    <w:rsid w:val="008D3C81"/>
    <w:rsid w:val="008D4043"/>
    <w:rsid w:val="008E011D"/>
    <w:rsid w:val="008E07A4"/>
    <w:rsid w:val="008E13A8"/>
    <w:rsid w:val="008E22AC"/>
    <w:rsid w:val="008E287D"/>
    <w:rsid w:val="008E3BAA"/>
    <w:rsid w:val="008E3D52"/>
    <w:rsid w:val="008E5007"/>
    <w:rsid w:val="008F02DE"/>
    <w:rsid w:val="008F0EC0"/>
    <w:rsid w:val="008F3AE5"/>
    <w:rsid w:val="008F537E"/>
    <w:rsid w:val="008F5A56"/>
    <w:rsid w:val="008F6050"/>
    <w:rsid w:val="009005C6"/>
    <w:rsid w:val="00902526"/>
    <w:rsid w:val="0090312E"/>
    <w:rsid w:val="00903262"/>
    <w:rsid w:val="00906D15"/>
    <w:rsid w:val="009073D9"/>
    <w:rsid w:val="00913290"/>
    <w:rsid w:val="00914763"/>
    <w:rsid w:val="009209D8"/>
    <w:rsid w:val="00923032"/>
    <w:rsid w:val="0092413B"/>
    <w:rsid w:val="009262DC"/>
    <w:rsid w:val="00927488"/>
    <w:rsid w:val="00927643"/>
    <w:rsid w:val="0093151F"/>
    <w:rsid w:val="00931716"/>
    <w:rsid w:val="00932995"/>
    <w:rsid w:val="00940960"/>
    <w:rsid w:val="00940B1B"/>
    <w:rsid w:val="0094124B"/>
    <w:rsid w:val="00942242"/>
    <w:rsid w:val="00945C5D"/>
    <w:rsid w:val="0094613C"/>
    <w:rsid w:val="00946B23"/>
    <w:rsid w:val="009525D6"/>
    <w:rsid w:val="00953D0F"/>
    <w:rsid w:val="00964835"/>
    <w:rsid w:val="00966B06"/>
    <w:rsid w:val="00967B45"/>
    <w:rsid w:val="009702A3"/>
    <w:rsid w:val="00970E41"/>
    <w:rsid w:val="009734BE"/>
    <w:rsid w:val="009745B9"/>
    <w:rsid w:val="009763F1"/>
    <w:rsid w:val="00976D90"/>
    <w:rsid w:val="009816DE"/>
    <w:rsid w:val="00983A07"/>
    <w:rsid w:val="0098494E"/>
    <w:rsid w:val="009902FC"/>
    <w:rsid w:val="0099268D"/>
    <w:rsid w:val="009938B5"/>
    <w:rsid w:val="00996E93"/>
    <w:rsid w:val="00997657"/>
    <w:rsid w:val="00997F65"/>
    <w:rsid w:val="009A0966"/>
    <w:rsid w:val="009A187A"/>
    <w:rsid w:val="009A21C0"/>
    <w:rsid w:val="009A2415"/>
    <w:rsid w:val="009A4DBB"/>
    <w:rsid w:val="009A5BA0"/>
    <w:rsid w:val="009B0F51"/>
    <w:rsid w:val="009B254A"/>
    <w:rsid w:val="009B30DF"/>
    <w:rsid w:val="009B3844"/>
    <w:rsid w:val="009B3D57"/>
    <w:rsid w:val="009B7810"/>
    <w:rsid w:val="009C0816"/>
    <w:rsid w:val="009C0D6F"/>
    <w:rsid w:val="009C225F"/>
    <w:rsid w:val="009C3208"/>
    <w:rsid w:val="009C34E6"/>
    <w:rsid w:val="009C66C8"/>
    <w:rsid w:val="009C7030"/>
    <w:rsid w:val="009D01AA"/>
    <w:rsid w:val="009D21A2"/>
    <w:rsid w:val="009D33F2"/>
    <w:rsid w:val="009D368F"/>
    <w:rsid w:val="009D3C4E"/>
    <w:rsid w:val="009D43E4"/>
    <w:rsid w:val="009D4E57"/>
    <w:rsid w:val="009E025A"/>
    <w:rsid w:val="009E4382"/>
    <w:rsid w:val="009E6EA0"/>
    <w:rsid w:val="009F09AA"/>
    <w:rsid w:val="009F2122"/>
    <w:rsid w:val="009F76FD"/>
    <w:rsid w:val="00A02C9E"/>
    <w:rsid w:val="00A03AF9"/>
    <w:rsid w:val="00A03D5F"/>
    <w:rsid w:val="00A041F2"/>
    <w:rsid w:val="00A04C38"/>
    <w:rsid w:val="00A0505A"/>
    <w:rsid w:val="00A069A2"/>
    <w:rsid w:val="00A074EB"/>
    <w:rsid w:val="00A079AC"/>
    <w:rsid w:val="00A11943"/>
    <w:rsid w:val="00A120E1"/>
    <w:rsid w:val="00A13566"/>
    <w:rsid w:val="00A15F7D"/>
    <w:rsid w:val="00A2076A"/>
    <w:rsid w:val="00A20784"/>
    <w:rsid w:val="00A21874"/>
    <w:rsid w:val="00A22278"/>
    <w:rsid w:val="00A2525F"/>
    <w:rsid w:val="00A25737"/>
    <w:rsid w:val="00A27925"/>
    <w:rsid w:val="00A313AC"/>
    <w:rsid w:val="00A328D4"/>
    <w:rsid w:val="00A37610"/>
    <w:rsid w:val="00A376CD"/>
    <w:rsid w:val="00A37C72"/>
    <w:rsid w:val="00A4005D"/>
    <w:rsid w:val="00A43651"/>
    <w:rsid w:val="00A43D69"/>
    <w:rsid w:val="00A44C0B"/>
    <w:rsid w:val="00A47519"/>
    <w:rsid w:val="00A47EFE"/>
    <w:rsid w:val="00A50C6E"/>
    <w:rsid w:val="00A5114E"/>
    <w:rsid w:val="00A523BF"/>
    <w:rsid w:val="00A54378"/>
    <w:rsid w:val="00A54EE2"/>
    <w:rsid w:val="00A55209"/>
    <w:rsid w:val="00A57322"/>
    <w:rsid w:val="00A574B3"/>
    <w:rsid w:val="00A60F56"/>
    <w:rsid w:val="00A62B8C"/>
    <w:rsid w:val="00A63FA2"/>
    <w:rsid w:val="00A66A89"/>
    <w:rsid w:val="00A67A4E"/>
    <w:rsid w:val="00A70EFD"/>
    <w:rsid w:val="00A7168E"/>
    <w:rsid w:val="00A74CFF"/>
    <w:rsid w:val="00A7581A"/>
    <w:rsid w:val="00A76120"/>
    <w:rsid w:val="00A769F4"/>
    <w:rsid w:val="00A76AA0"/>
    <w:rsid w:val="00A771CA"/>
    <w:rsid w:val="00A80EC9"/>
    <w:rsid w:val="00A82855"/>
    <w:rsid w:val="00A8528C"/>
    <w:rsid w:val="00A856BA"/>
    <w:rsid w:val="00AA1A95"/>
    <w:rsid w:val="00AA27A8"/>
    <w:rsid w:val="00AA3F04"/>
    <w:rsid w:val="00AA616D"/>
    <w:rsid w:val="00AA681F"/>
    <w:rsid w:val="00AA7962"/>
    <w:rsid w:val="00AB01F9"/>
    <w:rsid w:val="00AB342A"/>
    <w:rsid w:val="00AB6A68"/>
    <w:rsid w:val="00AC10FE"/>
    <w:rsid w:val="00AC1EA9"/>
    <w:rsid w:val="00AC3A1F"/>
    <w:rsid w:val="00AC6117"/>
    <w:rsid w:val="00AC6A83"/>
    <w:rsid w:val="00AD0F30"/>
    <w:rsid w:val="00AD1934"/>
    <w:rsid w:val="00AD2E65"/>
    <w:rsid w:val="00AD3209"/>
    <w:rsid w:val="00AD3F92"/>
    <w:rsid w:val="00AD5509"/>
    <w:rsid w:val="00AE0217"/>
    <w:rsid w:val="00AE0617"/>
    <w:rsid w:val="00AE1B44"/>
    <w:rsid w:val="00AF03EC"/>
    <w:rsid w:val="00AF09CF"/>
    <w:rsid w:val="00AF5778"/>
    <w:rsid w:val="00B00371"/>
    <w:rsid w:val="00B0118B"/>
    <w:rsid w:val="00B01820"/>
    <w:rsid w:val="00B035AF"/>
    <w:rsid w:val="00B03A5E"/>
    <w:rsid w:val="00B05C9E"/>
    <w:rsid w:val="00B067BD"/>
    <w:rsid w:val="00B114D3"/>
    <w:rsid w:val="00B11876"/>
    <w:rsid w:val="00B1303D"/>
    <w:rsid w:val="00B14429"/>
    <w:rsid w:val="00B14DBD"/>
    <w:rsid w:val="00B15952"/>
    <w:rsid w:val="00B17F10"/>
    <w:rsid w:val="00B26497"/>
    <w:rsid w:val="00B31713"/>
    <w:rsid w:val="00B32081"/>
    <w:rsid w:val="00B33C0F"/>
    <w:rsid w:val="00B35EC7"/>
    <w:rsid w:val="00B41724"/>
    <w:rsid w:val="00B437D9"/>
    <w:rsid w:val="00B44413"/>
    <w:rsid w:val="00B4552F"/>
    <w:rsid w:val="00B478ED"/>
    <w:rsid w:val="00B505E8"/>
    <w:rsid w:val="00B50CA6"/>
    <w:rsid w:val="00B51803"/>
    <w:rsid w:val="00B563CA"/>
    <w:rsid w:val="00B573C5"/>
    <w:rsid w:val="00B62CDD"/>
    <w:rsid w:val="00B62CED"/>
    <w:rsid w:val="00B63ACD"/>
    <w:rsid w:val="00B64900"/>
    <w:rsid w:val="00B654F6"/>
    <w:rsid w:val="00B66412"/>
    <w:rsid w:val="00B66A79"/>
    <w:rsid w:val="00B67309"/>
    <w:rsid w:val="00B7089B"/>
    <w:rsid w:val="00B71440"/>
    <w:rsid w:val="00B74BB7"/>
    <w:rsid w:val="00B75063"/>
    <w:rsid w:val="00B76021"/>
    <w:rsid w:val="00B8017F"/>
    <w:rsid w:val="00B80942"/>
    <w:rsid w:val="00B80CD4"/>
    <w:rsid w:val="00B83E04"/>
    <w:rsid w:val="00B843D9"/>
    <w:rsid w:val="00B853B2"/>
    <w:rsid w:val="00B8679F"/>
    <w:rsid w:val="00B86FA6"/>
    <w:rsid w:val="00B9250A"/>
    <w:rsid w:val="00B945DC"/>
    <w:rsid w:val="00B9534B"/>
    <w:rsid w:val="00B977B0"/>
    <w:rsid w:val="00BA05C9"/>
    <w:rsid w:val="00BA24FC"/>
    <w:rsid w:val="00BA2B30"/>
    <w:rsid w:val="00BA39AC"/>
    <w:rsid w:val="00BA584D"/>
    <w:rsid w:val="00BB037F"/>
    <w:rsid w:val="00BB32B6"/>
    <w:rsid w:val="00BC0F47"/>
    <w:rsid w:val="00BC56E4"/>
    <w:rsid w:val="00BC77BA"/>
    <w:rsid w:val="00BD0003"/>
    <w:rsid w:val="00BD1B89"/>
    <w:rsid w:val="00BD34EE"/>
    <w:rsid w:val="00BD3F3C"/>
    <w:rsid w:val="00BE1A86"/>
    <w:rsid w:val="00BE46B8"/>
    <w:rsid w:val="00BE4FAD"/>
    <w:rsid w:val="00BE5326"/>
    <w:rsid w:val="00BF08DE"/>
    <w:rsid w:val="00BF17E7"/>
    <w:rsid w:val="00BF2613"/>
    <w:rsid w:val="00BF3128"/>
    <w:rsid w:val="00BF4F1B"/>
    <w:rsid w:val="00BF538F"/>
    <w:rsid w:val="00BF79BB"/>
    <w:rsid w:val="00BF7B0A"/>
    <w:rsid w:val="00C0018D"/>
    <w:rsid w:val="00C0161F"/>
    <w:rsid w:val="00C10712"/>
    <w:rsid w:val="00C1232F"/>
    <w:rsid w:val="00C17301"/>
    <w:rsid w:val="00C205CB"/>
    <w:rsid w:val="00C21543"/>
    <w:rsid w:val="00C22730"/>
    <w:rsid w:val="00C24256"/>
    <w:rsid w:val="00C25E4E"/>
    <w:rsid w:val="00C3061C"/>
    <w:rsid w:val="00C31B8F"/>
    <w:rsid w:val="00C31FA1"/>
    <w:rsid w:val="00C34333"/>
    <w:rsid w:val="00C43664"/>
    <w:rsid w:val="00C50769"/>
    <w:rsid w:val="00C52D55"/>
    <w:rsid w:val="00C53483"/>
    <w:rsid w:val="00C53942"/>
    <w:rsid w:val="00C557FD"/>
    <w:rsid w:val="00C56AE2"/>
    <w:rsid w:val="00C614DC"/>
    <w:rsid w:val="00C70605"/>
    <w:rsid w:val="00C73A6E"/>
    <w:rsid w:val="00C74442"/>
    <w:rsid w:val="00C751EC"/>
    <w:rsid w:val="00C75FB0"/>
    <w:rsid w:val="00C775A2"/>
    <w:rsid w:val="00C77B7B"/>
    <w:rsid w:val="00C82CA2"/>
    <w:rsid w:val="00C86E56"/>
    <w:rsid w:val="00C931BB"/>
    <w:rsid w:val="00C96193"/>
    <w:rsid w:val="00C96C4E"/>
    <w:rsid w:val="00CA020A"/>
    <w:rsid w:val="00CA0CF1"/>
    <w:rsid w:val="00CA1884"/>
    <w:rsid w:val="00CA20E1"/>
    <w:rsid w:val="00CA2D09"/>
    <w:rsid w:val="00CA3205"/>
    <w:rsid w:val="00CA422A"/>
    <w:rsid w:val="00CA5F45"/>
    <w:rsid w:val="00CA650B"/>
    <w:rsid w:val="00CA76C0"/>
    <w:rsid w:val="00CB0F09"/>
    <w:rsid w:val="00CB1E95"/>
    <w:rsid w:val="00CB4FE3"/>
    <w:rsid w:val="00CB6AF4"/>
    <w:rsid w:val="00CC10E8"/>
    <w:rsid w:val="00CC1DFA"/>
    <w:rsid w:val="00CC5836"/>
    <w:rsid w:val="00CC61AC"/>
    <w:rsid w:val="00CC6DD0"/>
    <w:rsid w:val="00CD075B"/>
    <w:rsid w:val="00CD14AA"/>
    <w:rsid w:val="00CD26A5"/>
    <w:rsid w:val="00CD35BC"/>
    <w:rsid w:val="00CD5AAE"/>
    <w:rsid w:val="00CD7281"/>
    <w:rsid w:val="00CE22FF"/>
    <w:rsid w:val="00CE4E5B"/>
    <w:rsid w:val="00CE5A84"/>
    <w:rsid w:val="00CE5AF7"/>
    <w:rsid w:val="00CE6953"/>
    <w:rsid w:val="00CE6E2D"/>
    <w:rsid w:val="00CE7969"/>
    <w:rsid w:val="00CE7CEC"/>
    <w:rsid w:val="00CF0074"/>
    <w:rsid w:val="00CF28D9"/>
    <w:rsid w:val="00CF4CC5"/>
    <w:rsid w:val="00CF6082"/>
    <w:rsid w:val="00D00621"/>
    <w:rsid w:val="00D0280B"/>
    <w:rsid w:val="00D04145"/>
    <w:rsid w:val="00D0467B"/>
    <w:rsid w:val="00D05C4A"/>
    <w:rsid w:val="00D06523"/>
    <w:rsid w:val="00D07189"/>
    <w:rsid w:val="00D07CEE"/>
    <w:rsid w:val="00D10A82"/>
    <w:rsid w:val="00D115FB"/>
    <w:rsid w:val="00D11F67"/>
    <w:rsid w:val="00D13671"/>
    <w:rsid w:val="00D14286"/>
    <w:rsid w:val="00D159BB"/>
    <w:rsid w:val="00D17153"/>
    <w:rsid w:val="00D17B21"/>
    <w:rsid w:val="00D2251D"/>
    <w:rsid w:val="00D238EB"/>
    <w:rsid w:val="00D243CC"/>
    <w:rsid w:val="00D25AF3"/>
    <w:rsid w:val="00D26375"/>
    <w:rsid w:val="00D26E46"/>
    <w:rsid w:val="00D30001"/>
    <w:rsid w:val="00D340D2"/>
    <w:rsid w:val="00D36F95"/>
    <w:rsid w:val="00D402A2"/>
    <w:rsid w:val="00D42835"/>
    <w:rsid w:val="00D42F28"/>
    <w:rsid w:val="00D43D98"/>
    <w:rsid w:val="00D457AE"/>
    <w:rsid w:val="00D45EF3"/>
    <w:rsid w:val="00D50476"/>
    <w:rsid w:val="00D52609"/>
    <w:rsid w:val="00D528A3"/>
    <w:rsid w:val="00D53E76"/>
    <w:rsid w:val="00D5592E"/>
    <w:rsid w:val="00D61B57"/>
    <w:rsid w:val="00D653AC"/>
    <w:rsid w:val="00D70322"/>
    <w:rsid w:val="00D710FC"/>
    <w:rsid w:val="00D76248"/>
    <w:rsid w:val="00D8005F"/>
    <w:rsid w:val="00D82C14"/>
    <w:rsid w:val="00D8692B"/>
    <w:rsid w:val="00D9070C"/>
    <w:rsid w:val="00D912C1"/>
    <w:rsid w:val="00D91F85"/>
    <w:rsid w:val="00D921C1"/>
    <w:rsid w:val="00D95AE4"/>
    <w:rsid w:val="00D97BEF"/>
    <w:rsid w:val="00DA2811"/>
    <w:rsid w:val="00DA65F9"/>
    <w:rsid w:val="00DB3432"/>
    <w:rsid w:val="00DB54CE"/>
    <w:rsid w:val="00DB59E5"/>
    <w:rsid w:val="00DB7403"/>
    <w:rsid w:val="00DB7B3E"/>
    <w:rsid w:val="00DC1BD0"/>
    <w:rsid w:val="00DC4734"/>
    <w:rsid w:val="00DC58B2"/>
    <w:rsid w:val="00DC7495"/>
    <w:rsid w:val="00DC7656"/>
    <w:rsid w:val="00DD2778"/>
    <w:rsid w:val="00DD320C"/>
    <w:rsid w:val="00DD5FAD"/>
    <w:rsid w:val="00DD616A"/>
    <w:rsid w:val="00DD66CD"/>
    <w:rsid w:val="00DE4F4D"/>
    <w:rsid w:val="00DE57DD"/>
    <w:rsid w:val="00DE64B7"/>
    <w:rsid w:val="00DE783F"/>
    <w:rsid w:val="00DF18DA"/>
    <w:rsid w:val="00DF3079"/>
    <w:rsid w:val="00DF5823"/>
    <w:rsid w:val="00DF684C"/>
    <w:rsid w:val="00DF7578"/>
    <w:rsid w:val="00E02711"/>
    <w:rsid w:val="00E0307E"/>
    <w:rsid w:val="00E03225"/>
    <w:rsid w:val="00E0394B"/>
    <w:rsid w:val="00E102E9"/>
    <w:rsid w:val="00E1099B"/>
    <w:rsid w:val="00E131FB"/>
    <w:rsid w:val="00E133ED"/>
    <w:rsid w:val="00E15405"/>
    <w:rsid w:val="00E15FF1"/>
    <w:rsid w:val="00E163C4"/>
    <w:rsid w:val="00E20522"/>
    <w:rsid w:val="00E2320B"/>
    <w:rsid w:val="00E2359B"/>
    <w:rsid w:val="00E25D63"/>
    <w:rsid w:val="00E26BE5"/>
    <w:rsid w:val="00E311F6"/>
    <w:rsid w:val="00E31930"/>
    <w:rsid w:val="00E323DC"/>
    <w:rsid w:val="00E3273D"/>
    <w:rsid w:val="00E336F6"/>
    <w:rsid w:val="00E34E8D"/>
    <w:rsid w:val="00E35A92"/>
    <w:rsid w:val="00E36AD8"/>
    <w:rsid w:val="00E405C9"/>
    <w:rsid w:val="00E540EE"/>
    <w:rsid w:val="00E54A9D"/>
    <w:rsid w:val="00E5605E"/>
    <w:rsid w:val="00E634B8"/>
    <w:rsid w:val="00E63F4E"/>
    <w:rsid w:val="00E655B8"/>
    <w:rsid w:val="00E70A86"/>
    <w:rsid w:val="00E7422F"/>
    <w:rsid w:val="00E74E77"/>
    <w:rsid w:val="00E7781B"/>
    <w:rsid w:val="00E77A76"/>
    <w:rsid w:val="00E8070B"/>
    <w:rsid w:val="00E81600"/>
    <w:rsid w:val="00E81CC7"/>
    <w:rsid w:val="00E837B0"/>
    <w:rsid w:val="00E83E78"/>
    <w:rsid w:val="00E87F70"/>
    <w:rsid w:val="00E90379"/>
    <w:rsid w:val="00E906E2"/>
    <w:rsid w:val="00E946A1"/>
    <w:rsid w:val="00E97102"/>
    <w:rsid w:val="00E97816"/>
    <w:rsid w:val="00EA08AD"/>
    <w:rsid w:val="00EA3978"/>
    <w:rsid w:val="00EA664C"/>
    <w:rsid w:val="00EA6D3B"/>
    <w:rsid w:val="00EB112B"/>
    <w:rsid w:val="00EB124D"/>
    <w:rsid w:val="00EB4038"/>
    <w:rsid w:val="00EB6095"/>
    <w:rsid w:val="00EB76DB"/>
    <w:rsid w:val="00EB7773"/>
    <w:rsid w:val="00EC2094"/>
    <w:rsid w:val="00EC3013"/>
    <w:rsid w:val="00EC48C5"/>
    <w:rsid w:val="00EC5FDC"/>
    <w:rsid w:val="00EC6680"/>
    <w:rsid w:val="00EC6D84"/>
    <w:rsid w:val="00ED0439"/>
    <w:rsid w:val="00ED0858"/>
    <w:rsid w:val="00ED24D1"/>
    <w:rsid w:val="00ED2C04"/>
    <w:rsid w:val="00ED4149"/>
    <w:rsid w:val="00ED5A2C"/>
    <w:rsid w:val="00EE094D"/>
    <w:rsid w:val="00EE15F5"/>
    <w:rsid w:val="00EE5CE0"/>
    <w:rsid w:val="00EE609A"/>
    <w:rsid w:val="00EE6D93"/>
    <w:rsid w:val="00EF0B90"/>
    <w:rsid w:val="00EF7DF0"/>
    <w:rsid w:val="00F00477"/>
    <w:rsid w:val="00F0336A"/>
    <w:rsid w:val="00F0466B"/>
    <w:rsid w:val="00F04F91"/>
    <w:rsid w:val="00F05FC7"/>
    <w:rsid w:val="00F06BF8"/>
    <w:rsid w:val="00F1648C"/>
    <w:rsid w:val="00F17991"/>
    <w:rsid w:val="00F25A9C"/>
    <w:rsid w:val="00F2696D"/>
    <w:rsid w:val="00F26CB5"/>
    <w:rsid w:val="00F27B39"/>
    <w:rsid w:val="00F30098"/>
    <w:rsid w:val="00F31DA0"/>
    <w:rsid w:val="00F3304A"/>
    <w:rsid w:val="00F376CD"/>
    <w:rsid w:val="00F400FE"/>
    <w:rsid w:val="00F40633"/>
    <w:rsid w:val="00F40EF5"/>
    <w:rsid w:val="00F42878"/>
    <w:rsid w:val="00F43778"/>
    <w:rsid w:val="00F47594"/>
    <w:rsid w:val="00F5016D"/>
    <w:rsid w:val="00F5076F"/>
    <w:rsid w:val="00F51548"/>
    <w:rsid w:val="00F51815"/>
    <w:rsid w:val="00F51A9C"/>
    <w:rsid w:val="00F51F65"/>
    <w:rsid w:val="00F52543"/>
    <w:rsid w:val="00F52F5D"/>
    <w:rsid w:val="00F53318"/>
    <w:rsid w:val="00F614C2"/>
    <w:rsid w:val="00F62941"/>
    <w:rsid w:val="00F647CA"/>
    <w:rsid w:val="00F661DA"/>
    <w:rsid w:val="00F66BB6"/>
    <w:rsid w:val="00F71869"/>
    <w:rsid w:val="00F718C7"/>
    <w:rsid w:val="00F71A39"/>
    <w:rsid w:val="00F726A4"/>
    <w:rsid w:val="00F72988"/>
    <w:rsid w:val="00F77AA6"/>
    <w:rsid w:val="00F80DB8"/>
    <w:rsid w:val="00F81166"/>
    <w:rsid w:val="00F84E22"/>
    <w:rsid w:val="00F85F70"/>
    <w:rsid w:val="00F91D76"/>
    <w:rsid w:val="00F969FA"/>
    <w:rsid w:val="00FA3F44"/>
    <w:rsid w:val="00FA5F97"/>
    <w:rsid w:val="00FA6731"/>
    <w:rsid w:val="00FA6E35"/>
    <w:rsid w:val="00FB0A33"/>
    <w:rsid w:val="00FB0DB7"/>
    <w:rsid w:val="00FB12E8"/>
    <w:rsid w:val="00FB3B6E"/>
    <w:rsid w:val="00FB41BC"/>
    <w:rsid w:val="00FB4DC0"/>
    <w:rsid w:val="00FB584F"/>
    <w:rsid w:val="00FB6CE6"/>
    <w:rsid w:val="00FC0046"/>
    <w:rsid w:val="00FC311D"/>
    <w:rsid w:val="00FC349C"/>
    <w:rsid w:val="00FC727F"/>
    <w:rsid w:val="00FD06AB"/>
    <w:rsid w:val="00FD1721"/>
    <w:rsid w:val="00FD4B95"/>
    <w:rsid w:val="00FD4B99"/>
    <w:rsid w:val="00FD4C46"/>
    <w:rsid w:val="00FD4F6A"/>
    <w:rsid w:val="00FD501E"/>
    <w:rsid w:val="00FD59A2"/>
    <w:rsid w:val="00FD716D"/>
    <w:rsid w:val="00FD7462"/>
    <w:rsid w:val="00FE67C2"/>
    <w:rsid w:val="00FE6A22"/>
    <w:rsid w:val="00FE6BE1"/>
    <w:rsid w:val="00FF06F6"/>
    <w:rsid w:val="00FF0DCC"/>
    <w:rsid w:val="00FF3184"/>
    <w:rsid w:val="00FF3911"/>
    <w:rsid w:val="00FF5E82"/>
    <w:rsid w:val="00FF6623"/>
    <w:rsid w:val="00FF708E"/>
    <w:rsid w:val="00FF7E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B4"/>
    <w:rPr>
      <w:sz w:val="28"/>
      <w:szCs w:val="28"/>
    </w:rPr>
  </w:style>
  <w:style w:type="paragraph" w:styleId="Heading1">
    <w:name w:val="heading 1"/>
    <w:basedOn w:val="Normal"/>
    <w:next w:val="Normal"/>
    <w:link w:val="Heading1Char"/>
    <w:uiPriority w:val="99"/>
    <w:qFormat/>
    <w:rsid w:val="0019774A"/>
    <w:pPr>
      <w:keepNext/>
      <w:jc w:val="center"/>
      <w:outlineLvl w:val="0"/>
    </w:pPr>
    <w:rPr>
      <w:rFonts w:ascii=".VnTime" w:eastAsia="Times New Roman" w:hAnsi=".VnTime"/>
      <w:i/>
      <w:szCs w:val="20"/>
    </w:rPr>
  </w:style>
  <w:style w:type="paragraph" w:styleId="Heading2">
    <w:name w:val="heading 2"/>
    <w:basedOn w:val="Normal"/>
    <w:next w:val="Normal"/>
    <w:link w:val="Heading2Char"/>
    <w:qFormat/>
    <w:rsid w:val="006519D9"/>
    <w:pPr>
      <w:keepNext/>
      <w:jc w:val="center"/>
      <w:outlineLvl w:val="1"/>
    </w:pPr>
    <w:rPr>
      <w:rFonts w:ascii=".VnTime" w:eastAsia="Times New Roman"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3DB"/>
    <w:pPr>
      <w:ind w:left="720"/>
      <w:contextualSpacing/>
    </w:pPr>
  </w:style>
  <w:style w:type="character" w:customStyle="1" w:styleId="Heading2Char">
    <w:name w:val="Heading 2 Char"/>
    <w:link w:val="Heading2"/>
    <w:rsid w:val="006519D9"/>
    <w:rPr>
      <w:rFonts w:ascii=".VnTime" w:eastAsia="Times New Roman" w:hAnsi=".VnTime"/>
      <w:b/>
      <w:sz w:val="28"/>
    </w:rPr>
  </w:style>
  <w:style w:type="paragraph" w:styleId="Title">
    <w:name w:val="Title"/>
    <w:basedOn w:val="Normal"/>
    <w:link w:val="TitleChar"/>
    <w:qFormat/>
    <w:rsid w:val="00C96C4E"/>
    <w:pPr>
      <w:autoSpaceDE w:val="0"/>
      <w:autoSpaceDN w:val="0"/>
      <w:adjustRightInd w:val="0"/>
      <w:jc w:val="center"/>
    </w:pPr>
    <w:rPr>
      <w:rFonts w:eastAsia="Times New Roman"/>
      <w:b/>
      <w:color w:val="000000"/>
      <w:sz w:val="32"/>
      <w:szCs w:val="32"/>
    </w:rPr>
  </w:style>
  <w:style w:type="character" w:customStyle="1" w:styleId="TitleChar">
    <w:name w:val="Title Char"/>
    <w:link w:val="Title"/>
    <w:rsid w:val="00C96C4E"/>
    <w:rPr>
      <w:rFonts w:eastAsia="Times New Roman"/>
      <w:b/>
      <w:color w:val="000000"/>
      <w:sz w:val="32"/>
      <w:szCs w:val="32"/>
    </w:rPr>
  </w:style>
  <w:style w:type="paragraph" w:styleId="BodyText3">
    <w:name w:val="Body Text 3"/>
    <w:basedOn w:val="Normal"/>
    <w:link w:val="BodyText3Char"/>
    <w:rsid w:val="00C96C4E"/>
    <w:pPr>
      <w:autoSpaceDE w:val="0"/>
      <w:autoSpaceDN w:val="0"/>
      <w:adjustRightInd w:val="0"/>
      <w:spacing w:beforeLines="20" w:afterLines="20"/>
      <w:jc w:val="center"/>
    </w:pPr>
    <w:rPr>
      <w:rFonts w:eastAsia="Times New Roman"/>
      <w:b/>
      <w:color w:val="000000"/>
      <w:sz w:val="22"/>
      <w:szCs w:val="22"/>
    </w:rPr>
  </w:style>
  <w:style w:type="character" w:customStyle="1" w:styleId="BodyText3Char">
    <w:name w:val="Body Text 3 Char"/>
    <w:link w:val="BodyText3"/>
    <w:rsid w:val="00C96C4E"/>
    <w:rPr>
      <w:rFonts w:eastAsia="Times New Roman"/>
      <w:b/>
      <w:color w:val="000000"/>
      <w:sz w:val="22"/>
      <w:szCs w:val="22"/>
    </w:rPr>
  </w:style>
  <w:style w:type="character" w:customStyle="1" w:styleId="Heading1Char">
    <w:name w:val="Heading 1 Char"/>
    <w:link w:val="Heading1"/>
    <w:uiPriority w:val="99"/>
    <w:rsid w:val="0019774A"/>
    <w:rPr>
      <w:rFonts w:ascii=".VnTime" w:eastAsia="Times New Roman" w:hAnsi=".VnTime"/>
      <w:i/>
      <w:sz w:val="28"/>
    </w:rPr>
  </w:style>
  <w:style w:type="paragraph" w:styleId="BodyText2">
    <w:name w:val="Body Text 2"/>
    <w:basedOn w:val="Normal"/>
    <w:link w:val="BodyText2Char"/>
    <w:rsid w:val="00704457"/>
    <w:pPr>
      <w:spacing w:after="120" w:line="480" w:lineRule="auto"/>
    </w:pPr>
    <w:rPr>
      <w:rFonts w:eastAsia="MS Mincho"/>
    </w:rPr>
  </w:style>
  <w:style w:type="character" w:customStyle="1" w:styleId="BodyText2Char">
    <w:name w:val="Body Text 2 Char"/>
    <w:link w:val="BodyText2"/>
    <w:rsid w:val="00704457"/>
    <w:rPr>
      <w:rFonts w:eastAsia="MS Mincho"/>
      <w:sz w:val="28"/>
      <w:szCs w:val="28"/>
    </w:rPr>
  </w:style>
  <w:style w:type="paragraph" w:styleId="Header">
    <w:name w:val="header"/>
    <w:basedOn w:val="Normal"/>
    <w:link w:val="HeaderChar"/>
    <w:uiPriority w:val="99"/>
    <w:semiHidden/>
    <w:unhideWhenUsed/>
    <w:rsid w:val="002D504F"/>
    <w:pPr>
      <w:tabs>
        <w:tab w:val="center" w:pos="4680"/>
        <w:tab w:val="right" w:pos="9360"/>
      </w:tabs>
    </w:pPr>
  </w:style>
  <w:style w:type="character" w:customStyle="1" w:styleId="HeaderChar">
    <w:name w:val="Header Char"/>
    <w:link w:val="Header"/>
    <w:uiPriority w:val="99"/>
    <w:semiHidden/>
    <w:rsid w:val="002D504F"/>
    <w:rPr>
      <w:sz w:val="28"/>
      <w:szCs w:val="28"/>
    </w:rPr>
  </w:style>
  <w:style w:type="paragraph" w:styleId="Footer">
    <w:name w:val="footer"/>
    <w:basedOn w:val="Normal"/>
    <w:link w:val="FooterChar"/>
    <w:uiPriority w:val="99"/>
    <w:unhideWhenUsed/>
    <w:rsid w:val="002D504F"/>
    <w:pPr>
      <w:tabs>
        <w:tab w:val="center" w:pos="4680"/>
        <w:tab w:val="right" w:pos="9360"/>
      </w:tabs>
    </w:pPr>
  </w:style>
  <w:style w:type="character" w:customStyle="1" w:styleId="FooterChar">
    <w:name w:val="Footer Char"/>
    <w:link w:val="Footer"/>
    <w:uiPriority w:val="99"/>
    <w:rsid w:val="002D504F"/>
    <w:rPr>
      <w:sz w:val="28"/>
      <w:szCs w:val="28"/>
    </w:rPr>
  </w:style>
  <w:style w:type="paragraph" w:styleId="BalloonText">
    <w:name w:val="Balloon Text"/>
    <w:basedOn w:val="Normal"/>
    <w:link w:val="BalloonTextChar"/>
    <w:uiPriority w:val="99"/>
    <w:semiHidden/>
    <w:unhideWhenUsed/>
    <w:rsid w:val="009C3208"/>
    <w:rPr>
      <w:rFonts w:ascii="Segoe UI" w:hAnsi="Segoe UI"/>
      <w:sz w:val="18"/>
      <w:szCs w:val="18"/>
    </w:rPr>
  </w:style>
  <w:style w:type="character" w:customStyle="1" w:styleId="BalloonTextChar">
    <w:name w:val="Balloon Text Char"/>
    <w:link w:val="BalloonText"/>
    <w:uiPriority w:val="99"/>
    <w:semiHidden/>
    <w:rsid w:val="009C3208"/>
    <w:rPr>
      <w:rFonts w:ascii="Segoe UI" w:hAnsi="Segoe UI" w:cs="Segoe UI"/>
      <w:sz w:val="18"/>
      <w:szCs w:val="18"/>
    </w:rPr>
  </w:style>
  <w:style w:type="paragraph" w:styleId="BodyText">
    <w:name w:val="Body Text"/>
    <w:basedOn w:val="Normal"/>
    <w:link w:val="BodyTextChar"/>
    <w:uiPriority w:val="99"/>
    <w:semiHidden/>
    <w:unhideWhenUsed/>
    <w:rsid w:val="00BE5326"/>
    <w:pPr>
      <w:spacing w:after="120"/>
    </w:pPr>
  </w:style>
  <w:style w:type="character" w:customStyle="1" w:styleId="BodyTextChar">
    <w:name w:val="Body Text Char"/>
    <w:link w:val="BodyText"/>
    <w:uiPriority w:val="99"/>
    <w:semiHidden/>
    <w:rsid w:val="00BE5326"/>
    <w:rPr>
      <w:sz w:val="28"/>
      <w:szCs w:val="28"/>
    </w:rPr>
  </w:style>
  <w:style w:type="paragraph" w:styleId="BodyTextFirstIndent">
    <w:name w:val="Body Text First Indent"/>
    <w:basedOn w:val="BodyText"/>
    <w:link w:val="BodyTextFirstIndentChar"/>
    <w:uiPriority w:val="99"/>
    <w:semiHidden/>
    <w:unhideWhenUsed/>
    <w:rsid w:val="00BE5326"/>
    <w:pPr>
      <w:ind w:firstLine="210"/>
    </w:pPr>
  </w:style>
  <w:style w:type="character" w:customStyle="1" w:styleId="BodyTextFirstIndentChar">
    <w:name w:val="Body Text First Indent Char"/>
    <w:basedOn w:val="BodyTextChar"/>
    <w:link w:val="BodyTextFirstIndent"/>
    <w:uiPriority w:val="99"/>
    <w:semiHidden/>
    <w:rsid w:val="00BE5326"/>
    <w:rPr>
      <w:sz w:val="28"/>
      <w:szCs w:val="28"/>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unhideWhenUsed/>
    <w:qFormat/>
    <w:rsid w:val="006C6701"/>
    <w:rPr>
      <w:rFonts w:ascii="Calibri" w:eastAsia="Times New Roman" w:hAnsi="Calibri"/>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link w:val="FootnoteText"/>
    <w:uiPriority w:val="99"/>
    <w:qFormat/>
    <w:rsid w:val="006C6701"/>
    <w:rPr>
      <w:rFonts w:ascii="Calibri" w:eastAsia="Times New Roman" w:hAnsi="Calibri"/>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Footnote tex"/>
    <w:link w:val="4GCharCharChar"/>
    <w:uiPriority w:val="99"/>
    <w:unhideWhenUsed/>
    <w:qFormat/>
    <w:rsid w:val="006C6701"/>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A54378"/>
    <w:pPr>
      <w:spacing w:before="100" w:line="240" w:lineRule="exact"/>
    </w:pPr>
    <w:rPr>
      <w:sz w:val="20"/>
      <w:szCs w:val="20"/>
      <w:vertAlign w:val="superscript"/>
    </w:rPr>
  </w:style>
  <w:style w:type="paragraph" w:styleId="Revision">
    <w:name w:val="Revision"/>
    <w:hidden/>
    <w:uiPriority w:val="99"/>
    <w:semiHidden/>
    <w:rsid w:val="00E2359B"/>
    <w:rPr>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836469"/>
    <w:pPr>
      <w:spacing w:after="160" w:line="240" w:lineRule="exact"/>
    </w:pPr>
    <w:rPr>
      <w:sz w:val="20"/>
      <w:szCs w:val="20"/>
      <w:vertAlign w:val="superscript"/>
    </w:rPr>
  </w:style>
  <w:style w:type="table" w:styleId="TableGrid">
    <w:name w:val="Table Grid"/>
    <w:basedOn w:val="TableNormal"/>
    <w:uiPriority w:val="59"/>
    <w:rsid w:val="000358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Обычный (веб)1,Обычный (веб) Знак,Обычный (веб) Знак1,Обычный (веб) Знак Знак,Char Char Char Char Char Char Char Char Char Char,Char Char Char Char Char Char Char Char Char Char Char,Char Char Char,Char Char,Char Cha,Geneva 9,webb"/>
    <w:basedOn w:val="Normal"/>
    <w:link w:val="NormalWebChar"/>
    <w:uiPriority w:val="99"/>
    <w:unhideWhenUsed/>
    <w:qFormat/>
    <w:rsid w:val="00631594"/>
    <w:pPr>
      <w:spacing w:before="100" w:beforeAutospacing="1" w:after="100" w:afterAutospacing="1"/>
    </w:pPr>
    <w:rPr>
      <w:rFonts w:eastAsia="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1,Char Char Char Char Char Char Char Char Char Char Char Char,Char Char Char Char"/>
    <w:link w:val="NormalWeb"/>
    <w:uiPriority w:val="99"/>
    <w:qFormat/>
    <w:locked/>
    <w:rsid w:val="00631594"/>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58408288">
      <w:bodyDiv w:val="1"/>
      <w:marLeft w:val="0"/>
      <w:marRight w:val="0"/>
      <w:marTop w:val="0"/>
      <w:marBottom w:val="0"/>
      <w:divBdr>
        <w:top w:val="none" w:sz="0" w:space="0" w:color="auto"/>
        <w:left w:val="none" w:sz="0" w:space="0" w:color="auto"/>
        <w:bottom w:val="none" w:sz="0" w:space="0" w:color="auto"/>
        <w:right w:val="none" w:sz="0" w:space="0" w:color="auto"/>
      </w:divBdr>
    </w:div>
    <w:div w:id="310453330">
      <w:bodyDiv w:val="1"/>
      <w:marLeft w:val="0"/>
      <w:marRight w:val="0"/>
      <w:marTop w:val="0"/>
      <w:marBottom w:val="0"/>
      <w:divBdr>
        <w:top w:val="none" w:sz="0" w:space="0" w:color="auto"/>
        <w:left w:val="none" w:sz="0" w:space="0" w:color="auto"/>
        <w:bottom w:val="none" w:sz="0" w:space="0" w:color="auto"/>
        <w:right w:val="none" w:sz="0" w:space="0" w:color="auto"/>
      </w:divBdr>
    </w:div>
    <w:div w:id="326515726">
      <w:bodyDiv w:val="1"/>
      <w:marLeft w:val="0"/>
      <w:marRight w:val="0"/>
      <w:marTop w:val="0"/>
      <w:marBottom w:val="0"/>
      <w:divBdr>
        <w:top w:val="none" w:sz="0" w:space="0" w:color="auto"/>
        <w:left w:val="none" w:sz="0" w:space="0" w:color="auto"/>
        <w:bottom w:val="none" w:sz="0" w:space="0" w:color="auto"/>
        <w:right w:val="none" w:sz="0" w:space="0" w:color="auto"/>
      </w:divBdr>
    </w:div>
    <w:div w:id="467627582">
      <w:bodyDiv w:val="1"/>
      <w:marLeft w:val="0"/>
      <w:marRight w:val="0"/>
      <w:marTop w:val="0"/>
      <w:marBottom w:val="0"/>
      <w:divBdr>
        <w:top w:val="none" w:sz="0" w:space="0" w:color="auto"/>
        <w:left w:val="none" w:sz="0" w:space="0" w:color="auto"/>
        <w:bottom w:val="none" w:sz="0" w:space="0" w:color="auto"/>
        <w:right w:val="none" w:sz="0" w:space="0" w:color="auto"/>
      </w:divBdr>
    </w:div>
    <w:div w:id="489836150">
      <w:bodyDiv w:val="1"/>
      <w:marLeft w:val="0"/>
      <w:marRight w:val="0"/>
      <w:marTop w:val="0"/>
      <w:marBottom w:val="0"/>
      <w:divBdr>
        <w:top w:val="none" w:sz="0" w:space="0" w:color="auto"/>
        <w:left w:val="none" w:sz="0" w:space="0" w:color="auto"/>
        <w:bottom w:val="none" w:sz="0" w:space="0" w:color="auto"/>
        <w:right w:val="none" w:sz="0" w:space="0" w:color="auto"/>
      </w:divBdr>
    </w:div>
    <w:div w:id="490372915">
      <w:bodyDiv w:val="1"/>
      <w:marLeft w:val="0"/>
      <w:marRight w:val="0"/>
      <w:marTop w:val="0"/>
      <w:marBottom w:val="0"/>
      <w:divBdr>
        <w:top w:val="none" w:sz="0" w:space="0" w:color="auto"/>
        <w:left w:val="none" w:sz="0" w:space="0" w:color="auto"/>
        <w:bottom w:val="none" w:sz="0" w:space="0" w:color="auto"/>
        <w:right w:val="none" w:sz="0" w:space="0" w:color="auto"/>
      </w:divBdr>
    </w:div>
    <w:div w:id="514736129">
      <w:bodyDiv w:val="1"/>
      <w:marLeft w:val="0"/>
      <w:marRight w:val="0"/>
      <w:marTop w:val="0"/>
      <w:marBottom w:val="0"/>
      <w:divBdr>
        <w:top w:val="none" w:sz="0" w:space="0" w:color="auto"/>
        <w:left w:val="none" w:sz="0" w:space="0" w:color="auto"/>
        <w:bottom w:val="none" w:sz="0" w:space="0" w:color="auto"/>
        <w:right w:val="none" w:sz="0" w:space="0" w:color="auto"/>
      </w:divBdr>
    </w:div>
    <w:div w:id="707754207">
      <w:bodyDiv w:val="1"/>
      <w:marLeft w:val="0"/>
      <w:marRight w:val="0"/>
      <w:marTop w:val="0"/>
      <w:marBottom w:val="0"/>
      <w:divBdr>
        <w:top w:val="none" w:sz="0" w:space="0" w:color="auto"/>
        <w:left w:val="none" w:sz="0" w:space="0" w:color="auto"/>
        <w:bottom w:val="none" w:sz="0" w:space="0" w:color="auto"/>
        <w:right w:val="none" w:sz="0" w:space="0" w:color="auto"/>
      </w:divBdr>
    </w:div>
    <w:div w:id="792134738">
      <w:bodyDiv w:val="1"/>
      <w:marLeft w:val="0"/>
      <w:marRight w:val="0"/>
      <w:marTop w:val="0"/>
      <w:marBottom w:val="0"/>
      <w:divBdr>
        <w:top w:val="none" w:sz="0" w:space="0" w:color="auto"/>
        <w:left w:val="none" w:sz="0" w:space="0" w:color="auto"/>
        <w:bottom w:val="none" w:sz="0" w:space="0" w:color="auto"/>
        <w:right w:val="none" w:sz="0" w:space="0" w:color="auto"/>
      </w:divBdr>
    </w:div>
    <w:div w:id="983046715">
      <w:bodyDiv w:val="1"/>
      <w:marLeft w:val="0"/>
      <w:marRight w:val="0"/>
      <w:marTop w:val="0"/>
      <w:marBottom w:val="0"/>
      <w:divBdr>
        <w:top w:val="none" w:sz="0" w:space="0" w:color="auto"/>
        <w:left w:val="none" w:sz="0" w:space="0" w:color="auto"/>
        <w:bottom w:val="none" w:sz="0" w:space="0" w:color="auto"/>
        <w:right w:val="none" w:sz="0" w:space="0" w:color="auto"/>
      </w:divBdr>
    </w:div>
    <w:div w:id="1076125492">
      <w:bodyDiv w:val="1"/>
      <w:marLeft w:val="0"/>
      <w:marRight w:val="0"/>
      <w:marTop w:val="0"/>
      <w:marBottom w:val="0"/>
      <w:divBdr>
        <w:top w:val="none" w:sz="0" w:space="0" w:color="auto"/>
        <w:left w:val="none" w:sz="0" w:space="0" w:color="auto"/>
        <w:bottom w:val="none" w:sz="0" w:space="0" w:color="auto"/>
        <w:right w:val="none" w:sz="0" w:space="0" w:color="auto"/>
      </w:divBdr>
    </w:div>
    <w:div w:id="1348170887">
      <w:bodyDiv w:val="1"/>
      <w:marLeft w:val="0"/>
      <w:marRight w:val="0"/>
      <w:marTop w:val="0"/>
      <w:marBottom w:val="0"/>
      <w:divBdr>
        <w:top w:val="none" w:sz="0" w:space="0" w:color="auto"/>
        <w:left w:val="none" w:sz="0" w:space="0" w:color="auto"/>
        <w:bottom w:val="none" w:sz="0" w:space="0" w:color="auto"/>
        <w:right w:val="none" w:sz="0" w:space="0" w:color="auto"/>
      </w:divBdr>
    </w:div>
    <w:div w:id="1366566618">
      <w:bodyDiv w:val="1"/>
      <w:marLeft w:val="0"/>
      <w:marRight w:val="0"/>
      <w:marTop w:val="0"/>
      <w:marBottom w:val="0"/>
      <w:divBdr>
        <w:top w:val="none" w:sz="0" w:space="0" w:color="auto"/>
        <w:left w:val="none" w:sz="0" w:space="0" w:color="auto"/>
        <w:bottom w:val="none" w:sz="0" w:space="0" w:color="auto"/>
        <w:right w:val="none" w:sz="0" w:space="0" w:color="auto"/>
      </w:divBdr>
    </w:div>
    <w:div w:id="1432624346">
      <w:bodyDiv w:val="1"/>
      <w:marLeft w:val="0"/>
      <w:marRight w:val="0"/>
      <w:marTop w:val="0"/>
      <w:marBottom w:val="0"/>
      <w:divBdr>
        <w:top w:val="none" w:sz="0" w:space="0" w:color="auto"/>
        <w:left w:val="none" w:sz="0" w:space="0" w:color="auto"/>
        <w:bottom w:val="none" w:sz="0" w:space="0" w:color="auto"/>
        <w:right w:val="none" w:sz="0" w:space="0" w:color="auto"/>
      </w:divBdr>
    </w:div>
    <w:div w:id="1513832651">
      <w:bodyDiv w:val="1"/>
      <w:marLeft w:val="0"/>
      <w:marRight w:val="0"/>
      <w:marTop w:val="0"/>
      <w:marBottom w:val="0"/>
      <w:divBdr>
        <w:top w:val="none" w:sz="0" w:space="0" w:color="auto"/>
        <w:left w:val="none" w:sz="0" w:space="0" w:color="auto"/>
        <w:bottom w:val="none" w:sz="0" w:space="0" w:color="auto"/>
        <w:right w:val="none" w:sz="0" w:space="0" w:color="auto"/>
      </w:divBdr>
    </w:div>
    <w:div w:id="1552572657">
      <w:bodyDiv w:val="1"/>
      <w:marLeft w:val="0"/>
      <w:marRight w:val="0"/>
      <w:marTop w:val="0"/>
      <w:marBottom w:val="0"/>
      <w:divBdr>
        <w:top w:val="none" w:sz="0" w:space="0" w:color="auto"/>
        <w:left w:val="none" w:sz="0" w:space="0" w:color="auto"/>
        <w:bottom w:val="none" w:sz="0" w:space="0" w:color="auto"/>
        <w:right w:val="none" w:sz="0" w:space="0" w:color="auto"/>
      </w:divBdr>
    </w:div>
    <w:div w:id="1819884529">
      <w:bodyDiv w:val="1"/>
      <w:marLeft w:val="0"/>
      <w:marRight w:val="0"/>
      <w:marTop w:val="0"/>
      <w:marBottom w:val="0"/>
      <w:divBdr>
        <w:top w:val="none" w:sz="0" w:space="0" w:color="auto"/>
        <w:left w:val="none" w:sz="0" w:space="0" w:color="auto"/>
        <w:bottom w:val="none" w:sz="0" w:space="0" w:color="auto"/>
        <w:right w:val="none" w:sz="0" w:space="0" w:color="auto"/>
      </w:divBdr>
    </w:div>
    <w:div w:id="182873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Nghi-quyet-30a-2008-NQ-CP-chuong-trinh-ho-tro-giam-ngheo-nhanh-va-ben-vung-doi-voi-61-huyen-ngheo-83914.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DDAA2-3768-48F6-BADD-3362E237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3601</Words>
  <Characters>20531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BỘ TÀI CHÍNH</vt:lpstr>
    </vt:vector>
  </TitlesOfParts>
  <Company>MOF</Company>
  <LinksUpToDate>false</LinksUpToDate>
  <CharactersWithSpaces>24084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Vo Le Phuong</dc:creator>
  <cp:lastModifiedBy>Administrator</cp:lastModifiedBy>
  <cp:revision>7</cp:revision>
  <cp:lastPrinted>2025-11-04T08:55:00Z</cp:lastPrinted>
  <dcterms:created xsi:type="dcterms:W3CDTF">2025-11-04T07:11:00Z</dcterms:created>
  <dcterms:modified xsi:type="dcterms:W3CDTF">2025-11-05T01:47:00Z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-1310848478</vt:i4>
  </property>
</Properties>
</file>