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6062"/>
        <w:gridCol w:w="9574"/>
      </w:tblGrid>
      <w:tr w:rsidR="004110DA" w:rsidTr="004110DA">
        <w:tc>
          <w:tcPr>
            <w:tcW w:w="6062" w:type="dxa"/>
            <w:tcBorders>
              <w:top w:val="nil"/>
              <w:left w:val="nil"/>
              <w:bottom w:val="nil"/>
              <w:right w:val="nil"/>
            </w:tcBorders>
          </w:tcPr>
          <w:p w:rsidR="004110DA" w:rsidRDefault="00523879" w:rsidP="008373C3">
            <w:pPr>
              <w:jc w:val="center"/>
              <w:rPr>
                <w:rFonts w:ascii="Times New Roman" w:hAnsi="Times New Roman" w:cs="Times New Roman"/>
                <w:b/>
                <w:sz w:val="26"/>
                <w:szCs w:val="26"/>
              </w:rPr>
            </w:pPr>
            <w:bookmarkStart w:id="0" w:name="_Hlk146034273"/>
            <w:r>
              <w:rPr>
                <w:rFonts w:ascii="Times New Roman" w:hAnsi="Times New Roman" w:cs="Times New Roman"/>
                <w:b/>
                <w:sz w:val="26"/>
                <w:szCs w:val="26"/>
              </w:rPr>
              <w:pict>
                <v:shapetype id="_x0000_t32" coordsize="21600,21600" o:spt="32" o:oned="t" path="m,l21600,21600e" filled="f">
                  <v:path arrowok="t" fillok="f" o:connecttype="none"/>
                  <o:lock v:ext="edit" shapetype="t"/>
                </v:shapetype>
                <v:shape id="_x0000_s2051" type="#_x0000_t32" style="position:absolute;left:0;text-align:left;margin-left:126.55pt;margin-top:16.45pt;width:41.9pt;height:0;z-index:251659264" o:connectortype="straight"/>
              </w:pict>
            </w:r>
            <w:r w:rsidR="004110DA">
              <w:rPr>
                <w:rFonts w:ascii="Times New Roman" w:hAnsi="Times New Roman" w:cs="Times New Roman"/>
                <w:b/>
                <w:sz w:val="26"/>
                <w:szCs w:val="26"/>
              </w:rPr>
              <w:t>BỘ TÀI CHÍNH</w:t>
            </w:r>
          </w:p>
        </w:tc>
        <w:tc>
          <w:tcPr>
            <w:tcW w:w="9574" w:type="dxa"/>
            <w:tcBorders>
              <w:top w:val="nil"/>
              <w:left w:val="nil"/>
              <w:bottom w:val="nil"/>
              <w:right w:val="nil"/>
            </w:tcBorders>
          </w:tcPr>
          <w:p w:rsidR="004110DA" w:rsidRDefault="004110DA" w:rsidP="002A0F08">
            <w:pPr>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4110DA" w:rsidRPr="004110DA" w:rsidRDefault="004110DA" w:rsidP="002A0F08">
            <w:pPr>
              <w:jc w:val="center"/>
              <w:rPr>
                <w:rFonts w:ascii="Times New Roman" w:hAnsi="Times New Roman" w:cs="Times New Roman"/>
                <w:b/>
                <w:sz w:val="28"/>
                <w:szCs w:val="26"/>
              </w:rPr>
            </w:pPr>
            <w:r w:rsidRPr="004110DA">
              <w:rPr>
                <w:rFonts w:ascii="Times New Roman" w:hAnsi="Times New Roman" w:cs="Times New Roman"/>
                <w:b/>
                <w:sz w:val="28"/>
                <w:szCs w:val="26"/>
              </w:rPr>
              <w:t>Độc lập - Tự do - Hạnh phúc</w:t>
            </w:r>
          </w:p>
          <w:p w:rsidR="004110DA" w:rsidRDefault="00523879" w:rsidP="002A0F08">
            <w:pPr>
              <w:jc w:val="center"/>
              <w:rPr>
                <w:rFonts w:ascii="Times New Roman" w:hAnsi="Times New Roman" w:cs="Times New Roman"/>
                <w:b/>
                <w:sz w:val="26"/>
                <w:szCs w:val="26"/>
              </w:rPr>
            </w:pPr>
            <w:r>
              <w:rPr>
                <w:rFonts w:ascii="Times New Roman" w:hAnsi="Times New Roman" w:cs="Times New Roman"/>
                <w:b/>
                <w:sz w:val="26"/>
                <w:szCs w:val="26"/>
              </w:rPr>
              <w:pict>
                <v:shape id="_x0000_s2050" type="#_x0000_t32" style="position:absolute;left:0;text-align:left;margin-left:151.65pt;margin-top:2.45pt;width:161.6pt;height:.05pt;z-index:251658240" o:connectortype="straight"/>
              </w:pict>
            </w:r>
          </w:p>
          <w:p w:rsidR="004110DA" w:rsidRPr="004110DA" w:rsidRDefault="004110DA" w:rsidP="002A0F08">
            <w:pPr>
              <w:jc w:val="center"/>
              <w:rPr>
                <w:rFonts w:ascii="Times New Roman" w:hAnsi="Times New Roman" w:cs="Times New Roman"/>
                <w:i/>
                <w:sz w:val="26"/>
                <w:szCs w:val="26"/>
              </w:rPr>
            </w:pPr>
            <w:r w:rsidRPr="004110DA">
              <w:rPr>
                <w:rFonts w:ascii="Times New Roman" w:hAnsi="Times New Roman" w:cs="Times New Roman"/>
                <w:i/>
                <w:sz w:val="28"/>
                <w:szCs w:val="26"/>
              </w:rPr>
              <w:t>Hà Nội, ngày     tháng     năm 2025</w:t>
            </w:r>
          </w:p>
        </w:tc>
      </w:tr>
    </w:tbl>
    <w:p w:rsidR="004110DA" w:rsidRDefault="004110DA" w:rsidP="002A0F08">
      <w:pPr>
        <w:spacing w:after="0" w:line="240" w:lineRule="auto"/>
        <w:ind w:firstLine="284"/>
        <w:jc w:val="center"/>
        <w:rPr>
          <w:rFonts w:ascii="Times New Roman" w:hAnsi="Times New Roman" w:cs="Times New Roman"/>
          <w:b/>
          <w:sz w:val="26"/>
          <w:szCs w:val="26"/>
        </w:rPr>
      </w:pPr>
    </w:p>
    <w:p w:rsidR="004110DA" w:rsidRPr="004110DA" w:rsidRDefault="004110DA" w:rsidP="002A0F08">
      <w:pPr>
        <w:spacing w:after="0" w:line="240" w:lineRule="auto"/>
        <w:ind w:firstLine="284"/>
        <w:jc w:val="center"/>
        <w:rPr>
          <w:rFonts w:ascii="Times New Roman" w:hAnsi="Times New Roman" w:cs="Times New Roman"/>
          <w:b/>
          <w:sz w:val="8"/>
          <w:szCs w:val="26"/>
        </w:rPr>
      </w:pPr>
    </w:p>
    <w:p w:rsidR="003835CD" w:rsidRPr="00DB5404" w:rsidRDefault="00431254" w:rsidP="002A0F08">
      <w:pPr>
        <w:spacing w:after="0" w:line="240" w:lineRule="auto"/>
        <w:ind w:firstLine="284"/>
        <w:jc w:val="center"/>
        <w:rPr>
          <w:rFonts w:ascii="Times New Roman" w:hAnsi="Times New Roman" w:cs="Times New Roman"/>
          <w:b/>
          <w:sz w:val="26"/>
          <w:szCs w:val="26"/>
        </w:rPr>
      </w:pPr>
      <w:r>
        <w:rPr>
          <w:rFonts w:ascii="Times New Roman" w:hAnsi="Times New Roman" w:cs="Times New Roman"/>
          <w:b/>
          <w:sz w:val="26"/>
          <w:szCs w:val="26"/>
        </w:rPr>
        <w:t>BẢ</w:t>
      </w:r>
      <w:r w:rsidR="004110DA">
        <w:rPr>
          <w:rFonts w:ascii="Times New Roman" w:hAnsi="Times New Roman" w:cs="Times New Roman"/>
          <w:b/>
          <w:sz w:val="26"/>
          <w:szCs w:val="26"/>
        </w:rPr>
        <w:t xml:space="preserve">N SO SÁNH, </w:t>
      </w:r>
      <w:r w:rsidR="0038243D">
        <w:rPr>
          <w:rFonts w:ascii="Times New Roman" w:hAnsi="Times New Roman" w:cs="Times New Roman"/>
          <w:b/>
          <w:sz w:val="26"/>
          <w:szCs w:val="26"/>
        </w:rPr>
        <w:t>THUYẾT MINH</w:t>
      </w:r>
      <w:r w:rsidRPr="00431254">
        <w:rPr>
          <w:rFonts w:ascii="Times New Roman" w:hAnsi="Times New Roman" w:cs="Times New Roman"/>
          <w:b/>
          <w:sz w:val="26"/>
          <w:szCs w:val="26"/>
        </w:rPr>
        <w:t xml:space="preserve"> </w:t>
      </w:r>
      <w:r w:rsidR="00602E69">
        <w:rPr>
          <w:rFonts w:ascii="Times New Roman" w:hAnsi="Times New Roman" w:cs="Times New Roman"/>
          <w:b/>
          <w:sz w:val="26"/>
          <w:szCs w:val="26"/>
        </w:rPr>
        <w:t>DỰ THẢO NGHỊ ĐỊNH SỬA ĐỔI, BỔ SUNG MỘT SỐ ĐIỀU CỦA</w:t>
      </w:r>
      <w:r w:rsidR="00DB5404">
        <w:rPr>
          <w:rFonts w:ascii="Times New Roman" w:eastAsia="Times New Roman" w:hAnsi="Times New Roman" w:cs="Times New Roman"/>
          <w:b/>
          <w:bCs/>
          <w:color w:val="000000"/>
          <w:sz w:val="26"/>
          <w:szCs w:val="26"/>
        </w:rPr>
        <w:t xml:space="preserve"> NGHỊ ĐỊNH </w:t>
      </w:r>
      <w:r w:rsidR="00736049">
        <w:rPr>
          <w:rFonts w:ascii="Times New Roman" w:eastAsia="Times New Roman" w:hAnsi="Times New Roman" w:cs="Times New Roman"/>
          <w:b/>
          <w:bCs/>
          <w:color w:val="000000"/>
          <w:sz w:val="26"/>
          <w:szCs w:val="26"/>
        </w:rPr>
        <w:t>135/2025/NĐ-CP</w:t>
      </w:r>
    </w:p>
    <w:p w:rsidR="00DE1BF9" w:rsidRPr="006759CA" w:rsidRDefault="00DE1BF9" w:rsidP="002A0F08">
      <w:pPr>
        <w:spacing w:after="0" w:line="240" w:lineRule="auto"/>
        <w:ind w:firstLine="284"/>
        <w:jc w:val="both"/>
        <w:rPr>
          <w:rFonts w:ascii="Times New Roman" w:hAnsi="Times New Roman" w:cs="Times New Roman"/>
          <w:b/>
          <w:sz w:val="28"/>
          <w:szCs w:val="24"/>
        </w:rPr>
      </w:pPr>
    </w:p>
    <w:tbl>
      <w:tblPr>
        <w:tblStyle w:val="TableGrid"/>
        <w:tblW w:w="5000" w:type="pct"/>
        <w:tblLook w:val="0400"/>
      </w:tblPr>
      <w:tblGrid>
        <w:gridCol w:w="5494"/>
        <w:gridCol w:w="5670"/>
        <w:gridCol w:w="4472"/>
      </w:tblGrid>
      <w:tr w:rsidR="00602E69" w:rsidRPr="006759CA" w:rsidTr="001551D6">
        <w:trPr>
          <w:trHeight w:val="581"/>
          <w:tblHeader/>
        </w:trPr>
        <w:tc>
          <w:tcPr>
            <w:tcW w:w="1757" w:type="pct"/>
            <w:shd w:val="clear" w:color="auto" w:fill="D9D9D9" w:themeFill="background1" w:themeFillShade="D9"/>
            <w:vAlign w:val="center"/>
          </w:tcPr>
          <w:p w:rsidR="00602E69" w:rsidRPr="006759CA" w:rsidRDefault="00602E69" w:rsidP="00736049">
            <w:pPr>
              <w:tabs>
                <w:tab w:val="left" w:pos="143"/>
              </w:tabs>
              <w:jc w:val="center"/>
              <w:rPr>
                <w:rFonts w:ascii="Times New Roman" w:eastAsia="Cambria" w:hAnsi="Times New Roman" w:cs="Times New Roman"/>
                <w:b/>
                <w:sz w:val="24"/>
                <w:szCs w:val="24"/>
              </w:rPr>
            </w:pPr>
            <w:r w:rsidRPr="006759CA">
              <w:rPr>
                <w:rFonts w:ascii="Times New Roman" w:eastAsia="Cambria" w:hAnsi="Times New Roman" w:cs="Times New Roman"/>
                <w:b/>
                <w:sz w:val="24"/>
                <w:szCs w:val="24"/>
              </w:rPr>
              <w:t xml:space="preserve">NGHỊ ĐỊNH </w:t>
            </w:r>
            <w:r>
              <w:rPr>
                <w:rFonts w:ascii="Times New Roman" w:eastAsia="Cambria" w:hAnsi="Times New Roman" w:cs="Times New Roman"/>
                <w:b/>
                <w:sz w:val="24"/>
                <w:szCs w:val="24"/>
              </w:rPr>
              <w:t>135/2025/NĐ-CP</w:t>
            </w:r>
          </w:p>
        </w:tc>
        <w:tc>
          <w:tcPr>
            <w:tcW w:w="1813" w:type="pct"/>
            <w:shd w:val="clear" w:color="auto" w:fill="D9D9D9" w:themeFill="background1" w:themeFillShade="D9"/>
            <w:vAlign w:val="center"/>
          </w:tcPr>
          <w:p w:rsidR="00602E69" w:rsidRPr="006759CA" w:rsidRDefault="00602E69" w:rsidP="002A0F08">
            <w:pPr>
              <w:widowControl w:val="0"/>
              <w:ind w:firstLine="170"/>
              <w:jc w:val="center"/>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 xml:space="preserve">DỰ THẢO NGHỊ ĐỊNH SỬA ĐỔI, BỔ SUNG MỘT SỐ ĐIỀU CỦA </w:t>
            </w:r>
            <w:r w:rsidRPr="006759CA">
              <w:rPr>
                <w:rFonts w:ascii="Times New Roman" w:eastAsia="Cambria" w:hAnsi="Times New Roman" w:cs="Times New Roman"/>
                <w:b/>
                <w:sz w:val="24"/>
                <w:szCs w:val="24"/>
              </w:rPr>
              <w:t xml:space="preserve">NGHỊ ĐỊNH </w:t>
            </w:r>
            <w:r>
              <w:rPr>
                <w:rFonts w:ascii="Times New Roman" w:eastAsia="Cambria" w:hAnsi="Times New Roman" w:cs="Times New Roman"/>
                <w:b/>
                <w:sz w:val="24"/>
                <w:szCs w:val="24"/>
              </w:rPr>
              <w:t>135/2025/NĐ-CP</w:t>
            </w:r>
          </w:p>
        </w:tc>
        <w:tc>
          <w:tcPr>
            <w:tcW w:w="1430" w:type="pct"/>
            <w:shd w:val="clear" w:color="auto" w:fill="D9D9D9" w:themeFill="background1" w:themeFillShade="D9"/>
            <w:vAlign w:val="center"/>
          </w:tcPr>
          <w:p w:rsidR="00602E69" w:rsidRPr="006759CA" w:rsidRDefault="00602E69" w:rsidP="00580BE6">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THUYẾT MINH</w:t>
            </w:r>
          </w:p>
        </w:tc>
      </w:tr>
      <w:tr w:rsidR="00516AFA" w:rsidRPr="00FF2E1E" w:rsidTr="00516AFA">
        <w:trPr>
          <w:trHeight w:val="299"/>
        </w:trPr>
        <w:tc>
          <w:tcPr>
            <w:tcW w:w="5000" w:type="pct"/>
            <w:gridSpan w:val="3"/>
          </w:tcPr>
          <w:p w:rsidR="00516AFA" w:rsidRDefault="00516AFA" w:rsidP="00516AFA">
            <w:pPr>
              <w:tabs>
                <w:tab w:val="left" w:pos="143"/>
              </w:tabs>
              <w:spacing w:before="40" w:after="40"/>
              <w:ind w:firstLine="170"/>
              <w:jc w:val="both"/>
              <w:rPr>
                <w:rFonts w:ascii="Times New Roman" w:eastAsia="Cambria" w:hAnsi="Times New Roman" w:cs="Times New Roman"/>
                <w:bCs/>
                <w:sz w:val="24"/>
                <w:szCs w:val="24"/>
                <w:lang w:val="da-DK"/>
              </w:rPr>
            </w:pPr>
            <w:r w:rsidRPr="00516AFA">
              <w:rPr>
                <w:rFonts w:ascii="Times New Roman Bold" w:eastAsia="Cambria" w:hAnsi="Times New Roman Bold" w:cs="Times New Roman"/>
                <w:b/>
                <w:spacing w:val="-3"/>
                <w:sz w:val="24"/>
                <w:szCs w:val="24"/>
                <w:lang w:val="vi-VN"/>
              </w:rPr>
              <w:t>I. Sửa đổi, bổ sung nội dung tại một số điều, khoản, điểm tại Nghị định số 135/2025/NĐ-CP</w:t>
            </w:r>
          </w:p>
        </w:tc>
      </w:tr>
      <w:tr w:rsidR="00602E69" w:rsidRPr="008A118E" w:rsidTr="001551D6">
        <w:trPr>
          <w:trHeight w:val="244"/>
        </w:trPr>
        <w:tc>
          <w:tcPr>
            <w:tcW w:w="1757" w:type="pct"/>
          </w:tcPr>
          <w:p w:rsidR="00602E69" w:rsidRPr="00517496" w:rsidRDefault="00602E69" w:rsidP="005670E7">
            <w:pPr>
              <w:ind w:firstLine="319"/>
              <w:jc w:val="both"/>
              <w:rPr>
                <w:rFonts w:ascii="Times New Roman" w:eastAsia="Cambria" w:hAnsi="Times New Roman" w:cs="Times New Roman"/>
                <w:b/>
                <w:bCs/>
                <w:sz w:val="24"/>
                <w:szCs w:val="24"/>
                <w:lang w:val="vi-VN"/>
              </w:rPr>
            </w:pPr>
            <w:r>
              <w:rPr>
                <w:rFonts w:ascii="Times New Roman" w:eastAsia="Cambria" w:hAnsi="Times New Roman" w:cs="Times New Roman"/>
                <w:b/>
                <w:bCs/>
                <w:sz w:val="24"/>
                <w:szCs w:val="24"/>
              </w:rPr>
              <w:t>K</w:t>
            </w:r>
            <w:r w:rsidRPr="00517496">
              <w:rPr>
                <w:rFonts w:ascii="Times New Roman" w:eastAsia="Cambria" w:hAnsi="Times New Roman" w:cs="Times New Roman"/>
                <w:b/>
                <w:bCs/>
                <w:sz w:val="24"/>
                <w:szCs w:val="24"/>
                <w:lang w:val="vi-VN"/>
              </w:rPr>
              <w:t>hoản 4</w:t>
            </w:r>
            <w:r>
              <w:rPr>
                <w:rFonts w:ascii="Times New Roman" w:eastAsia="Cambria" w:hAnsi="Times New Roman" w:cs="Times New Roman"/>
                <w:b/>
                <w:bCs/>
                <w:sz w:val="24"/>
                <w:szCs w:val="24"/>
              </w:rPr>
              <w:t>, khoản 5</w:t>
            </w:r>
            <w:r w:rsidRPr="00517496">
              <w:rPr>
                <w:rFonts w:ascii="Times New Roman" w:eastAsia="Cambria" w:hAnsi="Times New Roman" w:cs="Times New Roman"/>
                <w:b/>
                <w:bCs/>
                <w:sz w:val="24"/>
                <w:szCs w:val="24"/>
                <w:lang w:val="vi-VN"/>
              </w:rPr>
              <w:t xml:space="preserve"> Điều 22</w:t>
            </w:r>
            <w:r>
              <w:rPr>
                <w:rFonts w:ascii="Times New Roman" w:eastAsia="Cambria" w:hAnsi="Times New Roman" w:cs="Times New Roman"/>
                <w:b/>
                <w:bCs/>
                <w:sz w:val="24"/>
                <w:szCs w:val="24"/>
              </w:rPr>
              <w:t xml:space="preserve"> về</w:t>
            </w:r>
            <w:r w:rsidRPr="00AA2578">
              <w:rPr>
                <w:rFonts w:eastAsia="Cambria" w:cs="Times New Roman"/>
                <w:b/>
                <w:spacing w:val="-4"/>
                <w:sz w:val="24"/>
                <w:szCs w:val="24"/>
              </w:rPr>
              <w:t xml:space="preserve"> </w:t>
            </w:r>
            <w:r>
              <w:rPr>
                <w:rFonts w:eastAsia="Cambria" w:cs="Times New Roman"/>
                <w:b/>
                <w:spacing w:val="-4"/>
                <w:sz w:val="24"/>
                <w:szCs w:val="24"/>
              </w:rPr>
              <w:t>p</w:t>
            </w:r>
            <w:r w:rsidRPr="00AA2578">
              <w:rPr>
                <w:rFonts w:ascii="Times New Roman Bold" w:eastAsia="Cambria" w:hAnsi="Times New Roman Bold" w:cs="Times New Roman"/>
                <w:b/>
                <w:spacing w:val="-4"/>
                <w:sz w:val="24"/>
                <w:szCs w:val="24"/>
                <w:lang w:val="vi-VN"/>
              </w:rPr>
              <w:t>hân phối lợi nhuận đối với tổ chức tín dụng do Nhà nước nắm giữ 100% vốn điều lệ</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4. Phần lợi nhuận còn lại sau khi trừ các khoản quy định tại khoản 1, khoản 2, khoản 3 Điều này được phân phối theo thứ tự sau:</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a) Trích 10% vào quỹ dự phòng tài chính; mức tối đa của quỹ này không vượt quá 25% mức vốn điều lệ của tổ chức tín dụng;</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b) Trích tối đa 20% vào quỹ đầu tư phát triển; mức tối đa của quỹ này không vượt quá mức vốn điều lệ của tổ chức tín dụng;</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c) Trích quỹ khen thưởng, quỹ phúc lợi cho người lao động trong tổ chức tín dụng:</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Tổ chức tín dụng xếp loại A theo quy định tại Nghị định này được trích 3 tháng lương thực hiện cho hai quỹ khen thưởng, quỹ phúc lợi;</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Tổ chức tín dụng xếp loại B theo quy định tại Nghị định này được trích 1,5 tháng lương thực hiện cho hai quỹ khen thưởng, quỹ phúc lợi;</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Tổ chức tín dụng xếp loại C theo quy định tại Nghị định này được trích 01 tháng lương thực hiện cho hai quỹ khen thưởng, quỹ phúc lợi;</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Tổ chức tín dụng không thực hiện xếp loại thì không được trích lập hai quỹ khen thưởng, quỹ phúc lợi.</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lastRenderedPageBreak/>
              <w:t>d) Trích quỹ thưởng người quản lý tổ chức tín dụng, kiểm soát viên:</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Tổ chức tín dụng xếp loại A theo quy định tại Nghị định này được trích 1,5 tháng lương thực hiện của người quản lý tổ chức tín dụng, kiểm soát viên;</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Tổ chức tín dụng xếp loại B theo quy định tại Nghị định này được trích 01 tháng lương thực hiện của người quản lý tổ chức tín dụng, kiểm soát viên;</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Tổ chức tín dụng xếp loại C theo quy định tại Nghị định này hoặc tổ chức tín dụng không thực hiện xếp loại thì không được trích lập quỹ thưởng người quản lý tổ chức tín dụng, kiểm soát viên.</w:t>
            </w:r>
          </w:p>
          <w:p w:rsidR="00602E69" w:rsidRPr="00365B29" w:rsidRDefault="00602E69" w:rsidP="00517496">
            <w:pPr>
              <w:tabs>
                <w:tab w:val="left" w:pos="143"/>
              </w:tabs>
              <w:ind w:firstLine="284"/>
              <w:jc w:val="both"/>
              <w:rPr>
                <w:rFonts w:ascii="Times New Roman" w:eastAsia="Cambria" w:hAnsi="Times New Roman" w:cs="Times New Roman"/>
                <w:sz w:val="24"/>
                <w:szCs w:val="24"/>
                <w:lang w:val="vi-VN"/>
              </w:rPr>
            </w:pPr>
            <w:r w:rsidRPr="00517496">
              <w:rPr>
                <w:rFonts w:ascii="Times New Roman" w:eastAsia="Cambria" w:hAnsi="Times New Roman" w:cs="Times New Roman"/>
                <w:bCs/>
                <w:sz w:val="24"/>
                <w:szCs w:val="24"/>
                <w:lang w:val="vi-VN"/>
              </w:rPr>
              <w:t>5. Trường hợp phần lợi nhuận còn lại sau khi trích lập quỹ đầu tư phát triển quy định tại khoản 4 Điều này mà không đủ nguồn để trích các quỹ khen thưởng, quỹ phúc lợi cho người lao động, quỹ thưởng người quản lý tổ chức tín dụng, kiểm soát viên theo mức quy định thì tổ chức tín dụng được giảm trừ phần lợi nhuận trích lập quỹ đầu tư phát triển để bổ sung nguồn trích lập đủ quỹ khen thưởng, quỹ phúc lợi cho người lao động, quỹ thưởng người quản lý tổ chức tín dụng, kiểm soát viên theo mức quy định, nhưng mức giảm tối đa không quá mức trích vào quỹ đầu tư phát triển trong năm tài chính.</w:t>
            </w:r>
          </w:p>
        </w:tc>
        <w:tc>
          <w:tcPr>
            <w:tcW w:w="1813" w:type="pct"/>
          </w:tcPr>
          <w:p w:rsidR="00602E69" w:rsidRPr="00602E69" w:rsidRDefault="00602E69" w:rsidP="005670E7">
            <w:pPr>
              <w:tabs>
                <w:tab w:val="left" w:pos="143"/>
              </w:tabs>
              <w:ind w:firstLine="284"/>
              <w:jc w:val="both"/>
              <w:rPr>
                <w:rFonts w:ascii="Times New Roman" w:eastAsia="Cambria" w:hAnsi="Times New Roman" w:cs="Times New Roman"/>
                <w:b/>
                <w:bCs/>
                <w:sz w:val="24"/>
                <w:szCs w:val="24"/>
                <w:lang w:val="vi-VN"/>
              </w:rPr>
            </w:pPr>
            <w:r w:rsidRPr="00365B29">
              <w:rPr>
                <w:rFonts w:ascii="Times New Roman" w:eastAsia="Cambria" w:hAnsi="Times New Roman" w:cs="Times New Roman"/>
                <w:b/>
                <w:bCs/>
                <w:sz w:val="24"/>
                <w:szCs w:val="24"/>
                <w:lang w:val="vi-VN"/>
              </w:rPr>
              <w:lastRenderedPageBreak/>
              <w:t>K</w:t>
            </w:r>
            <w:r w:rsidRPr="00517496">
              <w:rPr>
                <w:rFonts w:ascii="Times New Roman" w:eastAsia="Cambria" w:hAnsi="Times New Roman" w:cs="Times New Roman"/>
                <w:b/>
                <w:bCs/>
                <w:sz w:val="24"/>
                <w:szCs w:val="24"/>
                <w:lang w:val="vi-VN"/>
              </w:rPr>
              <w:t>hoản 4</w:t>
            </w:r>
            <w:r w:rsidRPr="00365B29">
              <w:rPr>
                <w:rFonts w:ascii="Times New Roman" w:eastAsia="Cambria" w:hAnsi="Times New Roman" w:cs="Times New Roman"/>
                <w:b/>
                <w:bCs/>
                <w:sz w:val="24"/>
                <w:szCs w:val="24"/>
                <w:lang w:val="vi-VN"/>
              </w:rPr>
              <w:t>, khoản 5</w:t>
            </w:r>
            <w:r w:rsidRPr="00517496">
              <w:rPr>
                <w:rFonts w:ascii="Times New Roman" w:eastAsia="Cambria" w:hAnsi="Times New Roman" w:cs="Times New Roman"/>
                <w:b/>
                <w:bCs/>
                <w:sz w:val="24"/>
                <w:szCs w:val="24"/>
                <w:lang w:val="vi-VN"/>
              </w:rPr>
              <w:t xml:space="preserve"> Điều 22</w:t>
            </w:r>
            <w:r w:rsidRPr="00602E69">
              <w:rPr>
                <w:rFonts w:ascii="Times New Roman" w:eastAsia="Cambria" w:hAnsi="Times New Roman" w:cs="Times New Roman"/>
                <w:b/>
                <w:bCs/>
                <w:sz w:val="24"/>
                <w:szCs w:val="24"/>
                <w:lang w:val="vi-VN"/>
              </w:rPr>
              <w:t xml:space="preserve"> về</w:t>
            </w:r>
            <w:r w:rsidRPr="00602E69">
              <w:rPr>
                <w:rFonts w:eastAsia="Cambria" w:cs="Times New Roman"/>
                <w:b/>
                <w:spacing w:val="-4"/>
                <w:sz w:val="24"/>
                <w:szCs w:val="24"/>
                <w:lang w:val="vi-VN"/>
              </w:rPr>
              <w:t xml:space="preserve"> p</w:t>
            </w:r>
            <w:r w:rsidRPr="00AA2578">
              <w:rPr>
                <w:rFonts w:ascii="Times New Roman Bold" w:eastAsia="Cambria" w:hAnsi="Times New Roman Bold" w:cs="Times New Roman"/>
                <w:b/>
                <w:spacing w:val="-4"/>
                <w:sz w:val="24"/>
                <w:szCs w:val="24"/>
                <w:lang w:val="vi-VN"/>
              </w:rPr>
              <w:t>hân phối lợi nhuận đối với tổ chức tín dụng do Nhà nước nắm giữ 100% vốn điều lệ</w:t>
            </w:r>
          </w:p>
          <w:p w:rsidR="00602E69" w:rsidRPr="00517496" w:rsidRDefault="00602E69" w:rsidP="00517496">
            <w:pPr>
              <w:tabs>
                <w:tab w:val="left" w:pos="143"/>
              </w:tabs>
              <w:ind w:firstLine="284"/>
              <w:jc w:val="both"/>
              <w:rPr>
                <w:rFonts w:ascii="Times New Roman" w:eastAsia="Cambria" w:hAnsi="Times New Roman" w:cs="Times New Roman"/>
                <w:bCs/>
                <w:sz w:val="24"/>
                <w:szCs w:val="24"/>
                <w:lang w:val="vi-VN"/>
              </w:rPr>
            </w:pPr>
            <w:r w:rsidRPr="00517496">
              <w:rPr>
                <w:rFonts w:ascii="Times New Roman" w:eastAsia="Cambria" w:hAnsi="Times New Roman" w:cs="Times New Roman"/>
                <w:bCs/>
                <w:sz w:val="24"/>
                <w:szCs w:val="24"/>
                <w:lang w:val="vi-VN"/>
              </w:rPr>
              <w:t>4. Phần lợi nhuận còn lại sau khi trừ các khoản quy định tại khoản 1, khoản 2, khoản 3 Điều này được phân phối theo thứ tự sau:</w:t>
            </w:r>
          </w:p>
          <w:p w:rsidR="00602E69" w:rsidRPr="0044171E" w:rsidRDefault="00602E69" w:rsidP="00517496">
            <w:pPr>
              <w:tabs>
                <w:tab w:val="left" w:pos="143"/>
              </w:tabs>
              <w:ind w:firstLine="284"/>
              <w:jc w:val="both"/>
              <w:rPr>
                <w:rFonts w:ascii="Times New Roman" w:eastAsia="Cambria" w:hAnsi="Times New Roman" w:cs="Times New Roman"/>
                <w:bCs/>
                <w:spacing w:val="-4"/>
                <w:sz w:val="24"/>
                <w:szCs w:val="24"/>
                <w:lang w:val="vi-VN"/>
              </w:rPr>
            </w:pPr>
            <w:r w:rsidRPr="0044171E">
              <w:rPr>
                <w:rFonts w:ascii="Times New Roman" w:eastAsia="Cambria" w:hAnsi="Times New Roman" w:cs="Times New Roman"/>
                <w:bCs/>
                <w:spacing w:val="-4"/>
                <w:sz w:val="24"/>
                <w:szCs w:val="24"/>
                <w:lang w:val="vi-VN"/>
              </w:rPr>
              <w:t>a) Trích 10% vào quỹ dự phòng tài chính; mức tối đa của quỹ này không vượt quá 25% mức vốn điều lệ của tổ chức tín dụng;</w:t>
            </w:r>
          </w:p>
          <w:p w:rsidR="003E7016" w:rsidRPr="008A118E" w:rsidRDefault="00602E69" w:rsidP="005670E7">
            <w:pPr>
              <w:tabs>
                <w:tab w:val="left" w:pos="143"/>
              </w:tabs>
              <w:ind w:firstLine="284"/>
              <w:jc w:val="both"/>
              <w:rPr>
                <w:rFonts w:ascii="Times New Roman" w:eastAsia="Cambria" w:hAnsi="Times New Roman" w:cs="Times New Roman"/>
                <w:b/>
                <w:bCs/>
                <w:sz w:val="24"/>
                <w:szCs w:val="24"/>
                <w:lang w:val="vi-VN"/>
              </w:rPr>
            </w:pPr>
            <w:r w:rsidRPr="00BC57EB">
              <w:rPr>
                <w:rFonts w:ascii="Times New Roman" w:eastAsia="Cambria" w:hAnsi="Times New Roman" w:cs="Times New Roman"/>
                <w:bCs/>
                <w:sz w:val="24"/>
                <w:szCs w:val="24"/>
                <w:lang w:val="vi-VN"/>
              </w:rPr>
              <w:t>b)</w:t>
            </w:r>
            <w:r w:rsidRPr="007E149C">
              <w:rPr>
                <w:rFonts w:ascii="Times New Roman" w:eastAsia="Cambria" w:hAnsi="Times New Roman" w:cs="Times New Roman"/>
                <w:bCs/>
                <w:sz w:val="24"/>
                <w:szCs w:val="24"/>
                <w:lang w:val="vi-VN"/>
              </w:rPr>
              <w:t xml:space="preserve"> </w:t>
            </w:r>
            <w:r w:rsidRPr="00BC57EB">
              <w:rPr>
                <w:rFonts w:ascii="Times New Roman" w:eastAsia="Cambria" w:hAnsi="Times New Roman" w:cs="Times New Roman"/>
                <w:bCs/>
                <w:sz w:val="24"/>
                <w:szCs w:val="24"/>
                <w:lang w:val="vi-VN"/>
              </w:rPr>
              <w:t xml:space="preserve">Trích tối đa </w:t>
            </w:r>
            <w:r w:rsidRPr="00BC57EB">
              <w:rPr>
                <w:rFonts w:ascii="Times New Roman" w:eastAsia="Cambria" w:hAnsi="Times New Roman" w:cs="Times New Roman"/>
                <w:bCs/>
                <w:strike/>
                <w:sz w:val="24"/>
                <w:szCs w:val="24"/>
                <w:lang w:val="vi-VN"/>
              </w:rPr>
              <w:t>20%</w:t>
            </w:r>
            <w:r w:rsidRPr="00BC57EB">
              <w:rPr>
                <w:rFonts w:ascii="Times New Roman" w:eastAsia="Cambria" w:hAnsi="Times New Roman" w:cs="Times New Roman"/>
                <w:b/>
                <w:bCs/>
                <w:sz w:val="24"/>
                <w:szCs w:val="24"/>
                <w:lang w:val="vi-VN"/>
              </w:rPr>
              <w:t>40</w:t>
            </w:r>
            <w:r w:rsidRPr="00BC57EB">
              <w:rPr>
                <w:rFonts w:ascii="Times New Roman" w:eastAsia="Cambria" w:hAnsi="Times New Roman" w:cs="Times New Roman"/>
                <w:bCs/>
                <w:sz w:val="24"/>
                <w:szCs w:val="24"/>
                <w:lang w:val="vi-VN"/>
              </w:rPr>
              <w:t>% vào quỹ đầu tư phát triển</w:t>
            </w:r>
            <w:r w:rsidR="003E7016" w:rsidRPr="003E7016">
              <w:rPr>
                <w:rFonts w:ascii="Times New Roman" w:eastAsia="Cambria" w:hAnsi="Times New Roman" w:cs="Times New Roman"/>
                <w:b/>
                <w:bCs/>
                <w:sz w:val="24"/>
                <w:szCs w:val="24"/>
                <w:lang w:val="vi-VN"/>
              </w:rPr>
              <w:t xml:space="preserve">, </w:t>
            </w:r>
            <w:r w:rsidR="008A118E" w:rsidRPr="008A118E">
              <w:rPr>
                <w:rFonts w:ascii="Times New Roman" w:eastAsia="Cambria" w:hAnsi="Times New Roman" w:cs="Times New Roman"/>
                <w:b/>
                <w:bCs/>
                <w:sz w:val="24"/>
                <w:szCs w:val="24"/>
                <w:lang w:val="vi-VN"/>
              </w:rPr>
              <w:t>đảm bảo trích không quá 50% vào quỹ dự trữ bổ sung vốn điều lệ và quỹ đầu tư phát triển theo quy định tại Luật Quản lý và đầu tư vốn nhà nước tại doanh nghiệp</w:t>
            </w:r>
            <w:r w:rsidR="003E7016" w:rsidRPr="003E7016">
              <w:rPr>
                <w:rFonts w:ascii="Times New Roman" w:eastAsia="Cambria" w:hAnsi="Times New Roman" w:cs="Times New Roman"/>
                <w:b/>
                <w:bCs/>
                <w:sz w:val="24"/>
                <w:szCs w:val="24"/>
                <w:lang w:val="vi-VN"/>
              </w:rPr>
              <w:t>.</w:t>
            </w:r>
            <w:r w:rsidRPr="003E7016">
              <w:rPr>
                <w:rFonts w:ascii="Times New Roman" w:eastAsia="Cambria" w:hAnsi="Times New Roman" w:cs="Times New Roman"/>
                <w:b/>
                <w:bCs/>
                <w:sz w:val="24"/>
                <w:szCs w:val="24"/>
                <w:lang w:val="vi-VN"/>
              </w:rPr>
              <w:t xml:space="preserve"> </w:t>
            </w:r>
          </w:p>
          <w:p w:rsidR="00602E69" w:rsidRPr="008A118E" w:rsidRDefault="003E7016" w:rsidP="005670E7">
            <w:pPr>
              <w:tabs>
                <w:tab w:val="left" w:pos="143"/>
              </w:tabs>
              <w:ind w:firstLine="284"/>
              <w:jc w:val="both"/>
              <w:rPr>
                <w:rFonts w:ascii="Times New Roman" w:eastAsia="Cambria" w:hAnsi="Times New Roman" w:cs="Times New Roman"/>
                <w:bCs/>
                <w:sz w:val="24"/>
                <w:szCs w:val="24"/>
                <w:lang w:val="vi-VN"/>
              </w:rPr>
            </w:pPr>
            <w:r w:rsidRPr="003E7016">
              <w:rPr>
                <w:rFonts w:ascii="Times New Roman" w:eastAsia="Cambria" w:hAnsi="Times New Roman" w:cs="Times New Roman"/>
                <w:bCs/>
                <w:sz w:val="24"/>
                <w:szCs w:val="24"/>
                <w:lang w:val="vi-VN"/>
              </w:rPr>
              <w:t>M</w:t>
            </w:r>
            <w:r w:rsidR="00602E69" w:rsidRPr="00BC57EB">
              <w:rPr>
                <w:rFonts w:ascii="Times New Roman" w:eastAsia="Cambria" w:hAnsi="Times New Roman" w:cs="Times New Roman"/>
                <w:bCs/>
                <w:sz w:val="24"/>
                <w:szCs w:val="24"/>
                <w:lang w:val="vi-VN"/>
              </w:rPr>
              <w:t xml:space="preserve">ức tối đa của quỹ </w:t>
            </w:r>
            <w:r w:rsidRPr="008A118E">
              <w:rPr>
                <w:rFonts w:ascii="Times New Roman" w:eastAsia="Cambria" w:hAnsi="Times New Roman" w:cs="Times New Roman"/>
                <w:b/>
                <w:bCs/>
                <w:sz w:val="24"/>
                <w:szCs w:val="24"/>
                <w:lang w:val="vi-VN"/>
              </w:rPr>
              <w:t xml:space="preserve">đầu tư phát triển </w:t>
            </w:r>
            <w:r w:rsidR="00602E69" w:rsidRPr="003E7016">
              <w:rPr>
                <w:rFonts w:ascii="Times New Roman" w:eastAsia="Cambria" w:hAnsi="Times New Roman" w:cs="Times New Roman"/>
                <w:bCs/>
                <w:strike/>
                <w:sz w:val="24"/>
                <w:szCs w:val="24"/>
                <w:lang w:val="vi-VN"/>
              </w:rPr>
              <w:t xml:space="preserve">này </w:t>
            </w:r>
            <w:r w:rsidR="00602E69" w:rsidRPr="00BC57EB">
              <w:rPr>
                <w:rFonts w:ascii="Times New Roman" w:eastAsia="Cambria" w:hAnsi="Times New Roman" w:cs="Times New Roman"/>
                <w:bCs/>
                <w:sz w:val="24"/>
                <w:szCs w:val="24"/>
                <w:lang w:val="vi-VN"/>
              </w:rPr>
              <w:t>không vượt quá mức vốn điều lệ của tổ chức tín dụ</w:t>
            </w:r>
            <w:r>
              <w:rPr>
                <w:rFonts w:ascii="Times New Roman" w:eastAsia="Cambria" w:hAnsi="Times New Roman" w:cs="Times New Roman"/>
                <w:bCs/>
                <w:sz w:val="24"/>
                <w:szCs w:val="24"/>
                <w:lang w:val="vi-VN"/>
              </w:rPr>
              <w:t>ng</w:t>
            </w:r>
            <w:r w:rsidRPr="008A118E">
              <w:rPr>
                <w:rFonts w:ascii="Times New Roman" w:eastAsia="Cambria" w:hAnsi="Times New Roman" w:cs="Times New Roman"/>
                <w:bCs/>
                <w:sz w:val="24"/>
                <w:szCs w:val="24"/>
                <w:lang w:val="vi-VN"/>
              </w:rPr>
              <w:t>.</w:t>
            </w:r>
          </w:p>
          <w:p w:rsidR="00602E69" w:rsidRPr="001747CC" w:rsidRDefault="00602E69" w:rsidP="001D4F0E">
            <w:pPr>
              <w:tabs>
                <w:tab w:val="left" w:pos="143"/>
              </w:tabs>
              <w:ind w:firstLine="284"/>
              <w:jc w:val="both"/>
              <w:rPr>
                <w:rFonts w:ascii="Times New Roman" w:eastAsia="Cambria" w:hAnsi="Times New Roman" w:cs="Times New Roman"/>
                <w:bCs/>
                <w:sz w:val="24"/>
                <w:szCs w:val="24"/>
                <w:lang w:val="vi-VN"/>
              </w:rPr>
            </w:pPr>
            <w:r w:rsidRPr="00365B29">
              <w:rPr>
                <w:rFonts w:ascii="Times New Roman" w:eastAsia="Cambria" w:hAnsi="Times New Roman" w:cs="Times New Roman"/>
                <w:bCs/>
                <w:sz w:val="24"/>
                <w:szCs w:val="24"/>
                <w:lang w:val="vi-VN"/>
              </w:rPr>
              <w:t>c</w:t>
            </w:r>
            <w:r w:rsidRPr="001747CC">
              <w:rPr>
                <w:rFonts w:ascii="Times New Roman" w:eastAsia="Cambria" w:hAnsi="Times New Roman" w:cs="Times New Roman"/>
                <w:bCs/>
                <w:sz w:val="24"/>
                <w:szCs w:val="24"/>
                <w:lang w:val="vi-VN"/>
              </w:rPr>
              <w:t xml:space="preserve">) Trích quỹ khen thưởng, </w:t>
            </w:r>
            <w:r w:rsidRPr="00A62153">
              <w:rPr>
                <w:rFonts w:ascii="Times New Roman" w:eastAsia="Cambria" w:hAnsi="Times New Roman" w:cs="Times New Roman"/>
                <w:bCs/>
                <w:sz w:val="24"/>
                <w:szCs w:val="24"/>
                <w:lang w:val="vi-VN"/>
              </w:rPr>
              <w:t xml:space="preserve">quỹ </w:t>
            </w:r>
            <w:r w:rsidRPr="001747CC">
              <w:rPr>
                <w:rFonts w:ascii="Times New Roman" w:eastAsia="Cambria" w:hAnsi="Times New Roman" w:cs="Times New Roman"/>
                <w:bCs/>
                <w:sz w:val="24"/>
                <w:szCs w:val="24"/>
                <w:lang w:val="vi-VN"/>
              </w:rPr>
              <w:t>phúc lợi cho người lao động</w:t>
            </w:r>
            <w:r w:rsidRPr="00A62153">
              <w:rPr>
                <w:rFonts w:ascii="Times New Roman" w:eastAsia="Cambria" w:hAnsi="Times New Roman" w:cs="Times New Roman"/>
                <w:b/>
                <w:bCs/>
                <w:sz w:val="24"/>
                <w:szCs w:val="24"/>
                <w:lang w:val="vi-VN"/>
              </w:rPr>
              <w:t>, người quản lý tổ chức tín dụng, kiểm soát viên</w:t>
            </w:r>
            <w:r w:rsidRPr="001747CC">
              <w:rPr>
                <w:rFonts w:ascii="Times New Roman" w:eastAsia="Cambria" w:hAnsi="Times New Roman" w:cs="Times New Roman"/>
                <w:bCs/>
                <w:sz w:val="24"/>
                <w:szCs w:val="24"/>
                <w:lang w:val="vi-VN"/>
              </w:rPr>
              <w:t xml:space="preserve"> </w:t>
            </w:r>
            <w:r w:rsidRPr="00A62153">
              <w:rPr>
                <w:rFonts w:ascii="Times New Roman" w:eastAsia="Cambria" w:hAnsi="Times New Roman" w:cs="Times New Roman"/>
                <w:b/>
                <w:bCs/>
                <w:sz w:val="24"/>
                <w:szCs w:val="24"/>
                <w:lang w:val="vi-VN"/>
              </w:rPr>
              <w:t>theo nguyên tắc</w:t>
            </w:r>
            <w:r w:rsidRPr="001747CC">
              <w:rPr>
                <w:rFonts w:ascii="Times New Roman" w:eastAsia="Cambria" w:hAnsi="Times New Roman" w:cs="Times New Roman"/>
                <w:bCs/>
                <w:strike/>
                <w:sz w:val="24"/>
                <w:szCs w:val="24"/>
                <w:lang w:val="vi-VN"/>
              </w:rPr>
              <w:t>trong tổ chức tín dụng</w:t>
            </w:r>
            <w:r w:rsidRPr="001747CC">
              <w:rPr>
                <w:rFonts w:ascii="Times New Roman" w:eastAsia="Cambria" w:hAnsi="Times New Roman" w:cs="Times New Roman"/>
                <w:bCs/>
                <w:sz w:val="24"/>
                <w:szCs w:val="24"/>
                <w:lang w:val="vi-VN"/>
              </w:rPr>
              <w:t>:</w:t>
            </w:r>
          </w:p>
          <w:p w:rsidR="00602E69" w:rsidRPr="001747CC" w:rsidRDefault="00602E69" w:rsidP="001D4F0E">
            <w:pPr>
              <w:tabs>
                <w:tab w:val="left" w:pos="143"/>
              </w:tabs>
              <w:ind w:firstLine="284"/>
              <w:jc w:val="both"/>
              <w:rPr>
                <w:rFonts w:ascii="Times New Roman" w:eastAsia="Cambria" w:hAnsi="Times New Roman" w:cs="Times New Roman"/>
                <w:bCs/>
                <w:sz w:val="24"/>
                <w:szCs w:val="24"/>
                <w:lang w:val="vi-VN"/>
              </w:rPr>
            </w:pPr>
            <w:r w:rsidRPr="001747CC">
              <w:rPr>
                <w:rFonts w:ascii="Times New Roman" w:eastAsia="Cambria" w:hAnsi="Times New Roman" w:cs="Times New Roman"/>
                <w:bCs/>
                <w:sz w:val="24"/>
                <w:szCs w:val="24"/>
                <w:lang w:val="vi-VN"/>
              </w:rPr>
              <w:t xml:space="preserve">Tổ chức tín dụng xếp loại A theo quy định tại Nghị định này được trích </w:t>
            </w:r>
            <w:r w:rsidRPr="001747CC">
              <w:rPr>
                <w:rFonts w:ascii="Times New Roman" w:eastAsia="Cambria" w:hAnsi="Times New Roman" w:cs="Times New Roman"/>
                <w:b/>
                <w:bCs/>
                <w:sz w:val="24"/>
                <w:szCs w:val="24"/>
                <w:lang w:val="vi-VN"/>
              </w:rPr>
              <w:t>0</w:t>
            </w:r>
            <w:r w:rsidRPr="001747CC">
              <w:rPr>
                <w:rFonts w:ascii="Times New Roman" w:eastAsia="Cambria" w:hAnsi="Times New Roman" w:cs="Times New Roman"/>
                <w:bCs/>
                <w:sz w:val="24"/>
                <w:szCs w:val="24"/>
                <w:lang w:val="vi-VN"/>
              </w:rPr>
              <w:t>3 tháng lương thực hiện cho hai quỹ khen thưởng, quỹ phúc lợi;</w:t>
            </w:r>
          </w:p>
          <w:p w:rsidR="00602E69" w:rsidRPr="001747CC" w:rsidRDefault="00602E69" w:rsidP="001D4F0E">
            <w:pPr>
              <w:tabs>
                <w:tab w:val="left" w:pos="143"/>
              </w:tabs>
              <w:ind w:firstLine="284"/>
              <w:jc w:val="both"/>
              <w:rPr>
                <w:rFonts w:ascii="Times New Roman" w:eastAsia="Cambria" w:hAnsi="Times New Roman" w:cs="Times New Roman"/>
                <w:bCs/>
                <w:sz w:val="24"/>
                <w:szCs w:val="24"/>
                <w:lang w:val="vi-VN"/>
              </w:rPr>
            </w:pPr>
            <w:r w:rsidRPr="001747CC">
              <w:rPr>
                <w:rFonts w:ascii="Times New Roman" w:eastAsia="Cambria" w:hAnsi="Times New Roman" w:cs="Times New Roman"/>
                <w:bCs/>
                <w:sz w:val="24"/>
                <w:szCs w:val="24"/>
                <w:lang w:val="vi-VN"/>
              </w:rPr>
              <w:t xml:space="preserve">Tổ chức tín dụng xếp loại B theo quy định tại Nghị định này được trích </w:t>
            </w:r>
            <w:r w:rsidRPr="001747CC">
              <w:rPr>
                <w:rFonts w:ascii="Times New Roman" w:eastAsia="Cambria" w:hAnsi="Times New Roman" w:cs="Times New Roman"/>
                <w:bCs/>
                <w:strike/>
                <w:sz w:val="24"/>
                <w:szCs w:val="24"/>
                <w:lang w:val="vi-VN"/>
              </w:rPr>
              <w:t xml:space="preserve">1,5 </w:t>
            </w:r>
            <w:r w:rsidRPr="001747CC">
              <w:rPr>
                <w:rFonts w:ascii="Times New Roman" w:eastAsia="Cambria" w:hAnsi="Times New Roman" w:cs="Times New Roman"/>
                <w:b/>
                <w:bCs/>
                <w:sz w:val="24"/>
                <w:szCs w:val="24"/>
                <w:lang w:val="vi-VN"/>
              </w:rPr>
              <w:t>02</w:t>
            </w:r>
            <w:r w:rsidRPr="001747CC">
              <w:rPr>
                <w:rFonts w:ascii="Times New Roman" w:eastAsia="Cambria" w:hAnsi="Times New Roman" w:cs="Times New Roman"/>
                <w:bCs/>
                <w:sz w:val="24"/>
                <w:szCs w:val="24"/>
                <w:lang w:val="vi-VN"/>
              </w:rPr>
              <w:t xml:space="preserve"> tháng lương thực hiện cho hai quỹ khen thưởng, quỹ phúc lợi;</w:t>
            </w:r>
          </w:p>
          <w:p w:rsidR="00602E69" w:rsidRPr="001747CC" w:rsidRDefault="00602E69" w:rsidP="001D4F0E">
            <w:pPr>
              <w:tabs>
                <w:tab w:val="left" w:pos="143"/>
              </w:tabs>
              <w:ind w:firstLine="284"/>
              <w:jc w:val="both"/>
              <w:rPr>
                <w:rFonts w:ascii="Times New Roman" w:eastAsia="Cambria" w:hAnsi="Times New Roman" w:cs="Times New Roman"/>
                <w:bCs/>
                <w:sz w:val="24"/>
                <w:szCs w:val="24"/>
                <w:lang w:val="vi-VN"/>
              </w:rPr>
            </w:pPr>
            <w:r w:rsidRPr="001747CC">
              <w:rPr>
                <w:rFonts w:ascii="Times New Roman" w:eastAsia="Cambria" w:hAnsi="Times New Roman" w:cs="Times New Roman"/>
                <w:bCs/>
                <w:sz w:val="24"/>
                <w:szCs w:val="24"/>
                <w:lang w:val="vi-VN"/>
              </w:rPr>
              <w:t xml:space="preserve">Tổ chức tín dụng xếp loại C theo quy định tại Nghị </w:t>
            </w:r>
            <w:r w:rsidRPr="001747CC">
              <w:rPr>
                <w:rFonts w:ascii="Times New Roman" w:eastAsia="Cambria" w:hAnsi="Times New Roman" w:cs="Times New Roman"/>
                <w:bCs/>
                <w:sz w:val="24"/>
                <w:szCs w:val="24"/>
                <w:lang w:val="vi-VN"/>
              </w:rPr>
              <w:lastRenderedPageBreak/>
              <w:t>định này được trích 01 tháng lương thực hiện cho hai quỹ khen thưởng, quỹ phúc lợi;</w:t>
            </w:r>
          </w:p>
          <w:p w:rsidR="00602E69" w:rsidRPr="001747CC" w:rsidRDefault="00602E69" w:rsidP="001D4F0E">
            <w:pPr>
              <w:tabs>
                <w:tab w:val="left" w:pos="143"/>
              </w:tabs>
              <w:ind w:firstLine="284"/>
              <w:jc w:val="both"/>
              <w:rPr>
                <w:rFonts w:ascii="Times New Roman" w:eastAsia="Cambria" w:hAnsi="Times New Roman" w:cs="Times New Roman"/>
                <w:bCs/>
                <w:sz w:val="24"/>
                <w:szCs w:val="24"/>
                <w:lang w:val="vi-VN"/>
              </w:rPr>
            </w:pPr>
            <w:r w:rsidRPr="001747CC">
              <w:rPr>
                <w:rFonts w:ascii="Times New Roman" w:eastAsia="Cambria" w:hAnsi="Times New Roman" w:cs="Times New Roman"/>
                <w:bCs/>
                <w:sz w:val="24"/>
                <w:szCs w:val="24"/>
                <w:lang w:val="vi-VN"/>
              </w:rPr>
              <w:t>Tổ chức tín dụng không thực hiện xếp loại thì không được trích lập hai quỹ khen thưởng, quỹ phúc lợi.</w:t>
            </w:r>
          </w:p>
          <w:p w:rsidR="00602E69" w:rsidRPr="001747CC" w:rsidRDefault="00602E69" w:rsidP="001D4F0E">
            <w:pPr>
              <w:tabs>
                <w:tab w:val="left" w:pos="143"/>
              </w:tabs>
              <w:ind w:firstLine="284"/>
              <w:jc w:val="both"/>
              <w:rPr>
                <w:rFonts w:ascii="Times New Roman" w:eastAsia="Cambria" w:hAnsi="Times New Roman" w:cs="Times New Roman"/>
                <w:bCs/>
                <w:strike/>
                <w:sz w:val="24"/>
                <w:szCs w:val="24"/>
                <w:lang w:val="vi-VN"/>
              </w:rPr>
            </w:pPr>
            <w:r w:rsidRPr="001747CC">
              <w:rPr>
                <w:rFonts w:ascii="Times New Roman" w:eastAsia="Cambria" w:hAnsi="Times New Roman" w:cs="Times New Roman"/>
                <w:bCs/>
                <w:strike/>
                <w:sz w:val="24"/>
                <w:szCs w:val="24"/>
                <w:lang w:val="vi-VN"/>
              </w:rPr>
              <w:t>d) Trích quỹ thưởng người quản lý tổ chức tín dụng, kiểm soát viên:</w:t>
            </w:r>
          </w:p>
          <w:p w:rsidR="00602E69" w:rsidRPr="001747CC" w:rsidRDefault="00602E69" w:rsidP="001D4F0E">
            <w:pPr>
              <w:tabs>
                <w:tab w:val="left" w:pos="143"/>
              </w:tabs>
              <w:ind w:firstLine="284"/>
              <w:jc w:val="both"/>
              <w:rPr>
                <w:rFonts w:ascii="Times New Roman" w:eastAsia="Cambria" w:hAnsi="Times New Roman" w:cs="Times New Roman"/>
                <w:bCs/>
                <w:strike/>
                <w:sz w:val="24"/>
                <w:szCs w:val="24"/>
                <w:lang w:val="vi-VN"/>
              </w:rPr>
            </w:pPr>
            <w:r w:rsidRPr="001747CC">
              <w:rPr>
                <w:rFonts w:ascii="Times New Roman" w:eastAsia="Cambria" w:hAnsi="Times New Roman" w:cs="Times New Roman"/>
                <w:bCs/>
                <w:strike/>
                <w:sz w:val="24"/>
                <w:szCs w:val="24"/>
                <w:lang w:val="vi-VN"/>
              </w:rPr>
              <w:t>Tổ chức tín dụng xếp loại A theo quy định tại Nghị định này được trích 1,5 tháng lương thực hiện của người quản lý tổ chức tín dụng, kiểm soát viên;</w:t>
            </w:r>
          </w:p>
          <w:p w:rsidR="00602E69" w:rsidRPr="001747CC" w:rsidRDefault="00602E69" w:rsidP="001D4F0E">
            <w:pPr>
              <w:tabs>
                <w:tab w:val="left" w:pos="143"/>
              </w:tabs>
              <w:ind w:firstLine="284"/>
              <w:jc w:val="both"/>
              <w:rPr>
                <w:rFonts w:ascii="Times New Roman" w:eastAsia="Cambria" w:hAnsi="Times New Roman" w:cs="Times New Roman"/>
                <w:bCs/>
                <w:strike/>
                <w:sz w:val="24"/>
                <w:szCs w:val="24"/>
                <w:lang w:val="vi-VN"/>
              </w:rPr>
            </w:pPr>
            <w:r w:rsidRPr="001747CC">
              <w:rPr>
                <w:rFonts w:ascii="Times New Roman" w:eastAsia="Cambria" w:hAnsi="Times New Roman" w:cs="Times New Roman"/>
                <w:bCs/>
                <w:strike/>
                <w:sz w:val="24"/>
                <w:szCs w:val="24"/>
                <w:lang w:val="vi-VN"/>
              </w:rPr>
              <w:t>Tổ chức tín dụng xếp loại B theo quy định tại Nghị định này được trích 01 tháng lương thực hiện của người quản lý tổ chức tín dụng, kiểm soát viên;</w:t>
            </w:r>
          </w:p>
          <w:p w:rsidR="00602E69" w:rsidRPr="001747CC" w:rsidRDefault="00602E69" w:rsidP="001D4F0E">
            <w:pPr>
              <w:tabs>
                <w:tab w:val="left" w:pos="143"/>
              </w:tabs>
              <w:ind w:firstLine="284"/>
              <w:jc w:val="both"/>
              <w:rPr>
                <w:rFonts w:ascii="Times New Roman" w:eastAsia="Cambria" w:hAnsi="Times New Roman" w:cs="Times New Roman"/>
                <w:bCs/>
                <w:strike/>
                <w:sz w:val="24"/>
                <w:szCs w:val="24"/>
                <w:lang w:val="vi-VN"/>
              </w:rPr>
            </w:pPr>
            <w:r w:rsidRPr="001747CC">
              <w:rPr>
                <w:rFonts w:ascii="Times New Roman" w:eastAsia="Cambria" w:hAnsi="Times New Roman" w:cs="Times New Roman"/>
                <w:bCs/>
                <w:strike/>
                <w:sz w:val="24"/>
                <w:szCs w:val="24"/>
                <w:lang w:val="vi-VN"/>
              </w:rPr>
              <w:t>Tổ chức tín dụng xếp loại C theo quy định tại Nghị định này hoặc tổ chức tín dụng không thực hiện xếp loại thì không được trích lập quỹ thưởng người quản lý tổ chức tín dụng, kiểm soát viên.</w:t>
            </w:r>
          </w:p>
          <w:p w:rsidR="00602E69" w:rsidRPr="001D4F0E" w:rsidRDefault="00602E69" w:rsidP="001D4F0E">
            <w:pPr>
              <w:tabs>
                <w:tab w:val="left" w:pos="143"/>
              </w:tabs>
              <w:ind w:firstLine="284"/>
              <w:jc w:val="both"/>
              <w:rPr>
                <w:rFonts w:ascii="Times New Roman" w:eastAsia="Cambria" w:hAnsi="Times New Roman" w:cs="Times New Roman"/>
                <w:bCs/>
                <w:sz w:val="24"/>
                <w:szCs w:val="24"/>
                <w:lang w:val="vi-VN"/>
              </w:rPr>
            </w:pPr>
            <w:r w:rsidRPr="001747CC">
              <w:rPr>
                <w:rFonts w:ascii="Times New Roman" w:eastAsia="Cambria" w:hAnsi="Times New Roman" w:cs="Times New Roman"/>
                <w:bCs/>
                <w:sz w:val="24"/>
                <w:szCs w:val="24"/>
                <w:lang w:val="vi-VN"/>
              </w:rPr>
              <w:t xml:space="preserve">5. Trường hợp phần lợi nhuận còn lại sau khi trích lập quỹ đầu tư phát triển quy định tại khoản 4 Điều này mà không đủ nguồn để trích các quỹ khen thưởng, quỹ phúc lợi cho người lao động, người quản lý tổ chức tín dụng, kiểm soát viên theo mức quy định thì tổ chức tín dụng được giảm trừ phần lợi nhuận trích lập quỹ đầu tư phát triển để bổ sung nguồn trích lập đủ quỹ khen thưởng, quỹ phúc lợi </w:t>
            </w:r>
            <w:r w:rsidRPr="001D4F0E">
              <w:rPr>
                <w:rFonts w:ascii="Times New Roman" w:eastAsia="Cambria" w:hAnsi="Times New Roman" w:cs="Times New Roman"/>
                <w:bCs/>
                <w:sz w:val="24"/>
                <w:szCs w:val="24"/>
                <w:lang w:val="vi-VN"/>
              </w:rPr>
              <w:t xml:space="preserve">cho người lao động, </w:t>
            </w:r>
            <w:r w:rsidRPr="001747CC">
              <w:rPr>
                <w:rFonts w:ascii="Times New Roman" w:eastAsia="Cambria" w:hAnsi="Times New Roman" w:cs="Times New Roman"/>
                <w:bCs/>
                <w:strike/>
                <w:sz w:val="24"/>
                <w:szCs w:val="24"/>
                <w:lang w:val="vi-VN"/>
              </w:rPr>
              <w:t xml:space="preserve">quỹ thưởng </w:t>
            </w:r>
            <w:r w:rsidRPr="001D4F0E">
              <w:rPr>
                <w:rFonts w:ascii="Times New Roman" w:eastAsia="Cambria" w:hAnsi="Times New Roman" w:cs="Times New Roman"/>
                <w:bCs/>
                <w:sz w:val="24"/>
                <w:szCs w:val="24"/>
                <w:lang w:val="vi-VN"/>
              </w:rPr>
              <w:t>người quản lý tổ chức tín dụng, kiểm soát viên</w:t>
            </w:r>
            <w:r w:rsidRPr="001747CC">
              <w:rPr>
                <w:rFonts w:ascii="Times New Roman" w:eastAsia="Cambria" w:hAnsi="Times New Roman" w:cs="Times New Roman"/>
                <w:bCs/>
                <w:sz w:val="24"/>
                <w:szCs w:val="24"/>
                <w:lang w:val="vi-VN"/>
              </w:rPr>
              <w:t xml:space="preserve"> theo mức quy định, nhưng mức giảm tối đa không quá mức trích vào quỹ đầu tư phát triển trong năm tài chính.</w:t>
            </w:r>
          </w:p>
        </w:tc>
        <w:tc>
          <w:tcPr>
            <w:tcW w:w="1430" w:type="pct"/>
          </w:tcPr>
          <w:p w:rsidR="00602E69" w:rsidRPr="00517496" w:rsidRDefault="00602E69" w:rsidP="009F1531">
            <w:pPr>
              <w:tabs>
                <w:tab w:val="left" w:pos="143"/>
              </w:tabs>
              <w:ind w:firstLine="314"/>
              <w:jc w:val="both"/>
              <w:rPr>
                <w:rFonts w:ascii="Times New Roman" w:eastAsia="Cambria" w:hAnsi="Times New Roman" w:cs="Times New Roman"/>
                <w:b/>
                <w:bCs/>
                <w:sz w:val="24"/>
                <w:szCs w:val="24"/>
                <w:lang w:val="vi-VN"/>
              </w:rPr>
            </w:pPr>
            <w:r w:rsidRPr="00517496">
              <w:rPr>
                <w:rFonts w:ascii="Times New Roman" w:eastAsia="Cambria" w:hAnsi="Times New Roman" w:cs="Times New Roman"/>
                <w:b/>
                <w:bCs/>
                <w:sz w:val="24"/>
                <w:szCs w:val="24"/>
                <w:lang w:val="vi-VN"/>
              </w:rPr>
              <w:lastRenderedPageBreak/>
              <w:t>1. Về tỷ lệ trích quỹ đầu tư phát triển (điểm b khoản 4 Điều 22):</w:t>
            </w:r>
          </w:p>
          <w:p w:rsidR="00602E69" w:rsidRPr="00365B29" w:rsidRDefault="00602E69" w:rsidP="009F1531">
            <w:pPr>
              <w:tabs>
                <w:tab w:val="left" w:pos="143"/>
              </w:tabs>
              <w:ind w:firstLine="314"/>
              <w:jc w:val="both"/>
              <w:rPr>
                <w:rFonts w:ascii="Times New Roman" w:eastAsia="Cambria" w:hAnsi="Times New Roman" w:cs="Times New Roman"/>
                <w:bCs/>
                <w:sz w:val="24"/>
                <w:szCs w:val="24"/>
                <w:lang w:val="vi-VN"/>
              </w:rPr>
            </w:pPr>
            <w:r w:rsidRPr="00292B68">
              <w:rPr>
                <w:rFonts w:ascii="Times New Roman" w:eastAsia="Cambria" w:hAnsi="Times New Roman" w:cs="Times New Roman"/>
                <w:bCs/>
                <w:sz w:val="24"/>
                <w:szCs w:val="24"/>
                <w:lang w:val="vi-VN"/>
              </w:rPr>
              <w:t>T</w:t>
            </w:r>
            <w:r w:rsidRPr="00186D22">
              <w:rPr>
                <w:rFonts w:ascii="Times New Roman" w:eastAsia="Cambria" w:hAnsi="Times New Roman" w:cs="Times New Roman"/>
                <w:bCs/>
                <w:sz w:val="24"/>
                <w:szCs w:val="24"/>
                <w:lang w:val="vi-VN"/>
              </w:rPr>
              <w:t xml:space="preserve">ại </w:t>
            </w:r>
            <w:r w:rsidRPr="005670E7">
              <w:rPr>
                <w:rFonts w:ascii="Times New Roman" w:eastAsia="Cambria" w:hAnsi="Times New Roman" w:cs="Times New Roman"/>
                <w:bCs/>
                <w:sz w:val="24"/>
                <w:szCs w:val="24"/>
                <w:lang w:val="vi-VN"/>
              </w:rPr>
              <w:t xml:space="preserve">điểm a khoản 2 </w:t>
            </w:r>
            <w:r w:rsidRPr="00186D22">
              <w:rPr>
                <w:rFonts w:ascii="Times New Roman" w:eastAsia="Cambria" w:hAnsi="Times New Roman" w:cs="Times New Roman"/>
                <w:bCs/>
                <w:sz w:val="24"/>
                <w:szCs w:val="24"/>
                <w:lang w:val="vi-VN"/>
              </w:rPr>
              <w:t>Điều 25 Luậ</w:t>
            </w:r>
            <w:r>
              <w:rPr>
                <w:rFonts w:ascii="Times New Roman" w:eastAsia="Cambria" w:hAnsi="Times New Roman" w:cs="Times New Roman"/>
                <w:bCs/>
                <w:sz w:val="24"/>
                <w:szCs w:val="24"/>
                <w:lang w:val="vi-VN"/>
              </w:rPr>
              <w:t>t 68</w:t>
            </w:r>
            <w:r w:rsidRPr="00D7544E">
              <w:rPr>
                <w:rFonts w:ascii="Times New Roman" w:eastAsia="Cambria" w:hAnsi="Times New Roman" w:cs="Times New Roman"/>
                <w:bCs/>
                <w:sz w:val="24"/>
                <w:szCs w:val="24"/>
                <w:lang w:val="vi-VN"/>
              </w:rPr>
              <w:t xml:space="preserve"> quy</w:t>
            </w:r>
            <w:r>
              <w:rPr>
                <w:rFonts w:ascii="Times New Roman" w:eastAsia="Cambria" w:hAnsi="Times New Roman" w:cs="Times New Roman"/>
                <w:bCs/>
                <w:sz w:val="24"/>
                <w:szCs w:val="24"/>
                <w:lang w:val="vi-VN"/>
              </w:rPr>
              <w:t xml:space="preserve"> </w:t>
            </w:r>
            <w:r w:rsidRPr="00D7544E">
              <w:rPr>
                <w:rFonts w:ascii="Times New Roman" w:eastAsia="Cambria" w:hAnsi="Times New Roman" w:cs="Times New Roman"/>
                <w:bCs/>
                <w:sz w:val="24"/>
                <w:szCs w:val="24"/>
                <w:lang w:val="vi-VN"/>
              </w:rPr>
              <w:t>đị</w:t>
            </w:r>
            <w:r>
              <w:rPr>
                <w:rFonts w:ascii="Times New Roman" w:eastAsia="Cambria" w:hAnsi="Times New Roman" w:cs="Times New Roman"/>
                <w:bCs/>
                <w:sz w:val="24"/>
                <w:szCs w:val="24"/>
                <w:lang w:val="vi-VN"/>
              </w:rPr>
              <w:t>nh</w:t>
            </w:r>
            <w:r w:rsidRPr="00292B68">
              <w:rPr>
                <w:rFonts w:ascii="Times New Roman" w:eastAsia="Cambria" w:hAnsi="Times New Roman" w:cs="Times New Roman"/>
                <w:bCs/>
                <w:sz w:val="24"/>
                <w:szCs w:val="24"/>
                <w:lang w:val="vi-VN"/>
              </w:rPr>
              <w:t xml:space="preserve"> đối với các </w:t>
            </w:r>
            <w:r w:rsidRPr="00517496">
              <w:rPr>
                <w:rFonts w:ascii="Times New Roman" w:eastAsia="Cambria" w:hAnsi="Times New Roman" w:cs="Times New Roman"/>
                <w:bCs/>
                <w:sz w:val="24"/>
                <w:szCs w:val="24"/>
                <w:lang w:val="vi-VN"/>
              </w:rPr>
              <w:t>TCTD</w:t>
            </w:r>
            <w:r w:rsidRPr="00292B68">
              <w:rPr>
                <w:rFonts w:ascii="Times New Roman" w:eastAsia="Cambria" w:hAnsi="Times New Roman" w:cs="Times New Roman"/>
                <w:bCs/>
                <w:sz w:val="24"/>
                <w:szCs w:val="24"/>
                <w:lang w:val="vi-VN"/>
              </w:rPr>
              <w:t xml:space="preserve"> được trích </w:t>
            </w:r>
            <w:r w:rsidRPr="00292B68">
              <w:rPr>
                <w:rFonts w:ascii="Times New Roman" w:eastAsia="Cambria" w:hAnsi="Times New Roman" w:cs="Times New Roman"/>
                <w:b/>
                <w:bCs/>
                <w:sz w:val="24"/>
                <w:szCs w:val="24"/>
                <w:lang w:val="vi-VN"/>
              </w:rPr>
              <w:t>không quá 50%</w:t>
            </w:r>
            <w:r w:rsidRPr="00292B68">
              <w:rPr>
                <w:rFonts w:ascii="Times New Roman" w:eastAsia="Cambria" w:hAnsi="Times New Roman" w:cs="Times New Roman"/>
                <w:bCs/>
                <w:sz w:val="24"/>
                <w:szCs w:val="24"/>
                <w:lang w:val="vi-VN"/>
              </w:rPr>
              <w:t xml:space="preserve"> lợi nhuận còn lại vào Quỹ dự trữ bổ sung vốn điều lệ và Quỹ Đầu tư phát triể</w:t>
            </w:r>
            <w:r>
              <w:rPr>
                <w:rFonts w:ascii="Times New Roman" w:eastAsia="Cambria" w:hAnsi="Times New Roman" w:cs="Times New Roman"/>
                <w:bCs/>
                <w:sz w:val="24"/>
                <w:szCs w:val="24"/>
                <w:lang w:val="vi-VN"/>
              </w:rPr>
              <w:t>n</w:t>
            </w:r>
            <w:r w:rsidRPr="005670E7">
              <w:rPr>
                <w:rFonts w:ascii="Times New Roman" w:eastAsia="Cambria" w:hAnsi="Times New Roman" w:cs="Times New Roman"/>
                <w:bCs/>
                <w:sz w:val="24"/>
                <w:szCs w:val="24"/>
                <w:lang w:val="vi-VN"/>
              </w:rPr>
              <w:t>.</w:t>
            </w:r>
            <w:r w:rsidRPr="00292B68">
              <w:rPr>
                <w:rFonts w:ascii="Times New Roman" w:eastAsia="Cambria" w:hAnsi="Times New Roman" w:cs="Times New Roman"/>
                <w:bCs/>
                <w:sz w:val="24"/>
                <w:szCs w:val="24"/>
                <w:lang w:val="vi-VN"/>
              </w:rPr>
              <w:t xml:space="preserve"> Theo quy định của Luật Các </w:t>
            </w:r>
            <w:r w:rsidRPr="00517496">
              <w:rPr>
                <w:rFonts w:ascii="Times New Roman" w:eastAsia="Cambria" w:hAnsi="Times New Roman" w:cs="Times New Roman"/>
                <w:bCs/>
                <w:sz w:val="24"/>
                <w:szCs w:val="24"/>
                <w:lang w:val="vi-VN"/>
              </w:rPr>
              <w:t>TCTD</w:t>
            </w:r>
            <w:r w:rsidRPr="00292B68">
              <w:rPr>
                <w:rFonts w:ascii="Times New Roman" w:eastAsia="Cambria" w:hAnsi="Times New Roman" w:cs="Times New Roman"/>
                <w:bCs/>
                <w:sz w:val="24"/>
                <w:szCs w:val="24"/>
                <w:lang w:val="vi-VN"/>
              </w:rPr>
              <w:t xml:space="preserve"> (điểm a khoản 2 Điều 148) thì các </w:t>
            </w:r>
            <w:r w:rsidRPr="00517496">
              <w:rPr>
                <w:rFonts w:ascii="Times New Roman" w:eastAsia="Cambria" w:hAnsi="Times New Roman" w:cs="Times New Roman"/>
                <w:bCs/>
                <w:sz w:val="24"/>
                <w:szCs w:val="24"/>
                <w:lang w:val="vi-VN"/>
              </w:rPr>
              <w:t>TCTD</w:t>
            </w:r>
            <w:r w:rsidRPr="00292B68">
              <w:rPr>
                <w:rFonts w:ascii="Times New Roman" w:eastAsia="Cambria" w:hAnsi="Times New Roman" w:cs="Times New Roman"/>
                <w:bCs/>
                <w:sz w:val="24"/>
                <w:szCs w:val="24"/>
                <w:lang w:val="vi-VN"/>
              </w:rPr>
              <w:t xml:space="preserve"> phải trích </w:t>
            </w:r>
            <w:r w:rsidRPr="00292B68">
              <w:rPr>
                <w:rFonts w:ascii="Times New Roman" w:eastAsia="Cambria" w:hAnsi="Times New Roman" w:cs="Times New Roman"/>
                <w:b/>
                <w:bCs/>
                <w:sz w:val="24"/>
                <w:szCs w:val="24"/>
                <w:lang w:val="vi-VN"/>
              </w:rPr>
              <w:t>10%</w:t>
            </w:r>
            <w:r w:rsidRPr="00292B68">
              <w:rPr>
                <w:rFonts w:ascii="Times New Roman" w:eastAsia="Cambria" w:hAnsi="Times New Roman" w:cs="Times New Roman"/>
                <w:bCs/>
                <w:sz w:val="24"/>
                <w:szCs w:val="24"/>
                <w:lang w:val="vi-VN"/>
              </w:rPr>
              <w:t xml:space="preserve"> lợi nhuận sau thuế vào</w:t>
            </w:r>
            <w:r w:rsidRPr="00517496">
              <w:rPr>
                <w:rFonts w:ascii="Times New Roman" w:eastAsia="Cambria" w:hAnsi="Times New Roman" w:cs="Times New Roman"/>
                <w:bCs/>
                <w:sz w:val="24"/>
                <w:szCs w:val="24"/>
                <w:lang w:val="vi-VN"/>
              </w:rPr>
              <w:t xml:space="preserve"> quỹ</w:t>
            </w:r>
            <w:r w:rsidRPr="00292B68">
              <w:rPr>
                <w:rFonts w:ascii="Times New Roman" w:eastAsia="Cambria" w:hAnsi="Times New Roman" w:cs="Times New Roman"/>
                <w:bCs/>
                <w:sz w:val="24"/>
                <w:szCs w:val="24"/>
                <w:lang w:val="vi-VN"/>
              </w:rPr>
              <w:t xml:space="preserve"> dự trữ bổ sung vốn điều lệ. </w:t>
            </w:r>
          </w:p>
          <w:p w:rsidR="00602E69" w:rsidRPr="00365B29" w:rsidRDefault="00602E69" w:rsidP="009F1531">
            <w:pPr>
              <w:tabs>
                <w:tab w:val="left" w:pos="143"/>
              </w:tabs>
              <w:ind w:firstLine="314"/>
              <w:jc w:val="both"/>
              <w:rPr>
                <w:rFonts w:ascii="Times New Roman" w:eastAsia="Cambria" w:hAnsi="Times New Roman" w:cs="Times New Roman"/>
                <w:bCs/>
                <w:sz w:val="24"/>
                <w:szCs w:val="24"/>
                <w:lang w:val="vi-VN"/>
              </w:rPr>
            </w:pPr>
            <w:r w:rsidRPr="00292B68">
              <w:rPr>
                <w:rFonts w:ascii="Times New Roman" w:eastAsia="Cambria" w:hAnsi="Times New Roman" w:cs="Times New Roman"/>
                <w:bCs/>
                <w:sz w:val="24"/>
                <w:szCs w:val="24"/>
                <w:lang w:val="vi-VN"/>
              </w:rPr>
              <w:t>Do đó, dự thảo Nghị định s</w:t>
            </w:r>
            <w:r>
              <w:rPr>
                <w:rFonts w:ascii="Times New Roman" w:eastAsia="Cambria" w:hAnsi="Times New Roman" w:cs="Times New Roman"/>
                <w:bCs/>
                <w:sz w:val="24"/>
                <w:szCs w:val="24"/>
                <w:lang w:val="da-DK"/>
              </w:rPr>
              <w:t xml:space="preserve">ửa mức trích quỹ đầu tư phát triển là </w:t>
            </w:r>
            <w:r w:rsidRPr="00292B68">
              <w:rPr>
                <w:rFonts w:ascii="Times New Roman" w:eastAsia="Cambria" w:hAnsi="Times New Roman" w:cs="Times New Roman"/>
                <w:b/>
                <w:bCs/>
                <w:sz w:val="24"/>
                <w:szCs w:val="24"/>
                <w:lang w:val="da-DK"/>
              </w:rPr>
              <w:t xml:space="preserve">tối đa 40% </w:t>
            </w:r>
            <w:r w:rsidRPr="00292B68">
              <w:rPr>
                <w:rFonts w:ascii="Times New Roman" w:eastAsia="Cambria" w:hAnsi="Times New Roman" w:cs="Times New Roman"/>
                <w:bCs/>
                <w:sz w:val="24"/>
                <w:szCs w:val="24"/>
                <w:lang w:val="da-DK"/>
              </w:rPr>
              <w:t>lợi nhuận còn lại</w:t>
            </w:r>
            <w:r w:rsidRPr="00517496">
              <w:rPr>
                <w:rFonts w:ascii="Times New Roman" w:eastAsia="Cambria" w:hAnsi="Times New Roman" w:cs="Times New Roman"/>
                <w:bCs/>
                <w:sz w:val="24"/>
                <w:szCs w:val="24"/>
                <w:lang w:val="vi-VN"/>
              </w:rPr>
              <w:t>,</w:t>
            </w:r>
            <w:r w:rsidRPr="00186D22">
              <w:rPr>
                <w:rFonts w:ascii="Times New Roman" w:eastAsia="Cambria" w:hAnsi="Times New Roman" w:cs="Times New Roman"/>
                <w:bCs/>
                <w:sz w:val="24"/>
                <w:szCs w:val="24"/>
                <w:lang w:val="vi-VN"/>
              </w:rPr>
              <w:t xml:space="preserve"> </w:t>
            </w:r>
            <w:r w:rsidRPr="00292B68">
              <w:rPr>
                <w:rFonts w:ascii="Times New Roman" w:eastAsia="Cambria" w:hAnsi="Times New Roman" w:cs="Times New Roman"/>
                <w:bCs/>
                <w:sz w:val="24"/>
                <w:szCs w:val="24"/>
                <w:lang w:val="vi-VN"/>
              </w:rPr>
              <w:t>đảm bả</w:t>
            </w:r>
            <w:r>
              <w:rPr>
                <w:rFonts w:ascii="Times New Roman" w:eastAsia="Cambria" w:hAnsi="Times New Roman" w:cs="Times New Roman"/>
                <w:bCs/>
                <w:sz w:val="24"/>
                <w:szCs w:val="24"/>
                <w:lang w:val="vi-VN"/>
              </w:rPr>
              <w:t>o tổng thể chung</w:t>
            </w:r>
            <w:r w:rsidRPr="00517496">
              <w:rPr>
                <w:rFonts w:ascii="Times New Roman" w:eastAsia="Cambria" w:hAnsi="Times New Roman" w:cs="Times New Roman"/>
                <w:bCs/>
                <w:sz w:val="24"/>
                <w:szCs w:val="24"/>
                <w:lang w:val="vi-VN"/>
              </w:rPr>
              <w:t xml:space="preserve"> 02 quỹ </w:t>
            </w:r>
            <w:r w:rsidRPr="00292B68">
              <w:rPr>
                <w:rFonts w:ascii="Times New Roman" w:eastAsia="Cambria" w:hAnsi="Times New Roman" w:cs="Times New Roman"/>
                <w:bCs/>
                <w:sz w:val="24"/>
                <w:szCs w:val="24"/>
                <w:lang w:val="vi-VN"/>
              </w:rPr>
              <w:t xml:space="preserve">dự trữ bổ sung vốn điều lệ và </w:t>
            </w:r>
            <w:r w:rsidRPr="00517496">
              <w:rPr>
                <w:rFonts w:ascii="Times New Roman" w:eastAsia="Cambria" w:hAnsi="Times New Roman" w:cs="Times New Roman"/>
                <w:bCs/>
                <w:sz w:val="24"/>
                <w:szCs w:val="24"/>
                <w:lang w:val="vi-VN"/>
              </w:rPr>
              <w:t>q</w:t>
            </w:r>
            <w:r w:rsidRPr="00292B68">
              <w:rPr>
                <w:rFonts w:ascii="Times New Roman" w:eastAsia="Cambria" w:hAnsi="Times New Roman" w:cs="Times New Roman"/>
                <w:bCs/>
                <w:sz w:val="24"/>
                <w:szCs w:val="24"/>
                <w:lang w:val="vi-VN"/>
              </w:rPr>
              <w:t xml:space="preserve">uỹ </w:t>
            </w:r>
            <w:r w:rsidRPr="00517496">
              <w:rPr>
                <w:rFonts w:ascii="Times New Roman" w:eastAsia="Cambria" w:hAnsi="Times New Roman" w:cs="Times New Roman"/>
                <w:bCs/>
                <w:sz w:val="24"/>
                <w:szCs w:val="24"/>
                <w:lang w:val="vi-VN"/>
              </w:rPr>
              <w:t>đ</w:t>
            </w:r>
            <w:r w:rsidRPr="00292B68">
              <w:rPr>
                <w:rFonts w:ascii="Times New Roman" w:eastAsia="Cambria" w:hAnsi="Times New Roman" w:cs="Times New Roman"/>
                <w:bCs/>
                <w:sz w:val="24"/>
                <w:szCs w:val="24"/>
                <w:lang w:val="vi-VN"/>
              </w:rPr>
              <w:t>ầu tư phát triể</w:t>
            </w:r>
            <w:r>
              <w:rPr>
                <w:rFonts w:ascii="Times New Roman" w:eastAsia="Cambria" w:hAnsi="Times New Roman" w:cs="Times New Roman"/>
                <w:bCs/>
                <w:sz w:val="24"/>
                <w:szCs w:val="24"/>
                <w:lang w:val="vi-VN"/>
              </w:rPr>
              <w:t xml:space="preserve">n </w:t>
            </w:r>
            <w:r w:rsidRPr="00292B68">
              <w:rPr>
                <w:rFonts w:ascii="Times New Roman" w:eastAsia="Cambria" w:hAnsi="Times New Roman" w:cs="Times New Roman"/>
                <w:bCs/>
                <w:sz w:val="24"/>
                <w:szCs w:val="24"/>
                <w:lang w:val="vi-VN"/>
              </w:rPr>
              <w:t xml:space="preserve">không vượt quá </w:t>
            </w:r>
            <w:r w:rsidRPr="00517496">
              <w:rPr>
                <w:rFonts w:ascii="Times New Roman" w:eastAsia="Cambria" w:hAnsi="Times New Roman" w:cs="Times New Roman"/>
                <w:bCs/>
                <w:sz w:val="24"/>
                <w:szCs w:val="24"/>
                <w:lang w:val="vi-VN"/>
              </w:rPr>
              <w:t xml:space="preserve">50% lợi nhuận còn lại </w:t>
            </w:r>
            <w:r w:rsidRPr="00365B29">
              <w:rPr>
                <w:rFonts w:ascii="Times New Roman" w:eastAsia="Cambria" w:hAnsi="Times New Roman" w:cs="Times New Roman"/>
                <w:bCs/>
                <w:sz w:val="24"/>
                <w:szCs w:val="24"/>
                <w:lang w:val="vi-VN"/>
              </w:rPr>
              <w:t>theo quy định tại Luật 68.</w:t>
            </w:r>
          </w:p>
          <w:p w:rsidR="00602E69" w:rsidRPr="00365B29" w:rsidRDefault="00602E69" w:rsidP="009F1531">
            <w:pPr>
              <w:tabs>
                <w:tab w:val="left" w:pos="143"/>
              </w:tabs>
              <w:ind w:firstLine="314"/>
              <w:jc w:val="both"/>
              <w:rPr>
                <w:rFonts w:ascii="Times New Roman" w:eastAsia="Cambria" w:hAnsi="Times New Roman" w:cs="Times New Roman"/>
                <w:b/>
                <w:bCs/>
                <w:sz w:val="24"/>
                <w:szCs w:val="24"/>
                <w:lang w:val="vi-VN"/>
              </w:rPr>
            </w:pPr>
            <w:r w:rsidRPr="00365B29">
              <w:rPr>
                <w:rFonts w:ascii="Times New Roman" w:eastAsia="Cambria" w:hAnsi="Times New Roman" w:cs="Times New Roman"/>
                <w:b/>
                <w:bCs/>
                <w:sz w:val="24"/>
                <w:szCs w:val="24"/>
                <w:lang w:val="vi-VN"/>
              </w:rPr>
              <w:t>2. Về việc trích quỹ khen thưởng, phúc lợi (điểm c, điểm d khoản 4 Điều 22):</w:t>
            </w:r>
          </w:p>
          <w:p w:rsidR="00602E69" w:rsidRPr="00365B29" w:rsidRDefault="00602E69" w:rsidP="009F1531">
            <w:pPr>
              <w:tabs>
                <w:tab w:val="left" w:pos="143"/>
              </w:tabs>
              <w:ind w:firstLine="314"/>
              <w:jc w:val="both"/>
              <w:rPr>
                <w:rFonts w:ascii="Times New Roman" w:eastAsia="Cambria" w:hAnsi="Times New Roman" w:cs="Times New Roman"/>
                <w:bCs/>
                <w:sz w:val="24"/>
                <w:szCs w:val="24"/>
                <w:lang w:val="vi-VN"/>
              </w:rPr>
            </w:pPr>
            <w:r w:rsidRPr="007E12D8">
              <w:rPr>
                <w:rFonts w:ascii="Times New Roman" w:eastAsia="Cambria" w:hAnsi="Times New Roman" w:cs="Times New Roman"/>
                <w:bCs/>
                <w:sz w:val="24"/>
                <w:szCs w:val="24"/>
                <w:lang w:val="vi-VN"/>
              </w:rPr>
              <w:t>Điểm b khoản 2 Điều 25</w:t>
            </w:r>
            <w:r w:rsidRPr="00365B29">
              <w:rPr>
                <w:rFonts w:ascii="Times New Roman" w:eastAsia="Cambria" w:hAnsi="Times New Roman" w:cs="Times New Roman"/>
                <w:bCs/>
                <w:sz w:val="24"/>
                <w:szCs w:val="24"/>
                <w:lang w:val="vi-VN"/>
              </w:rPr>
              <w:t xml:space="preserve"> </w:t>
            </w:r>
            <w:r w:rsidRPr="00186D22">
              <w:rPr>
                <w:rFonts w:ascii="Times New Roman" w:eastAsia="Cambria" w:hAnsi="Times New Roman" w:cs="Times New Roman"/>
                <w:bCs/>
                <w:sz w:val="24"/>
                <w:szCs w:val="24"/>
                <w:lang w:val="vi-VN"/>
              </w:rPr>
              <w:t>Luậ</w:t>
            </w:r>
            <w:r>
              <w:rPr>
                <w:rFonts w:ascii="Times New Roman" w:eastAsia="Cambria" w:hAnsi="Times New Roman" w:cs="Times New Roman"/>
                <w:bCs/>
                <w:sz w:val="24"/>
                <w:szCs w:val="24"/>
                <w:lang w:val="vi-VN"/>
              </w:rPr>
              <w:t>t 68</w:t>
            </w:r>
            <w:r w:rsidRPr="00D7544E">
              <w:rPr>
                <w:rFonts w:ascii="Times New Roman" w:eastAsia="Cambria" w:hAnsi="Times New Roman" w:cs="Times New Roman"/>
                <w:bCs/>
                <w:sz w:val="24"/>
                <w:szCs w:val="24"/>
                <w:lang w:val="vi-VN"/>
              </w:rPr>
              <w:t xml:space="preserve"> </w:t>
            </w:r>
            <w:r w:rsidRPr="007E12D8">
              <w:rPr>
                <w:rFonts w:ascii="Times New Roman" w:eastAsia="Cambria" w:hAnsi="Times New Roman" w:cs="Times New Roman"/>
                <w:bCs/>
                <w:sz w:val="24"/>
                <w:szCs w:val="24"/>
                <w:lang w:val="vi-VN"/>
              </w:rPr>
              <w:t xml:space="preserve">quy định </w:t>
            </w:r>
            <w:r>
              <w:rPr>
                <w:rFonts w:ascii="Times New Roman" w:eastAsia="Cambria" w:hAnsi="Times New Roman" w:cs="Times New Roman"/>
                <w:bCs/>
                <w:sz w:val="24"/>
                <w:szCs w:val="24"/>
                <w:lang w:val="da-DK"/>
              </w:rPr>
              <w:t xml:space="preserve">doanh nghiệp do Nhà nước nắm giữ 100% vốn điều lệ </w:t>
            </w:r>
            <w:r w:rsidRPr="007E12D8">
              <w:rPr>
                <w:rFonts w:ascii="Times New Roman" w:eastAsia="Cambria" w:hAnsi="Times New Roman" w:cs="Times New Roman"/>
                <w:bCs/>
                <w:sz w:val="24"/>
                <w:szCs w:val="24"/>
                <w:lang w:val="vi-VN"/>
              </w:rPr>
              <w:t xml:space="preserve">trích không quá 03 tháng lương thực hiện để lập </w:t>
            </w:r>
            <w:r w:rsidRPr="00365B29">
              <w:rPr>
                <w:rFonts w:ascii="Times New Roman" w:eastAsia="Cambria" w:hAnsi="Times New Roman" w:cs="Times New Roman"/>
                <w:bCs/>
                <w:sz w:val="24"/>
                <w:szCs w:val="24"/>
                <w:lang w:val="vi-VN"/>
              </w:rPr>
              <w:t>q</w:t>
            </w:r>
            <w:r w:rsidRPr="007E12D8">
              <w:rPr>
                <w:rFonts w:ascii="Times New Roman" w:eastAsia="Cambria" w:hAnsi="Times New Roman" w:cs="Times New Roman"/>
                <w:bCs/>
                <w:sz w:val="24"/>
                <w:szCs w:val="24"/>
                <w:lang w:val="vi-VN"/>
              </w:rPr>
              <w:t xml:space="preserve">uỹ khen thưởng, phúc lợi trên cơ sở kết quả đánh giá, xếp loại </w:t>
            </w:r>
            <w:r w:rsidRPr="00365B29">
              <w:rPr>
                <w:rFonts w:ascii="Times New Roman" w:eastAsia="Cambria" w:hAnsi="Times New Roman" w:cs="Times New Roman"/>
                <w:bCs/>
                <w:sz w:val="24"/>
                <w:szCs w:val="24"/>
                <w:lang w:val="vi-VN"/>
              </w:rPr>
              <w:t>doanh nghiệp</w:t>
            </w:r>
            <w:r w:rsidRPr="007E12D8">
              <w:rPr>
                <w:rFonts w:ascii="Times New Roman" w:eastAsia="Cambria" w:hAnsi="Times New Roman" w:cs="Times New Roman"/>
                <w:bCs/>
                <w:sz w:val="24"/>
                <w:szCs w:val="24"/>
                <w:lang w:val="vi-VN"/>
              </w:rPr>
              <w:t>.</w:t>
            </w:r>
          </w:p>
          <w:p w:rsidR="00602E69" w:rsidRPr="00365B29" w:rsidRDefault="00602E69" w:rsidP="003F576A">
            <w:pPr>
              <w:tabs>
                <w:tab w:val="left" w:pos="143"/>
              </w:tabs>
              <w:ind w:firstLine="314"/>
              <w:jc w:val="both"/>
              <w:rPr>
                <w:rFonts w:ascii="Times New Roman" w:eastAsia="Cambria" w:hAnsi="Times New Roman" w:cs="Times New Roman"/>
                <w:bCs/>
                <w:spacing w:val="-2"/>
                <w:sz w:val="24"/>
                <w:szCs w:val="24"/>
                <w:lang w:val="vi-VN"/>
              </w:rPr>
            </w:pPr>
            <w:r w:rsidRPr="003F576A">
              <w:rPr>
                <w:rFonts w:ascii="Times New Roman" w:eastAsia="Cambria" w:hAnsi="Times New Roman" w:cs="Times New Roman"/>
                <w:bCs/>
                <w:spacing w:val="-2"/>
                <w:sz w:val="24"/>
                <w:szCs w:val="24"/>
                <w:lang w:val="vi-VN"/>
              </w:rPr>
              <w:t xml:space="preserve">Hiện nay, dự thảo Nghị định </w:t>
            </w:r>
            <w:r w:rsidRPr="00365B29">
              <w:rPr>
                <w:rFonts w:ascii="Times New Roman" w:eastAsia="Cambria" w:hAnsi="Times New Roman" w:cs="Times New Roman"/>
                <w:bCs/>
                <w:spacing w:val="-2"/>
                <w:sz w:val="24"/>
                <w:szCs w:val="24"/>
                <w:lang w:val="vi-VN"/>
              </w:rPr>
              <w:t>Q</w:t>
            </w:r>
            <w:r w:rsidRPr="003F576A">
              <w:rPr>
                <w:rFonts w:ascii="Times New Roman" w:eastAsia="Cambria" w:hAnsi="Times New Roman" w:cs="Times New Roman"/>
                <w:bCs/>
                <w:spacing w:val="-2"/>
                <w:sz w:val="24"/>
                <w:szCs w:val="24"/>
                <w:lang w:val="vi-VN"/>
              </w:rPr>
              <w:t xml:space="preserve">uản lý và </w:t>
            </w:r>
            <w:r w:rsidRPr="003F576A">
              <w:rPr>
                <w:rFonts w:ascii="Times New Roman" w:eastAsia="Cambria" w:hAnsi="Times New Roman" w:cs="Times New Roman"/>
                <w:bCs/>
                <w:spacing w:val="-2"/>
                <w:sz w:val="24"/>
                <w:szCs w:val="24"/>
                <w:lang w:val="vi-VN"/>
              </w:rPr>
              <w:lastRenderedPageBreak/>
              <w:t xml:space="preserve">đầu tư vốn nhà nước tại doanh nghiệp hướng dẫn Luật 68 (đang trình Chính phủ) không chia theo đối tượng thụ hưởng như trước đây mà quy định </w:t>
            </w:r>
            <w:r w:rsidRPr="00365B29">
              <w:rPr>
                <w:rFonts w:ascii="Times New Roman" w:eastAsia="Cambria" w:hAnsi="Times New Roman" w:cs="Times New Roman"/>
                <w:bCs/>
                <w:spacing w:val="-2"/>
                <w:sz w:val="24"/>
                <w:szCs w:val="24"/>
                <w:lang w:val="vi-VN"/>
              </w:rPr>
              <w:t>doanh nghiệp</w:t>
            </w:r>
            <w:r w:rsidRPr="003F576A">
              <w:rPr>
                <w:rFonts w:ascii="Times New Roman" w:eastAsia="Cambria" w:hAnsi="Times New Roman" w:cs="Times New Roman"/>
                <w:bCs/>
                <w:spacing w:val="-2"/>
                <w:sz w:val="24"/>
                <w:szCs w:val="24"/>
                <w:lang w:val="vi-VN"/>
              </w:rPr>
              <w:t xml:space="preserve"> được trích 02 quỹ </w:t>
            </w:r>
            <w:r w:rsidRPr="00365B29">
              <w:rPr>
                <w:rFonts w:ascii="Times New Roman" w:eastAsia="Cambria" w:hAnsi="Times New Roman" w:cs="Times New Roman"/>
                <w:bCs/>
                <w:spacing w:val="-2"/>
                <w:sz w:val="24"/>
                <w:szCs w:val="24"/>
                <w:lang w:val="vi-VN"/>
              </w:rPr>
              <w:t xml:space="preserve">là quỹ </w:t>
            </w:r>
            <w:r w:rsidRPr="003F576A">
              <w:rPr>
                <w:rFonts w:ascii="Times New Roman" w:eastAsia="Cambria" w:hAnsi="Times New Roman" w:cs="Times New Roman"/>
                <w:bCs/>
                <w:spacing w:val="-2"/>
                <w:sz w:val="24"/>
                <w:szCs w:val="24"/>
                <w:lang w:val="vi-VN"/>
              </w:rPr>
              <w:t xml:space="preserve">khen thưởng, </w:t>
            </w:r>
            <w:r w:rsidRPr="00365B29">
              <w:rPr>
                <w:rFonts w:ascii="Times New Roman" w:eastAsia="Cambria" w:hAnsi="Times New Roman" w:cs="Times New Roman"/>
                <w:bCs/>
                <w:spacing w:val="-2"/>
                <w:sz w:val="24"/>
                <w:szCs w:val="24"/>
                <w:lang w:val="vi-VN"/>
              </w:rPr>
              <w:t xml:space="preserve">quỹ </w:t>
            </w:r>
            <w:r w:rsidRPr="003F576A">
              <w:rPr>
                <w:rFonts w:ascii="Times New Roman" w:eastAsia="Cambria" w:hAnsi="Times New Roman" w:cs="Times New Roman"/>
                <w:bCs/>
                <w:spacing w:val="-2"/>
                <w:sz w:val="24"/>
                <w:szCs w:val="24"/>
                <w:lang w:val="vi-VN"/>
              </w:rPr>
              <w:t>phúc lợi chung cho cả người lao động, người quản lý, kiểm soát viên; đồng thời mức trích 02 quỹ này đối với doanh nghiệp xếp loại B được nâng lên từ 1,5 tháng lương thực hiện lên 02 tháng lương thực hiện.</w:t>
            </w:r>
            <w:r w:rsidRPr="00365B29">
              <w:rPr>
                <w:rFonts w:ascii="Times New Roman" w:eastAsia="Cambria" w:hAnsi="Times New Roman" w:cs="Times New Roman"/>
                <w:bCs/>
                <w:spacing w:val="-2"/>
                <w:sz w:val="24"/>
                <w:szCs w:val="24"/>
                <w:lang w:val="vi-VN"/>
              </w:rPr>
              <w:t xml:space="preserve"> Cụ thể: doanh nghiệp</w:t>
            </w:r>
            <w:r w:rsidRPr="007E12D8">
              <w:rPr>
                <w:rFonts w:ascii="Times New Roman" w:eastAsia="Cambria" w:hAnsi="Times New Roman" w:cs="Times New Roman"/>
                <w:bCs/>
                <w:sz w:val="24"/>
                <w:szCs w:val="24"/>
                <w:lang w:val="vi-VN"/>
              </w:rPr>
              <w:t xml:space="preserve"> xếp loại A được trích không quá </w:t>
            </w:r>
            <w:r w:rsidRPr="007E12D8">
              <w:rPr>
                <w:rFonts w:ascii="Times New Roman" w:eastAsia="Cambria" w:hAnsi="Times New Roman" w:cs="Times New Roman"/>
                <w:b/>
                <w:bCs/>
                <w:sz w:val="24"/>
                <w:szCs w:val="24"/>
                <w:lang w:val="vi-VN"/>
              </w:rPr>
              <w:t>03 tháng lương</w:t>
            </w:r>
            <w:r w:rsidRPr="007E12D8">
              <w:rPr>
                <w:rFonts w:ascii="Times New Roman" w:eastAsia="Cambria" w:hAnsi="Times New Roman" w:cs="Times New Roman"/>
                <w:bCs/>
                <w:sz w:val="24"/>
                <w:szCs w:val="24"/>
                <w:lang w:val="vi-VN"/>
              </w:rPr>
              <w:t xml:space="preserve"> thực hiện cho hai quỹ khen thưởng, phúc lợi; xếp loại B được </w:t>
            </w:r>
            <w:r w:rsidRPr="003B0CD7">
              <w:rPr>
                <w:rFonts w:ascii="Times New Roman" w:eastAsia="Cambria" w:hAnsi="Times New Roman" w:cs="Times New Roman"/>
                <w:bCs/>
                <w:sz w:val="24"/>
                <w:szCs w:val="24"/>
                <w:lang w:val="vi-VN"/>
              </w:rPr>
              <w:t>trích</w:t>
            </w:r>
            <w:r w:rsidRPr="007E12D8">
              <w:rPr>
                <w:rFonts w:ascii="Times New Roman" w:eastAsia="Cambria" w:hAnsi="Times New Roman" w:cs="Times New Roman"/>
                <w:bCs/>
                <w:sz w:val="24"/>
                <w:szCs w:val="24"/>
                <w:lang w:val="vi-VN"/>
              </w:rPr>
              <w:t xml:space="preserve"> không quá </w:t>
            </w:r>
            <w:r w:rsidRPr="007E12D8">
              <w:rPr>
                <w:rFonts w:ascii="Times New Roman" w:eastAsia="Cambria" w:hAnsi="Times New Roman" w:cs="Times New Roman"/>
                <w:b/>
                <w:bCs/>
                <w:sz w:val="24"/>
                <w:szCs w:val="24"/>
                <w:lang w:val="vi-VN"/>
              </w:rPr>
              <w:t>02 tháng lương</w:t>
            </w:r>
            <w:r w:rsidRPr="003B0CD7">
              <w:rPr>
                <w:rFonts w:ascii="Times New Roman" w:eastAsia="Cambria" w:hAnsi="Times New Roman" w:cs="Times New Roman"/>
                <w:b/>
                <w:bCs/>
                <w:sz w:val="24"/>
                <w:szCs w:val="24"/>
                <w:lang w:val="vi-VN"/>
              </w:rPr>
              <w:t xml:space="preserve"> </w:t>
            </w:r>
            <w:r w:rsidRPr="007E12D8">
              <w:rPr>
                <w:rFonts w:ascii="Times New Roman" w:eastAsia="Cambria" w:hAnsi="Times New Roman" w:cs="Times New Roman"/>
                <w:bCs/>
                <w:sz w:val="24"/>
                <w:szCs w:val="24"/>
                <w:lang w:val="vi-VN"/>
              </w:rPr>
              <w:t>thực hiện cho hai quỹ khen thưởng, phúc lợi</w:t>
            </w:r>
            <w:r w:rsidRPr="00606A1E">
              <w:rPr>
                <w:rFonts w:ascii="Times New Roman" w:eastAsia="Cambria" w:hAnsi="Times New Roman" w:cs="Times New Roman"/>
                <w:bCs/>
                <w:spacing w:val="-2"/>
                <w:sz w:val="24"/>
                <w:szCs w:val="24"/>
                <w:lang w:val="vi-VN"/>
              </w:rPr>
              <w:t xml:space="preserve">; xếp loại C được trích không quá </w:t>
            </w:r>
            <w:r w:rsidRPr="00606A1E">
              <w:rPr>
                <w:rFonts w:ascii="Times New Roman" w:eastAsia="Cambria" w:hAnsi="Times New Roman" w:cs="Times New Roman"/>
                <w:b/>
                <w:bCs/>
                <w:spacing w:val="-2"/>
                <w:sz w:val="24"/>
                <w:szCs w:val="24"/>
                <w:lang w:val="vi-VN"/>
              </w:rPr>
              <w:t>01 tháng lương</w:t>
            </w:r>
            <w:r w:rsidRPr="00365B29">
              <w:rPr>
                <w:rFonts w:ascii="Times New Roman" w:eastAsia="Cambria" w:hAnsi="Times New Roman" w:cs="Times New Roman"/>
                <w:b/>
                <w:bCs/>
                <w:spacing w:val="-2"/>
                <w:sz w:val="24"/>
                <w:szCs w:val="24"/>
                <w:lang w:val="vi-VN"/>
              </w:rPr>
              <w:t xml:space="preserve"> </w:t>
            </w:r>
            <w:r w:rsidRPr="007E12D8">
              <w:rPr>
                <w:rFonts w:ascii="Times New Roman" w:eastAsia="Cambria" w:hAnsi="Times New Roman" w:cs="Times New Roman"/>
                <w:bCs/>
                <w:sz w:val="24"/>
                <w:szCs w:val="24"/>
                <w:lang w:val="vi-VN"/>
              </w:rPr>
              <w:t>thực hiện cho hai quỹ khen thưởng, phúc lợi</w:t>
            </w:r>
            <w:r w:rsidRPr="00606A1E">
              <w:rPr>
                <w:rFonts w:ascii="Times New Roman" w:eastAsia="Cambria" w:hAnsi="Times New Roman" w:cs="Times New Roman"/>
                <w:bCs/>
                <w:spacing w:val="-2"/>
                <w:sz w:val="24"/>
                <w:szCs w:val="24"/>
                <w:lang w:val="vi-VN"/>
              </w:rPr>
              <w:t>; không thực hiện xếp loại thì không được trích lập (điểm b khoản 2 Điều 29).</w:t>
            </w:r>
          </w:p>
          <w:p w:rsidR="00602E69" w:rsidRDefault="00602E69" w:rsidP="009F1531">
            <w:pPr>
              <w:tabs>
                <w:tab w:val="left" w:pos="143"/>
              </w:tabs>
              <w:ind w:firstLine="314"/>
              <w:jc w:val="both"/>
              <w:rPr>
                <w:rFonts w:ascii="Times New Roman" w:eastAsia="Cambria" w:hAnsi="Times New Roman" w:cs="Times New Roman"/>
                <w:bCs/>
                <w:sz w:val="24"/>
                <w:szCs w:val="24"/>
                <w:lang w:val="da-DK"/>
              </w:rPr>
            </w:pPr>
            <w:r w:rsidRPr="003B0CD7">
              <w:rPr>
                <w:rFonts w:ascii="Times New Roman" w:eastAsia="Cambria" w:hAnsi="Times New Roman" w:cs="Times New Roman"/>
                <w:bCs/>
                <w:sz w:val="24"/>
                <w:szCs w:val="24"/>
                <w:lang w:val="vi-VN"/>
              </w:rPr>
              <w:t xml:space="preserve">Theo đó, </w:t>
            </w:r>
            <w:r w:rsidRPr="00292B68">
              <w:rPr>
                <w:rFonts w:ascii="Times New Roman" w:eastAsia="Cambria" w:hAnsi="Times New Roman" w:cs="Times New Roman"/>
                <w:bCs/>
                <w:sz w:val="24"/>
                <w:szCs w:val="24"/>
                <w:lang w:val="vi-VN"/>
              </w:rPr>
              <w:t>dự thảo Nghị định s</w:t>
            </w:r>
            <w:r>
              <w:rPr>
                <w:rFonts w:ascii="Times New Roman" w:eastAsia="Cambria" w:hAnsi="Times New Roman" w:cs="Times New Roman"/>
                <w:bCs/>
                <w:sz w:val="24"/>
                <w:szCs w:val="24"/>
                <w:lang w:val="da-DK"/>
              </w:rPr>
              <w:t>ửa quy định về trích quỹ khen thưởng, quỹ phúc lợi đối với TCTD do Nhà nước nắm giữ 100% vốn điều lệ tương ứng như doanh nghiệp do Nhà nước nắm giữ 100% vốn điều lệ để đảm bảo đồng bộ, thống nhất và công bằng, bình đẳng cho người lao động làm việc tại các tổ chức này.</w:t>
            </w:r>
          </w:p>
          <w:p w:rsidR="00602E69" w:rsidRPr="003B0CD7" w:rsidRDefault="00602E69" w:rsidP="009F1531">
            <w:pPr>
              <w:tabs>
                <w:tab w:val="left" w:pos="143"/>
              </w:tabs>
              <w:ind w:firstLine="170"/>
              <w:jc w:val="both"/>
              <w:rPr>
                <w:rFonts w:ascii="Times New Roman" w:eastAsia="Cambria" w:hAnsi="Times New Roman" w:cs="Times New Roman"/>
                <w:bCs/>
                <w:sz w:val="24"/>
                <w:szCs w:val="24"/>
                <w:lang w:val="vi-VN"/>
              </w:rPr>
            </w:pPr>
          </w:p>
        </w:tc>
      </w:tr>
      <w:tr w:rsidR="00602E69" w:rsidRPr="008A118E" w:rsidTr="001551D6">
        <w:trPr>
          <w:trHeight w:val="4400"/>
        </w:trPr>
        <w:tc>
          <w:tcPr>
            <w:tcW w:w="1757" w:type="pct"/>
          </w:tcPr>
          <w:p w:rsidR="00602E69" w:rsidRPr="005670E7" w:rsidRDefault="00602E69" w:rsidP="005670E7">
            <w:pPr>
              <w:ind w:firstLine="319"/>
              <w:jc w:val="both"/>
              <w:rPr>
                <w:rFonts w:ascii="Times New Roman" w:eastAsia="Cambria" w:hAnsi="Times New Roman" w:cs="Times New Roman"/>
                <w:b/>
                <w:sz w:val="24"/>
                <w:szCs w:val="24"/>
                <w:lang w:val="vi-VN"/>
              </w:rPr>
            </w:pPr>
            <w:bookmarkStart w:id="1" w:name="_Hlk168730304"/>
            <w:r w:rsidRPr="005670E7">
              <w:rPr>
                <w:rFonts w:ascii="Times New Roman" w:eastAsia="Cambria" w:hAnsi="Times New Roman" w:cs="Times New Roman"/>
                <w:b/>
                <w:sz w:val="24"/>
                <w:szCs w:val="24"/>
                <w:lang w:val="vi-VN"/>
              </w:rPr>
              <w:lastRenderedPageBreak/>
              <w:t>Điểm b</w:t>
            </w:r>
            <w:r w:rsidRPr="009563D1">
              <w:rPr>
                <w:rFonts w:ascii="Times New Roman" w:eastAsia="Cambria" w:hAnsi="Times New Roman" w:cs="Times New Roman"/>
                <w:b/>
                <w:sz w:val="24"/>
                <w:szCs w:val="24"/>
                <w:lang w:val="vi-VN"/>
              </w:rPr>
              <w:t>, điểm c</w:t>
            </w:r>
            <w:r w:rsidRPr="005670E7">
              <w:rPr>
                <w:rFonts w:ascii="Times New Roman" w:eastAsia="Cambria" w:hAnsi="Times New Roman" w:cs="Times New Roman"/>
                <w:b/>
                <w:sz w:val="24"/>
                <w:szCs w:val="24"/>
                <w:lang w:val="vi-VN"/>
              </w:rPr>
              <w:t xml:space="preserve"> khoản 4 Điều 23</w:t>
            </w:r>
            <w:r w:rsidRPr="00602E69">
              <w:rPr>
                <w:rFonts w:ascii="Times New Roman" w:eastAsia="Cambria" w:hAnsi="Times New Roman" w:cs="Times New Roman"/>
                <w:b/>
                <w:sz w:val="24"/>
                <w:szCs w:val="24"/>
                <w:lang w:val="vi-VN"/>
              </w:rPr>
              <w:t xml:space="preserve"> về</w:t>
            </w:r>
            <w:r w:rsidRPr="005670E7">
              <w:rPr>
                <w:rFonts w:ascii="Times New Roman" w:eastAsia="Cambria" w:hAnsi="Times New Roman" w:cs="Times New Roman"/>
                <w:b/>
                <w:sz w:val="24"/>
                <w:szCs w:val="24"/>
                <w:lang w:val="vi-VN"/>
              </w:rPr>
              <w:t xml:space="preserve"> </w:t>
            </w:r>
            <w:r w:rsidRPr="00602E69">
              <w:rPr>
                <w:rFonts w:ascii="Times New Roman" w:eastAsia="Cambria" w:hAnsi="Times New Roman" w:cs="Times New Roman"/>
                <w:b/>
                <w:sz w:val="24"/>
                <w:szCs w:val="24"/>
                <w:lang w:val="vi-VN"/>
              </w:rPr>
              <w:t>p</w:t>
            </w:r>
            <w:r w:rsidRPr="005670E7">
              <w:rPr>
                <w:rFonts w:ascii="Times New Roman" w:eastAsia="Cambria" w:hAnsi="Times New Roman" w:cs="Times New Roman"/>
                <w:b/>
                <w:sz w:val="24"/>
                <w:szCs w:val="24"/>
                <w:lang w:val="vi-VN"/>
              </w:rPr>
              <w:t>hân phối lợi nhuận đối với tổ chức tín dụng do Nhà nước nắm giữ trên 50% đến dưới 100% vốn điều lệ</w:t>
            </w:r>
          </w:p>
          <w:p w:rsidR="00602E69" w:rsidRPr="00365B29" w:rsidRDefault="00602E69" w:rsidP="005670E7">
            <w:pPr>
              <w:ind w:firstLine="319"/>
              <w:jc w:val="both"/>
              <w:rPr>
                <w:rFonts w:ascii="Times New Roman" w:eastAsia="Cambria" w:hAnsi="Times New Roman" w:cs="Times New Roman"/>
                <w:sz w:val="24"/>
                <w:szCs w:val="24"/>
                <w:lang w:val="vi-VN"/>
              </w:rPr>
            </w:pPr>
            <w:r w:rsidRPr="00AB1797">
              <w:rPr>
                <w:rFonts w:ascii="Times New Roman" w:eastAsia="Cambria" w:hAnsi="Times New Roman" w:cs="Times New Roman"/>
                <w:sz w:val="24"/>
                <w:szCs w:val="24"/>
                <w:lang w:val="vi-VN"/>
              </w:rPr>
              <w:t>b) Trích tối đa 25% vào quỹ đầu tư phát triển; mức tối đa của quỹ này không vượt quá mức vốn điều lệ của tổ chức tín dụng;</w:t>
            </w:r>
          </w:p>
          <w:p w:rsidR="00602E69" w:rsidRPr="00AB1797" w:rsidRDefault="00602E69" w:rsidP="009563D1">
            <w:pPr>
              <w:ind w:firstLine="319"/>
              <w:jc w:val="both"/>
              <w:rPr>
                <w:rFonts w:ascii="Times New Roman" w:eastAsia="Cambria" w:hAnsi="Times New Roman" w:cs="Times New Roman"/>
                <w:sz w:val="24"/>
                <w:szCs w:val="24"/>
                <w:lang w:val="vi-VN"/>
              </w:rPr>
            </w:pPr>
            <w:r w:rsidRPr="00AB1797">
              <w:rPr>
                <w:rFonts w:ascii="Times New Roman" w:eastAsia="Cambria" w:hAnsi="Times New Roman" w:cs="Times New Roman"/>
                <w:sz w:val="24"/>
                <w:szCs w:val="24"/>
                <w:lang w:val="vi-VN"/>
              </w:rPr>
              <w:t>c) Trích quỹ khen thưởng, quỹ phúc lợi cho người lao động trong tổ chức tín dụng, quỹ thưởng người quản lý tổ chức tín dụng theo quy định của Chính phủ về lao động, tiền lương, thù lao, tiền thưởng đối với doanh nghiệp do Nhà nước nắm giữ trên 50% đến dưới 100% vốn điều lệ;</w:t>
            </w:r>
          </w:p>
          <w:p w:rsidR="00602E69" w:rsidRPr="00A35865" w:rsidRDefault="00602E69" w:rsidP="005670E7">
            <w:pPr>
              <w:ind w:firstLine="319"/>
              <w:jc w:val="both"/>
              <w:rPr>
                <w:rFonts w:ascii="Times New Roman" w:eastAsia="Cambria" w:hAnsi="Times New Roman" w:cs="Times New Roman"/>
                <w:sz w:val="24"/>
                <w:szCs w:val="24"/>
                <w:lang w:val="vi-VN"/>
              </w:rPr>
            </w:pPr>
            <w:r w:rsidRPr="00A35865">
              <w:rPr>
                <w:rFonts w:ascii="Times New Roman" w:eastAsia="Cambria" w:hAnsi="Times New Roman" w:cs="Times New Roman"/>
                <w:b/>
                <w:sz w:val="24"/>
                <w:szCs w:val="24"/>
                <w:lang w:val="vi-VN"/>
              </w:rPr>
              <w:t xml:space="preserve">Điểm a khoản 7 Điều 23 </w:t>
            </w:r>
            <w:r w:rsidRPr="00A35865">
              <w:rPr>
                <w:rFonts w:ascii="Times New Roman" w:eastAsia="Cambria" w:hAnsi="Times New Roman" w:cs="Times New Roman"/>
                <w:sz w:val="24"/>
                <w:szCs w:val="24"/>
                <w:lang w:val="vi-VN"/>
              </w:rPr>
              <w:t xml:space="preserve">quy định việc </w:t>
            </w:r>
            <w:r w:rsidRPr="00A35865">
              <w:rPr>
                <w:rFonts w:ascii="Times New Roman" w:eastAsia="Cambria" w:hAnsi="Times New Roman" w:cs="Times New Roman"/>
                <w:bCs/>
                <w:spacing w:val="-2"/>
                <w:sz w:val="24"/>
                <w:szCs w:val="24"/>
                <w:lang w:val="vi-VN"/>
              </w:rPr>
              <w:t>chia cổ tức bằng cổ phiếu áp dụng đối với tổ chức tín dụng đáp ứng được các tiêu chí sau:</w:t>
            </w:r>
          </w:p>
          <w:bookmarkEnd w:id="1"/>
          <w:p w:rsidR="00602E69" w:rsidRPr="00365B29" w:rsidRDefault="00602E69" w:rsidP="00A35865">
            <w:pPr>
              <w:tabs>
                <w:tab w:val="left" w:pos="143"/>
              </w:tabs>
              <w:ind w:firstLine="284"/>
              <w:jc w:val="both"/>
              <w:rPr>
                <w:rFonts w:ascii="Times New Roman" w:eastAsia="Cambria" w:hAnsi="Times New Roman" w:cs="Times New Roman"/>
                <w:bCs/>
                <w:sz w:val="24"/>
                <w:szCs w:val="24"/>
                <w:lang w:val="vi-VN"/>
              </w:rPr>
            </w:pPr>
            <w:r w:rsidRPr="004F2452">
              <w:rPr>
                <w:rFonts w:ascii="Times New Roman" w:eastAsia="Cambria" w:hAnsi="Times New Roman" w:cs="Times New Roman"/>
                <w:bCs/>
                <w:sz w:val="24"/>
                <w:szCs w:val="24"/>
                <w:lang w:val="vi-VN"/>
              </w:rPr>
              <w:t xml:space="preserve">a) Đang hoạt động có hiệu quả được đánh giá dựa trên tiêu chí đánh giá hiệu quả đầu tư vốn nhà nước tại doanh nghiệp là tổ chức tín dụng có vốn nhà nước quy định tại Nghị định này, đảm bảo kết quả xếp loại của </w:t>
            </w:r>
            <w:r w:rsidRPr="00A35865">
              <w:rPr>
                <w:rFonts w:ascii="Times New Roman" w:eastAsia="Cambria" w:hAnsi="Times New Roman" w:cs="Times New Roman"/>
                <w:bCs/>
                <w:sz w:val="24"/>
                <w:szCs w:val="24"/>
                <w:lang w:val="vi-VN"/>
              </w:rPr>
              <w:t xml:space="preserve">ba </w:t>
            </w:r>
            <w:r w:rsidRPr="004F2452">
              <w:rPr>
                <w:rFonts w:ascii="Times New Roman" w:eastAsia="Cambria" w:hAnsi="Times New Roman" w:cs="Times New Roman"/>
                <w:bCs/>
                <w:sz w:val="24"/>
                <w:szCs w:val="24"/>
                <w:lang w:val="vi-VN"/>
              </w:rPr>
              <w:t>năm liền kề trước năm xác định chia cổ tức bằng cổ phiếu đạt từ loại B trở lên theo công bố kết quả xếp loại của Ngân hàng Nhà nước Việt Nam;</w:t>
            </w:r>
          </w:p>
        </w:tc>
        <w:tc>
          <w:tcPr>
            <w:tcW w:w="1813" w:type="pct"/>
          </w:tcPr>
          <w:p w:rsidR="00602E69" w:rsidRPr="00A62153" w:rsidRDefault="00602E69" w:rsidP="005670E7">
            <w:pPr>
              <w:tabs>
                <w:tab w:val="left" w:pos="143"/>
              </w:tabs>
              <w:ind w:firstLine="284"/>
              <w:jc w:val="both"/>
              <w:rPr>
                <w:rFonts w:ascii="Times New Roman" w:eastAsia="Cambria" w:hAnsi="Times New Roman" w:cs="Times New Roman"/>
                <w:b/>
                <w:bCs/>
                <w:sz w:val="24"/>
                <w:szCs w:val="24"/>
                <w:lang w:val="vi-VN"/>
              </w:rPr>
            </w:pPr>
            <w:r w:rsidRPr="005670E7">
              <w:rPr>
                <w:rFonts w:ascii="Times New Roman" w:eastAsia="Cambria" w:hAnsi="Times New Roman" w:cs="Times New Roman"/>
                <w:b/>
                <w:bCs/>
                <w:sz w:val="24"/>
                <w:szCs w:val="24"/>
                <w:lang w:val="vi-VN"/>
              </w:rPr>
              <w:t>Điểm b khoản 4 Điều 23</w:t>
            </w:r>
            <w:r w:rsidRPr="004F2452">
              <w:rPr>
                <w:rFonts w:ascii="Times New Roman" w:eastAsia="Cambria" w:hAnsi="Times New Roman" w:cs="Times New Roman"/>
                <w:b/>
                <w:bCs/>
                <w:sz w:val="24"/>
                <w:szCs w:val="24"/>
                <w:lang w:val="vi-VN"/>
              </w:rPr>
              <w:t xml:space="preserve"> </w:t>
            </w:r>
            <w:r w:rsidRPr="00602E69">
              <w:rPr>
                <w:rFonts w:ascii="Times New Roman" w:eastAsia="Cambria" w:hAnsi="Times New Roman" w:cs="Times New Roman"/>
                <w:b/>
                <w:sz w:val="24"/>
                <w:szCs w:val="24"/>
                <w:lang w:val="vi-VN"/>
              </w:rPr>
              <w:t>về</w:t>
            </w:r>
            <w:r w:rsidRPr="005670E7">
              <w:rPr>
                <w:rFonts w:ascii="Times New Roman" w:eastAsia="Cambria" w:hAnsi="Times New Roman" w:cs="Times New Roman"/>
                <w:b/>
                <w:sz w:val="24"/>
                <w:szCs w:val="24"/>
                <w:lang w:val="vi-VN"/>
              </w:rPr>
              <w:t xml:space="preserve"> </w:t>
            </w:r>
            <w:r w:rsidRPr="00602E69">
              <w:rPr>
                <w:rFonts w:ascii="Times New Roman" w:eastAsia="Cambria" w:hAnsi="Times New Roman" w:cs="Times New Roman"/>
                <w:b/>
                <w:sz w:val="24"/>
                <w:szCs w:val="24"/>
                <w:lang w:val="vi-VN"/>
              </w:rPr>
              <w:t>p</w:t>
            </w:r>
            <w:r w:rsidRPr="005670E7">
              <w:rPr>
                <w:rFonts w:ascii="Times New Roman" w:eastAsia="Cambria" w:hAnsi="Times New Roman" w:cs="Times New Roman"/>
                <w:b/>
                <w:sz w:val="24"/>
                <w:szCs w:val="24"/>
                <w:lang w:val="vi-VN"/>
              </w:rPr>
              <w:t>hân phối lợi nhuận đối với tổ chức tín dụng do Nhà nước nắm giữ trên 50% đến dưới 100% vốn điều lệ</w:t>
            </w:r>
          </w:p>
          <w:p w:rsidR="003E7016" w:rsidRPr="008A118E" w:rsidRDefault="00602E69" w:rsidP="005670E7">
            <w:pPr>
              <w:tabs>
                <w:tab w:val="left" w:pos="143"/>
              </w:tabs>
              <w:ind w:firstLine="284"/>
              <w:jc w:val="both"/>
              <w:rPr>
                <w:rFonts w:ascii="Times New Roman" w:eastAsia="Cambria" w:hAnsi="Times New Roman" w:cs="Times New Roman"/>
                <w:b/>
                <w:bCs/>
                <w:sz w:val="24"/>
                <w:szCs w:val="24"/>
                <w:lang w:val="vi-VN"/>
              </w:rPr>
            </w:pPr>
            <w:r w:rsidRPr="00186D22">
              <w:rPr>
                <w:rFonts w:ascii="Times New Roman" w:eastAsia="Cambria" w:hAnsi="Times New Roman" w:cs="Times New Roman"/>
                <w:bCs/>
                <w:sz w:val="24"/>
                <w:szCs w:val="24"/>
                <w:lang w:val="vi-VN"/>
              </w:rPr>
              <w:t xml:space="preserve">b) Trích tối đa </w:t>
            </w:r>
            <w:r w:rsidRPr="00186D22">
              <w:rPr>
                <w:rFonts w:ascii="Times New Roman" w:eastAsia="Cambria" w:hAnsi="Times New Roman" w:cs="Times New Roman"/>
                <w:bCs/>
                <w:strike/>
                <w:sz w:val="24"/>
                <w:szCs w:val="24"/>
                <w:lang w:val="vi-VN"/>
              </w:rPr>
              <w:t>2</w:t>
            </w:r>
            <w:r w:rsidRPr="00754CD4">
              <w:rPr>
                <w:rFonts w:ascii="Times New Roman" w:eastAsia="Cambria" w:hAnsi="Times New Roman" w:cs="Times New Roman"/>
                <w:bCs/>
                <w:strike/>
                <w:sz w:val="24"/>
                <w:szCs w:val="24"/>
                <w:lang w:val="vi-VN"/>
              </w:rPr>
              <w:t>5</w:t>
            </w:r>
            <w:r w:rsidRPr="00186D22">
              <w:rPr>
                <w:rFonts w:ascii="Times New Roman" w:eastAsia="Cambria" w:hAnsi="Times New Roman" w:cs="Times New Roman"/>
                <w:bCs/>
                <w:strike/>
                <w:sz w:val="24"/>
                <w:szCs w:val="24"/>
                <w:lang w:val="vi-VN"/>
              </w:rPr>
              <w:t>%</w:t>
            </w:r>
            <w:r w:rsidRPr="00186D22">
              <w:rPr>
                <w:rFonts w:ascii="Times New Roman" w:eastAsia="Cambria" w:hAnsi="Times New Roman" w:cs="Times New Roman"/>
                <w:b/>
                <w:bCs/>
                <w:sz w:val="24"/>
                <w:szCs w:val="24"/>
                <w:lang w:val="vi-VN"/>
              </w:rPr>
              <w:t>40</w:t>
            </w:r>
            <w:r w:rsidRPr="00186D22">
              <w:rPr>
                <w:rFonts w:ascii="Times New Roman" w:eastAsia="Cambria" w:hAnsi="Times New Roman" w:cs="Times New Roman"/>
                <w:bCs/>
                <w:sz w:val="24"/>
                <w:szCs w:val="24"/>
                <w:lang w:val="vi-VN"/>
              </w:rPr>
              <w:t>% vào quỹ đầu tư phát triển</w:t>
            </w:r>
            <w:r w:rsidR="003E7016" w:rsidRPr="003E7016">
              <w:rPr>
                <w:rFonts w:ascii="Times New Roman" w:eastAsia="Cambria" w:hAnsi="Times New Roman" w:cs="Times New Roman"/>
                <w:b/>
                <w:bCs/>
                <w:sz w:val="24"/>
                <w:szCs w:val="24"/>
                <w:lang w:val="vi-VN"/>
              </w:rPr>
              <w:t xml:space="preserve">, </w:t>
            </w:r>
            <w:r w:rsidR="008A118E" w:rsidRPr="008A118E">
              <w:rPr>
                <w:rFonts w:ascii="Times New Roman" w:eastAsia="Cambria" w:hAnsi="Times New Roman" w:cs="Times New Roman"/>
                <w:b/>
                <w:bCs/>
                <w:sz w:val="24"/>
                <w:szCs w:val="24"/>
                <w:lang w:val="vi-VN"/>
              </w:rPr>
              <w:t>đảm bảo trích không quá 50% vào quỹ dự trữ bổ sung vốn điều lệ và quỹ đầu tư phát triển theo quy định tại Luật Quản lý và đầu tư vốn nhà nước tại doanh nghiệp</w:t>
            </w:r>
            <w:r w:rsidR="008A118E" w:rsidRPr="003E7016">
              <w:rPr>
                <w:rFonts w:ascii="Times New Roman" w:eastAsia="Cambria" w:hAnsi="Times New Roman" w:cs="Times New Roman"/>
                <w:b/>
                <w:bCs/>
                <w:sz w:val="24"/>
                <w:szCs w:val="24"/>
                <w:lang w:val="vi-VN"/>
              </w:rPr>
              <w:t>.</w:t>
            </w:r>
            <w:r w:rsidR="003E7016" w:rsidRPr="003E7016">
              <w:rPr>
                <w:rFonts w:ascii="Times New Roman" w:eastAsia="Cambria" w:hAnsi="Times New Roman" w:cs="Times New Roman"/>
                <w:b/>
                <w:bCs/>
                <w:sz w:val="24"/>
                <w:szCs w:val="24"/>
                <w:lang w:val="vi-VN"/>
              </w:rPr>
              <w:t xml:space="preserve"> </w:t>
            </w:r>
          </w:p>
          <w:p w:rsidR="00602E69" w:rsidRPr="00186D22" w:rsidRDefault="003E7016" w:rsidP="005670E7">
            <w:pPr>
              <w:tabs>
                <w:tab w:val="left" w:pos="143"/>
              </w:tabs>
              <w:ind w:firstLine="284"/>
              <w:jc w:val="both"/>
              <w:rPr>
                <w:rFonts w:ascii="Times New Roman" w:eastAsia="Cambria" w:hAnsi="Times New Roman" w:cs="Times New Roman"/>
                <w:bCs/>
                <w:sz w:val="24"/>
                <w:szCs w:val="24"/>
                <w:lang w:val="vi-VN"/>
              </w:rPr>
            </w:pPr>
            <w:r w:rsidRPr="008A118E">
              <w:rPr>
                <w:rFonts w:ascii="Times New Roman" w:eastAsia="Cambria" w:hAnsi="Times New Roman" w:cs="Times New Roman"/>
                <w:bCs/>
                <w:sz w:val="24"/>
                <w:szCs w:val="24"/>
                <w:lang w:val="vi-VN"/>
              </w:rPr>
              <w:t>M</w:t>
            </w:r>
            <w:r w:rsidR="00602E69" w:rsidRPr="00186D22">
              <w:rPr>
                <w:rFonts w:ascii="Times New Roman" w:eastAsia="Cambria" w:hAnsi="Times New Roman" w:cs="Times New Roman"/>
                <w:bCs/>
                <w:sz w:val="24"/>
                <w:szCs w:val="24"/>
                <w:lang w:val="vi-VN"/>
              </w:rPr>
              <w:t xml:space="preserve">ức tối đa của quỹ </w:t>
            </w:r>
            <w:r w:rsidRPr="008A118E">
              <w:rPr>
                <w:rFonts w:ascii="Times New Roman" w:eastAsia="Cambria" w:hAnsi="Times New Roman" w:cs="Times New Roman"/>
                <w:b/>
                <w:bCs/>
                <w:sz w:val="24"/>
                <w:szCs w:val="24"/>
                <w:lang w:val="vi-VN"/>
              </w:rPr>
              <w:t xml:space="preserve">đầu tư phát triển </w:t>
            </w:r>
            <w:r w:rsidR="00602E69" w:rsidRPr="003E7016">
              <w:rPr>
                <w:rFonts w:ascii="Times New Roman" w:eastAsia="Cambria" w:hAnsi="Times New Roman" w:cs="Times New Roman"/>
                <w:bCs/>
                <w:strike/>
                <w:sz w:val="24"/>
                <w:szCs w:val="24"/>
                <w:lang w:val="vi-VN"/>
              </w:rPr>
              <w:t xml:space="preserve">này </w:t>
            </w:r>
            <w:r w:rsidR="00602E69" w:rsidRPr="00186D22">
              <w:rPr>
                <w:rFonts w:ascii="Times New Roman" w:eastAsia="Cambria" w:hAnsi="Times New Roman" w:cs="Times New Roman"/>
                <w:bCs/>
                <w:sz w:val="24"/>
                <w:szCs w:val="24"/>
                <w:lang w:val="vi-VN"/>
              </w:rPr>
              <w:t>không vượt quá mức vốn điều lệ của tổ chức tín dụng;</w:t>
            </w:r>
          </w:p>
          <w:p w:rsidR="00602E69" w:rsidRPr="00365B29" w:rsidRDefault="00602E69" w:rsidP="00B625E3">
            <w:pPr>
              <w:tabs>
                <w:tab w:val="left" w:pos="143"/>
              </w:tabs>
              <w:ind w:firstLine="284"/>
              <w:jc w:val="both"/>
              <w:rPr>
                <w:rFonts w:ascii="Times New Roman" w:eastAsia="Cambria" w:hAnsi="Times New Roman" w:cs="Times New Roman"/>
                <w:bCs/>
                <w:strike/>
                <w:spacing w:val="-2"/>
                <w:sz w:val="24"/>
                <w:szCs w:val="24"/>
                <w:lang w:val="vi-VN"/>
              </w:rPr>
            </w:pPr>
            <w:r w:rsidRPr="008D4DBE">
              <w:rPr>
                <w:rFonts w:ascii="Times New Roman" w:eastAsia="Cambria" w:hAnsi="Times New Roman" w:cs="Times New Roman"/>
                <w:bCs/>
                <w:spacing w:val="-2"/>
                <w:sz w:val="24"/>
                <w:szCs w:val="24"/>
                <w:lang w:val="vi-VN"/>
              </w:rPr>
              <w:t>c) Trích quỹ khen thưởng, quỹ phúc lợi cho người lao động</w:t>
            </w:r>
            <w:r w:rsidRPr="008D4DBE">
              <w:rPr>
                <w:rFonts w:ascii="Times New Roman" w:eastAsia="Cambria" w:hAnsi="Times New Roman" w:cs="Times New Roman"/>
                <w:b/>
                <w:bCs/>
                <w:spacing w:val="-2"/>
                <w:sz w:val="24"/>
                <w:szCs w:val="24"/>
                <w:lang w:val="vi-VN"/>
              </w:rPr>
              <w:t>, người quản lý tổ chức tín dụng, kiểm soát viên</w:t>
            </w:r>
            <w:r w:rsidRPr="008D4DBE">
              <w:rPr>
                <w:rFonts w:ascii="Times New Roman" w:eastAsia="Cambria" w:hAnsi="Times New Roman" w:cs="Times New Roman"/>
                <w:bCs/>
                <w:spacing w:val="-2"/>
                <w:sz w:val="24"/>
                <w:szCs w:val="24"/>
                <w:lang w:val="vi-VN"/>
              </w:rPr>
              <w:t xml:space="preserve"> </w:t>
            </w:r>
            <w:r w:rsidRPr="008D4DBE">
              <w:rPr>
                <w:rFonts w:ascii="Times New Roman" w:eastAsia="Cambria" w:hAnsi="Times New Roman" w:cs="Times New Roman"/>
                <w:b/>
                <w:bCs/>
                <w:spacing w:val="-2"/>
                <w:sz w:val="24"/>
                <w:szCs w:val="24"/>
                <w:lang w:val="vi-VN"/>
              </w:rPr>
              <w:t xml:space="preserve">theo nguyên tắc tương tự như tổ chức tín dụng do Nhà nước nắm giữ </w:t>
            </w:r>
            <w:r w:rsidRPr="008D4DBE">
              <w:rPr>
                <w:rFonts w:ascii="Times New Roman" w:eastAsia="Cambria" w:hAnsi="Times New Roman" w:cs="Times New Roman"/>
                <w:b/>
                <w:bCs/>
                <w:spacing w:val="-2"/>
                <w:sz w:val="24"/>
                <w:szCs w:val="24"/>
                <w:lang w:val="da-DK"/>
              </w:rPr>
              <w:t>100% vốn điều lệ.</w:t>
            </w:r>
            <w:r w:rsidRPr="008D4DBE">
              <w:rPr>
                <w:rFonts w:ascii="Times New Roman" w:eastAsia="Cambria" w:hAnsi="Times New Roman" w:cs="Times New Roman"/>
                <w:bCs/>
                <w:spacing w:val="-2"/>
                <w:sz w:val="24"/>
                <w:szCs w:val="24"/>
                <w:lang w:val="vi-VN"/>
              </w:rPr>
              <w:t xml:space="preserve"> </w:t>
            </w:r>
            <w:r w:rsidRPr="008D4DBE">
              <w:rPr>
                <w:rFonts w:ascii="Times New Roman" w:eastAsia="Cambria" w:hAnsi="Times New Roman" w:cs="Times New Roman"/>
                <w:bCs/>
                <w:strike/>
                <w:spacing w:val="-2"/>
                <w:sz w:val="24"/>
                <w:szCs w:val="24"/>
                <w:lang w:val="vi-VN"/>
              </w:rPr>
              <w:t>trong tổ chức tín dụng, quỹ thưởng người quản lý tổ chức tín dụng theo quy định của Chính phủ về lao động, tiền lương, thù lao, tiền thưởng đối với doanh nghiệp do Nhà nước nắm giữ trên 50% đến dưới 100% vốn điều lệ;</w:t>
            </w:r>
          </w:p>
          <w:p w:rsidR="00602E69" w:rsidRPr="00A35865" w:rsidRDefault="00602E69" w:rsidP="00A35865">
            <w:pPr>
              <w:ind w:firstLine="319"/>
              <w:jc w:val="both"/>
              <w:rPr>
                <w:rFonts w:ascii="Times New Roman" w:eastAsia="Cambria" w:hAnsi="Times New Roman" w:cs="Times New Roman"/>
                <w:sz w:val="24"/>
                <w:szCs w:val="24"/>
                <w:lang w:val="vi-VN"/>
              </w:rPr>
            </w:pPr>
            <w:r w:rsidRPr="00A35865">
              <w:rPr>
                <w:rFonts w:ascii="Times New Roman" w:eastAsia="Cambria" w:hAnsi="Times New Roman" w:cs="Times New Roman"/>
                <w:b/>
                <w:sz w:val="24"/>
                <w:szCs w:val="24"/>
                <w:lang w:val="vi-VN"/>
              </w:rPr>
              <w:t xml:space="preserve">Điểm a khoản 7 Điều 23 </w:t>
            </w:r>
          </w:p>
          <w:p w:rsidR="00602E69" w:rsidRPr="00A35865" w:rsidRDefault="00602E69" w:rsidP="00A35865">
            <w:pPr>
              <w:tabs>
                <w:tab w:val="left" w:pos="143"/>
              </w:tabs>
              <w:ind w:firstLine="284"/>
              <w:jc w:val="both"/>
              <w:rPr>
                <w:rFonts w:ascii="Times New Roman" w:eastAsia="Cambria" w:hAnsi="Times New Roman" w:cs="Times New Roman"/>
                <w:b/>
                <w:bCs/>
                <w:sz w:val="24"/>
                <w:szCs w:val="24"/>
                <w:lang w:val="vi-VN"/>
              </w:rPr>
            </w:pPr>
            <w:r w:rsidRPr="004F2452">
              <w:rPr>
                <w:rFonts w:ascii="Times New Roman" w:eastAsia="Cambria" w:hAnsi="Times New Roman" w:cs="Times New Roman"/>
                <w:bCs/>
                <w:sz w:val="24"/>
                <w:szCs w:val="24"/>
                <w:lang w:val="vi-VN"/>
              </w:rPr>
              <w:t xml:space="preserve">a) Đang hoạt động có hiệu quả được đánh giá dựa trên tiêu chí đánh giá hiệu quả đầu tư vốn nhà nước tại doanh nghiệp là tổ chức tín dụng có vốn nhà nước quy định tại Nghị định này, đảm bảo kết quả xếp loại của </w:t>
            </w:r>
            <w:r w:rsidRPr="005057F8">
              <w:rPr>
                <w:rFonts w:ascii="Times New Roman" w:eastAsia="Cambria" w:hAnsi="Times New Roman" w:cs="Times New Roman"/>
                <w:bCs/>
                <w:strike/>
                <w:sz w:val="24"/>
                <w:szCs w:val="24"/>
                <w:lang w:val="vi-VN"/>
              </w:rPr>
              <w:t xml:space="preserve">ba </w:t>
            </w:r>
            <w:r w:rsidRPr="005057F8">
              <w:rPr>
                <w:rFonts w:ascii="Times New Roman" w:eastAsia="Cambria" w:hAnsi="Times New Roman" w:cs="Times New Roman"/>
                <w:b/>
                <w:bCs/>
                <w:sz w:val="24"/>
                <w:szCs w:val="24"/>
                <w:lang w:val="vi-VN"/>
              </w:rPr>
              <w:t xml:space="preserve">hai </w:t>
            </w:r>
            <w:r w:rsidRPr="004F2452">
              <w:rPr>
                <w:rFonts w:ascii="Times New Roman" w:eastAsia="Cambria" w:hAnsi="Times New Roman" w:cs="Times New Roman"/>
                <w:bCs/>
                <w:sz w:val="24"/>
                <w:szCs w:val="24"/>
                <w:lang w:val="vi-VN"/>
              </w:rPr>
              <w:t>năm liền kề trước năm xác định chia cổ tức bằng cổ phiếu đạt từ loại B trở lên theo công bố kết quả xếp loại của Ngân hàng Nhà nước Việt Nam;</w:t>
            </w:r>
          </w:p>
        </w:tc>
        <w:tc>
          <w:tcPr>
            <w:tcW w:w="1430" w:type="pct"/>
          </w:tcPr>
          <w:p w:rsidR="00602E69" w:rsidRPr="00B625E3" w:rsidRDefault="00602E69" w:rsidP="009563D1">
            <w:pPr>
              <w:tabs>
                <w:tab w:val="left" w:pos="143"/>
              </w:tabs>
              <w:ind w:firstLine="314"/>
              <w:jc w:val="both"/>
              <w:rPr>
                <w:rFonts w:ascii="Times New Roman" w:eastAsia="Cambria" w:hAnsi="Times New Roman" w:cs="Times New Roman"/>
                <w:bCs/>
                <w:sz w:val="24"/>
                <w:szCs w:val="24"/>
                <w:lang w:val="vi-VN"/>
              </w:rPr>
            </w:pPr>
            <w:r w:rsidRPr="009563D1">
              <w:rPr>
                <w:rFonts w:ascii="Times New Roman" w:eastAsia="Cambria" w:hAnsi="Times New Roman" w:cs="Times New Roman"/>
                <w:bCs/>
                <w:sz w:val="24"/>
                <w:szCs w:val="24"/>
                <w:lang w:val="vi-VN"/>
              </w:rPr>
              <w:t>- T</w:t>
            </w:r>
            <w:r w:rsidRPr="00620AB2">
              <w:rPr>
                <w:rFonts w:ascii="Times New Roman" w:eastAsia="Cambria" w:hAnsi="Times New Roman" w:cs="Times New Roman"/>
                <w:bCs/>
                <w:sz w:val="24"/>
                <w:szCs w:val="24"/>
                <w:lang w:val="vi-VN"/>
              </w:rPr>
              <w:t xml:space="preserve">ại </w:t>
            </w:r>
            <w:r w:rsidRPr="00D7544E">
              <w:rPr>
                <w:rFonts w:ascii="Times New Roman" w:eastAsia="Cambria" w:hAnsi="Times New Roman" w:cs="Times New Roman"/>
                <w:bCs/>
                <w:sz w:val="24"/>
                <w:szCs w:val="24"/>
                <w:lang w:val="vi-VN"/>
              </w:rPr>
              <w:t xml:space="preserve">điểm </w:t>
            </w:r>
            <w:r w:rsidRPr="00B625E3">
              <w:rPr>
                <w:rFonts w:ascii="Times New Roman" w:eastAsia="Cambria" w:hAnsi="Times New Roman" w:cs="Times New Roman"/>
                <w:bCs/>
                <w:sz w:val="24"/>
                <w:szCs w:val="24"/>
                <w:lang w:val="vi-VN"/>
              </w:rPr>
              <w:t>e khoản 2 Điều 27 Luật 68 quy định đối với doanh nghiệp do Nhà nước nắm giữ trên 50% đến dưới 100% vốn điều lệ thì việc phân phối lợi nhuận sau thuế để trích lập các quỹ theo quy định tại </w:t>
            </w:r>
            <w:bookmarkStart w:id="2" w:name="tc_11"/>
            <w:r w:rsidRPr="00B625E3">
              <w:rPr>
                <w:rFonts w:ascii="Times New Roman" w:eastAsia="Cambria" w:hAnsi="Times New Roman" w:cs="Times New Roman"/>
                <w:bCs/>
                <w:sz w:val="24"/>
                <w:szCs w:val="24"/>
                <w:lang w:val="vi-VN"/>
              </w:rPr>
              <w:t>Điều 25 của Luật này</w:t>
            </w:r>
            <w:bookmarkEnd w:id="2"/>
            <w:r w:rsidRPr="00B625E3">
              <w:rPr>
                <w:rFonts w:ascii="Times New Roman" w:eastAsia="Cambria" w:hAnsi="Times New Roman" w:cs="Times New Roman"/>
                <w:bCs/>
                <w:sz w:val="24"/>
                <w:szCs w:val="24"/>
                <w:lang w:val="vi-VN"/>
              </w:rPr>
              <w:t xml:space="preserve"> (tức là như doanh nghiệp do Nhà nước nắm giữ 100% vốn điều lệ). </w:t>
            </w:r>
          </w:p>
          <w:p w:rsidR="00602E69" w:rsidRPr="00B625E3" w:rsidRDefault="00602E69" w:rsidP="00B625E3">
            <w:pPr>
              <w:ind w:firstLine="319"/>
              <w:jc w:val="both"/>
              <w:rPr>
                <w:rFonts w:ascii="Times New Roman" w:eastAsia="Cambria" w:hAnsi="Times New Roman" w:cs="Times New Roman"/>
                <w:bCs/>
                <w:sz w:val="24"/>
                <w:szCs w:val="24"/>
                <w:lang w:val="vi-VN"/>
              </w:rPr>
            </w:pPr>
            <w:r w:rsidRPr="009563D1">
              <w:rPr>
                <w:rFonts w:ascii="Times New Roman" w:eastAsia="Cambria" w:hAnsi="Times New Roman" w:cs="Times New Roman"/>
                <w:bCs/>
                <w:sz w:val="24"/>
                <w:szCs w:val="24"/>
                <w:lang w:val="vi-VN"/>
              </w:rPr>
              <w:t xml:space="preserve">Do đó, dự thảo Nghị định sửa quy định về </w:t>
            </w:r>
            <w:r w:rsidRPr="00B625E3">
              <w:rPr>
                <w:rFonts w:ascii="Times New Roman" w:eastAsia="Cambria" w:hAnsi="Times New Roman" w:cs="Times New Roman"/>
                <w:bCs/>
                <w:sz w:val="24"/>
                <w:szCs w:val="24"/>
                <w:lang w:val="vi-VN"/>
              </w:rPr>
              <w:t>mức trích quỹ đầu tư phát triển (tối đa 40% lợi nhuận còn lại</w:t>
            </w:r>
            <w:r w:rsidRPr="009563D1">
              <w:rPr>
                <w:rFonts w:ascii="Times New Roman" w:eastAsia="Cambria" w:hAnsi="Times New Roman" w:cs="Times New Roman"/>
                <w:bCs/>
                <w:sz w:val="24"/>
                <w:szCs w:val="24"/>
                <w:lang w:val="vi-VN"/>
              </w:rPr>
              <w:t xml:space="preserve">) và </w:t>
            </w:r>
            <w:r w:rsidRPr="00B625E3">
              <w:rPr>
                <w:rFonts w:ascii="Times New Roman" w:eastAsia="Cambria" w:hAnsi="Times New Roman" w:cs="Times New Roman"/>
                <w:bCs/>
                <w:sz w:val="24"/>
                <w:szCs w:val="24"/>
                <w:lang w:val="vi-VN"/>
              </w:rPr>
              <w:t xml:space="preserve">các quy định liên quan đến trích quỹ khen thưởng, quỹ phúc lợi </w:t>
            </w:r>
            <w:r w:rsidRPr="009563D1">
              <w:rPr>
                <w:rFonts w:ascii="Times New Roman" w:eastAsia="Cambria" w:hAnsi="Times New Roman" w:cs="Times New Roman"/>
                <w:bCs/>
                <w:sz w:val="24"/>
                <w:szCs w:val="24"/>
                <w:lang w:val="vi-VN"/>
              </w:rPr>
              <w:t xml:space="preserve">tại TCTD do Nhà nước nắm giữ trên 50% đến dưới 100% vốn điều lệ tương tự như TCTD do Nhà nước nắm giữ </w:t>
            </w:r>
            <w:r w:rsidRPr="00B625E3">
              <w:rPr>
                <w:rFonts w:ascii="Times New Roman" w:eastAsia="Cambria" w:hAnsi="Times New Roman" w:cs="Times New Roman"/>
                <w:bCs/>
                <w:sz w:val="24"/>
                <w:szCs w:val="24"/>
                <w:lang w:val="vi-VN"/>
              </w:rPr>
              <w:t xml:space="preserve">100% vốn điều lệ đã nêu tại Điều 22 trên đây. </w:t>
            </w:r>
          </w:p>
          <w:p w:rsidR="00602E69" w:rsidRPr="001551D6" w:rsidRDefault="00602E69" w:rsidP="00606A1E">
            <w:pPr>
              <w:tabs>
                <w:tab w:val="left" w:pos="143"/>
              </w:tabs>
              <w:ind w:firstLine="314"/>
              <w:jc w:val="both"/>
              <w:rPr>
                <w:rFonts w:ascii="Times New Roman" w:eastAsia="Cambria" w:hAnsi="Times New Roman" w:cs="Times New Roman"/>
                <w:bCs/>
                <w:spacing w:val="-2"/>
                <w:sz w:val="24"/>
                <w:szCs w:val="24"/>
                <w:lang w:val="vi-VN"/>
              </w:rPr>
            </w:pPr>
            <w:r w:rsidRPr="001551D6">
              <w:rPr>
                <w:rFonts w:ascii="Times New Roman" w:eastAsia="Cambria" w:hAnsi="Times New Roman" w:cs="Times New Roman"/>
                <w:bCs/>
                <w:spacing w:val="-2"/>
                <w:sz w:val="24"/>
                <w:szCs w:val="24"/>
                <w:lang w:val="vi-VN"/>
              </w:rPr>
              <w:t>- Ngoài ra, tại khoản 4 Điều 31 dự thảo Nghị định quản lý và đầu tư vốn nhà nước tại doanh nghiệp hướng dẫn Luật 68 hiện đang quy định một trong những điều kiện để doanh nghiệp thực hiện</w:t>
            </w:r>
            <w:r w:rsidRPr="001551D6">
              <w:rPr>
                <w:rFonts w:ascii="Times New Roman" w:eastAsia="Times New Roman" w:hAnsi="Times New Roman" w:cs="Times New Roman"/>
                <w:noProof w:val="0"/>
                <w:spacing w:val="-2"/>
                <w:sz w:val="24"/>
                <w:szCs w:val="24"/>
                <w:lang w:val="vi-VN"/>
              </w:rPr>
              <w:t xml:space="preserve"> chia cổ tức bằng cổ phiếu là phải hoạt động có hiệu quả và kết quả xếp loại doanh nghiệp của </w:t>
            </w:r>
            <w:r w:rsidRPr="001551D6">
              <w:rPr>
                <w:rFonts w:ascii="Times New Roman" w:eastAsia="Times New Roman" w:hAnsi="Times New Roman" w:cs="Times New Roman"/>
                <w:b/>
                <w:bCs/>
                <w:noProof w:val="0"/>
                <w:spacing w:val="-2"/>
                <w:sz w:val="24"/>
                <w:szCs w:val="24"/>
                <w:lang w:val="vi-VN"/>
              </w:rPr>
              <w:t>02</w:t>
            </w:r>
            <w:r w:rsidRPr="001551D6">
              <w:rPr>
                <w:rFonts w:ascii="Times New Roman" w:eastAsia="Times New Roman" w:hAnsi="Times New Roman" w:cs="Times New Roman"/>
                <w:noProof w:val="0"/>
                <w:spacing w:val="-2"/>
                <w:sz w:val="24"/>
                <w:szCs w:val="24"/>
                <w:lang w:val="vi-VN"/>
              </w:rPr>
              <w:t xml:space="preserve"> năm liền kề trước năm đề xuất đầu tư bổ sung vốn điều lệ đạt từ loại B trở lên (</w:t>
            </w:r>
            <w:r w:rsidRPr="001551D6">
              <w:rPr>
                <w:rFonts w:ascii="Times New Roman" w:eastAsia="Cambria" w:hAnsi="Times New Roman" w:cs="Times New Roman"/>
                <w:bCs/>
                <w:spacing w:val="-2"/>
                <w:sz w:val="24"/>
                <w:szCs w:val="24"/>
                <w:lang w:val="vi-VN"/>
              </w:rPr>
              <w:t xml:space="preserve">theo quy định trước đây tại Nghị định số 91/2015/NĐ-CP là 03 năm liền kề). </w:t>
            </w:r>
          </w:p>
          <w:p w:rsidR="00602E69" w:rsidRPr="001551D6" w:rsidRDefault="00602E69" w:rsidP="008D4DBE">
            <w:pPr>
              <w:tabs>
                <w:tab w:val="left" w:pos="143"/>
              </w:tabs>
              <w:ind w:firstLine="314"/>
              <w:jc w:val="both"/>
              <w:rPr>
                <w:rFonts w:ascii="Times New Roman" w:eastAsia="Times New Roman" w:hAnsi="Times New Roman" w:cs="Times New Roman"/>
                <w:noProof w:val="0"/>
                <w:spacing w:val="-3"/>
                <w:sz w:val="24"/>
                <w:szCs w:val="24"/>
                <w:lang w:val="vi-VN"/>
              </w:rPr>
            </w:pPr>
            <w:r w:rsidRPr="001551D6">
              <w:rPr>
                <w:rFonts w:ascii="Times New Roman" w:eastAsia="Cambria" w:hAnsi="Times New Roman" w:cs="Times New Roman"/>
                <w:bCs/>
                <w:spacing w:val="-3"/>
                <w:sz w:val="24"/>
                <w:szCs w:val="24"/>
                <w:lang w:val="vi-VN"/>
              </w:rPr>
              <w:t xml:space="preserve">Theo đó, dự thảo Nghị định sửa lại điều kiện chia cổ tức bằng cổ phiếu đối với TCTD do Nhà nước nắm giữ trên 50% đến dưới 100% vốn điều lệ tại điểm a khoản 7 Điều 23 Nghị định 135 theo kết quả xếp loại của </w:t>
            </w:r>
            <w:r w:rsidRPr="001551D6">
              <w:rPr>
                <w:rFonts w:ascii="Times New Roman" w:eastAsia="Cambria" w:hAnsi="Times New Roman" w:cs="Times New Roman"/>
                <w:b/>
                <w:bCs/>
                <w:spacing w:val="-3"/>
                <w:sz w:val="24"/>
                <w:szCs w:val="24"/>
                <w:lang w:val="vi-VN"/>
              </w:rPr>
              <w:t xml:space="preserve">02 </w:t>
            </w:r>
            <w:r w:rsidRPr="001551D6">
              <w:rPr>
                <w:rFonts w:ascii="Times New Roman" w:eastAsia="Cambria" w:hAnsi="Times New Roman" w:cs="Times New Roman"/>
                <w:bCs/>
                <w:spacing w:val="-3"/>
                <w:sz w:val="24"/>
                <w:szCs w:val="24"/>
                <w:lang w:val="vi-VN"/>
              </w:rPr>
              <w:t>năm liền kề tương tự như doanh nghiệp.</w:t>
            </w:r>
          </w:p>
        </w:tc>
      </w:tr>
      <w:tr w:rsidR="00602E69" w:rsidRPr="008A118E" w:rsidTr="001551D6">
        <w:trPr>
          <w:trHeight w:val="296"/>
        </w:trPr>
        <w:tc>
          <w:tcPr>
            <w:tcW w:w="1757" w:type="pct"/>
          </w:tcPr>
          <w:p w:rsidR="00602E69" w:rsidRPr="00602E69" w:rsidRDefault="00602E69" w:rsidP="00D7544E">
            <w:pPr>
              <w:ind w:firstLine="319"/>
              <w:jc w:val="both"/>
              <w:rPr>
                <w:rFonts w:ascii="Times New Roman" w:eastAsia="Cambria" w:hAnsi="Times New Roman" w:cs="Times New Roman"/>
                <w:b/>
                <w:sz w:val="24"/>
                <w:szCs w:val="24"/>
                <w:lang w:val="vi-VN"/>
              </w:rPr>
            </w:pPr>
            <w:r w:rsidRPr="00D7544E">
              <w:rPr>
                <w:rFonts w:ascii="Times New Roman" w:eastAsia="Cambria" w:hAnsi="Times New Roman" w:cs="Times New Roman"/>
                <w:b/>
                <w:sz w:val="24"/>
                <w:szCs w:val="24"/>
                <w:lang w:val="vi-VN"/>
              </w:rPr>
              <w:t>Khoản 3 Điều 2</w:t>
            </w:r>
            <w:r w:rsidRPr="00FC245D">
              <w:rPr>
                <w:rFonts w:ascii="Times New Roman" w:eastAsia="Cambria" w:hAnsi="Times New Roman" w:cs="Times New Roman"/>
                <w:b/>
                <w:sz w:val="24"/>
                <w:szCs w:val="24"/>
                <w:lang w:val="vi-VN"/>
              </w:rPr>
              <w:t>4</w:t>
            </w:r>
            <w:r w:rsidRPr="00602E69">
              <w:rPr>
                <w:rFonts w:ascii="Times New Roman" w:eastAsia="Cambria" w:hAnsi="Times New Roman" w:cs="Times New Roman"/>
                <w:b/>
                <w:sz w:val="24"/>
                <w:szCs w:val="24"/>
                <w:lang w:val="vi-VN"/>
              </w:rPr>
              <w:t xml:space="preserve"> về p</w:t>
            </w:r>
            <w:r w:rsidRPr="00D7544E">
              <w:rPr>
                <w:rFonts w:ascii="Times New Roman" w:eastAsia="Cambria" w:hAnsi="Times New Roman" w:cs="Times New Roman"/>
                <w:b/>
                <w:sz w:val="24"/>
                <w:szCs w:val="24"/>
                <w:lang w:val="vi-VN"/>
              </w:rPr>
              <w:t>hân phối lợi nhuận đối với tổ chức tín dụng là hợp tác xã</w:t>
            </w:r>
          </w:p>
          <w:p w:rsidR="00602E69" w:rsidRPr="00365B29" w:rsidRDefault="00602E69" w:rsidP="003E7016">
            <w:pPr>
              <w:ind w:firstLine="319"/>
              <w:jc w:val="both"/>
              <w:rPr>
                <w:rFonts w:ascii="Times New Roman" w:eastAsia="Cambria" w:hAnsi="Times New Roman" w:cs="Times New Roman"/>
                <w:sz w:val="24"/>
                <w:szCs w:val="24"/>
                <w:lang w:val="vi-VN"/>
              </w:rPr>
            </w:pPr>
            <w:r w:rsidRPr="00AB1797">
              <w:rPr>
                <w:rFonts w:ascii="Times New Roman" w:eastAsia="Cambria" w:hAnsi="Times New Roman" w:cs="Times New Roman"/>
                <w:sz w:val="24"/>
                <w:szCs w:val="24"/>
                <w:lang w:val="vi-VN"/>
              </w:rPr>
              <w:t xml:space="preserve">3. Trích tối đa 25% vào quỹ đầu tư phát triển; mức </w:t>
            </w:r>
            <w:r w:rsidRPr="00AB1797">
              <w:rPr>
                <w:rFonts w:ascii="Times New Roman" w:eastAsia="Cambria" w:hAnsi="Times New Roman" w:cs="Times New Roman"/>
                <w:sz w:val="24"/>
                <w:szCs w:val="24"/>
                <w:lang w:val="vi-VN"/>
              </w:rPr>
              <w:lastRenderedPageBreak/>
              <w:t>tối đa của quỹ này không vượt quá mức vốn điều lệ của tổ chức tín dụ</w:t>
            </w:r>
            <w:r>
              <w:rPr>
                <w:rFonts w:ascii="Times New Roman" w:eastAsia="Cambria" w:hAnsi="Times New Roman" w:cs="Times New Roman"/>
                <w:sz w:val="24"/>
                <w:szCs w:val="24"/>
                <w:lang w:val="vi-VN"/>
              </w:rPr>
              <w:t>ng</w:t>
            </w:r>
            <w:r w:rsidR="003E7016" w:rsidRPr="003E7016">
              <w:rPr>
                <w:rFonts w:ascii="Times New Roman" w:eastAsia="Cambria" w:hAnsi="Times New Roman" w:cs="Times New Roman"/>
                <w:sz w:val="24"/>
                <w:szCs w:val="24"/>
                <w:lang w:val="vi-VN"/>
              </w:rPr>
              <w:t>.</w:t>
            </w:r>
            <w:r w:rsidRPr="00AB1797">
              <w:rPr>
                <w:rFonts w:ascii="Times New Roman" w:eastAsia="Cambria" w:hAnsi="Times New Roman" w:cs="Times New Roman"/>
                <w:sz w:val="24"/>
                <w:szCs w:val="24"/>
                <w:lang w:val="vi-VN"/>
              </w:rPr>
              <w:t xml:space="preserve"> </w:t>
            </w:r>
          </w:p>
        </w:tc>
        <w:tc>
          <w:tcPr>
            <w:tcW w:w="1813" w:type="pct"/>
          </w:tcPr>
          <w:p w:rsidR="00602E69" w:rsidRPr="00602E69" w:rsidRDefault="00602E69" w:rsidP="005670E7">
            <w:pPr>
              <w:tabs>
                <w:tab w:val="left" w:pos="143"/>
              </w:tabs>
              <w:ind w:firstLine="284"/>
              <w:jc w:val="both"/>
              <w:rPr>
                <w:rFonts w:ascii="Times New Roman" w:eastAsia="Cambria" w:hAnsi="Times New Roman" w:cs="Times New Roman"/>
                <w:b/>
                <w:bCs/>
                <w:sz w:val="24"/>
                <w:szCs w:val="24"/>
                <w:lang w:val="vi-VN"/>
              </w:rPr>
            </w:pPr>
            <w:r w:rsidRPr="00D7544E">
              <w:rPr>
                <w:rFonts w:ascii="Times New Roman" w:eastAsia="Cambria" w:hAnsi="Times New Roman" w:cs="Times New Roman"/>
                <w:b/>
                <w:bCs/>
                <w:sz w:val="24"/>
                <w:szCs w:val="24"/>
                <w:lang w:val="vi-VN"/>
              </w:rPr>
              <w:lastRenderedPageBreak/>
              <w:t>Khoản 3 Điều 2</w:t>
            </w:r>
            <w:r w:rsidRPr="00FC245D">
              <w:rPr>
                <w:rFonts w:ascii="Times New Roman" w:eastAsia="Cambria" w:hAnsi="Times New Roman" w:cs="Times New Roman"/>
                <w:b/>
                <w:bCs/>
                <w:sz w:val="24"/>
                <w:szCs w:val="24"/>
                <w:lang w:val="vi-VN"/>
              </w:rPr>
              <w:t>4</w:t>
            </w:r>
            <w:r w:rsidRPr="00602E69">
              <w:rPr>
                <w:rFonts w:ascii="Times New Roman" w:eastAsia="Cambria" w:hAnsi="Times New Roman" w:cs="Times New Roman"/>
                <w:b/>
                <w:bCs/>
                <w:sz w:val="24"/>
                <w:szCs w:val="24"/>
                <w:lang w:val="vi-VN"/>
              </w:rPr>
              <w:t xml:space="preserve"> </w:t>
            </w:r>
            <w:r w:rsidRPr="00602E69">
              <w:rPr>
                <w:rFonts w:ascii="Times New Roman" w:eastAsia="Cambria" w:hAnsi="Times New Roman" w:cs="Times New Roman"/>
                <w:b/>
                <w:sz w:val="24"/>
                <w:szCs w:val="24"/>
                <w:lang w:val="vi-VN"/>
              </w:rPr>
              <w:t>về p</w:t>
            </w:r>
            <w:r w:rsidRPr="00D7544E">
              <w:rPr>
                <w:rFonts w:ascii="Times New Roman" w:eastAsia="Cambria" w:hAnsi="Times New Roman" w:cs="Times New Roman"/>
                <w:b/>
                <w:sz w:val="24"/>
                <w:szCs w:val="24"/>
                <w:lang w:val="vi-VN"/>
              </w:rPr>
              <w:t>hân phối lợi nhuận đối với tổ chức tín dụng là hợp tác xã</w:t>
            </w:r>
          </w:p>
          <w:p w:rsidR="003E7016" w:rsidRPr="003E7016" w:rsidRDefault="00602E69" w:rsidP="003E7016">
            <w:pPr>
              <w:tabs>
                <w:tab w:val="left" w:pos="143"/>
              </w:tabs>
              <w:ind w:firstLine="284"/>
              <w:jc w:val="both"/>
              <w:rPr>
                <w:rFonts w:ascii="Times New Roman" w:eastAsia="Cambria" w:hAnsi="Times New Roman" w:cs="Times New Roman"/>
                <w:bCs/>
                <w:sz w:val="24"/>
                <w:szCs w:val="24"/>
                <w:lang w:val="vi-VN"/>
              </w:rPr>
            </w:pPr>
            <w:r w:rsidRPr="00620AB2">
              <w:rPr>
                <w:rFonts w:ascii="Times New Roman" w:eastAsia="Cambria" w:hAnsi="Times New Roman" w:cs="Times New Roman"/>
                <w:bCs/>
                <w:sz w:val="24"/>
                <w:szCs w:val="24"/>
                <w:lang w:val="vi-VN"/>
              </w:rPr>
              <w:t xml:space="preserve">3. Trích tối đa </w:t>
            </w:r>
            <w:r w:rsidRPr="00620AB2">
              <w:rPr>
                <w:rFonts w:ascii="Times New Roman" w:eastAsia="Cambria" w:hAnsi="Times New Roman" w:cs="Times New Roman"/>
                <w:bCs/>
                <w:strike/>
                <w:sz w:val="24"/>
                <w:szCs w:val="24"/>
                <w:lang w:val="vi-VN"/>
              </w:rPr>
              <w:t>25%</w:t>
            </w:r>
            <w:r w:rsidRPr="00620AB2">
              <w:rPr>
                <w:rFonts w:ascii="Times New Roman" w:eastAsia="Cambria" w:hAnsi="Times New Roman" w:cs="Times New Roman"/>
                <w:b/>
                <w:bCs/>
                <w:sz w:val="24"/>
                <w:szCs w:val="24"/>
                <w:lang w:val="vi-VN"/>
              </w:rPr>
              <w:t>40</w:t>
            </w:r>
            <w:r w:rsidRPr="00620AB2">
              <w:rPr>
                <w:rFonts w:ascii="Times New Roman" w:eastAsia="Cambria" w:hAnsi="Times New Roman" w:cs="Times New Roman"/>
                <w:bCs/>
                <w:sz w:val="24"/>
                <w:szCs w:val="24"/>
                <w:lang w:val="vi-VN"/>
              </w:rPr>
              <w:t>% vào quỹ đầu tư phát triển</w:t>
            </w:r>
            <w:r w:rsidR="003E7016" w:rsidRPr="003E7016">
              <w:rPr>
                <w:rFonts w:ascii="Times New Roman" w:eastAsia="Cambria" w:hAnsi="Times New Roman" w:cs="Times New Roman"/>
                <w:b/>
                <w:bCs/>
                <w:sz w:val="24"/>
                <w:szCs w:val="24"/>
                <w:lang w:val="vi-VN"/>
              </w:rPr>
              <w:t xml:space="preserve">, </w:t>
            </w:r>
            <w:r w:rsidR="008A118E" w:rsidRPr="008A118E">
              <w:rPr>
                <w:rFonts w:ascii="Times New Roman" w:eastAsia="Cambria" w:hAnsi="Times New Roman" w:cs="Times New Roman"/>
                <w:b/>
                <w:bCs/>
                <w:sz w:val="24"/>
                <w:szCs w:val="24"/>
                <w:lang w:val="vi-VN"/>
              </w:rPr>
              <w:lastRenderedPageBreak/>
              <w:t>đảm bảo trích không quá 50% vào quỹ dự trữ bổ sung vốn điều lệ và quỹ đầu tư phát triển theo quy định tại Luật Quản lý và đầu tư vốn nhà nước tại doanh nghiệp</w:t>
            </w:r>
            <w:r w:rsidR="008A118E" w:rsidRPr="003E7016">
              <w:rPr>
                <w:rFonts w:ascii="Times New Roman" w:eastAsia="Cambria" w:hAnsi="Times New Roman" w:cs="Times New Roman"/>
                <w:b/>
                <w:bCs/>
                <w:sz w:val="24"/>
                <w:szCs w:val="24"/>
                <w:lang w:val="vi-VN"/>
              </w:rPr>
              <w:t>.</w:t>
            </w:r>
            <w:r w:rsidRPr="003E7016">
              <w:rPr>
                <w:rFonts w:ascii="Times New Roman" w:eastAsia="Cambria" w:hAnsi="Times New Roman" w:cs="Times New Roman"/>
                <w:b/>
                <w:bCs/>
                <w:sz w:val="24"/>
                <w:szCs w:val="24"/>
                <w:lang w:val="vi-VN"/>
              </w:rPr>
              <w:t xml:space="preserve"> </w:t>
            </w:r>
          </w:p>
          <w:p w:rsidR="00602E69" w:rsidRPr="003E7016" w:rsidRDefault="003E7016" w:rsidP="003E7016">
            <w:pPr>
              <w:tabs>
                <w:tab w:val="left" w:pos="143"/>
              </w:tabs>
              <w:ind w:firstLine="284"/>
              <w:jc w:val="both"/>
              <w:rPr>
                <w:rFonts w:ascii="Times New Roman" w:eastAsia="Cambria" w:hAnsi="Times New Roman" w:cs="Times New Roman"/>
                <w:bCs/>
                <w:sz w:val="24"/>
                <w:szCs w:val="24"/>
                <w:lang w:val="vi-VN"/>
              </w:rPr>
            </w:pPr>
            <w:r w:rsidRPr="003E7016">
              <w:rPr>
                <w:rFonts w:ascii="Times New Roman" w:eastAsia="Cambria" w:hAnsi="Times New Roman" w:cs="Times New Roman"/>
                <w:bCs/>
                <w:sz w:val="24"/>
                <w:szCs w:val="24"/>
                <w:lang w:val="vi-VN"/>
              </w:rPr>
              <w:t>M</w:t>
            </w:r>
            <w:r w:rsidR="00602E69" w:rsidRPr="00620AB2">
              <w:rPr>
                <w:rFonts w:ascii="Times New Roman" w:eastAsia="Cambria" w:hAnsi="Times New Roman" w:cs="Times New Roman"/>
                <w:bCs/>
                <w:sz w:val="24"/>
                <w:szCs w:val="24"/>
                <w:lang w:val="vi-VN"/>
              </w:rPr>
              <w:t xml:space="preserve">ức tối đa của quỹ </w:t>
            </w:r>
            <w:r w:rsidRPr="003E7016">
              <w:rPr>
                <w:rFonts w:ascii="Times New Roman" w:eastAsia="Cambria" w:hAnsi="Times New Roman" w:cs="Times New Roman"/>
                <w:b/>
                <w:bCs/>
                <w:sz w:val="24"/>
                <w:szCs w:val="24"/>
                <w:lang w:val="vi-VN"/>
              </w:rPr>
              <w:t xml:space="preserve">đầu tư phát triển </w:t>
            </w:r>
            <w:r w:rsidR="00602E69" w:rsidRPr="003E7016">
              <w:rPr>
                <w:rFonts w:ascii="Times New Roman" w:eastAsia="Cambria" w:hAnsi="Times New Roman" w:cs="Times New Roman"/>
                <w:bCs/>
                <w:strike/>
                <w:sz w:val="24"/>
                <w:szCs w:val="24"/>
                <w:lang w:val="vi-VN"/>
              </w:rPr>
              <w:t xml:space="preserve">này </w:t>
            </w:r>
            <w:r w:rsidR="00602E69" w:rsidRPr="00620AB2">
              <w:rPr>
                <w:rFonts w:ascii="Times New Roman" w:eastAsia="Cambria" w:hAnsi="Times New Roman" w:cs="Times New Roman"/>
                <w:bCs/>
                <w:sz w:val="24"/>
                <w:szCs w:val="24"/>
                <w:lang w:val="vi-VN"/>
              </w:rPr>
              <w:t>không vượt quá mức vốn điều lệ của tổ chức tín dụng</w:t>
            </w:r>
            <w:r w:rsidRPr="003E7016">
              <w:rPr>
                <w:rFonts w:ascii="Times New Roman" w:eastAsia="Cambria" w:hAnsi="Times New Roman" w:cs="Times New Roman"/>
                <w:bCs/>
                <w:sz w:val="24"/>
                <w:szCs w:val="24"/>
                <w:lang w:val="vi-VN"/>
              </w:rPr>
              <w:t>.</w:t>
            </w:r>
          </w:p>
        </w:tc>
        <w:tc>
          <w:tcPr>
            <w:tcW w:w="1430" w:type="pct"/>
          </w:tcPr>
          <w:p w:rsidR="00602E69" w:rsidRPr="008D4DBE" w:rsidRDefault="00602E69" w:rsidP="008D4DBE">
            <w:pPr>
              <w:tabs>
                <w:tab w:val="left" w:pos="143"/>
              </w:tabs>
              <w:ind w:firstLine="314"/>
              <w:jc w:val="both"/>
              <w:rPr>
                <w:rFonts w:ascii="Times New Roman" w:eastAsia="Cambria" w:hAnsi="Times New Roman" w:cs="Times New Roman"/>
                <w:bCs/>
                <w:sz w:val="24"/>
                <w:szCs w:val="24"/>
                <w:lang w:val="vi-VN"/>
              </w:rPr>
            </w:pPr>
            <w:r w:rsidRPr="00431254">
              <w:rPr>
                <w:rFonts w:ascii="Times New Roman" w:eastAsia="Cambria" w:hAnsi="Times New Roman" w:cs="Times New Roman"/>
                <w:bCs/>
                <w:sz w:val="24"/>
                <w:szCs w:val="24"/>
                <w:lang w:val="vi-VN"/>
              </w:rPr>
              <w:lastRenderedPageBreak/>
              <w:t xml:space="preserve">Sửa đổi lại </w:t>
            </w:r>
            <w:r w:rsidRPr="009563D1">
              <w:rPr>
                <w:rFonts w:ascii="Times New Roman" w:eastAsia="Cambria" w:hAnsi="Times New Roman" w:cs="Times New Roman"/>
                <w:bCs/>
                <w:sz w:val="24"/>
                <w:szCs w:val="24"/>
                <w:lang w:val="vi-VN"/>
              </w:rPr>
              <w:t xml:space="preserve">quy định về </w:t>
            </w:r>
            <w:r w:rsidRPr="00B625E3">
              <w:rPr>
                <w:rFonts w:ascii="Times New Roman" w:eastAsia="Cambria" w:hAnsi="Times New Roman" w:cs="Times New Roman"/>
                <w:bCs/>
                <w:sz w:val="24"/>
                <w:szCs w:val="24"/>
                <w:lang w:val="vi-VN"/>
              </w:rPr>
              <w:t>mức trích quỹ đầu tư phát triển</w:t>
            </w:r>
            <w:r w:rsidRPr="008D4DBE">
              <w:rPr>
                <w:rFonts w:ascii="Times New Roman" w:eastAsia="Cambria" w:hAnsi="Times New Roman" w:cs="Times New Roman"/>
                <w:bCs/>
                <w:sz w:val="24"/>
                <w:szCs w:val="24"/>
                <w:lang w:val="vi-VN"/>
              </w:rPr>
              <w:t xml:space="preserve"> </w:t>
            </w:r>
            <w:r w:rsidRPr="00431254">
              <w:rPr>
                <w:rFonts w:ascii="Times New Roman" w:eastAsia="Cambria" w:hAnsi="Times New Roman" w:cs="Times New Roman"/>
                <w:bCs/>
                <w:sz w:val="24"/>
                <w:szCs w:val="24"/>
                <w:lang w:val="vi-VN"/>
              </w:rPr>
              <w:t>để phù hợp với quy định tại Điều</w:t>
            </w:r>
            <w:r w:rsidRPr="00283810">
              <w:rPr>
                <w:rFonts w:ascii="Times New Roman" w:eastAsia="Cambria" w:hAnsi="Times New Roman" w:cs="Times New Roman"/>
                <w:bCs/>
                <w:sz w:val="24"/>
                <w:szCs w:val="24"/>
                <w:lang w:val="vi-VN"/>
              </w:rPr>
              <w:t xml:space="preserve"> 57</w:t>
            </w:r>
            <w:r w:rsidRPr="00431254">
              <w:rPr>
                <w:rFonts w:ascii="Times New Roman" w:eastAsia="Cambria" w:hAnsi="Times New Roman" w:cs="Times New Roman"/>
                <w:bCs/>
                <w:sz w:val="24"/>
                <w:szCs w:val="24"/>
                <w:lang w:val="vi-VN"/>
              </w:rPr>
              <w:t xml:space="preserve"> Luật 68</w:t>
            </w:r>
            <w:r w:rsidRPr="008D4DBE">
              <w:rPr>
                <w:rFonts w:ascii="Times New Roman" w:eastAsia="Cambria" w:hAnsi="Times New Roman" w:cs="Times New Roman"/>
                <w:bCs/>
                <w:sz w:val="24"/>
                <w:szCs w:val="24"/>
                <w:lang w:val="vi-VN"/>
              </w:rPr>
              <w:t xml:space="preserve"> như</w:t>
            </w:r>
            <w:r w:rsidR="003E7016" w:rsidRPr="003E7016">
              <w:rPr>
                <w:rFonts w:ascii="Times New Roman" w:eastAsia="Cambria" w:hAnsi="Times New Roman" w:cs="Times New Roman"/>
                <w:bCs/>
                <w:sz w:val="24"/>
                <w:szCs w:val="24"/>
                <w:lang w:val="vi-VN"/>
              </w:rPr>
              <w:t xml:space="preserve"> nguyên tắc</w:t>
            </w:r>
            <w:r w:rsidRPr="008D4DBE">
              <w:rPr>
                <w:rFonts w:ascii="Times New Roman" w:eastAsia="Cambria" w:hAnsi="Times New Roman" w:cs="Times New Roman"/>
                <w:bCs/>
                <w:sz w:val="24"/>
                <w:szCs w:val="24"/>
                <w:lang w:val="vi-VN"/>
              </w:rPr>
              <w:t xml:space="preserve"> đã nêu </w:t>
            </w:r>
            <w:r w:rsidRPr="008D4DBE">
              <w:rPr>
                <w:rFonts w:ascii="Times New Roman" w:eastAsia="Cambria" w:hAnsi="Times New Roman" w:cs="Times New Roman"/>
                <w:bCs/>
                <w:sz w:val="24"/>
                <w:szCs w:val="24"/>
                <w:lang w:val="vi-VN"/>
              </w:rPr>
              <w:lastRenderedPageBreak/>
              <w:t>tại Điều 22, Điều 23 trên đây.</w:t>
            </w:r>
          </w:p>
        </w:tc>
      </w:tr>
      <w:tr w:rsidR="00602E69" w:rsidRPr="008A118E" w:rsidTr="001551D6">
        <w:trPr>
          <w:trHeight w:val="296"/>
        </w:trPr>
        <w:tc>
          <w:tcPr>
            <w:tcW w:w="1757" w:type="pct"/>
          </w:tcPr>
          <w:p w:rsidR="00602E69" w:rsidRPr="00602E69" w:rsidRDefault="00602E69" w:rsidP="00D7544E">
            <w:pPr>
              <w:tabs>
                <w:tab w:val="left" w:pos="143"/>
              </w:tabs>
              <w:ind w:firstLine="284"/>
              <w:jc w:val="both"/>
              <w:rPr>
                <w:rFonts w:ascii="Times New Roman" w:eastAsia="Cambria" w:hAnsi="Times New Roman" w:cs="Times New Roman"/>
                <w:b/>
                <w:bCs/>
                <w:sz w:val="24"/>
                <w:szCs w:val="24"/>
                <w:lang w:val="vi-VN"/>
              </w:rPr>
            </w:pPr>
            <w:r w:rsidRPr="00D7544E">
              <w:rPr>
                <w:rFonts w:ascii="Times New Roman" w:eastAsia="Cambria" w:hAnsi="Times New Roman" w:cs="Times New Roman"/>
                <w:b/>
                <w:bCs/>
                <w:sz w:val="24"/>
                <w:szCs w:val="24"/>
                <w:lang w:val="vi-VN"/>
              </w:rPr>
              <w:lastRenderedPageBreak/>
              <w:t>Điểm a khoản 4 Điều 25</w:t>
            </w:r>
            <w:r w:rsidRPr="00602E69">
              <w:rPr>
                <w:rFonts w:ascii="Times New Roman" w:eastAsia="Cambria" w:hAnsi="Times New Roman" w:cs="Times New Roman"/>
                <w:b/>
                <w:bCs/>
                <w:sz w:val="24"/>
                <w:szCs w:val="24"/>
                <w:lang w:val="vi-VN"/>
              </w:rPr>
              <w:t xml:space="preserve"> về p</w:t>
            </w:r>
            <w:r w:rsidRPr="00D7544E">
              <w:rPr>
                <w:rFonts w:ascii="Times New Roman" w:eastAsia="Cambria" w:hAnsi="Times New Roman" w:cs="Times New Roman"/>
                <w:b/>
                <w:bCs/>
                <w:sz w:val="24"/>
                <w:szCs w:val="24"/>
                <w:lang w:val="vi-VN"/>
              </w:rPr>
              <w:t>hân phối lợi nhuận đối với tổ chức tài chính vi mô</w:t>
            </w:r>
          </w:p>
          <w:p w:rsidR="00602E69" w:rsidRPr="00FC245D" w:rsidRDefault="00602E69" w:rsidP="00D7544E">
            <w:pPr>
              <w:tabs>
                <w:tab w:val="left" w:pos="143"/>
              </w:tabs>
              <w:ind w:firstLine="284"/>
              <w:jc w:val="both"/>
              <w:rPr>
                <w:rFonts w:ascii="Times New Roman" w:eastAsia="Cambria" w:hAnsi="Times New Roman" w:cs="Times New Roman"/>
                <w:bCs/>
                <w:sz w:val="24"/>
                <w:szCs w:val="24"/>
                <w:lang w:val="vi-VN"/>
              </w:rPr>
            </w:pPr>
            <w:r w:rsidRPr="00517AC4">
              <w:rPr>
                <w:rFonts w:ascii="Times New Roman" w:eastAsia="Cambria" w:hAnsi="Times New Roman" w:cs="Times New Roman"/>
                <w:bCs/>
                <w:sz w:val="24"/>
                <w:szCs w:val="24"/>
                <w:lang w:val="vi-VN"/>
              </w:rPr>
              <w:t>a) Trích tối đa 25% vào quỹ đầu tư phát triển, mức tối đa của quỹ này không vượt quá mức vốn điều lệ của tổ chức tài chính vi mô;</w:t>
            </w:r>
          </w:p>
        </w:tc>
        <w:tc>
          <w:tcPr>
            <w:tcW w:w="1813" w:type="pct"/>
          </w:tcPr>
          <w:p w:rsidR="00602E69" w:rsidRPr="00602E69" w:rsidRDefault="00602E69" w:rsidP="005670E7">
            <w:pPr>
              <w:tabs>
                <w:tab w:val="left" w:pos="143"/>
              </w:tabs>
              <w:ind w:firstLine="284"/>
              <w:jc w:val="both"/>
              <w:rPr>
                <w:rFonts w:ascii="Times New Roman" w:eastAsia="Cambria" w:hAnsi="Times New Roman" w:cs="Times New Roman"/>
                <w:bCs/>
                <w:sz w:val="24"/>
                <w:szCs w:val="24"/>
                <w:lang w:val="vi-VN"/>
              </w:rPr>
            </w:pPr>
            <w:r w:rsidRPr="00D7544E">
              <w:rPr>
                <w:rFonts w:ascii="Times New Roman" w:eastAsia="Cambria" w:hAnsi="Times New Roman" w:cs="Times New Roman"/>
                <w:b/>
                <w:bCs/>
                <w:sz w:val="24"/>
                <w:szCs w:val="24"/>
                <w:lang w:val="vi-VN"/>
              </w:rPr>
              <w:t>Điểm a khoản 4 Điều 25</w:t>
            </w:r>
            <w:r w:rsidRPr="00602E69">
              <w:rPr>
                <w:rFonts w:ascii="Times New Roman" w:eastAsia="Cambria" w:hAnsi="Times New Roman" w:cs="Times New Roman"/>
                <w:b/>
                <w:bCs/>
                <w:sz w:val="24"/>
                <w:szCs w:val="24"/>
                <w:lang w:val="vi-VN"/>
              </w:rPr>
              <w:t xml:space="preserve"> về p</w:t>
            </w:r>
            <w:r w:rsidRPr="00D7544E">
              <w:rPr>
                <w:rFonts w:ascii="Times New Roman" w:eastAsia="Cambria" w:hAnsi="Times New Roman" w:cs="Times New Roman"/>
                <w:b/>
                <w:bCs/>
                <w:sz w:val="24"/>
                <w:szCs w:val="24"/>
                <w:lang w:val="vi-VN"/>
              </w:rPr>
              <w:t>hân phối lợi nhuận đối với tổ chức tài chính vi mô</w:t>
            </w:r>
          </w:p>
          <w:p w:rsidR="00602E69" w:rsidRPr="00FC245D" w:rsidRDefault="00602E69" w:rsidP="00D7544E">
            <w:pPr>
              <w:tabs>
                <w:tab w:val="left" w:pos="143"/>
              </w:tabs>
              <w:ind w:firstLine="284"/>
              <w:jc w:val="both"/>
              <w:rPr>
                <w:rFonts w:ascii="Times New Roman" w:eastAsia="Cambria" w:hAnsi="Times New Roman" w:cs="Times New Roman"/>
                <w:bCs/>
                <w:sz w:val="24"/>
                <w:szCs w:val="24"/>
                <w:lang w:val="vi-VN"/>
              </w:rPr>
            </w:pPr>
            <w:r w:rsidRPr="00620AB2">
              <w:rPr>
                <w:rFonts w:ascii="Times New Roman" w:eastAsia="Cambria" w:hAnsi="Times New Roman" w:cs="Times New Roman"/>
                <w:bCs/>
                <w:sz w:val="24"/>
                <w:szCs w:val="24"/>
                <w:lang w:val="vi-VN"/>
              </w:rPr>
              <w:t xml:space="preserve">a) </w:t>
            </w:r>
            <w:r w:rsidRPr="001F7270">
              <w:rPr>
                <w:rFonts w:ascii="Times New Roman" w:eastAsia="Cambria" w:hAnsi="Times New Roman" w:cs="Times New Roman"/>
                <w:bCs/>
                <w:sz w:val="24"/>
                <w:szCs w:val="24"/>
                <w:lang w:val="vi-VN"/>
              </w:rPr>
              <w:t xml:space="preserve">Trích tối đa </w:t>
            </w:r>
            <w:r w:rsidRPr="001F7270">
              <w:rPr>
                <w:rFonts w:ascii="Times New Roman" w:eastAsia="Cambria" w:hAnsi="Times New Roman" w:cs="Times New Roman"/>
                <w:bCs/>
                <w:strike/>
                <w:sz w:val="24"/>
                <w:szCs w:val="24"/>
                <w:lang w:val="vi-VN"/>
              </w:rPr>
              <w:t>25%</w:t>
            </w:r>
            <w:r w:rsidRPr="001F7270">
              <w:rPr>
                <w:rFonts w:ascii="Times New Roman" w:eastAsia="Cambria" w:hAnsi="Times New Roman" w:cs="Times New Roman"/>
                <w:b/>
                <w:bCs/>
                <w:sz w:val="24"/>
                <w:szCs w:val="24"/>
                <w:lang w:val="vi-VN"/>
              </w:rPr>
              <w:t>40</w:t>
            </w:r>
            <w:r w:rsidRPr="001F7270">
              <w:rPr>
                <w:rFonts w:ascii="Times New Roman" w:eastAsia="Cambria" w:hAnsi="Times New Roman" w:cs="Times New Roman"/>
                <w:bCs/>
                <w:sz w:val="24"/>
                <w:szCs w:val="24"/>
                <w:lang w:val="vi-VN"/>
              </w:rPr>
              <w:t xml:space="preserve">% vào quỹ đầu tư phát triển; mức tối đa của quỹ </w:t>
            </w:r>
            <w:r w:rsidRPr="00754CD4">
              <w:rPr>
                <w:rFonts w:ascii="Times New Roman" w:eastAsia="Cambria" w:hAnsi="Times New Roman" w:cs="Times New Roman"/>
                <w:bCs/>
                <w:sz w:val="24"/>
                <w:szCs w:val="24"/>
                <w:lang w:val="vi-VN"/>
              </w:rPr>
              <w:t xml:space="preserve">này </w:t>
            </w:r>
            <w:r w:rsidRPr="001F7270">
              <w:rPr>
                <w:rFonts w:ascii="Times New Roman" w:eastAsia="Cambria" w:hAnsi="Times New Roman" w:cs="Times New Roman"/>
                <w:bCs/>
                <w:sz w:val="24"/>
                <w:szCs w:val="24"/>
                <w:lang w:val="vi-VN"/>
              </w:rPr>
              <w:t>không vượt quá mức vốn điều lệ của tổ chức tín dụng;</w:t>
            </w:r>
          </w:p>
        </w:tc>
        <w:tc>
          <w:tcPr>
            <w:tcW w:w="1430" w:type="pct"/>
          </w:tcPr>
          <w:p w:rsidR="00602E69" w:rsidRPr="00431254" w:rsidRDefault="00602E69" w:rsidP="003B0CD7">
            <w:pPr>
              <w:tabs>
                <w:tab w:val="left" w:pos="143"/>
              </w:tabs>
              <w:ind w:firstLine="314"/>
              <w:jc w:val="both"/>
              <w:rPr>
                <w:rFonts w:ascii="Times New Roman" w:eastAsia="Cambria" w:hAnsi="Times New Roman" w:cs="Times New Roman"/>
                <w:bCs/>
                <w:sz w:val="24"/>
                <w:szCs w:val="24"/>
                <w:lang w:val="vi-VN"/>
              </w:rPr>
            </w:pPr>
            <w:r w:rsidRPr="00431254">
              <w:rPr>
                <w:rFonts w:ascii="Times New Roman" w:eastAsia="Cambria" w:hAnsi="Times New Roman" w:cs="Times New Roman"/>
                <w:bCs/>
                <w:sz w:val="24"/>
                <w:szCs w:val="24"/>
                <w:lang w:val="vi-VN"/>
              </w:rPr>
              <w:t xml:space="preserve">Sửa đổi lại để phù hợp với quy định tại Điều 25 Luật 68 </w:t>
            </w:r>
          </w:p>
        </w:tc>
      </w:tr>
      <w:tr w:rsidR="00602E69" w:rsidRPr="008A118E" w:rsidTr="001551D6">
        <w:trPr>
          <w:trHeight w:val="296"/>
        </w:trPr>
        <w:tc>
          <w:tcPr>
            <w:tcW w:w="1757" w:type="pct"/>
          </w:tcPr>
          <w:p w:rsidR="00602E69" w:rsidRPr="00602E69" w:rsidRDefault="00602E69" w:rsidP="004139E8">
            <w:pPr>
              <w:tabs>
                <w:tab w:val="left" w:pos="143"/>
              </w:tabs>
              <w:ind w:firstLine="284"/>
              <w:jc w:val="both"/>
              <w:rPr>
                <w:rFonts w:ascii="Times New Roman Bold" w:eastAsia="Cambria" w:hAnsi="Times New Roman Bold" w:cs="Times New Roman"/>
                <w:b/>
                <w:bCs/>
                <w:spacing w:val="-2"/>
                <w:sz w:val="24"/>
                <w:szCs w:val="24"/>
                <w:lang w:val="vi-VN"/>
              </w:rPr>
            </w:pPr>
            <w:r w:rsidRPr="00365B29">
              <w:rPr>
                <w:rFonts w:ascii="Times New Roman Bold" w:eastAsia="Cambria" w:hAnsi="Times New Roman Bold" w:cs="Times New Roman"/>
                <w:b/>
                <w:bCs/>
                <w:spacing w:val="-2"/>
                <w:sz w:val="24"/>
                <w:szCs w:val="24"/>
                <w:lang w:val="vi-VN"/>
              </w:rPr>
              <w:t xml:space="preserve">Khoản 4, khoản 5, khoản 6, khoản 7 </w:t>
            </w:r>
            <w:r w:rsidRPr="00790FEF">
              <w:rPr>
                <w:rFonts w:ascii="Times New Roman Bold" w:eastAsia="Cambria" w:hAnsi="Times New Roman Bold" w:cs="Times New Roman"/>
                <w:b/>
                <w:bCs/>
                <w:spacing w:val="-2"/>
                <w:sz w:val="24"/>
                <w:szCs w:val="24"/>
                <w:lang w:val="vi-VN"/>
              </w:rPr>
              <w:t>Điều 27</w:t>
            </w:r>
            <w:r w:rsidRPr="00602E69">
              <w:rPr>
                <w:rFonts w:ascii="Times New Roman Bold" w:eastAsia="Cambria" w:hAnsi="Times New Roman Bold" w:cs="Times New Roman"/>
                <w:b/>
                <w:bCs/>
                <w:spacing w:val="-2"/>
                <w:sz w:val="24"/>
                <w:szCs w:val="24"/>
                <w:lang w:val="vi-VN"/>
              </w:rPr>
              <w:t xml:space="preserve"> về q</w:t>
            </w:r>
            <w:r w:rsidRPr="00C7607F">
              <w:rPr>
                <w:rFonts w:ascii="Times New Roman Bold" w:eastAsia="Cambria" w:hAnsi="Times New Roman Bold" w:cs="Times New Roman"/>
                <w:b/>
                <w:bCs/>
                <w:spacing w:val="-2"/>
                <w:sz w:val="24"/>
                <w:szCs w:val="24"/>
                <w:lang w:val="vi-VN"/>
              </w:rPr>
              <w:t>uản lý và sử dụng các quỹ</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4. Quỹ thưởng người quản lý tổ chức tín dụng, kiểm soát viên được sử dụng để:</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 xml:space="preserve">a) Thưởng cho Chủ tịch và thành viên Hội đồng quản trị/Hội đồng thành viên, Tổng giám đốc, Giám đốc, Phó Tổng giám đốc, Phó giám đốc, kiểm soát viên, thành viên Ban kiểm soát, Kế toán trưởng; </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b) Thẩm quyền quyết định mức thưởng quy định tại điểm a khoản này thực hiện theo quy định tại Luật Các tổ chức tín dụng, Điều lệ và quy chế nội bộ của tổ chức tín dụng.</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 xml:space="preserve">5. Quỹ khen thưởng dùng để: </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a) Thưởng cuối năm hoặc thưởng thường kỳ cho cán bộ, nhân viên trong tổ chức tín dụng trên cơ sở năng suất lao động, thành tích công tác của mỗi cán bộ, nhân viên;</w:t>
            </w:r>
          </w:p>
          <w:p w:rsidR="00602E69" w:rsidRPr="0044171E" w:rsidRDefault="00602E69" w:rsidP="004139E8">
            <w:pPr>
              <w:tabs>
                <w:tab w:val="left" w:pos="143"/>
              </w:tabs>
              <w:ind w:firstLine="284"/>
              <w:jc w:val="both"/>
              <w:rPr>
                <w:rFonts w:ascii="Times New Roman" w:eastAsia="Cambria" w:hAnsi="Times New Roman" w:cs="Times New Roman"/>
                <w:bCs/>
                <w:spacing w:val="-2"/>
                <w:sz w:val="24"/>
                <w:szCs w:val="24"/>
                <w:lang w:val="vi-VN"/>
              </w:rPr>
            </w:pPr>
            <w:r w:rsidRPr="0044171E">
              <w:rPr>
                <w:rFonts w:ascii="Times New Roman" w:eastAsia="Cambria" w:hAnsi="Times New Roman" w:cs="Times New Roman"/>
                <w:bCs/>
                <w:spacing w:val="-2"/>
                <w:sz w:val="24"/>
                <w:szCs w:val="24"/>
                <w:lang w:val="vi-VN"/>
              </w:rPr>
              <w:t>b) Thưởng đột xuất cho những cá nhân, tập thể trong tổ chức tín dụng có sáng kiến cải tiến kỹ thuật, quy trình nghiệp vụ mang lại hiệu quả trong kinh doanh;</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c) Thưởng cho cá nhân và đơn vị ngoài tổ chức tín dụng có đóng góp  cho hoạt động kinh doanh của tổ chức tín dụng;</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 xml:space="preserve">d) Thẩm quyền quyết định mức thưởng quy định tại </w:t>
            </w:r>
            <w:r w:rsidRPr="00D469B6">
              <w:rPr>
                <w:rFonts w:ascii="Times New Roman" w:eastAsia="Cambria" w:hAnsi="Times New Roman" w:cs="Times New Roman"/>
                <w:bCs/>
                <w:sz w:val="24"/>
                <w:szCs w:val="24"/>
                <w:lang w:val="vi-VN"/>
              </w:rPr>
              <w:lastRenderedPageBreak/>
              <w:t>điểm a, điểm b, điểm c khoản này thực hiện theo quy định tại Luật Các tổ chức tín dụng, Điều lệ và quy chế nội bộ của tổ chức tín dụng.</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6. Quỹ phúc lợi dùng để:</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a) Đầu tư xây dựng hoặc sửa chữa, bổ sung vốn xây dựng các công trình phúc lợi của tổ chức tín dụng, góp vốn đầu tư xây dựng các công trình phúc lợi chung trong ngành, hoặc với các đơn vị khác theo hợp đồng thỏa thuận;</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b) Chi cho các hoạt động thể thao, văn hóa, phúc lợi công cộng của tập thể cán bộ, nhân viên của tổ chức tín dụng;</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c) Chi trợ cấp khó khăn thường xuyên, đột xuất cho cán bộ, nhân viên kể cả các cán bộ, nhân viên đã về hưu, mất sức của tổ chức tín dụng;</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d) Chi cho các hoạt động phúc lợi khác.</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Hội đồng quản trị (Hội đồng thành viên), Tổng Giám đốc (hoặc Giám đốc) của tổ chức tín dụng phối hợp với Ban Chấp hành Công đoàn của tổ chức tín dụng quản lý, sử dụng quỹ này.</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7. Các tổ chức tín dụng, chi nhánh ngân hàng nước ngoài có trách nhiệm ban hành quy chế quản lý và sử dụng các quỹ được trích lập từ lợi nhuận sau thuế. Riêng đối với tổ chức tín dụng do Nhà nước nắm giữ 100% vốn điều lệ:</w:t>
            </w:r>
          </w:p>
          <w:p w:rsidR="00602E69" w:rsidRPr="00D469B6" w:rsidRDefault="00602E69" w:rsidP="004139E8">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 xml:space="preserve">a) Phải xây dựng, ban hành Quy chế quản lý, sử dụng quỹ khen thưởng, quỹ phúc lợi theo pháp luật về quản lý, sử dụng vốn nhà nước đầu tư vào sản xuất, kinh doanh tại doanh nghiệp để áp dụng trong nội bộ tổ chức tín dụng; quy chế đảm bảo dân chủ, minh bạch có sự tham gia của Ban Chấp hành công đoàn của tổ chức tín dụng và công khai trong tổ chức tín dụng trước khi thực hiện; </w:t>
            </w:r>
          </w:p>
          <w:p w:rsidR="00602E69" w:rsidRPr="00D7544E" w:rsidRDefault="00602E69" w:rsidP="004139E8">
            <w:pPr>
              <w:tabs>
                <w:tab w:val="left" w:pos="143"/>
              </w:tabs>
              <w:ind w:firstLine="284"/>
              <w:jc w:val="both"/>
              <w:rPr>
                <w:rFonts w:ascii="Times New Roman" w:eastAsia="Cambria" w:hAnsi="Times New Roman" w:cs="Times New Roman"/>
                <w:b/>
                <w:bCs/>
                <w:sz w:val="24"/>
                <w:szCs w:val="24"/>
                <w:lang w:val="vi-VN"/>
              </w:rPr>
            </w:pPr>
            <w:r w:rsidRPr="00D469B6">
              <w:rPr>
                <w:rFonts w:ascii="Times New Roman" w:eastAsia="Cambria" w:hAnsi="Times New Roman" w:cs="Times New Roman"/>
                <w:bCs/>
                <w:sz w:val="24"/>
                <w:szCs w:val="24"/>
                <w:lang w:val="vi-VN"/>
              </w:rPr>
              <w:t xml:space="preserve">b) Trong năm tài chính, tổ chức tín dụng chủ động thực hiện tạm trích các quỹ trên cơ sở kết quả hoạt </w:t>
            </w:r>
            <w:r w:rsidRPr="00D469B6">
              <w:rPr>
                <w:rFonts w:ascii="Times New Roman" w:eastAsia="Cambria" w:hAnsi="Times New Roman" w:cs="Times New Roman"/>
                <w:bCs/>
                <w:sz w:val="24"/>
                <w:szCs w:val="24"/>
                <w:lang w:val="vi-VN"/>
              </w:rPr>
              <w:lastRenderedPageBreak/>
              <w:t>động sản xuất, kinh doanh của tổ chức tín dụng có lãi và đã nộp thuế thu nhập doanh nghiệp theo quy định để có nguồn chi sử dụng quỹ theo mục đích đã quy định.</w:t>
            </w:r>
          </w:p>
        </w:tc>
        <w:tc>
          <w:tcPr>
            <w:tcW w:w="1813" w:type="pct"/>
          </w:tcPr>
          <w:p w:rsidR="00602E69" w:rsidRPr="00602E69" w:rsidRDefault="00602E69" w:rsidP="004139E8">
            <w:pPr>
              <w:tabs>
                <w:tab w:val="left" w:pos="143"/>
              </w:tabs>
              <w:ind w:firstLine="284"/>
              <w:jc w:val="both"/>
              <w:rPr>
                <w:rFonts w:eastAsia="Cambria" w:cs="Times New Roman"/>
                <w:b/>
                <w:bCs/>
                <w:spacing w:val="-2"/>
                <w:sz w:val="24"/>
                <w:szCs w:val="24"/>
                <w:lang w:val="vi-VN"/>
              </w:rPr>
            </w:pPr>
            <w:r w:rsidRPr="00790FEF">
              <w:rPr>
                <w:rFonts w:ascii="Times New Roman Bold" w:eastAsia="Cambria" w:hAnsi="Times New Roman Bold" w:cs="Times New Roman"/>
                <w:b/>
                <w:bCs/>
                <w:spacing w:val="-2"/>
                <w:sz w:val="24"/>
                <w:szCs w:val="24"/>
                <w:lang w:val="vi-VN"/>
              </w:rPr>
              <w:lastRenderedPageBreak/>
              <w:t>Khoản 4, khoản 5, khoản 6,</w:t>
            </w:r>
            <w:r w:rsidRPr="00790FEF">
              <w:rPr>
                <w:rFonts w:eastAsia="Cambria" w:cs="Times New Roman"/>
                <w:b/>
                <w:bCs/>
                <w:spacing w:val="-2"/>
                <w:sz w:val="24"/>
                <w:szCs w:val="24"/>
                <w:lang w:val="vi-VN"/>
              </w:rPr>
              <w:t xml:space="preserve"> </w:t>
            </w:r>
            <w:r w:rsidRPr="00790FEF">
              <w:rPr>
                <w:rFonts w:ascii="Times New Roman Bold" w:eastAsia="Cambria" w:hAnsi="Times New Roman Bold" w:cs="Times New Roman"/>
                <w:b/>
                <w:bCs/>
                <w:spacing w:val="-2"/>
                <w:sz w:val="24"/>
                <w:szCs w:val="24"/>
                <w:lang w:val="vi-VN"/>
              </w:rPr>
              <w:t>khoản 7 Điều 27</w:t>
            </w:r>
            <w:r w:rsidRPr="00602E69">
              <w:rPr>
                <w:rFonts w:ascii="Times New Roman Bold" w:eastAsia="Cambria" w:hAnsi="Times New Roman Bold" w:cs="Times New Roman"/>
                <w:b/>
                <w:bCs/>
                <w:spacing w:val="-2"/>
                <w:sz w:val="24"/>
                <w:szCs w:val="24"/>
                <w:lang w:val="vi-VN"/>
              </w:rPr>
              <w:t xml:space="preserve"> về q</w:t>
            </w:r>
            <w:r w:rsidRPr="00C7607F">
              <w:rPr>
                <w:rFonts w:ascii="Times New Roman Bold" w:eastAsia="Cambria" w:hAnsi="Times New Roman Bold" w:cs="Times New Roman"/>
                <w:b/>
                <w:bCs/>
                <w:spacing w:val="-2"/>
                <w:sz w:val="24"/>
                <w:szCs w:val="24"/>
                <w:lang w:val="vi-VN"/>
              </w:rPr>
              <w:t>uản lý và sử dụng các quỹ</w:t>
            </w:r>
          </w:p>
          <w:p w:rsidR="00602E69" w:rsidRPr="00917270" w:rsidRDefault="00602E69" w:rsidP="004139E8">
            <w:pPr>
              <w:tabs>
                <w:tab w:val="left" w:pos="143"/>
              </w:tabs>
              <w:ind w:firstLine="284"/>
              <w:jc w:val="both"/>
              <w:rPr>
                <w:rFonts w:ascii="Times New Roman" w:eastAsia="Cambria" w:hAnsi="Times New Roman" w:cs="Times New Roman"/>
                <w:bCs/>
                <w:strike/>
                <w:sz w:val="24"/>
                <w:szCs w:val="24"/>
                <w:lang w:val="vi-VN"/>
              </w:rPr>
            </w:pPr>
            <w:r w:rsidRPr="00917270">
              <w:rPr>
                <w:rFonts w:ascii="Times New Roman" w:eastAsia="Cambria" w:hAnsi="Times New Roman" w:cs="Times New Roman"/>
                <w:bCs/>
                <w:strike/>
                <w:sz w:val="24"/>
                <w:szCs w:val="24"/>
                <w:lang w:val="vi-VN"/>
              </w:rPr>
              <w:t>4. Quỹ thưởng người quản lý tổ chức tín dụng, kiểm soát viên được sử dụng để:</w:t>
            </w:r>
          </w:p>
          <w:p w:rsidR="00602E69" w:rsidRPr="00917270" w:rsidRDefault="00602E69" w:rsidP="004139E8">
            <w:pPr>
              <w:tabs>
                <w:tab w:val="left" w:pos="143"/>
              </w:tabs>
              <w:ind w:firstLine="284"/>
              <w:jc w:val="both"/>
              <w:rPr>
                <w:rFonts w:ascii="Times New Roman" w:eastAsia="Cambria" w:hAnsi="Times New Roman" w:cs="Times New Roman"/>
                <w:bCs/>
                <w:strike/>
                <w:sz w:val="24"/>
                <w:szCs w:val="24"/>
                <w:lang w:val="vi-VN"/>
              </w:rPr>
            </w:pPr>
            <w:r w:rsidRPr="00917270">
              <w:rPr>
                <w:rFonts w:ascii="Times New Roman" w:eastAsia="Cambria" w:hAnsi="Times New Roman" w:cs="Times New Roman"/>
                <w:bCs/>
                <w:strike/>
                <w:sz w:val="24"/>
                <w:szCs w:val="24"/>
                <w:lang w:val="vi-VN"/>
              </w:rPr>
              <w:t xml:space="preserve">a) Thưởng cho Chủ tịch và thành viên Hội đồng quản trị/Hội đồng thành viên, Tổng giám đốc, Giám đốc, Phó Tổng giám đốc, Phó giám đốc, kiểm soát viên, thành viên Ban kiểm soát, Kế toán trưởng; </w:t>
            </w:r>
          </w:p>
          <w:p w:rsidR="00602E69" w:rsidRPr="00917270" w:rsidRDefault="00602E69" w:rsidP="004139E8">
            <w:pPr>
              <w:tabs>
                <w:tab w:val="left" w:pos="143"/>
              </w:tabs>
              <w:ind w:firstLine="284"/>
              <w:jc w:val="both"/>
              <w:rPr>
                <w:rFonts w:ascii="Times New Roman" w:eastAsia="Cambria" w:hAnsi="Times New Roman" w:cs="Times New Roman"/>
                <w:bCs/>
                <w:strike/>
                <w:sz w:val="24"/>
                <w:szCs w:val="24"/>
                <w:lang w:val="vi-VN"/>
              </w:rPr>
            </w:pPr>
            <w:r w:rsidRPr="00917270">
              <w:rPr>
                <w:rFonts w:ascii="Times New Roman" w:eastAsia="Cambria" w:hAnsi="Times New Roman" w:cs="Times New Roman"/>
                <w:bCs/>
                <w:strike/>
                <w:sz w:val="24"/>
                <w:szCs w:val="24"/>
                <w:lang w:val="vi-VN"/>
              </w:rPr>
              <w:t>b) Thẩm quyền quyết định mức thưởng quy định tại điểm a khoản này thực hiện theo quy định tại Luật Các tổ chức tín dụng, Điều lệ và quy chế nội bộ của tổ chức tín dụng.</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917270">
              <w:rPr>
                <w:rFonts w:ascii="Times New Roman" w:eastAsia="Cambria" w:hAnsi="Times New Roman" w:cs="Times New Roman"/>
                <w:b/>
                <w:bCs/>
                <w:sz w:val="24"/>
                <w:szCs w:val="24"/>
                <w:lang w:val="vi-VN"/>
              </w:rPr>
              <w:t>4.</w:t>
            </w:r>
            <w:r w:rsidRPr="00917270">
              <w:rPr>
                <w:rFonts w:ascii="Times New Roman" w:eastAsia="Cambria" w:hAnsi="Times New Roman" w:cs="Times New Roman"/>
                <w:bCs/>
                <w:strike/>
                <w:sz w:val="24"/>
                <w:szCs w:val="24"/>
                <w:lang w:val="vi-VN"/>
              </w:rPr>
              <w:t>5.</w:t>
            </w:r>
            <w:r w:rsidRPr="003F5014">
              <w:rPr>
                <w:rFonts w:ascii="Times New Roman" w:eastAsia="Cambria" w:hAnsi="Times New Roman" w:cs="Times New Roman"/>
                <w:bCs/>
                <w:sz w:val="24"/>
                <w:szCs w:val="24"/>
                <w:lang w:val="vi-VN"/>
              </w:rPr>
              <w:t xml:space="preserve"> Quỹ khen thưởng dùng để: </w:t>
            </w:r>
          </w:p>
          <w:p w:rsidR="00602E69" w:rsidRPr="00917270" w:rsidRDefault="00602E69" w:rsidP="004139E8">
            <w:pPr>
              <w:tabs>
                <w:tab w:val="left" w:pos="143"/>
              </w:tabs>
              <w:ind w:firstLine="284"/>
              <w:jc w:val="both"/>
              <w:rPr>
                <w:rFonts w:ascii="Times New Roman" w:eastAsia="Cambria" w:hAnsi="Times New Roman" w:cs="Times New Roman"/>
                <w:bCs/>
                <w:strike/>
                <w:sz w:val="24"/>
                <w:szCs w:val="24"/>
                <w:lang w:val="vi-VN"/>
              </w:rPr>
            </w:pPr>
            <w:r w:rsidRPr="00917270">
              <w:rPr>
                <w:rFonts w:ascii="Times New Roman" w:eastAsia="Cambria" w:hAnsi="Times New Roman" w:cs="Times New Roman"/>
                <w:bCs/>
                <w:strike/>
                <w:sz w:val="24"/>
                <w:szCs w:val="24"/>
                <w:lang w:val="vi-VN"/>
              </w:rPr>
              <w:t>a) Thưởng cuối năm hoặc thưởng thường kỳ cho cán bộ, nhân viên trong tổ chức tín dụng trên cơ sở năng suất lao động, thành tích công tác của mỗi cán bộ, nhân viên;</w:t>
            </w:r>
          </w:p>
          <w:p w:rsidR="00602E69" w:rsidRPr="00A62153" w:rsidRDefault="00602E69" w:rsidP="004139E8">
            <w:pPr>
              <w:tabs>
                <w:tab w:val="left" w:pos="143"/>
              </w:tabs>
              <w:ind w:firstLine="284"/>
              <w:jc w:val="both"/>
              <w:rPr>
                <w:rFonts w:ascii="Times New Roman" w:eastAsia="Cambria" w:hAnsi="Times New Roman" w:cs="Times New Roman"/>
                <w:bCs/>
                <w:strike/>
                <w:sz w:val="24"/>
                <w:szCs w:val="24"/>
                <w:lang w:val="vi-VN"/>
              </w:rPr>
            </w:pPr>
            <w:r w:rsidRPr="00917270">
              <w:rPr>
                <w:rFonts w:ascii="Times New Roman" w:eastAsia="Cambria" w:hAnsi="Times New Roman" w:cs="Times New Roman"/>
                <w:bCs/>
                <w:strike/>
                <w:sz w:val="24"/>
                <w:szCs w:val="24"/>
                <w:lang w:val="vi-VN"/>
              </w:rPr>
              <w:t>b) Thưởng đột xuất cho những cá nhân, tập thể trong tổ chức tín dụng có sáng kiến cải tiến kỹ thuật, quy trình nghiệp vụ mang lại hiệu quả trong kinh doanh;</w:t>
            </w:r>
          </w:p>
          <w:p w:rsidR="00602E69" w:rsidRPr="001551D6" w:rsidRDefault="00602E69" w:rsidP="004139E8">
            <w:pPr>
              <w:tabs>
                <w:tab w:val="left" w:pos="143"/>
              </w:tabs>
              <w:ind w:firstLine="284"/>
              <w:jc w:val="both"/>
              <w:rPr>
                <w:rFonts w:ascii="Times New Roman Bold" w:eastAsia="Cambria" w:hAnsi="Times New Roman Bold" w:cs="Times New Roman"/>
                <w:b/>
                <w:bCs/>
                <w:spacing w:val="-2"/>
                <w:sz w:val="24"/>
                <w:szCs w:val="24"/>
                <w:lang w:val="vi-VN"/>
              </w:rPr>
            </w:pPr>
            <w:r w:rsidRPr="001551D6">
              <w:rPr>
                <w:rFonts w:ascii="Times New Roman Bold" w:eastAsia="Cambria" w:hAnsi="Times New Roman Bold" w:cs="Times New Roman"/>
                <w:b/>
                <w:bCs/>
                <w:spacing w:val="-2"/>
                <w:sz w:val="24"/>
                <w:szCs w:val="24"/>
                <w:lang w:val="vi-VN"/>
              </w:rPr>
              <w:t xml:space="preserve">a) Thưởng cuối năm, thưởng thường kỳ, thưởng đột xuất, thưởng theo quy định của pháp luật về thi đua khen thưởng cho cá nhân, tập thể trong tổ chức tín dụng (bao gồm cả người quản lý tổ chức tín dụng </w:t>
            </w:r>
            <w:r w:rsidRPr="001551D6">
              <w:rPr>
                <w:rFonts w:ascii="Times New Roman Bold" w:eastAsia="Cambria" w:hAnsi="Times New Roman Bold" w:cs="Times New Roman"/>
                <w:b/>
                <w:bCs/>
                <w:spacing w:val="-2"/>
                <w:sz w:val="24"/>
                <w:szCs w:val="24"/>
                <w:lang w:val="vi-VN"/>
              </w:rPr>
              <w:lastRenderedPageBreak/>
              <w:t>làm việc theo hợp đồng lao động và người quản lý tổ chức tín dụng, kiểm soát viên do Nhà nước bổ nhiệm);</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917270">
              <w:rPr>
                <w:rFonts w:ascii="Times New Roman" w:eastAsia="Cambria" w:hAnsi="Times New Roman" w:cs="Times New Roman"/>
                <w:b/>
                <w:bCs/>
                <w:sz w:val="24"/>
                <w:szCs w:val="24"/>
                <w:lang w:val="vi-VN"/>
              </w:rPr>
              <w:t>b</w:t>
            </w:r>
            <w:r w:rsidRPr="00917270">
              <w:rPr>
                <w:rFonts w:ascii="Times New Roman" w:eastAsia="Cambria" w:hAnsi="Times New Roman" w:cs="Times New Roman"/>
                <w:bCs/>
                <w:strike/>
                <w:sz w:val="24"/>
                <w:szCs w:val="24"/>
                <w:lang w:val="vi-VN"/>
              </w:rPr>
              <w:t>c</w:t>
            </w:r>
            <w:r w:rsidRPr="003F5014">
              <w:rPr>
                <w:rFonts w:ascii="Times New Roman" w:eastAsia="Cambria" w:hAnsi="Times New Roman" w:cs="Times New Roman"/>
                <w:bCs/>
                <w:sz w:val="24"/>
                <w:szCs w:val="24"/>
                <w:lang w:val="vi-VN"/>
              </w:rPr>
              <w:t>) Thưởng cho cá nhân và đơn vị ngoài tổ chức tín dụng có đóng góp </w:t>
            </w:r>
            <w:r w:rsidRPr="0037581D">
              <w:rPr>
                <w:rFonts w:ascii="Times New Roman" w:eastAsia="Cambria" w:hAnsi="Times New Roman" w:cs="Times New Roman"/>
                <w:bCs/>
                <w:sz w:val="24"/>
                <w:szCs w:val="24"/>
                <w:lang w:val="vi-VN"/>
              </w:rPr>
              <w:t xml:space="preserve">nhiều cho hoạt động kinh doanh, công tác quản lý của </w:t>
            </w:r>
            <w:r w:rsidRPr="003F5014">
              <w:rPr>
                <w:rFonts w:ascii="Times New Roman" w:eastAsia="Cambria" w:hAnsi="Times New Roman" w:cs="Times New Roman"/>
                <w:bCs/>
                <w:sz w:val="24"/>
                <w:szCs w:val="24"/>
                <w:lang w:val="vi-VN"/>
              </w:rPr>
              <w:t>tổ chức tín dụng;</w:t>
            </w:r>
          </w:p>
          <w:p w:rsidR="00602E69" w:rsidRPr="0044171E" w:rsidRDefault="00602E69" w:rsidP="004139E8">
            <w:pPr>
              <w:tabs>
                <w:tab w:val="left" w:pos="143"/>
              </w:tabs>
              <w:ind w:firstLine="284"/>
              <w:jc w:val="both"/>
              <w:rPr>
                <w:rFonts w:ascii="Times New Roman" w:eastAsia="Cambria" w:hAnsi="Times New Roman" w:cs="Times New Roman"/>
                <w:bCs/>
                <w:spacing w:val="-4"/>
                <w:sz w:val="24"/>
                <w:szCs w:val="24"/>
                <w:lang w:val="vi-VN"/>
              </w:rPr>
            </w:pPr>
            <w:r w:rsidRPr="0044171E">
              <w:rPr>
                <w:rFonts w:ascii="Times New Roman" w:eastAsia="Cambria" w:hAnsi="Times New Roman" w:cs="Times New Roman"/>
                <w:b/>
                <w:bCs/>
                <w:spacing w:val="-4"/>
                <w:sz w:val="24"/>
                <w:szCs w:val="24"/>
                <w:lang w:val="vi-VN"/>
              </w:rPr>
              <w:t>c</w:t>
            </w:r>
            <w:r w:rsidRPr="0044171E">
              <w:rPr>
                <w:rFonts w:ascii="Times New Roman" w:eastAsia="Cambria" w:hAnsi="Times New Roman" w:cs="Times New Roman"/>
                <w:bCs/>
                <w:strike/>
                <w:spacing w:val="-4"/>
                <w:sz w:val="24"/>
                <w:szCs w:val="24"/>
                <w:lang w:val="vi-VN"/>
              </w:rPr>
              <w:t>d</w:t>
            </w:r>
            <w:r w:rsidRPr="0044171E">
              <w:rPr>
                <w:rFonts w:ascii="Times New Roman" w:eastAsia="Cambria" w:hAnsi="Times New Roman" w:cs="Times New Roman"/>
                <w:bCs/>
                <w:spacing w:val="-4"/>
                <w:sz w:val="24"/>
                <w:szCs w:val="24"/>
                <w:lang w:val="vi-VN"/>
              </w:rPr>
              <w:t xml:space="preserve">) Thẩm quyền quyết định mức thưởng </w:t>
            </w:r>
            <w:r w:rsidRPr="0044171E">
              <w:rPr>
                <w:rFonts w:ascii="Times New Roman" w:eastAsia="Cambria" w:hAnsi="Times New Roman" w:cs="Times New Roman"/>
                <w:bCs/>
                <w:strike/>
                <w:spacing w:val="-4"/>
                <w:sz w:val="24"/>
                <w:szCs w:val="24"/>
                <w:lang w:val="vi-VN"/>
              </w:rPr>
              <w:t xml:space="preserve">quy định tại điểm a, điểm b, điểm c khoản này </w:t>
            </w:r>
            <w:r w:rsidRPr="0044171E">
              <w:rPr>
                <w:rFonts w:ascii="Times New Roman" w:eastAsia="Cambria" w:hAnsi="Times New Roman" w:cs="Times New Roman"/>
                <w:bCs/>
                <w:spacing w:val="-4"/>
                <w:sz w:val="24"/>
                <w:szCs w:val="24"/>
                <w:lang w:val="vi-VN"/>
              </w:rPr>
              <w:t>thực hiện theo quy định tại Luật Các tổ chức tín dụng, Điều lệ và quy chế nội bộ của tổ chức tín dụng.</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917270">
              <w:rPr>
                <w:rFonts w:ascii="Times New Roman" w:eastAsia="Cambria" w:hAnsi="Times New Roman" w:cs="Times New Roman"/>
                <w:b/>
                <w:bCs/>
                <w:sz w:val="24"/>
                <w:szCs w:val="24"/>
                <w:lang w:val="vi-VN"/>
              </w:rPr>
              <w:t>5.</w:t>
            </w:r>
            <w:r w:rsidRPr="00917270">
              <w:rPr>
                <w:rFonts w:ascii="Times New Roman" w:eastAsia="Cambria" w:hAnsi="Times New Roman" w:cs="Times New Roman"/>
                <w:bCs/>
                <w:strike/>
                <w:sz w:val="24"/>
                <w:szCs w:val="24"/>
                <w:lang w:val="vi-VN"/>
              </w:rPr>
              <w:t>6.</w:t>
            </w:r>
            <w:r w:rsidRPr="003F5014">
              <w:rPr>
                <w:rFonts w:ascii="Times New Roman" w:eastAsia="Cambria" w:hAnsi="Times New Roman" w:cs="Times New Roman"/>
                <w:bCs/>
                <w:sz w:val="24"/>
                <w:szCs w:val="24"/>
                <w:lang w:val="vi-VN"/>
              </w:rPr>
              <w:t xml:space="preserve"> Quỹ phúc lợi dùng để:</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3F5014">
              <w:rPr>
                <w:rFonts w:ascii="Times New Roman" w:eastAsia="Cambria" w:hAnsi="Times New Roman" w:cs="Times New Roman"/>
                <w:bCs/>
                <w:sz w:val="24"/>
                <w:szCs w:val="24"/>
                <w:lang w:val="vi-VN"/>
              </w:rPr>
              <w:t>a) Đầu tư xây dựng hoặc sửa chữa</w:t>
            </w:r>
            <w:r w:rsidRPr="00A8036A">
              <w:rPr>
                <w:rFonts w:ascii="Times New Roman" w:eastAsia="Cambria" w:hAnsi="Times New Roman" w:cs="Times New Roman"/>
                <w:bCs/>
                <w:sz w:val="24"/>
                <w:szCs w:val="24"/>
                <w:lang w:val="vi-VN"/>
              </w:rPr>
              <w:t>, bổ sung vốn xây dựng</w:t>
            </w:r>
            <w:r w:rsidRPr="003F5014">
              <w:rPr>
                <w:rFonts w:ascii="Times New Roman" w:eastAsia="Cambria" w:hAnsi="Times New Roman" w:cs="Times New Roman"/>
                <w:bCs/>
                <w:sz w:val="24"/>
                <w:szCs w:val="24"/>
                <w:lang w:val="vi-VN"/>
              </w:rPr>
              <w:t xml:space="preserve"> các công trình phúc lợi của tổ chức tín dụng, góp vốn đầu tư xây dựng các công trình phúc lợi chung trong ngành</w:t>
            </w:r>
            <w:r w:rsidRPr="00297962">
              <w:rPr>
                <w:rFonts w:ascii="Times New Roman" w:eastAsia="Cambria" w:hAnsi="Times New Roman" w:cs="Times New Roman"/>
                <w:bCs/>
                <w:sz w:val="24"/>
                <w:szCs w:val="24"/>
                <w:lang w:val="vi-VN"/>
              </w:rPr>
              <w:t>,</w:t>
            </w:r>
            <w:r w:rsidRPr="003F5014">
              <w:rPr>
                <w:rFonts w:ascii="Times New Roman" w:eastAsia="Cambria" w:hAnsi="Times New Roman" w:cs="Times New Roman"/>
                <w:bCs/>
                <w:sz w:val="24"/>
                <w:szCs w:val="24"/>
                <w:lang w:val="vi-VN"/>
              </w:rPr>
              <w:t xml:space="preserve"> hoặc với các đơn vị khác theo hợp đồng thỏa thuận;</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3F5014">
              <w:rPr>
                <w:rFonts w:ascii="Times New Roman" w:eastAsia="Cambria" w:hAnsi="Times New Roman" w:cs="Times New Roman"/>
                <w:bCs/>
                <w:sz w:val="24"/>
                <w:szCs w:val="24"/>
                <w:lang w:val="vi-VN"/>
              </w:rPr>
              <w:t>b) Chi cho các hoạt động thể thao, văn hóa, phúc lợi công cộng của tập thể cán bộ, nhân viên của tổ chức tín dụng;</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3F5014">
              <w:rPr>
                <w:rFonts w:ascii="Times New Roman" w:eastAsia="Cambria" w:hAnsi="Times New Roman" w:cs="Times New Roman"/>
                <w:bCs/>
                <w:sz w:val="24"/>
                <w:szCs w:val="24"/>
                <w:lang w:val="vi-VN"/>
              </w:rPr>
              <w:t>c) Chi trợ cấp khó khăn thường xuyên, đột xuất cho cán bộ, nhân viên kể cả các cán bộ, nhân viên đã về hưu, mất sức</w:t>
            </w:r>
            <w:r w:rsidRPr="00A8036A">
              <w:rPr>
                <w:rFonts w:ascii="Times New Roman" w:eastAsia="Cambria" w:hAnsi="Times New Roman" w:cs="Times New Roman"/>
                <w:bCs/>
                <w:sz w:val="24"/>
                <w:szCs w:val="24"/>
                <w:lang w:val="vi-VN"/>
              </w:rPr>
              <w:t xml:space="preserve"> của tổ chức tín dụng</w:t>
            </w:r>
            <w:r w:rsidRPr="003F5014">
              <w:rPr>
                <w:rFonts w:ascii="Times New Roman" w:eastAsia="Cambria" w:hAnsi="Times New Roman" w:cs="Times New Roman"/>
                <w:bCs/>
                <w:sz w:val="24"/>
                <w:szCs w:val="24"/>
                <w:lang w:val="vi-VN"/>
              </w:rPr>
              <w:t>;</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3F5014">
              <w:rPr>
                <w:rFonts w:ascii="Times New Roman" w:eastAsia="Cambria" w:hAnsi="Times New Roman" w:cs="Times New Roman"/>
                <w:bCs/>
                <w:sz w:val="24"/>
                <w:szCs w:val="24"/>
                <w:lang w:val="vi-VN"/>
              </w:rPr>
              <w:t>d) Chi cho các hoạt động phúc lợi khác.</w:t>
            </w:r>
          </w:p>
          <w:p w:rsidR="00602E69" w:rsidRPr="00AA7E23" w:rsidRDefault="00602E69" w:rsidP="004139E8">
            <w:pPr>
              <w:tabs>
                <w:tab w:val="left" w:pos="143"/>
              </w:tabs>
              <w:ind w:firstLine="284"/>
              <w:jc w:val="both"/>
              <w:rPr>
                <w:rFonts w:ascii="Times New Roman" w:eastAsia="Cambria" w:hAnsi="Times New Roman" w:cs="Times New Roman"/>
                <w:bCs/>
                <w:sz w:val="24"/>
                <w:szCs w:val="24"/>
                <w:lang w:val="vi-VN"/>
              </w:rPr>
            </w:pPr>
            <w:r w:rsidRPr="00AA7E23">
              <w:rPr>
                <w:rFonts w:ascii="Times New Roman" w:eastAsia="Cambria" w:hAnsi="Times New Roman" w:cs="Times New Roman"/>
                <w:bCs/>
                <w:sz w:val="24"/>
                <w:szCs w:val="24"/>
                <w:lang w:val="vi-VN"/>
              </w:rPr>
              <w:t>Hội đồng quản trị (Hội đồng thành viên), Tổng Giám đốc (hoặc Giám đốc) của tổ chức tín dụng phối hợp với Ban Chấp hành Công đoàn của tổ chức tín dụng quản lý, sử dụng quỹ này.</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917270">
              <w:rPr>
                <w:rFonts w:ascii="Times New Roman" w:eastAsia="Cambria" w:hAnsi="Times New Roman" w:cs="Times New Roman"/>
                <w:b/>
                <w:bCs/>
                <w:sz w:val="24"/>
                <w:szCs w:val="24"/>
                <w:lang w:val="vi-VN"/>
              </w:rPr>
              <w:t>6.</w:t>
            </w:r>
            <w:r w:rsidRPr="00917270">
              <w:rPr>
                <w:rFonts w:ascii="Times New Roman" w:eastAsia="Cambria" w:hAnsi="Times New Roman" w:cs="Times New Roman"/>
                <w:bCs/>
                <w:strike/>
                <w:sz w:val="24"/>
                <w:szCs w:val="24"/>
                <w:lang w:val="vi-VN"/>
              </w:rPr>
              <w:t>7.</w:t>
            </w:r>
            <w:r w:rsidRPr="003F5014">
              <w:rPr>
                <w:rFonts w:ascii="Times New Roman" w:eastAsia="Cambria" w:hAnsi="Times New Roman" w:cs="Times New Roman"/>
                <w:bCs/>
                <w:sz w:val="24"/>
                <w:szCs w:val="24"/>
                <w:lang w:val="vi-VN"/>
              </w:rPr>
              <w:t xml:space="preserve"> Các tổ chức tín dụng, chi nhánh ngân hàng nước ngoài có trách nhiệm ban hành </w:t>
            </w:r>
            <w:r w:rsidRPr="0037581D">
              <w:rPr>
                <w:rFonts w:ascii="Times New Roman" w:eastAsia="Cambria" w:hAnsi="Times New Roman" w:cs="Times New Roman"/>
                <w:bCs/>
                <w:sz w:val="24"/>
                <w:szCs w:val="24"/>
                <w:lang w:val="vi-VN"/>
              </w:rPr>
              <w:t>Q</w:t>
            </w:r>
            <w:r w:rsidRPr="003F5014">
              <w:rPr>
                <w:rFonts w:ascii="Times New Roman" w:eastAsia="Cambria" w:hAnsi="Times New Roman" w:cs="Times New Roman"/>
                <w:bCs/>
                <w:sz w:val="24"/>
                <w:szCs w:val="24"/>
                <w:lang w:val="vi-VN"/>
              </w:rPr>
              <w:t>uy chế quản lý và sử dụng các quỹ được trích lập từ lợi nhuận sau thuế. Riêng đối với tổ chức tín dụng do Nhà nước nắm giữ 100% vốn điều lệ:</w:t>
            </w:r>
          </w:p>
          <w:p w:rsidR="00602E69" w:rsidRPr="003F5014" w:rsidRDefault="00602E69" w:rsidP="004139E8">
            <w:pPr>
              <w:tabs>
                <w:tab w:val="left" w:pos="143"/>
              </w:tabs>
              <w:ind w:firstLine="284"/>
              <w:jc w:val="both"/>
              <w:rPr>
                <w:rFonts w:ascii="Times New Roman" w:eastAsia="Cambria" w:hAnsi="Times New Roman" w:cs="Times New Roman"/>
                <w:bCs/>
                <w:sz w:val="24"/>
                <w:szCs w:val="24"/>
                <w:lang w:val="vi-VN"/>
              </w:rPr>
            </w:pPr>
            <w:r w:rsidRPr="003F5014">
              <w:rPr>
                <w:rFonts w:ascii="Times New Roman" w:eastAsia="Cambria" w:hAnsi="Times New Roman" w:cs="Times New Roman"/>
                <w:bCs/>
                <w:sz w:val="24"/>
                <w:szCs w:val="24"/>
                <w:lang w:val="vi-VN"/>
              </w:rPr>
              <w:t xml:space="preserve">a) Phải xây dựng, ban hành Quy chế quản lý, sử dụng quỹ theo pháp luật về </w:t>
            </w:r>
            <w:r w:rsidRPr="005B2645">
              <w:rPr>
                <w:rFonts w:ascii="Times New Roman" w:eastAsia="Cambria" w:hAnsi="Times New Roman" w:cs="Times New Roman"/>
                <w:bCs/>
                <w:strike/>
                <w:sz w:val="24"/>
                <w:szCs w:val="24"/>
                <w:lang w:val="vi-VN"/>
              </w:rPr>
              <w:t xml:space="preserve">quản lý, sử dụng vốn nhà nước đầu tư vào sản xuất, kinh doanh tại doanh nghiệp </w:t>
            </w:r>
            <w:r w:rsidRPr="005B2645">
              <w:rPr>
                <w:rFonts w:ascii="Times New Roman" w:eastAsia="Cambria" w:hAnsi="Times New Roman" w:cs="Times New Roman"/>
                <w:b/>
                <w:bCs/>
                <w:sz w:val="24"/>
                <w:szCs w:val="24"/>
                <w:lang w:val="vi-VN"/>
              </w:rPr>
              <w:t>quản lý và đầu tư vốn nhà nước tại doanh nghiệp</w:t>
            </w:r>
            <w:r w:rsidRPr="005B2645">
              <w:rPr>
                <w:rFonts w:ascii="Times New Roman" w:eastAsia="Cambria" w:hAnsi="Times New Roman" w:cs="Times New Roman"/>
                <w:bCs/>
                <w:sz w:val="24"/>
                <w:szCs w:val="24"/>
                <w:lang w:val="vi-VN"/>
              </w:rPr>
              <w:t xml:space="preserve"> </w:t>
            </w:r>
            <w:r w:rsidRPr="003F5014">
              <w:rPr>
                <w:rFonts w:ascii="Times New Roman" w:eastAsia="Cambria" w:hAnsi="Times New Roman" w:cs="Times New Roman"/>
                <w:bCs/>
                <w:sz w:val="24"/>
                <w:szCs w:val="24"/>
                <w:lang w:val="vi-VN"/>
              </w:rPr>
              <w:t xml:space="preserve">để áp </w:t>
            </w:r>
            <w:r w:rsidRPr="003F5014">
              <w:rPr>
                <w:rFonts w:ascii="Times New Roman" w:eastAsia="Cambria" w:hAnsi="Times New Roman" w:cs="Times New Roman"/>
                <w:bCs/>
                <w:sz w:val="24"/>
                <w:szCs w:val="24"/>
                <w:lang w:val="vi-VN"/>
              </w:rPr>
              <w:lastRenderedPageBreak/>
              <w:t xml:space="preserve">dụng trong nội bộ tổ chức tín dụng; quy chế đảm bảo dân chủ, minh bạch </w:t>
            </w:r>
            <w:r w:rsidRPr="00A8036A">
              <w:rPr>
                <w:rFonts w:ascii="Times New Roman" w:eastAsia="Cambria" w:hAnsi="Times New Roman" w:cs="Times New Roman"/>
                <w:bCs/>
                <w:sz w:val="24"/>
                <w:szCs w:val="24"/>
                <w:lang w:val="vi-VN"/>
              </w:rPr>
              <w:t xml:space="preserve">có sự tham gia của Ban Chấp hành công đoàn của tổ chức tín dụng </w:t>
            </w:r>
            <w:r w:rsidRPr="003F5014">
              <w:rPr>
                <w:rFonts w:ascii="Times New Roman" w:eastAsia="Cambria" w:hAnsi="Times New Roman" w:cs="Times New Roman"/>
                <w:bCs/>
                <w:sz w:val="24"/>
                <w:szCs w:val="24"/>
                <w:lang w:val="vi-VN"/>
              </w:rPr>
              <w:t xml:space="preserve">và công khai trong tổ chức tín dụng trước khi thực hiện; </w:t>
            </w:r>
          </w:p>
          <w:p w:rsidR="00602E69" w:rsidRPr="004139E8" w:rsidRDefault="00602E69" w:rsidP="004139E8">
            <w:pPr>
              <w:tabs>
                <w:tab w:val="left" w:pos="143"/>
              </w:tabs>
              <w:ind w:firstLine="284"/>
              <w:jc w:val="both"/>
              <w:rPr>
                <w:rFonts w:ascii="Times New Roman" w:eastAsia="Cambria" w:hAnsi="Times New Roman" w:cs="Times New Roman"/>
                <w:b/>
                <w:bCs/>
                <w:sz w:val="24"/>
                <w:szCs w:val="24"/>
                <w:lang w:val="vi-VN"/>
              </w:rPr>
            </w:pPr>
            <w:r w:rsidRPr="003F5014">
              <w:rPr>
                <w:rFonts w:ascii="Times New Roman" w:eastAsia="Cambria" w:hAnsi="Times New Roman" w:cs="Times New Roman"/>
                <w:bCs/>
                <w:sz w:val="24"/>
                <w:szCs w:val="24"/>
                <w:lang w:val="vi-VN"/>
              </w:rPr>
              <w:t>b) Trong năm tài chính, tổ chức tín dụng chủ động thực hiện tạm trích các quỹ trên cơ sở kết quả hoạt động sản xuất, kinh doanh của tổ chức tín dụng có lãi và đã nộp thuế thu nhập doanh nghiệp theo quy định để có nguồn chi sử dụng quỹ theo mục đích đã quy định.</w:t>
            </w:r>
          </w:p>
        </w:tc>
        <w:tc>
          <w:tcPr>
            <w:tcW w:w="1430" w:type="pct"/>
          </w:tcPr>
          <w:p w:rsidR="00602E69" w:rsidRPr="00365B29" w:rsidRDefault="00602E69" w:rsidP="003B0CD7">
            <w:pPr>
              <w:tabs>
                <w:tab w:val="left" w:pos="143"/>
              </w:tabs>
              <w:ind w:firstLine="314"/>
              <w:jc w:val="both"/>
              <w:rPr>
                <w:rFonts w:ascii="Times New Roman" w:eastAsia="Cambria" w:hAnsi="Times New Roman" w:cs="Times New Roman"/>
                <w:bCs/>
                <w:sz w:val="24"/>
                <w:szCs w:val="24"/>
                <w:lang w:val="vi-VN"/>
              </w:rPr>
            </w:pPr>
            <w:r w:rsidRPr="00790FEF">
              <w:rPr>
                <w:rFonts w:ascii="Times New Roman" w:eastAsia="Cambria" w:hAnsi="Times New Roman" w:cs="Times New Roman"/>
                <w:bCs/>
                <w:sz w:val="24"/>
                <w:szCs w:val="24"/>
                <w:lang w:val="vi-VN"/>
              </w:rPr>
              <w:lastRenderedPageBreak/>
              <w:t xml:space="preserve">- Bỏ việc trích quỹ thưởng người quản lý tổ chức tín dụng, kiểm soát viên để phù hợp với quy định </w:t>
            </w:r>
            <w:r w:rsidRPr="008D4DBE">
              <w:rPr>
                <w:rFonts w:ascii="Times New Roman" w:eastAsia="Cambria" w:hAnsi="Times New Roman" w:cs="Times New Roman"/>
                <w:bCs/>
                <w:sz w:val="24"/>
                <w:szCs w:val="24"/>
                <w:lang w:val="vi-VN"/>
              </w:rPr>
              <w:t>tại Điều 22</w:t>
            </w:r>
            <w:r w:rsidRPr="00790FEF">
              <w:rPr>
                <w:rFonts w:ascii="Times New Roman" w:eastAsia="Cambria" w:hAnsi="Times New Roman" w:cs="Times New Roman"/>
                <w:bCs/>
                <w:sz w:val="24"/>
                <w:szCs w:val="24"/>
                <w:lang w:val="vi-VN"/>
              </w:rPr>
              <w:t>.</w:t>
            </w:r>
          </w:p>
          <w:p w:rsidR="00602E69" w:rsidRPr="00790FEF" w:rsidRDefault="00602E69" w:rsidP="003B0CD7">
            <w:pPr>
              <w:tabs>
                <w:tab w:val="left" w:pos="143"/>
              </w:tabs>
              <w:ind w:firstLine="314"/>
              <w:jc w:val="both"/>
              <w:rPr>
                <w:rFonts w:ascii="Times New Roman" w:eastAsia="Cambria" w:hAnsi="Times New Roman" w:cs="Times New Roman"/>
                <w:bCs/>
                <w:sz w:val="24"/>
                <w:szCs w:val="24"/>
                <w:lang w:val="vi-VN"/>
              </w:rPr>
            </w:pPr>
            <w:r w:rsidRPr="00365B29">
              <w:rPr>
                <w:rFonts w:ascii="Times New Roman" w:eastAsia="Cambria" w:hAnsi="Times New Roman" w:cs="Times New Roman"/>
                <w:bCs/>
                <w:sz w:val="24"/>
                <w:szCs w:val="24"/>
                <w:lang w:val="vi-VN"/>
              </w:rPr>
              <w:t xml:space="preserve">- Sửa lại quy định trích quỹ khen thưởng tương tự như đối với doanh nghiệp nhà nước quy định tại khoản 3 Điều 29 </w:t>
            </w:r>
            <w:r w:rsidRPr="007E12D8">
              <w:rPr>
                <w:rFonts w:ascii="Times New Roman" w:eastAsia="Cambria" w:hAnsi="Times New Roman" w:cs="Times New Roman"/>
                <w:bCs/>
                <w:sz w:val="24"/>
                <w:szCs w:val="24"/>
                <w:lang w:val="vi-VN"/>
              </w:rPr>
              <w:t xml:space="preserve">dự thảo Nghị định quản </w:t>
            </w:r>
            <w:r>
              <w:rPr>
                <w:rFonts w:ascii="Times New Roman" w:eastAsia="Cambria" w:hAnsi="Times New Roman" w:cs="Times New Roman"/>
                <w:bCs/>
                <w:sz w:val="24"/>
                <w:szCs w:val="24"/>
                <w:lang w:val="vi-VN"/>
              </w:rPr>
              <w:t>l</w:t>
            </w:r>
            <w:r w:rsidRPr="007E12D8">
              <w:rPr>
                <w:rFonts w:ascii="Times New Roman" w:eastAsia="Cambria" w:hAnsi="Times New Roman" w:cs="Times New Roman"/>
                <w:bCs/>
                <w:sz w:val="24"/>
                <w:szCs w:val="24"/>
                <w:lang w:val="vi-VN"/>
              </w:rPr>
              <w:t xml:space="preserve">ý </w:t>
            </w:r>
            <w:r>
              <w:rPr>
                <w:rFonts w:ascii="Times New Roman" w:eastAsia="Cambria" w:hAnsi="Times New Roman" w:cs="Times New Roman"/>
                <w:bCs/>
                <w:sz w:val="24"/>
                <w:szCs w:val="24"/>
                <w:lang w:val="vi-VN"/>
              </w:rPr>
              <w:t>v</w:t>
            </w:r>
            <w:r w:rsidRPr="007E12D8">
              <w:rPr>
                <w:rFonts w:ascii="Times New Roman" w:eastAsia="Cambria" w:hAnsi="Times New Roman" w:cs="Times New Roman"/>
                <w:bCs/>
                <w:sz w:val="24"/>
                <w:szCs w:val="24"/>
                <w:lang w:val="vi-VN"/>
              </w:rPr>
              <w:t xml:space="preserve">à </w:t>
            </w:r>
            <w:r>
              <w:rPr>
                <w:rFonts w:ascii="Times New Roman" w:eastAsia="Cambria" w:hAnsi="Times New Roman" w:cs="Times New Roman"/>
                <w:bCs/>
                <w:sz w:val="24"/>
                <w:szCs w:val="24"/>
                <w:lang w:val="vi-VN"/>
              </w:rPr>
              <w:t>đ</w:t>
            </w:r>
            <w:r w:rsidRPr="007E12D8">
              <w:rPr>
                <w:rFonts w:ascii="Times New Roman" w:eastAsia="Cambria" w:hAnsi="Times New Roman" w:cs="Times New Roman"/>
                <w:bCs/>
                <w:sz w:val="24"/>
                <w:szCs w:val="24"/>
                <w:lang w:val="vi-VN"/>
              </w:rPr>
              <w:t xml:space="preserve">ầu </w:t>
            </w:r>
            <w:r>
              <w:rPr>
                <w:rFonts w:ascii="Times New Roman" w:eastAsia="Cambria" w:hAnsi="Times New Roman" w:cs="Times New Roman"/>
                <w:bCs/>
                <w:sz w:val="24"/>
                <w:szCs w:val="24"/>
                <w:lang w:val="vi-VN"/>
              </w:rPr>
              <w:t>t</w:t>
            </w:r>
            <w:r w:rsidRPr="007E12D8">
              <w:rPr>
                <w:rFonts w:ascii="Times New Roman" w:eastAsia="Cambria" w:hAnsi="Times New Roman" w:cs="Times New Roman"/>
                <w:bCs/>
                <w:sz w:val="24"/>
                <w:szCs w:val="24"/>
                <w:lang w:val="vi-VN"/>
              </w:rPr>
              <w:t xml:space="preserve">ư </w:t>
            </w:r>
            <w:r>
              <w:rPr>
                <w:rFonts w:ascii="Times New Roman" w:eastAsia="Cambria" w:hAnsi="Times New Roman" w:cs="Times New Roman"/>
                <w:bCs/>
                <w:sz w:val="24"/>
                <w:szCs w:val="24"/>
                <w:lang w:val="vi-VN"/>
              </w:rPr>
              <w:t>v</w:t>
            </w:r>
            <w:r w:rsidRPr="007E12D8">
              <w:rPr>
                <w:rFonts w:ascii="Times New Roman" w:eastAsia="Cambria" w:hAnsi="Times New Roman" w:cs="Times New Roman"/>
                <w:bCs/>
                <w:sz w:val="24"/>
                <w:szCs w:val="24"/>
                <w:lang w:val="vi-VN"/>
              </w:rPr>
              <w:t xml:space="preserve">ốn nhà </w:t>
            </w:r>
            <w:r>
              <w:rPr>
                <w:rFonts w:ascii="Times New Roman" w:eastAsia="Cambria" w:hAnsi="Times New Roman" w:cs="Times New Roman"/>
                <w:bCs/>
                <w:sz w:val="24"/>
                <w:szCs w:val="24"/>
                <w:lang w:val="vi-VN"/>
              </w:rPr>
              <w:t>nư</w:t>
            </w:r>
            <w:r w:rsidRPr="007E12D8">
              <w:rPr>
                <w:rFonts w:ascii="Times New Roman" w:eastAsia="Cambria" w:hAnsi="Times New Roman" w:cs="Times New Roman"/>
                <w:bCs/>
                <w:sz w:val="24"/>
                <w:szCs w:val="24"/>
                <w:lang w:val="vi-VN"/>
              </w:rPr>
              <w:t xml:space="preserve">ớc </w:t>
            </w:r>
            <w:r>
              <w:rPr>
                <w:rFonts w:ascii="Times New Roman" w:eastAsia="Cambria" w:hAnsi="Times New Roman" w:cs="Times New Roman"/>
                <w:bCs/>
                <w:sz w:val="24"/>
                <w:szCs w:val="24"/>
                <w:lang w:val="vi-VN"/>
              </w:rPr>
              <w:t>t</w:t>
            </w:r>
            <w:r w:rsidRPr="007E12D8">
              <w:rPr>
                <w:rFonts w:ascii="Times New Roman" w:eastAsia="Cambria" w:hAnsi="Times New Roman" w:cs="Times New Roman"/>
                <w:bCs/>
                <w:sz w:val="24"/>
                <w:szCs w:val="24"/>
                <w:lang w:val="vi-VN"/>
              </w:rPr>
              <w:t>ại doanh ngh</w:t>
            </w:r>
            <w:r>
              <w:rPr>
                <w:rFonts w:ascii="Times New Roman" w:eastAsia="Cambria" w:hAnsi="Times New Roman" w:cs="Times New Roman"/>
                <w:bCs/>
                <w:sz w:val="24"/>
                <w:szCs w:val="24"/>
                <w:lang w:val="vi-VN"/>
              </w:rPr>
              <w:t xml:space="preserve">iệp </w:t>
            </w:r>
            <w:r w:rsidRPr="007E12D8">
              <w:rPr>
                <w:rFonts w:ascii="Times New Roman" w:eastAsia="Cambria" w:hAnsi="Times New Roman" w:cs="Times New Roman"/>
                <w:bCs/>
                <w:sz w:val="24"/>
                <w:szCs w:val="24"/>
                <w:lang w:val="vi-VN"/>
              </w:rPr>
              <w:t>hướng dẫn Luậ</w:t>
            </w:r>
            <w:r>
              <w:rPr>
                <w:rFonts w:ascii="Times New Roman" w:eastAsia="Cambria" w:hAnsi="Times New Roman" w:cs="Times New Roman"/>
                <w:bCs/>
                <w:sz w:val="24"/>
                <w:szCs w:val="24"/>
                <w:lang w:val="vi-VN"/>
              </w:rPr>
              <w:t>t 68</w:t>
            </w:r>
            <w:r w:rsidRPr="00365B29">
              <w:rPr>
                <w:rFonts w:ascii="Times New Roman" w:eastAsia="Cambria" w:hAnsi="Times New Roman" w:cs="Times New Roman"/>
                <w:bCs/>
                <w:sz w:val="24"/>
                <w:szCs w:val="24"/>
                <w:lang w:val="vi-VN"/>
              </w:rPr>
              <w:t xml:space="preserve">. Theo đó: </w:t>
            </w:r>
            <w:r w:rsidRPr="00365B29">
              <w:rPr>
                <w:rFonts w:ascii="Times New Roman" w:eastAsia="Cambria" w:hAnsi="Times New Roman" w:cs="Times New Roman"/>
                <w:b/>
                <w:bCs/>
                <w:sz w:val="24"/>
                <w:szCs w:val="24"/>
                <w:lang w:val="vi-VN"/>
              </w:rPr>
              <w:t>(i)</w:t>
            </w:r>
            <w:r w:rsidRPr="00365B29">
              <w:rPr>
                <w:rFonts w:ascii="Times New Roman" w:eastAsia="Cambria" w:hAnsi="Times New Roman" w:cs="Times New Roman"/>
                <w:bCs/>
                <w:sz w:val="24"/>
                <w:szCs w:val="24"/>
                <w:lang w:val="vi-VN"/>
              </w:rPr>
              <w:t xml:space="preserve"> bổ sung v</w:t>
            </w:r>
            <w:r w:rsidRPr="00790FEF">
              <w:rPr>
                <w:rFonts w:ascii="Times New Roman" w:eastAsia="Cambria" w:hAnsi="Times New Roman" w:cs="Times New Roman"/>
                <w:bCs/>
                <w:sz w:val="24"/>
                <w:szCs w:val="24"/>
                <w:lang w:val="vi-VN"/>
              </w:rPr>
              <w:t xml:space="preserve">iệc thưởng theo quy định của pháp luật về thi đua khen thưởng </w:t>
            </w:r>
            <w:r w:rsidRPr="00365B29">
              <w:rPr>
                <w:rFonts w:ascii="Times New Roman" w:eastAsia="Cambria" w:hAnsi="Times New Roman" w:cs="Times New Roman"/>
                <w:bCs/>
                <w:sz w:val="24"/>
                <w:szCs w:val="24"/>
                <w:lang w:val="vi-VN"/>
              </w:rPr>
              <w:t xml:space="preserve">và </w:t>
            </w:r>
            <w:r w:rsidRPr="00365B29">
              <w:rPr>
                <w:rFonts w:ascii="Times New Roman" w:eastAsia="Cambria" w:hAnsi="Times New Roman" w:cs="Times New Roman"/>
                <w:b/>
                <w:bCs/>
                <w:sz w:val="24"/>
                <w:szCs w:val="24"/>
                <w:lang w:val="vi-VN"/>
              </w:rPr>
              <w:t>(ii)</w:t>
            </w:r>
            <w:r w:rsidRPr="00365B29">
              <w:rPr>
                <w:rFonts w:ascii="Times New Roman" w:eastAsia="Cambria" w:hAnsi="Times New Roman" w:cs="Times New Roman"/>
                <w:bCs/>
                <w:sz w:val="24"/>
                <w:szCs w:val="24"/>
                <w:lang w:val="vi-VN"/>
              </w:rPr>
              <w:t xml:space="preserve"> làm rõ việc quỹ khen thưởng dùng </w:t>
            </w:r>
            <w:r w:rsidRPr="00790FEF">
              <w:rPr>
                <w:rFonts w:ascii="Times New Roman" w:eastAsia="Cambria" w:hAnsi="Times New Roman" w:cs="Times New Roman"/>
                <w:bCs/>
                <w:sz w:val="24"/>
                <w:szCs w:val="24"/>
                <w:lang w:val="vi-VN"/>
              </w:rPr>
              <w:t xml:space="preserve">cho cả người quản lý </w:t>
            </w:r>
            <w:r w:rsidRPr="00365B29">
              <w:rPr>
                <w:rFonts w:ascii="Times New Roman" w:eastAsia="Cambria" w:hAnsi="Times New Roman" w:cs="Times New Roman"/>
                <w:bCs/>
                <w:sz w:val="24"/>
                <w:szCs w:val="24"/>
                <w:lang w:val="vi-VN"/>
              </w:rPr>
              <w:t>TCTD</w:t>
            </w:r>
            <w:r w:rsidRPr="00790FEF">
              <w:rPr>
                <w:rFonts w:ascii="Times New Roman" w:eastAsia="Cambria" w:hAnsi="Times New Roman" w:cs="Times New Roman"/>
                <w:bCs/>
                <w:sz w:val="24"/>
                <w:szCs w:val="24"/>
                <w:lang w:val="vi-VN"/>
              </w:rPr>
              <w:t xml:space="preserve"> làm việc theo hợp đồng lao động và người quản lý </w:t>
            </w:r>
            <w:r w:rsidRPr="00365B29">
              <w:rPr>
                <w:rFonts w:ascii="Times New Roman" w:eastAsia="Cambria" w:hAnsi="Times New Roman" w:cs="Times New Roman"/>
                <w:bCs/>
                <w:sz w:val="24"/>
                <w:szCs w:val="24"/>
                <w:lang w:val="vi-VN"/>
              </w:rPr>
              <w:t>TCTD</w:t>
            </w:r>
            <w:r w:rsidRPr="00790FEF">
              <w:rPr>
                <w:rFonts w:ascii="Times New Roman" w:eastAsia="Cambria" w:hAnsi="Times New Roman" w:cs="Times New Roman"/>
                <w:bCs/>
                <w:sz w:val="24"/>
                <w:szCs w:val="24"/>
                <w:lang w:val="vi-VN"/>
              </w:rPr>
              <w:t>, kiểm soát viên do Nhà nước bổ nhiệm.</w:t>
            </w:r>
          </w:p>
          <w:p w:rsidR="00602E69" w:rsidRPr="00431254" w:rsidRDefault="00602E69" w:rsidP="003B0CD7">
            <w:pPr>
              <w:tabs>
                <w:tab w:val="left" w:pos="143"/>
              </w:tabs>
              <w:ind w:firstLine="314"/>
              <w:jc w:val="both"/>
              <w:rPr>
                <w:rFonts w:ascii="Times New Roman" w:eastAsia="Cambria" w:hAnsi="Times New Roman" w:cs="Times New Roman"/>
                <w:bCs/>
                <w:sz w:val="24"/>
                <w:szCs w:val="24"/>
                <w:lang w:val="vi-VN"/>
              </w:rPr>
            </w:pPr>
            <w:r w:rsidRPr="00790FEF">
              <w:rPr>
                <w:rFonts w:ascii="Times New Roman" w:eastAsia="Cambria" w:hAnsi="Times New Roman" w:cs="Times New Roman"/>
                <w:bCs/>
                <w:sz w:val="24"/>
                <w:szCs w:val="24"/>
                <w:lang w:val="vi-VN"/>
              </w:rPr>
              <w:t xml:space="preserve">- </w:t>
            </w:r>
            <w:r w:rsidRPr="0004399C">
              <w:rPr>
                <w:rFonts w:ascii="Times New Roman" w:eastAsia="Cambria" w:hAnsi="Times New Roman" w:cs="Times New Roman"/>
                <w:bCs/>
                <w:sz w:val="24"/>
                <w:szCs w:val="24"/>
                <w:lang w:val="vi-VN"/>
              </w:rPr>
              <w:t xml:space="preserve">Sửa đổi cụm từ </w:t>
            </w:r>
            <w:r w:rsidRPr="0004399C">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04399C">
              <w:rPr>
                <w:rFonts w:ascii="Times New Roman" w:eastAsia="Cambria" w:hAnsi="Times New Roman" w:cs="Times New Roman"/>
                <w:bCs/>
                <w:sz w:val="24"/>
                <w:szCs w:val="24"/>
                <w:lang w:val="vi-VN"/>
              </w:rPr>
              <w:t xml:space="preserve"> thành </w:t>
            </w:r>
            <w:r w:rsidRPr="0004399C">
              <w:rPr>
                <w:rFonts w:ascii="Times New Roman" w:eastAsia="Cambria" w:hAnsi="Times New Roman" w:cs="Times New Roman"/>
                <w:bCs/>
                <w:i/>
                <w:sz w:val="24"/>
                <w:szCs w:val="24"/>
                <w:lang w:val="vi-VN"/>
              </w:rPr>
              <w:t>“pháp luật về quản lý và đầu tư vốn nhà nước tại doanh nghiệp”</w:t>
            </w:r>
            <w:r w:rsidRPr="0004399C">
              <w:rPr>
                <w:rFonts w:ascii="Times New Roman" w:eastAsia="Cambria" w:hAnsi="Times New Roman" w:cs="Times New Roman"/>
                <w:bCs/>
                <w:sz w:val="24"/>
                <w:szCs w:val="24"/>
                <w:lang w:val="vi-VN"/>
              </w:rPr>
              <w:t xml:space="preserve"> để phù hợp với tên Luật 68.</w:t>
            </w:r>
          </w:p>
        </w:tc>
      </w:tr>
      <w:tr w:rsidR="00602E69" w:rsidRPr="008A118E" w:rsidTr="001551D6">
        <w:trPr>
          <w:trHeight w:val="296"/>
        </w:trPr>
        <w:tc>
          <w:tcPr>
            <w:tcW w:w="1757" w:type="pct"/>
          </w:tcPr>
          <w:p w:rsidR="00602E69" w:rsidRPr="00602E69" w:rsidRDefault="00602E69" w:rsidP="00D7544E">
            <w:pPr>
              <w:tabs>
                <w:tab w:val="left" w:pos="143"/>
              </w:tabs>
              <w:ind w:firstLine="284"/>
              <w:jc w:val="both"/>
              <w:rPr>
                <w:rFonts w:ascii="Times New Roman" w:eastAsia="Cambria" w:hAnsi="Times New Roman" w:cs="Times New Roman"/>
                <w:b/>
                <w:bCs/>
                <w:sz w:val="24"/>
                <w:szCs w:val="24"/>
                <w:lang w:val="vi-VN"/>
              </w:rPr>
            </w:pPr>
            <w:r w:rsidRPr="00A118A2">
              <w:rPr>
                <w:rFonts w:ascii="Times New Roman" w:eastAsia="Cambria" w:hAnsi="Times New Roman" w:cs="Times New Roman"/>
                <w:b/>
                <w:bCs/>
                <w:sz w:val="24"/>
                <w:szCs w:val="24"/>
                <w:lang w:val="vi-VN"/>
              </w:rPr>
              <w:lastRenderedPageBreak/>
              <w:t>Điểm a.3 và b.3 khoản 2 Điều 29</w:t>
            </w:r>
            <w:r w:rsidRPr="00602E69">
              <w:rPr>
                <w:rFonts w:ascii="Times New Roman" w:eastAsia="Cambria" w:hAnsi="Times New Roman" w:cs="Times New Roman"/>
                <w:b/>
                <w:bCs/>
                <w:sz w:val="24"/>
                <w:szCs w:val="24"/>
                <w:lang w:val="vi-VN"/>
              </w:rPr>
              <w:t xml:space="preserve"> về k</w:t>
            </w:r>
            <w:r w:rsidRPr="00D7544E">
              <w:rPr>
                <w:rFonts w:ascii="Times New Roman" w:eastAsia="Cambria" w:hAnsi="Times New Roman" w:cs="Times New Roman"/>
                <w:b/>
                <w:bCs/>
                <w:sz w:val="24"/>
                <w:szCs w:val="24"/>
                <w:lang w:val="vi-VN"/>
              </w:rPr>
              <w:t>ế hoạch tài chính</w:t>
            </w:r>
          </w:p>
          <w:p w:rsidR="00602E69" w:rsidRPr="00D469B6" w:rsidRDefault="00602E69" w:rsidP="00D7544E">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2. Lập kế hoạch tài chính:</w:t>
            </w:r>
          </w:p>
          <w:p w:rsidR="00602E69" w:rsidRPr="00D469B6" w:rsidRDefault="00602E69" w:rsidP="00D7544E">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a) Đối với tổ chức tín dụng do Nhà nước nắm giữ 100% vốn điều lệ:</w:t>
            </w:r>
          </w:p>
          <w:p w:rsidR="00602E69" w:rsidRPr="00D469B6" w:rsidRDefault="00602E69" w:rsidP="00D7544E">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a.3) Ngân hàng Nhà nước Việt Nam chủ trì, phối hợp với Bộ Tài chính thực hiện rà soát lại kế hoạch tài chính do tổ chức tín dụng lập để có ý kiến chính thức bằng văn bản và giao các chỉ tiêu đánh giá, xếp loại đối với tổ chức tín dụng trước ngày 30 tháng 4 của năm kế hoạch.</w:t>
            </w:r>
          </w:p>
          <w:p w:rsidR="00602E69" w:rsidRPr="00D469B6" w:rsidRDefault="00602E69" w:rsidP="00D7544E">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 xml:space="preserve">b) Đối với tổ chức tín dụng do Nhà nước nắm giữ trên 50% </w:t>
            </w:r>
            <w:bookmarkStart w:id="3" w:name="_Hlk168732857"/>
            <w:r w:rsidRPr="00D469B6">
              <w:rPr>
                <w:rFonts w:ascii="Times New Roman" w:eastAsia="Cambria" w:hAnsi="Times New Roman" w:cs="Times New Roman"/>
                <w:bCs/>
                <w:sz w:val="24"/>
                <w:szCs w:val="24"/>
                <w:lang w:val="vi-VN"/>
              </w:rPr>
              <w:t>đến dưới 100%</w:t>
            </w:r>
            <w:bookmarkEnd w:id="3"/>
            <w:r w:rsidRPr="00D469B6">
              <w:rPr>
                <w:rFonts w:ascii="Times New Roman" w:eastAsia="Cambria" w:hAnsi="Times New Roman" w:cs="Times New Roman"/>
                <w:bCs/>
                <w:sz w:val="24"/>
                <w:szCs w:val="24"/>
                <w:lang w:val="vi-VN"/>
              </w:rPr>
              <w:t xml:space="preserve"> vốn điều lệ:</w:t>
            </w:r>
          </w:p>
          <w:p w:rsidR="00602E69" w:rsidRPr="00365B29" w:rsidRDefault="00602E69" w:rsidP="008D4DBE">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b.3) Ngân hàng Nhà nước Việt Nam chủ trì, phối hợp với Bộ Tài chính thực hiện rà soát lại kế hoạch tài chính do tổ chức tín dụng lập và xác định các chỉ tiêu đánh giá cụ thể để giao nhiệm vụ cho người đại diện vốn nhà nước tại tổ chức tín dụng trước ngày 30 tháng 4 của năm kế hoạch.</w:t>
            </w:r>
          </w:p>
        </w:tc>
        <w:tc>
          <w:tcPr>
            <w:tcW w:w="1813" w:type="pct"/>
          </w:tcPr>
          <w:p w:rsidR="00602E69" w:rsidRPr="00602E69" w:rsidRDefault="00602E69" w:rsidP="00A118A2">
            <w:pPr>
              <w:tabs>
                <w:tab w:val="left" w:pos="143"/>
              </w:tabs>
              <w:ind w:firstLine="284"/>
              <w:jc w:val="both"/>
              <w:rPr>
                <w:rFonts w:ascii="Times New Roman" w:eastAsia="Cambria" w:hAnsi="Times New Roman" w:cs="Times New Roman"/>
                <w:b/>
                <w:bCs/>
                <w:sz w:val="24"/>
                <w:szCs w:val="24"/>
                <w:lang w:val="vi-VN"/>
              </w:rPr>
            </w:pPr>
            <w:r w:rsidRPr="00A118A2">
              <w:rPr>
                <w:rFonts w:ascii="Times New Roman" w:eastAsia="Cambria" w:hAnsi="Times New Roman" w:cs="Times New Roman"/>
                <w:b/>
                <w:bCs/>
                <w:sz w:val="24"/>
                <w:szCs w:val="24"/>
                <w:lang w:val="vi-VN"/>
              </w:rPr>
              <w:t>Điểm a.3 và b.3 khoản 2 Điều 29</w:t>
            </w:r>
            <w:r w:rsidRPr="00602E69">
              <w:rPr>
                <w:rFonts w:ascii="Times New Roman" w:eastAsia="Cambria" w:hAnsi="Times New Roman" w:cs="Times New Roman"/>
                <w:b/>
                <w:bCs/>
                <w:sz w:val="24"/>
                <w:szCs w:val="24"/>
                <w:lang w:val="vi-VN"/>
              </w:rPr>
              <w:t xml:space="preserve"> về k</w:t>
            </w:r>
            <w:r w:rsidRPr="00D7544E">
              <w:rPr>
                <w:rFonts w:ascii="Times New Roman" w:eastAsia="Cambria" w:hAnsi="Times New Roman" w:cs="Times New Roman"/>
                <w:b/>
                <w:bCs/>
                <w:sz w:val="24"/>
                <w:szCs w:val="24"/>
                <w:lang w:val="vi-VN"/>
              </w:rPr>
              <w:t>ế hoạch tài chính</w:t>
            </w:r>
          </w:p>
          <w:p w:rsidR="00602E69" w:rsidRPr="00630045" w:rsidRDefault="00602E69" w:rsidP="00D7544E">
            <w:pPr>
              <w:tabs>
                <w:tab w:val="left" w:pos="143"/>
              </w:tabs>
              <w:ind w:firstLine="284"/>
              <w:jc w:val="both"/>
              <w:rPr>
                <w:rFonts w:ascii="Times New Roman" w:eastAsia="Cambria" w:hAnsi="Times New Roman" w:cs="Times New Roman"/>
                <w:bCs/>
                <w:sz w:val="24"/>
                <w:szCs w:val="24"/>
                <w:lang w:val="vi-VN"/>
              </w:rPr>
            </w:pPr>
            <w:r w:rsidRPr="00630045">
              <w:rPr>
                <w:rFonts w:ascii="Times New Roman" w:eastAsia="Cambria" w:hAnsi="Times New Roman" w:cs="Times New Roman"/>
                <w:bCs/>
                <w:sz w:val="24"/>
                <w:szCs w:val="24"/>
                <w:lang w:val="vi-VN"/>
              </w:rPr>
              <w:t>2. Lập kế hoạch tài chính:</w:t>
            </w:r>
          </w:p>
          <w:p w:rsidR="00602E69" w:rsidRPr="00630045" w:rsidRDefault="00602E69" w:rsidP="00D7544E">
            <w:pPr>
              <w:tabs>
                <w:tab w:val="left" w:pos="143"/>
              </w:tabs>
              <w:ind w:firstLine="284"/>
              <w:jc w:val="both"/>
              <w:rPr>
                <w:rFonts w:ascii="Times New Roman" w:eastAsia="Cambria" w:hAnsi="Times New Roman" w:cs="Times New Roman"/>
                <w:bCs/>
                <w:sz w:val="24"/>
                <w:szCs w:val="24"/>
                <w:lang w:val="vi-VN"/>
              </w:rPr>
            </w:pPr>
            <w:r w:rsidRPr="00630045">
              <w:rPr>
                <w:rFonts w:ascii="Times New Roman" w:eastAsia="Cambria" w:hAnsi="Times New Roman" w:cs="Times New Roman"/>
                <w:bCs/>
                <w:sz w:val="24"/>
                <w:szCs w:val="24"/>
                <w:lang w:val="vi-VN"/>
              </w:rPr>
              <w:t>a) Đối với tổ chức tín dụng do Nhà nước nắm giữ 100% vốn điều lệ:</w:t>
            </w:r>
          </w:p>
          <w:p w:rsidR="00602E69" w:rsidRPr="00404FE5" w:rsidRDefault="00602E69" w:rsidP="00D7544E">
            <w:pPr>
              <w:tabs>
                <w:tab w:val="left" w:pos="143"/>
              </w:tabs>
              <w:ind w:firstLine="284"/>
              <w:jc w:val="both"/>
              <w:rPr>
                <w:rFonts w:ascii="Times New Roman" w:eastAsia="Cambria" w:hAnsi="Times New Roman" w:cs="Times New Roman"/>
                <w:bCs/>
                <w:sz w:val="24"/>
                <w:szCs w:val="24"/>
                <w:lang w:val="vi-VN"/>
              </w:rPr>
            </w:pPr>
            <w:r w:rsidRPr="00754CD4">
              <w:rPr>
                <w:rFonts w:ascii="Times New Roman" w:eastAsia="Cambria" w:hAnsi="Times New Roman" w:cs="Times New Roman"/>
                <w:bCs/>
                <w:sz w:val="24"/>
                <w:szCs w:val="24"/>
                <w:lang w:val="vi-VN"/>
              </w:rPr>
              <w:t>a.3</w:t>
            </w:r>
            <w:r w:rsidRPr="00010C54">
              <w:rPr>
                <w:rFonts w:ascii="Times New Roman" w:eastAsia="Cambria" w:hAnsi="Times New Roman" w:cs="Times New Roman"/>
                <w:bCs/>
                <w:sz w:val="24"/>
                <w:szCs w:val="24"/>
                <w:lang w:val="vi-VN"/>
              </w:rPr>
              <w:t>) Ngân hàng Nhà nước Việt Nam chủ trì, phối hợp với Bộ Tài chính thực hiện rà soát lại kế hoạch</w:t>
            </w:r>
            <w:r w:rsidRPr="00E82093">
              <w:rPr>
                <w:rFonts w:ascii="Times New Roman" w:eastAsia="Cambria" w:hAnsi="Times New Roman" w:cs="Times New Roman"/>
                <w:bCs/>
                <w:sz w:val="24"/>
                <w:szCs w:val="24"/>
                <w:lang w:val="vi-VN"/>
              </w:rPr>
              <w:t xml:space="preserve"> tài chính</w:t>
            </w:r>
            <w:r w:rsidRPr="00010C54">
              <w:rPr>
                <w:rFonts w:ascii="Times New Roman" w:eastAsia="Cambria" w:hAnsi="Times New Roman" w:cs="Times New Roman"/>
                <w:bCs/>
                <w:sz w:val="24"/>
                <w:szCs w:val="24"/>
                <w:lang w:val="vi-VN"/>
              </w:rPr>
              <w:t xml:space="preserve"> do tổ chức tín dụng lập để có ý kiến chính thức bằng văn bản và giao các chỉ tiêu đánh giá, xếp loại đối với tổ chức tín dụng trước ngày </w:t>
            </w:r>
            <w:r w:rsidRPr="00246B53">
              <w:rPr>
                <w:rFonts w:ascii="Times New Roman" w:eastAsia="Cambria" w:hAnsi="Times New Roman" w:cs="Times New Roman"/>
                <w:b/>
                <w:bCs/>
                <w:sz w:val="24"/>
                <w:szCs w:val="24"/>
                <w:lang w:val="vi-VN"/>
              </w:rPr>
              <w:t>31</w:t>
            </w:r>
            <w:r w:rsidRPr="002E1D1D">
              <w:rPr>
                <w:rFonts w:ascii="Times New Roman" w:eastAsia="Cambria" w:hAnsi="Times New Roman" w:cs="Times New Roman"/>
                <w:bCs/>
                <w:strike/>
                <w:sz w:val="24"/>
                <w:szCs w:val="24"/>
                <w:lang w:val="vi-VN"/>
              </w:rPr>
              <w:t>3</w:t>
            </w:r>
            <w:r w:rsidRPr="00246B53">
              <w:rPr>
                <w:rFonts w:ascii="Times New Roman" w:eastAsia="Cambria" w:hAnsi="Times New Roman" w:cs="Times New Roman"/>
                <w:bCs/>
                <w:strike/>
                <w:sz w:val="24"/>
                <w:szCs w:val="24"/>
                <w:lang w:val="vi-VN"/>
              </w:rPr>
              <w:t>0</w:t>
            </w:r>
            <w:r w:rsidRPr="00010C54">
              <w:rPr>
                <w:rFonts w:ascii="Times New Roman" w:eastAsia="Cambria" w:hAnsi="Times New Roman" w:cs="Times New Roman"/>
                <w:bCs/>
                <w:sz w:val="24"/>
                <w:szCs w:val="24"/>
                <w:lang w:val="vi-VN"/>
              </w:rPr>
              <w:t xml:space="preserve"> tháng </w:t>
            </w:r>
            <w:r w:rsidRPr="00246B53">
              <w:rPr>
                <w:rFonts w:ascii="Times New Roman" w:eastAsia="Cambria" w:hAnsi="Times New Roman" w:cs="Times New Roman"/>
                <w:b/>
                <w:bCs/>
                <w:sz w:val="24"/>
                <w:szCs w:val="24"/>
                <w:lang w:val="vi-VN"/>
              </w:rPr>
              <w:t>3</w:t>
            </w:r>
            <w:r w:rsidRPr="00246B53">
              <w:rPr>
                <w:rFonts w:ascii="Times New Roman" w:eastAsia="Cambria" w:hAnsi="Times New Roman" w:cs="Times New Roman"/>
                <w:bCs/>
                <w:strike/>
                <w:sz w:val="24"/>
                <w:szCs w:val="24"/>
                <w:lang w:val="vi-VN"/>
              </w:rPr>
              <w:t>4</w:t>
            </w:r>
            <w:r w:rsidRPr="00010C54">
              <w:rPr>
                <w:rFonts w:ascii="Times New Roman" w:eastAsia="Cambria" w:hAnsi="Times New Roman" w:cs="Times New Roman"/>
                <w:bCs/>
                <w:sz w:val="24"/>
                <w:szCs w:val="24"/>
                <w:lang w:val="vi-VN"/>
              </w:rPr>
              <w:t xml:space="preserve"> của năm kế hoạch.</w:t>
            </w:r>
          </w:p>
          <w:p w:rsidR="00602E69" w:rsidRPr="00754CD4" w:rsidRDefault="00602E69" w:rsidP="00D7544E">
            <w:pPr>
              <w:tabs>
                <w:tab w:val="left" w:pos="143"/>
              </w:tabs>
              <w:ind w:firstLine="284"/>
              <w:jc w:val="both"/>
              <w:rPr>
                <w:rFonts w:ascii="Times New Roman" w:eastAsia="Cambria" w:hAnsi="Times New Roman" w:cs="Times New Roman"/>
                <w:bCs/>
                <w:sz w:val="24"/>
                <w:szCs w:val="24"/>
                <w:lang w:val="vi-VN"/>
              </w:rPr>
            </w:pPr>
            <w:r w:rsidRPr="00754CD4">
              <w:rPr>
                <w:rFonts w:ascii="Times New Roman" w:eastAsia="Cambria" w:hAnsi="Times New Roman" w:cs="Times New Roman"/>
                <w:bCs/>
                <w:sz w:val="24"/>
                <w:szCs w:val="24"/>
                <w:lang w:val="vi-VN"/>
              </w:rPr>
              <w:t>b) Đối với tổ chức tín dụng do Nhà nước nắm giữ trên 50% đến dưới 100% vốn điều lệ:</w:t>
            </w:r>
          </w:p>
          <w:p w:rsidR="00602E69" w:rsidRPr="00FC245D" w:rsidRDefault="00602E69" w:rsidP="00A118A2">
            <w:pPr>
              <w:tabs>
                <w:tab w:val="left" w:pos="143"/>
              </w:tabs>
              <w:ind w:firstLine="284"/>
              <w:jc w:val="both"/>
              <w:rPr>
                <w:rFonts w:ascii="Times New Roman" w:eastAsia="Cambria" w:hAnsi="Times New Roman" w:cs="Times New Roman"/>
                <w:bCs/>
                <w:sz w:val="24"/>
                <w:szCs w:val="24"/>
                <w:lang w:val="vi-VN"/>
              </w:rPr>
            </w:pPr>
            <w:r w:rsidRPr="00754CD4">
              <w:rPr>
                <w:rFonts w:ascii="Times New Roman" w:eastAsia="Cambria" w:hAnsi="Times New Roman" w:cs="Times New Roman"/>
                <w:bCs/>
                <w:sz w:val="24"/>
                <w:szCs w:val="24"/>
                <w:lang w:val="vi-VN"/>
              </w:rPr>
              <w:t xml:space="preserve">b.3) Ngân hàng Nhà nước Việt Nam chủ trì, phối hợp với Bộ Tài chính thực hiện rà soát lại kế hoạch tài chính do tổ chức tín dụng lập và xác định các chỉ tiêu đánh giá cụ thể để giao nhiệm vụ cho người đại diện vốn nhà nước tại tổ chức tín dụng trước ngày </w:t>
            </w:r>
            <w:r w:rsidRPr="00754CD4">
              <w:rPr>
                <w:rFonts w:ascii="Times New Roman" w:eastAsia="Cambria" w:hAnsi="Times New Roman" w:cs="Times New Roman"/>
                <w:bCs/>
                <w:strike/>
                <w:sz w:val="24"/>
                <w:szCs w:val="24"/>
                <w:lang w:val="vi-VN"/>
              </w:rPr>
              <w:t>30</w:t>
            </w:r>
            <w:r w:rsidRPr="00754CD4">
              <w:rPr>
                <w:rFonts w:ascii="Times New Roman" w:eastAsia="Cambria" w:hAnsi="Times New Roman" w:cs="Times New Roman"/>
                <w:b/>
                <w:bCs/>
                <w:sz w:val="24"/>
                <w:szCs w:val="24"/>
                <w:lang w:val="vi-VN"/>
              </w:rPr>
              <w:t>31</w:t>
            </w:r>
            <w:r w:rsidRPr="00754CD4">
              <w:rPr>
                <w:rFonts w:ascii="Times New Roman" w:eastAsia="Cambria" w:hAnsi="Times New Roman" w:cs="Times New Roman"/>
                <w:bCs/>
                <w:sz w:val="24"/>
                <w:szCs w:val="24"/>
                <w:lang w:val="vi-VN"/>
              </w:rPr>
              <w:t xml:space="preserve"> tháng </w:t>
            </w:r>
            <w:r w:rsidRPr="00754CD4">
              <w:rPr>
                <w:rFonts w:ascii="Times New Roman" w:eastAsia="Cambria" w:hAnsi="Times New Roman" w:cs="Times New Roman"/>
                <w:bCs/>
                <w:strike/>
                <w:sz w:val="24"/>
                <w:szCs w:val="24"/>
                <w:lang w:val="vi-VN"/>
              </w:rPr>
              <w:t>4</w:t>
            </w:r>
            <w:r w:rsidRPr="00754CD4">
              <w:rPr>
                <w:rFonts w:ascii="Times New Roman" w:eastAsia="Cambria" w:hAnsi="Times New Roman" w:cs="Times New Roman"/>
                <w:b/>
                <w:bCs/>
                <w:sz w:val="24"/>
                <w:szCs w:val="24"/>
                <w:lang w:val="vi-VN"/>
              </w:rPr>
              <w:t>3</w:t>
            </w:r>
            <w:r w:rsidRPr="00754CD4">
              <w:rPr>
                <w:rFonts w:ascii="Times New Roman" w:eastAsia="Cambria" w:hAnsi="Times New Roman" w:cs="Times New Roman"/>
                <w:bCs/>
                <w:sz w:val="24"/>
                <w:szCs w:val="24"/>
                <w:lang w:val="vi-VN"/>
              </w:rPr>
              <w:t xml:space="preserve"> của năm kế hoạch.</w:t>
            </w:r>
          </w:p>
        </w:tc>
        <w:tc>
          <w:tcPr>
            <w:tcW w:w="1430" w:type="pct"/>
          </w:tcPr>
          <w:p w:rsidR="00602E69" w:rsidRPr="00A118A2" w:rsidRDefault="00602E69" w:rsidP="003B0CD7">
            <w:pPr>
              <w:tabs>
                <w:tab w:val="left" w:pos="143"/>
              </w:tabs>
              <w:ind w:firstLine="314"/>
              <w:jc w:val="both"/>
              <w:rPr>
                <w:rFonts w:ascii="Times New Roman" w:eastAsia="Cambria" w:hAnsi="Times New Roman" w:cs="Times New Roman"/>
                <w:bCs/>
                <w:sz w:val="24"/>
                <w:szCs w:val="24"/>
                <w:lang w:val="vi-VN"/>
              </w:rPr>
            </w:pPr>
            <w:bookmarkStart w:id="4" w:name="_Hlk207234383"/>
            <w:r>
              <w:rPr>
                <w:rFonts w:ascii="Times New Roman" w:eastAsia="Cambria" w:hAnsi="Times New Roman" w:cs="Times New Roman"/>
                <w:bCs/>
                <w:sz w:val="24"/>
                <w:szCs w:val="24"/>
                <w:lang w:val="vi-VN"/>
              </w:rPr>
              <w:t xml:space="preserve">Sửa đổi thời gian giao chỉ tiêu đánh giá, xếp loại </w:t>
            </w:r>
            <w:r w:rsidRPr="00A118A2">
              <w:rPr>
                <w:rFonts w:ascii="Times New Roman" w:eastAsia="Cambria" w:hAnsi="Times New Roman" w:cs="Times New Roman"/>
                <w:bCs/>
                <w:sz w:val="24"/>
                <w:szCs w:val="24"/>
                <w:lang w:val="vi-VN"/>
              </w:rPr>
              <w:t xml:space="preserve">từ trước ngày 30/4 thành </w:t>
            </w:r>
            <w:r>
              <w:rPr>
                <w:rFonts w:ascii="Times New Roman" w:eastAsia="Cambria" w:hAnsi="Times New Roman" w:cs="Times New Roman"/>
                <w:bCs/>
                <w:sz w:val="24"/>
                <w:szCs w:val="24"/>
                <w:lang w:val="vi-VN"/>
              </w:rPr>
              <w:t>trước ngày 31</w:t>
            </w:r>
            <w:r w:rsidRPr="00A118A2">
              <w:rPr>
                <w:rFonts w:ascii="Times New Roman" w:eastAsia="Cambria" w:hAnsi="Times New Roman" w:cs="Times New Roman"/>
                <w:bCs/>
                <w:sz w:val="24"/>
                <w:szCs w:val="24"/>
                <w:lang w:val="vi-VN"/>
              </w:rPr>
              <w:t>/</w:t>
            </w:r>
            <w:r>
              <w:rPr>
                <w:rFonts w:ascii="Times New Roman" w:eastAsia="Cambria" w:hAnsi="Times New Roman" w:cs="Times New Roman"/>
                <w:bCs/>
                <w:sz w:val="24"/>
                <w:szCs w:val="24"/>
                <w:lang w:val="vi-VN"/>
              </w:rPr>
              <w:t>3 hàng năm theo quy định tại khoản 2 Điều 50 Luật 68</w:t>
            </w:r>
            <w:r w:rsidRPr="00A118A2">
              <w:rPr>
                <w:rFonts w:ascii="Times New Roman" w:eastAsia="Cambria" w:hAnsi="Times New Roman" w:cs="Times New Roman"/>
                <w:bCs/>
                <w:sz w:val="24"/>
                <w:szCs w:val="24"/>
                <w:lang w:val="vi-VN"/>
              </w:rPr>
              <w:t xml:space="preserve">: </w:t>
            </w:r>
            <w:r w:rsidRPr="00A118A2">
              <w:rPr>
                <w:rFonts w:ascii="Times New Roman" w:eastAsia="Cambria" w:hAnsi="Times New Roman" w:cs="Times New Roman"/>
                <w:bCs/>
                <w:i/>
                <w:sz w:val="24"/>
                <w:szCs w:val="24"/>
                <w:lang w:val="vi-VN"/>
              </w:rPr>
              <w:t>Trước ngày 31 tháng 3 của năm thực hiện, đại diện chủ sở hữu nhà nước rà soát và giao một số chỉ tiêu cơ bản để đánh giá doanh nghiệp theo quy định của Chính phủ.</w:t>
            </w:r>
          </w:p>
          <w:bookmarkEnd w:id="4"/>
          <w:p w:rsidR="00602E69" w:rsidRPr="00E5151D" w:rsidRDefault="00602E69" w:rsidP="003B0CD7">
            <w:pPr>
              <w:tabs>
                <w:tab w:val="left" w:pos="143"/>
              </w:tabs>
              <w:ind w:firstLine="314"/>
              <w:jc w:val="both"/>
              <w:rPr>
                <w:rFonts w:ascii="Times New Roman" w:eastAsia="Cambria" w:hAnsi="Times New Roman" w:cs="Times New Roman"/>
                <w:bCs/>
                <w:sz w:val="24"/>
                <w:szCs w:val="24"/>
                <w:lang w:val="vi-VN"/>
              </w:rPr>
            </w:pPr>
          </w:p>
        </w:tc>
      </w:tr>
      <w:tr w:rsidR="00602E69" w:rsidRPr="008A118E" w:rsidTr="001551D6">
        <w:trPr>
          <w:trHeight w:val="296"/>
        </w:trPr>
        <w:tc>
          <w:tcPr>
            <w:tcW w:w="1757" w:type="pct"/>
          </w:tcPr>
          <w:p w:rsidR="00602E69" w:rsidRPr="00602E69" w:rsidRDefault="00602E69" w:rsidP="00D7544E">
            <w:pPr>
              <w:tabs>
                <w:tab w:val="left" w:pos="143"/>
              </w:tabs>
              <w:ind w:firstLine="284"/>
              <w:jc w:val="both"/>
              <w:rPr>
                <w:rFonts w:ascii="Times New Roman" w:eastAsia="Cambria" w:hAnsi="Times New Roman" w:cs="Times New Roman"/>
                <w:b/>
                <w:bCs/>
                <w:sz w:val="24"/>
                <w:szCs w:val="24"/>
                <w:lang w:val="vi-VN"/>
              </w:rPr>
            </w:pPr>
            <w:r w:rsidRPr="00365B29">
              <w:rPr>
                <w:rFonts w:ascii="Times New Roman" w:eastAsia="Cambria" w:hAnsi="Times New Roman" w:cs="Times New Roman"/>
                <w:b/>
                <w:bCs/>
                <w:sz w:val="24"/>
                <w:szCs w:val="24"/>
                <w:lang w:val="vi-VN"/>
              </w:rPr>
              <w:t>Khoản 1 Điều 31</w:t>
            </w:r>
            <w:r w:rsidRPr="00602E69">
              <w:rPr>
                <w:rFonts w:ascii="Times New Roman" w:eastAsia="Cambria" w:hAnsi="Times New Roman" w:cs="Times New Roman"/>
                <w:b/>
                <w:bCs/>
                <w:sz w:val="24"/>
                <w:szCs w:val="24"/>
                <w:lang w:val="vi-VN"/>
              </w:rPr>
              <w:t xml:space="preserve"> về c</w:t>
            </w:r>
            <w:r w:rsidRPr="00D469B6">
              <w:rPr>
                <w:rFonts w:ascii="Times New Roman" w:eastAsia="Cambria" w:hAnsi="Times New Roman" w:cs="Times New Roman"/>
                <w:b/>
                <w:bCs/>
                <w:sz w:val="24"/>
                <w:szCs w:val="24"/>
                <w:lang w:val="vi-VN"/>
              </w:rPr>
              <w:t>ác tiêu chí đánh giá hiệu quả đầu tư vốn nhà nước tại tổ chức tín dụng do Nhà nước nắm giữ 100% vốn điều lệ và tổ chức tín dụng có vốn nhà nước</w:t>
            </w:r>
          </w:p>
          <w:p w:rsidR="00602E69" w:rsidRPr="00A00A97" w:rsidRDefault="00602E69" w:rsidP="003E05FA">
            <w:pPr>
              <w:tabs>
                <w:tab w:val="left" w:pos="143"/>
              </w:tabs>
              <w:ind w:firstLine="284"/>
              <w:jc w:val="both"/>
              <w:rPr>
                <w:rFonts w:ascii="Times New Roman" w:eastAsia="Cambria" w:hAnsi="Times New Roman" w:cs="Times New Roman"/>
                <w:bCs/>
                <w:spacing w:val="-2"/>
                <w:sz w:val="24"/>
                <w:szCs w:val="24"/>
                <w:lang w:val="vi-VN"/>
              </w:rPr>
            </w:pPr>
            <w:r w:rsidRPr="00A00A97">
              <w:rPr>
                <w:rFonts w:ascii="Times New Roman" w:eastAsia="Cambria" w:hAnsi="Times New Roman" w:cs="Times New Roman"/>
                <w:bCs/>
                <w:spacing w:val="-2"/>
                <w:sz w:val="24"/>
                <w:szCs w:val="24"/>
                <w:lang w:val="vi-VN"/>
              </w:rPr>
              <w:t>1. Các tiêu chí đánh giá hiệu quả đầu tư vốn nhà nước tại tổ chức tín dụng do Nhà nước nắm giữ 100% vốn điều lệ và tổ chức tín dụng có vốn nhà nước</w:t>
            </w:r>
            <w:r w:rsidRPr="00A00A97" w:rsidDel="00D22D43">
              <w:rPr>
                <w:rFonts w:ascii="Times New Roman" w:eastAsia="Cambria" w:hAnsi="Times New Roman" w:cs="Times New Roman"/>
                <w:bCs/>
                <w:spacing w:val="-2"/>
                <w:sz w:val="24"/>
                <w:szCs w:val="24"/>
                <w:lang w:val="vi-VN"/>
              </w:rPr>
              <w:t xml:space="preserve"> </w:t>
            </w:r>
            <w:r w:rsidRPr="00A00A97">
              <w:rPr>
                <w:rFonts w:ascii="Times New Roman" w:eastAsia="Cambria" w:hAnsi="Times New Roman" w:cs="Times New Roman"/>
                <w:bCs/>
                <w:spacing w:val="-2"/>
                <w:sz w:val="24"/>
                <w:szCs w:val="24"/>
                <w:lang w:val="vi-VN"/>
              </w:rPr>
              <w:t xml:space="preserve">bao </w:t>
            </w:r>
            <w:r w:rsidRPr="00A00A97">
              <w:rPr>
                <w:rFonts w:ascii="Times New Roman" w:eastAsia="Cambria" w:hAnsi="Times New Roman" w:cs="Times New Roman"/>
                <w:bCs/>
                <w:spacing w:val="-2"/>
                <w:sz w:val="24"/>
                <w:szCs w:val="24"/>
                <w:lang w:val="vi-VN"/>
              </w:rPr>
              <w:lastRenderedPageBreak/>
              <w:t>gồm:</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a) Tiêu chí 1. Doanh thu;</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b) Tiêu chí 2. Lợi nhuận sau thuế và tỷ suất lợi nhuận sau thuế;</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c) Tiêu chí 3. Tỷ lệ nợ xấu và tỷ lệ nợ có khả năng mất vốn;</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d) Tiêu chí 4. Chấp hành pháp luật của tổ chức tín dụng về đầu tư, quản lý và sử dụng vốn nhà nước tại tổ chức tín dụng, pháp luật về thuế và các khoản thu nộp ngân sách khác, quy định về chế độ báo cáo tài chính và báo cáo để thực hiện giám sát tài chính;</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đ) Tiêu chí 5. Tình hình thực hiện sản phẩm, dịch vụ công ích (nếu có).</w:t>
            </w:r>
          </w:p>
          <w:p w:rsidR="00602E69" w:rsidRPr="00365B29" w:rsidRDefault="00602E69" w:rsidP="00D7544E">
            <w:pPr>
              <w:tabs>
                <w:tab w:val="left" w:pos="143"/>
              </w:tabs>
              <w:ind w:firstLine="284"/>
              <w:jc w:val="both"/>
              <w:rPr>
                <w:rFonts w:ascii="Times New Roman" w:eastAsia="Cambria" w:hAnsi="Times New Roman" w:cs="Times New Roman"/>
                <w:b/>
                <w:bCs/>
                <w:sz w:val="24"/>
                <w:szCs w:val="24"/>
                <w:lang w:val="vi-VN"/>
              </w:rPr>
            </w:pPr>
            <w:r w:rsidRPr="00365B29">
              <w:rPr>
                <w:rFonts w:ascii="Times New Roman" w:eastAsia="Cambria" w:hAnsi="Times New Roman" w:cs="Times New Roman"/>
                <w:b/>
                <w:bCs/>
                <w:sz w:val="24"/>
                <w:szCs w:val="24"/>
                <w:lang w:val="vi-VN"/>
              </w:rPr>
              <w:t>Điểm d khoản 3 Điều 31</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d) Tình hình chấp hành pháp luật:</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Tình hình chấp hành pháp luật bao gồm chấp hành các chế độ, chính sách pháp luật trong lĩnh vực về đầu tư, quản lý và sử dụng vốn nhà nước tại tổ chức tín dụng, thuế (trừ thuế thu nhập cá nhân), các khoản thu nộp ngân sách nhà nước khác, quy định về chế độ báo cáo tài chính, báo cáo để thực hiện giám sát tài chính.</w:t>
            </w:r>
          </w:p>
          <w:p w:rsidR="00602E69" w:rsidRPr="003E05FA" w:rsidRDefault="00602E69" w:rsidP="003E05FA">
            <w:pPr>
              <w:tabs>
                <w:tab w:val="left" w:pos="143"/>
              </w:tabs>
              <w:ind w:firstLine="284"/>
              <w:jc w:val="both"/>
              <w:rPr>
                <w:rFonts w:ascii="Times New Roman" w:eastAsia="Cambria" w:hAnsi="Times New Roman" w:cs="Times New Roman"/>
                <w:b/>
                <w:bCs/>
                <w:sz w:val="24"/>
                <w:szCs w:val="24"/>
                <w:lang w:val="vi-VN"/>
              </w:rPr>
            </w:pPr>
            <w:r w:rsidRPr="00D469B6">
              <w:rPr>
                <w:rFonts w:ascii="Times New Roman" w:eastAsia="Cambria" w:hAnsi="Times New Roman" w:cs="Times New Roman"/>
                <w:bCs/>
                <w:sz w:val="24"/>
                <w:szCs w:val="24"/>
                <w:lang w:val="vi-VN"/>
              </w:rPr>
              <w:t>Mức xử phạt vi phạm hành chính làm căn cứ để đánh giá xếp loại là số tiền phải nộp phạt ghi trên quyết định xử phạt vi phạm hành chính đối với các vi phạm được phát hiện trong năm tài chính thực hiện đánh giá xếp loại, không bao gồm số tiền phải nộp để thực hiện biện pháp khắc phục hậu quả.</w:t>
            </w:r>
          </w:p>
        </w:tc>
        <w:tc>
          <w:tcPr>
            <w:tcW w:w="1813" w:type="pct"/>
          </w:tcPr>
          <w:p w:rsidR="00602E69" w:rsidRPr="00602E69" w:rsidRDefault="00602E69" w:rsidP="003E05FA">
            <w:pPr>
              <w:tabs>
                <w:tab w:val="left" w:pos="143"/>
              </w:tabs>
              <w:ind w:firstLine="284"/>
              <w:jc w:val="both"/>
              <w:rPr>
                <w:rFonts w:ascii="Times New Roman" w:eastAsia="Cambria" w:hAnsi="Times New Roman" w:cs="Times New Roman"/>
                <w:b/>
                <w:bCs/>
                <w:sz w:val="24"/>
                <w:szCs w:val="24"/>
                <w:lang w:val="vi-VN"/>
              </w:rPr>
            </w:pPr>
            <w:r w:rsidRPr="003E05FA">
              <w:rPr>
                <w:rFonts w:ascii="Times New Roman" w:eastAsia="Cambria" w:hAnsi="Times New Roman" w:cs="Times New Roman"/>
                <w:b/>
                <w:bCs/>
                <w:sz w:val="24"/>
                <w:szCs w:val="24"/>
                <w:lang w:val="vi-VN"/>
              </w:rPr>
              <w:lastRenderedPageBreak/>
              <w:t>Khoản 1 Điều 31</w:t>
            </w:r>
            <w:r w:rsidRPr="00602E69">
              <w:rPr>
                <w:rFonts w:ascii="Times New Roman" w:eastAsia="Cambria" w:hAnsi="Times New Roman" w:cs="Times New Roman"/>
                <w:b/>
                <w:bCs/>
                <w:sz w:val="24"/>
                <w:szCs w:val="24"/>
                <w:lang w:val="vi-VN"/>
              </w:rPr>
              <w:t xml:space="preserve"> về c</w:t>
            </w:r>
            <w:r w:rsidRPr="00D469B6">
              <w:rPr>
                <w:rFonts w:ascii="Times New Roman" w:eastAsia="Cambria" w:hAnsi="Times New Roman" w:cs="Times New Roman"/>
                <w:b/>
                <w:bCs/>
                <w:sz w:val="24"/>
                <w:szCs w:val="24"/>
                <w:lang w:val="vi-VN"/>
              </w:rPr>
              <w:t>ác tiêu chí đánh giá hiệu quả đầu tư vốn nhà nước tại tổ chức tín dụng do Nhà nước nắm giữ 100% vốn điều lệ và tổ chức tín dụng có vốn nhà nước</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1. Các tiêu chí đánh giá hiệu quả đầu tư vốn nhà nước tại tổ chức tín dụng do Nhà nước nắm giữ 100% vốn điều lệ và tổ chức tín dụng có vốn nhà nước</w:t>
            </w:r>
            <w:r w:rsidRPr="00D469B6" w:rsidDel="00D22D43">
              <w:rPr>
                <w:rFonts w:ascii="Times New Roman" w:eastAsia="Cambria" w:hAnsi="Times New Roman" w:cs="Times New Roman"/>
                <w:bCs/>
                <w:sz w:val="24"/>
                <w:szCs w:val="24"/>
                <w:lang w:val="vi-VN"/>
              </w:rPr>
              <w:t xml:space="preserve"> </w:t>
            </w:r>
            <w:r w:rsidRPr="00D469B6">
              <w:rPr>
                <w:rFonts w:ascii="Times New Roman" w:eastAsia="Cambria" w:hAnsi="Times New Roman" w:cs="Times New Roman"/>
                <w:bCs/>
                <w:sz w:val="24"/>
                <w:szCs w:val="24"/>
                <w:lang w:val="vi-VN"/>
              </w:rPr>
              <w:t xml:space="preserve">bao </w:t>
            </w:r>
            <w:r w:rsidRPr="00D469B6">
              <w:rPr>
                <w:rFonts w:ascii="Times New Roman" w:eastAsia="Cambria" w:hAnsi="Times New Roman" w:cs="Times New Roman"/>
                <w:bCs/>
                <w:sz w:val="24"/>
                <w:szCs w:val="24"/>
                <w:lang w:val="vi-VN"/>
              </w:rPr>
              <w:lastRenderedPageBreak/>
              <w:t>gồm:</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a) Tiêu chí 1. Doanh thu;</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b) Tiêu chí 2. Lợi nhuận sau thuế và tỷ suất lợi nhuận sau thuế;</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c) Tiêu chí 3. Tỷ lệ nợ xấu và tỷ lệ nợ có khả năng mất vốn;</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d) Tiêu chí 4. Chấp hành pháp luật của tổ chức tín dụng về đầu tư, quản lý và sử dụng vốn nhà nước tại tổ chức tín dụng, pháp luật về</w:t>
            </w:r>
            <w:r w:rsidRPr="00444218">
              <w:rPr>
                <w:rFonts w:ascii="Times New Roman" w:eastAsia="Cambria" w:hAnsi="Times New Roman" w:cs="Times New Roman"/>
                <w:bCs/>
                <w:sz w:val="24"/>
                <w:szCs w:val="24"/>
                <w:lang w:val="vi-VN"/>
              </w:rPr>
              <w:t xml:space="preserve"> </w:t>
            </w:r>
            <w:r w:rsidRPr="00444218">
              <w:rPr>
                <w:rFonts w:ascii="Times New Roman" w:eastAsia="Cambria" w:hAnsi="Times New Roman" w:cs="Times New Roman"/>
                <w:b/>
                <w:bCs/>
                <w:sz w:val="24"/>
                <w:szCs w:val="24"/>
                <w:lang w:val="vi-VN"/>
              </w:rPr>
              <w:t>tiền tệ và ngân hàng</w:t>
            </w:r>
            <w:r w:rsidRPr="00D469B6">
              <w:rPr>
                <w:rFonts w:ascii="Times New Roman" w:eastAsia="Cambria" w:hAnsi="Times New Roman" w:cs="Times New Roman"/>
                <w:bCs/>
                <w:sz w:val="24"/>
                <w:szCs w:val="24"/>
                <w:lang w:val="vi-VN"/>
              </w:rPr>
              <w:t xml:space="preserve"> </w:t>
            </w:r>
            <w:r w:rsidRPr="003E05FA">
              <w:rPr>
                <w:rFonts w:ascii="Times New Roman" w:eastAsia="Cambria" w:hAnsi="Times New Roman" w:cs="Times New Roman"/>
                <w:bCs/>
                <w:strike/>
                <w:sz w:val="24"/>
                <w:szCs w:val="24"/>
                <w:lang w:val="vi-VN"/>
              </w:rPr>
              <w:t>thuế và các khoản thu nộp ngân sách khác</w:t>
            </w:r>
            <w:r w:rsidRPr="00D469B6">
              <w:rPr>
                <w:rFonts w:ascii="Times New Roman" w:eastAsia="Cambria" w:hAnsi="Times New Roman" w:cs="Times New Roman"/>
                <w:bCs/>
                <w:sz w:val="24"/>
                <w:szCs w:val="24"/>
                <w:lang w:val="vi-VN"/>
              </w:rPr>
              <w:t>, quy định về chế độ báo cáo tài chính và báo cáo để thực hiện giám sát tài chính;</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đ) Tiêu chí 5. Tình hình thực hiện sản phẩm, dịch vụ công ích (nếu có).</w:t>
            </w:r>
          </w:p>
          <w:p w:rsidR="00602E69" w:rsidRPr="003E05FA" w:rsidRDefault="00602E69" w:rsidP="003E05FA">
            <w:pPr>
              <w:tabs>
                <w:tab w:val="left" w:pos="143"/>
              </w:tabs>
              <w:ind w:firstLine="284"/>
              <w:jc w:val="both"/>
              <w:rPr>
                <w:rFonts w:ascii="Times New Roman" w:eastAsia="Cambria" w:hAnsi="Times New Roman" w:cs="Times New Roman"/>
                <w:b/>
                <w:bCs/>
                <w:sz w:val="24"/>
                <w:szCs w:val="24"/>
                <w:lang w:val="vi-VN"/>
              </w:rPr>
            </w:pPr>
            <w:r w:rsidRPr="003E05FA">
              <w:rPr>
                <w:rFonts w:ascii="Times New Roman" w:eastAsia="Cambria" w:hAnsi="Times New Roman" w:cs="Times New Roman"/>
                <w:b/>
                <w:bCs/>
                <w:sz w:val="24"/>
                <w:szCs w:val="24"/>
                <w:lang w:val="vi-VN"/>
              </w:rPr>
              <w:t>Điểm d khoản 3 Điều 31</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d) Tình hình chấp hành pháp luật:</w:t>
            </w:r>
          </w:p>
          <w:p w:rsidR="00602E69" w:rsidRPr="00D469B6" w:rsidRDefault="00602E69" w:rsidP="003E05FA">
            <w:pPr>
              <w:tabs>
                <w:tab w:val="left" w:pos="143"/>
              </w:tabs>
              <w:ind w:firstLine="284"/>
              <w:jc w:val="both"/>
              <w:rPr>
                <w:rFonts w:ascii="Times New Roman" w:eastAsia="Cambria" w:hAnsi="Times New Roman" w:cs="Times New Roman"/>
                <w:bCs/>
                <w:sz w:val="24"/>
                <w:szCs w:val="24"/>
                <w:lang w:val="vi-VN"/>
              </w:rPr>
            </w:pPr>
            <w:r w:rsidRPr="00D469B6">
              <w:rPr>
                <w:rFonts w:ascii="Times New Roman" w:eastAsia="Cambria" w:hAnsi="Times New Roman" w:cs="Times New Roman"/>
                <w:bCs/>
                <w:sz w:val="24"/>
                <w:szCs w:val="24"/>
                <w:lang w:val="vi-VN"/>
              </w:rPr>
              <w:t>Tình hình chấp hành pháp luật bao gồm chấp hành các chế độ, chính sách pháp luật trong lĩnh vực về đầu tư, quản lý và sử dụng vốn nhà nước tại tổ chức tín dụng,</w:t>
            </w:r>
            <w:r w:rsidRPr="008E43A0">
              <w:rPr>
                <w:rFonts w:ascii="Times New Roman" w:eastAsia="Cambria" w:hAnsi="Times New Roman" w:cs="Times New Roman"/>
                <w:bCs/>
                <w:sz w:val="24"/>
                <w:szCs w:val="24"/>
                <w:lang w:val="vi-VN"/>
              </w:rPr>
              <w:t xml:space="preserve"> </w:t>
            </w:r>
            <w:r w:rsidRPr="008E43A0">
              <w:rPr>
                <w:rFonts w:ascii="Times New Roman" w:eastAsia="Cambria" w:hAnsi="Times New Roman" w:cs="Times New Roman"/>
                <w:b/>
                <w:bCs/>
                <w:sz w:val="24"/>
                <w:szCs w:val="24"/>
                <w:lang w:val="vi-VN"/>
              </w:rPr>
              <w:t>lĩnh vực</w:t>
            </w:r>
            <w:r w:rsidRPr="00D469B6">
              <w:rPr>
                <w:rFonts w:ascii="Times New Roman" w:eastAsia="Cambria" w:hAnsi="Times New Roman" w:cs="Times New Roman"/>
                <w:bCs/>
                <w:sz w:val="24"/>
                <w:szCs w:val="24"/>
                <w:lang w:val="vi-VN"/>
              </w:rPr>
              <w:t xml:space="preserve"> </w:t>
            </w:r>
            <w:r w:rsidRPr="00444218">
              <w:rPr>
                <w:rFonts w:ascii="Times New Roman" w:eastAsia="Cambria" w:hAnsi="Times New Roman" w:cs="Times New Roman"/>
                <w:b/>
                <w:bCs/>
                <w:sz w:val="24"/>
                <w:szCs w:val="24"/>
                <w:lang w:val="vi-VN"/>
              </w:rPr>
              <w:t>tiền tệ và ngân hàng</w:t>
            </w:r>
            <w:r w:rsidRPr="00444218">
              <w:rPr>
                <w:rFonts w:ascii="Times New Roman" w:eastAsia="Cambria" w:hAnsi="Times New Roman" w:cs="Times New Roman"/>
                <w:bCs/>
                <w:strike/>
                <w:sz w:val="24"/>
                <w:szCs w:val="24"/>
                <w:lang w:val="vi-VN"/>
              </w:rPr>
              <w:t>thuế (trừ thuế thu nhập cá nhân), các khoản thu nộp ngân sách nhà nước khác</w:t>
            </w:r>
            <w:r w:rsidRPr="00444218">
              <w:rPr>
                <w:rFonts w:ascii="Times New Roman" w:eastAsia="Cambria" w:hAnsi="Times New Roman" w:cs="Times New Roman"/>
                <w:bCs/>
                <w:sz w:val="24"/>
                <w:szCs w:val="24"/>
                <w:lang w:val="vi-VN"/>
              </w:rPr>
              <w:t>,</w:t>
            </w:r>
            <w:r w:rsidRPr="00D469B6">
              <w:rPr>
                <w:rFonts w:ascii="Times New Roman" w:eastAsia="Cambria" w:hAnsi="Times New Roman" w:cs="Times New Roman"/>
                <w:bCs/>
                <w:sz w:val="24"/>
                <w:szCs w:val="24"/>
                <w:lang w:val="vi-VN"/>
              </w:rPr>
              <w:t xml:space="preserve"> quy định về chế độ báo cáo tài chính, báo cáo để thực hiện giám sát tài chính.</w:t>
            </w:r>
          </w:p>
          <w:p w:rsidR="00602E69" w:rsidRPr="00A118A2" w:rsidRDefault="00602E69" w:rsidP="003E05FA">
            <w:pPr>
              <w:tabs>
                <w:tab w:val="left" w:pos="143"/>
              </w:tabs>
              <w:ind w:firstLine="284"/>
              <w:jc w:val="both"/>
              <w:rPr>
                <w:rFonts w:ascii="Times New Roman" w:eastAsia="Cambria" w:hAnsi="Times New Roman" w:cs="Times New Roman"/>
                <w:b/>
                <w:bCs/>
                <w:sz w:val="24"/>
                <w:szCs w:val="24"/>
                <w:lang w:val="vi-VN"/>
              </w:rPr>
            </w:pPr>
            <w:r w:rsidRPr="00D469B6">
              <w:rPr>
                <w:rFonts w:ascii="Times New Roman" w:eastAsia="Cambria" w:hAnsi="Times New Roman" w:cs="Times New Roman"/>
                <w:bCs/>
                <w:sz w:val="24"/>
                <w:szCs w:val="24"/>
                <w:lang w:val="vi-VN"/>
              </w:rPr>
              <w:t>Mức xử phạt vi phạm hành chính làm căn cứ để đánh giá xếp loại là số tiền phải nộp phạt ghi trên quyết định xử phạt vi phạm hành chính đối với các vi phạm được phát hiện trong năm tài chính thực hiện đánh giá xếp loại, không bao gồm số tiền phải nộp để thực hiện biện pháp khắc phục hậu quả.</w:t>
            </w:r>
          </w:p>
        </w:tc>
        <w:tc>
          <w:tcPr>
            <w:tcW w:w="1430" w:type="pct"/>
          </w:tcPr>
          <w:p w:rsidR="00602E69" w:rsidRPr="00354FAC" w:rsidRDefault="00602E69" w:rsidP="000D3265">
            <w:pPr>
              <w:tabs>
                <w:tab w:val="left" w:pos="143"/>
              </w:tabs>
              <w:ind w:firstLine="284"/>
              <w:jc w:val="both"/>
              <w:rPr>
                <w:rFonts w:ascii="Times New Roman" w:eastAsia="Cambria" w:hAnsi="Times New Roman" w:cs="Times New Roman"/>
                <w:bCs/>
                <w:sz w:val="24"/>
                <w:szCs w:val="24"/>
                <w:lang w:val="vi-VN"/>
              </w:rPr>
            </w:pPr>
            <w:r w:rsidRPr="00B8535E">
              <w:rPr>
                <w:rFonts w:ascii="Times New Roman" w:eastAsia="Cambria" w:hAnsi="Times New Roman" w:cs="Times New Roman"/>
                <w:bCs/>
                <w:sz w:val="24"/>
                <w:szCs w:val="24"/>
                <w:lang w:val="vi-VN"/>
              </w:rPr>
              <w:lastRenderedPageBreak/>
              <w:t xml:space="preserve">Hiện nay, dự thảo Nghị định về giám sát, kiểm tra, đánh giá, xếp loại, báo cáo và công khai thông tin trong quản lý và đầu tư vốn nhà nước tại doanh nghiệp (hướng dẫn Luật 68) </w:t>
            </w:r>
            <w:r w:rsidRPr="0089050C">
              <w:rPr>
                <w:rFonts w:ascii="Times New Roman" w:eastAsia="Cambria" w:hAnsi="Times New Roman" w:cs="Times New Roman"/>
                <w:bCs/>
                <w:sz w:val="24"/>
                <w:szCs w:val="24"/>
                <w:lang w:val="vi-VN"/>
              </w:rPr>
              <w:t xml:space="preserve">không còn </w:t>
            </w:r>
            <w:r w:rsidRPr="00354FAC">
              <w:rPr>
                <w:rFonts w:ascii="Times New Roman" w:eastAsia="Cambria" w:hAnsi="Times New Roman" w:cs="Times New Roman"/>
                <w:bCs/>
                <w:sz w:val="24"/>
                <w:szCs w:val="24"/>
                <w:u w:val="single"/>
                <w:lang w:val="vi-VN"/>
              </w:rPr>
              <w:t>tiêu chí chấp hành pháp luật</w:t>
            </w:r>
            <w:r w:rsidRPr="00354FAC">
              <w:rPr>
                <w:rFonts w:ascii="Times New Roman" w:eastAsia="Cambria" w:hAnsi="Times New Roman" w:cs="Times New Roman"/>
                <w:bCs/>
                <w:sz w:val="24"/>
                <w:szCs w:val="24"/>
                <w:lang w:val="vi-VN"/>
              </w:rPr>
              <w:t xml:space="preserve">; chỉ còn các tiêu chí: </w:t>
            </w:r>
            <w:r w:rsidRPr="0089050C">
              <w:rPr>
                <w:rFonts w:ascii="Times New Roman" w:eastAsia="Cambria" w:hAnsi="Times New Roman" w:cs="Times New Roman"/>
                <w:b/>
                <w:bCs/>
                <w:sz w:val="24"/>
                <w:szCs w:val="24"/>
                <w:lang w:val="vi-VN"/>
              </w:rPr>
              <w:t xml:space="preserve">(i) </w:t>
            </w:r>
            <w:r w:rsidRPr="00354FAC">
              <w:rPr>
                <w:rFonts w:ascii="Times New Roman" w:eastAsia="Cambria" w:hAnsi="Times New Roman" w:cs="Times New Roman"/>
                <w:bCs/>
                <w:sz w:val="24"/>
                <w:szCs w:val="24"/>
                <w:lang w:val="vi-VN"/>
              </w:rPr>
              <w:t>tổ</w:t>
            </w:r>
            <w:r>
              <w:rPr>
                <w:rFonts w:ascii="Times New Roman" w:eastAsia="Cambria" w:hAnsi="Times New Roman" w:cs="Times New Roman"/>
                <w:bCs/>
                <w:sz w:val="24"/>
                <w:szCs w:val="24"/>
                <w:lang w:val="vi-VN"/>
              </w:rPr>
              <w:t>ng doanh thu</w:t>
            </w:r>
            <w:r w:rsidRPr="0089050C">
              <w:rPr>
                <w:rFonts w:ascii="Times New Roman" w:eastAsia="Cambria" w:hAnsi="Times New Roman" w:cs="Times New Roman"/>
                <w:bCs/>
                <w:sz w:val="24"/>
                <w:szCs w:val="24"/>
                <w:lang w:val="vi-VN"/>
              </w:rPr>
              <w:t>;</w:t>
            </w:r>
            <w:r w:rsidRPr="00354FAC">
              <w:rPr>
                <w:rFonts w:ascii="Times New Roman" w:eastAsia="Cambria" w:hAnsi="Times New Roman" w:cs="Times New Roman"/>
                <w:bCs/>
                <w:sz w:val="24"/>
                <w:szCs w:val="24"/>
                <w:lang w:val="vi-VN"/>
              </w:rPr>
              <w:t xml:space="preserve"> </w:t>
            </w:r>
            <w:r w:rsidRPr="0089050C">
              <w:rPr>
                <w:rFonts w:ascii="Times New Roman" w:eastAsia="Cambria" w:hAnsi="Times New Roman" w:cs="Times New Roman"/>
                <w:b/>
                <w:bCs/>
                <w:sz w:val="24"/>
                <w:szCs w:val="24"/>
                <w:lang w:val="vi-VN"/>
              </w:rPr>
              <w:t xml:space="preserve">(ii) </w:t>
            </w:r>
            <w:r w:rsidRPr="00354FAC">
              <w:rPr>
                <w:rFonts w:ascii="Times New Roman" w:eastAsia="Cambria" w:hAnsi="Times New Roman" w:cs="Times New Roman"/>
                <w:bCs/>
                <w:sz w:val="24"/>
                <w:szCs w:val="24"/>
                <w:lang w:val="vi-VN"/>
              </w:rPr>
              <w:t xml:space="preserve">lợi nhuận sau thuế; </w:t>
            </w:r>
            <w:r w:rsidRPr="0089050C">
              <w:rPr>
                <w:rFonts w:ascii="Times New Roman" w:eastAsia="Cambria" w:hAnsi="Times New Roman" w:cs="Times New Roman"/>
                <w:b/>
                <w:bCs/>
                <w:sz w:val="24"/>
                <w:szCs w:val="24"/>
                <w:lang w:val="vi-VN"/>
              </w:rPr>
              <w:t xml:space="preserve">(iii) </w:t>
            </w:r>
            <w:r w:rsidRPr="00D469B6">
              <w:rPr>
                <w:rFonts w:ascii="Times New Roman" w:eastAsia="Cambria" w:hAnsi="Times New Roman" w:cs="Times New Roman"/>
                <w:bCs/>
                <w:sz w:val="24"/>
                <w:szCs w:val="24"/>
                <w:lang w:val="vi-VN"/>
              </w:rPr>
              <w:t xml:space="preserve">tỷ suất lợi </w:t>
            </w:r>
            <w:r w:rsidRPr="00D469B6">
              <w:rPr>
                <w:rFonts w:ascii="Times New Roman" w:eastAsia="Cambria" w:hAnsi="Times New Roman" w:cs="Times New Roman"/>
                <w:bCs/>
                <w:sz w:val="24"/>
                <w:szCs w:val="24"/>
                <w:lang w:val="vi-VN"/>
              </w:rPr>
              <w:lastRenderedPageBreak/>
              <w:t>nhuận sau thuế</w:t>
            </w:r>
            <w:r w:rsidRPr="00354FAC">
              <w:rPr>
                <w:rFonts w:ascii="Times New Roman" w:eastAsia="Cambria" w:hAnsi="Times New Roman" w:cs="Times New Roman"/>
                <w:bCs/>
                <w:sz w:val="24"/>
                <w:szCs w:val="24"/>
                <w:lang w:val="vi-VN"/>
              </w:rPr>
              <w:t xml:space="preserve"> (ROE); </w:t>
            </w:r>
            <w:r w:rsidRPr="0089050C">
              <w:rPr>
                <w:rFonts w:ascii="Times New Roman" w:eastAsia="Cambria" w:hAnsi="Times New Roman" w:cs="Times New Roman"/>
                <w:b/>
                <w:bCs/>
                <w:sz w:val="24"/>
                <w:szCs w:val="24"/>
                <w:lang w:val="vi-VN"/>
              </w:rPr>
              <w:t xml:space="preserve">(iv) </w:t>
            </w:r>
            <w:r w:rsidRPr="00354FAC">
              <w:rPr>
                <w:rFonts w:ascii="Times New Roman" w:eastAsia="Cambria" w:hAnsi="Times New Roman" w:cs="Times New Roman"/>
                <w:bCs/>
                <w:sz w:val="24"/>
                <w:szCs w:val="24"/>
                <w:lang w:val="vi-VN"/>
              </w:rPr>
              <w:t xml:space="preserve">giá trị khối lượng thực hiện hoặc giá trị giải ngân đối với dự án đầu tư do doanh nghiệp là cơ quan chủ quản theo luật đầu tư công; </w:t>
            </w:r>
            <w:r w:rsidRPr="0089050C">
              <w:rPr>
                <w:rFonts w:ascii="Times New Roman" w:eastAsia="Cambria" w:hAnsi="Times New Roman" w:cs="Times New Roman"/>
                <w:b/>
                <w:bCs/>
                <w:sz w:val="24"/>
                <w:szCs w:val="24"/>
                <w:lang w:val="vi-VN"/>
              </w:rPr>
              <w:t xml:space="preserve">(v) </w:t>
            </w:r>
            <w:r w:rsidRPr="00354FAC">
              <w:rPr>
                <w:rFonts w:ascii="Times New Roman" w:eastAsia="Cambria" w:hAnsi="Times New Roman" w:cs="Times New Roman"/>
                <w:bCs/>
                <w:sz w:val="24"/>
                <w:szCs w:val="24"/>
                <w:lang w:val="vi-VN"/>
              </w:rPr>
              <w:t>việc thực hiện nhiệm vụ cung ứng sản phẩm, dịch vụ công do Nhà nước giao nhiệm vụ, đặ</w:t>
            </w:r>
            <w:r>
              <w:rPr>
                <w:rFonts w:ascii="Times New Roman" w:eastAsia="Cambria" w:hAnsi="Times New Roman" w:cs="Times New Roman"/>
                <w:bCs/>
                <w:sz w:val="24"/>
                <w:szCs w:val="24"/>
                <w:lang w:val="vi-VN"/>
              </w:rPr>
              <w:t>t hàng</w:t>
            </w:r>
            <w:r w:rsidRPr="0089050C">
              <w:rPr>
                <w:rFonts w:ascii="Times New Roman" w:eastAsia="Cambria" w:hAnsi="Times New Roman" w:cs="Times New Roman"/>
                <w:bCs/>
                <w:sz w:val="24"/>
                <w:szCs w:val="24"/>
                <w:lang w:val="vi-VN"/>
              </w:rPr>
              <w:t>,</w:t>
            </w:r>
            <w:r w:rsidRPr="00354FAC">
              <w:rPr>
                <w:rFonts w:ascii="Times New Roman" w:eastAsia="Cambria" w:hAnsi="Times New Roman" w:cs="Times New Roman"/>
                <w:bCs/>
                <w:sz w:val="24"/>
                <w:szCs w:val="24"/>
                <w:lang w:val="vi-VN"/>
              </w:rPr>
              <w:t xml:space="preserve"> thực hiện nhiệm vụ chính trị, quốc phòng, an ninh do cơ quan có thẩm quyền giao</w:t>
            </w:r>
            <w:r w:rsidRPr="00B8535E">
              <w:rPr>
                <w:rFonts w:ascii="Times New Roman" w:eastAsia="Cambria" w:hAnsi="Times New Roman" w:cs="Times New Roman"/>
                <w:bCs/>
                <w:sz w:val="24"/>
                <w:szCs w:val="24"/>
                <w:lang w:val="vi-VN"/>
              </w:rPr>
              <w:t>. Dự thảo Nghị định này cũng cho phép doanh nghiệp hoạt động trong một số lĩnh vực đặ</w:t>
            </w:r>
            <w:r>
              <w:rPr>
                <w:rFonts w:ascii="Times New Roman" w:eastAsia="Cambria" w:hAnsi="Times New Roman" w:cs="Times New Roman"/>
                <w:bCs/>
                <w:sz w:val="24"/>
                <w:szCs w:val="24"/>
                <w:lang w:val="vi-VN"/>
              </w:rPr>
              <w:t>c thù</w:t>
            </w:r>
            <w:r w:rsidRPr="00B8535E">
              <w:rPr>
                <w:rFonts w:ascii="Times New Roman" w:eastAsia="Cambria" w:hAnsi="Times New Roman" w:cs="Times New Roman"/>
                <w:bCs/>
                <w:sz w:val="24"/>
                <w:szCs w:val="24"/>
                <w:lang w:val="vi-VN"/>
              </w:rPr>
              <w:t xml:space="preserve"> được thực hiện theo quy định </w:t>
            </w:r>
            <w:r w:rsidRPr="00354FAC">
              <w:rPr>
                <w:rFonts w:ascii="Times New Roman" w:eastAsia="Cambria" w:hAnsi="Times New Roman" w:cs="Times New Roman"/>
                <w:bCs/>
                <w:sz w:val="24"/>
                <w:szCs w:val="24"/>
                <w:lang w:val="vi-VN"/>
              </w:rPr>
              <w:t xml:space="preserve">riêng </w:t>
            </w:r>
            <w:r w:rsidRPr="00B8535E">
              <w:rPr>
                <w:rFonts w:ascii="Times New Roman" w:eastAsia="Cambria" w:hAnsi="Times New Roman" w:cs="Times New Roman"/>
                <w:bCs/>
                <w:sz w:val="24"/>
                <w:szCs w:val="24"/>
                <w:lang w:val="vi-VN"/>
              </w:rPr>
              <w:t>của Chính phủ về đặc thù đó</w:t>
            </w:r>
            <w:r w:rsidRPr="00354FAC">
              <w:rPr>
                <w:rFonts w:ascii="Times New Roman" w:eastAsia="Cambria" w:hAnsi="Times New Roman" w:cs="Times New Roman"/>
                <w:bCs/>
                <w:sz w:val="24"/>
                <w:szCs w:val="24"/>
                <w:lang w:val="vi-VN"/>
              </w:rPr>
              <w:t>.</w:t>
            </w:r>
          </w:p>
          <w:p w:rsidR="00602E69" w:rsidRPr="000D3265" w:rsidRDefault="00602E69" w:rsidP="000D3265">
            <w:pPr>
              <w:tabs>
                <w:tab w:val="left" w:pos="143"/>
              </w:tabs>
              <w:ind w:firstLine="284"/>
              <w:jc w:val="both"/>
              <w:rPr>
                <w:rFonts w:ascii="Times New Roman" w:eastAsia="Cambria" w:hAnsi="Times New Roman" w:cs="Times New Roman"/>
                <w:bCs/>
                <w:sz w:val="24"/>
                <w:szCs w:val="24"/>
                <w:lang w:val="vi-VN"/>
              </w:rPr>
            </w:pPr>
            <w:r w:rsidRPr="000D3265">
              <w:rPr>
                <w:rFonts w:ascii="Times New Roman" w:eastAsia="Cambria" w:hAnsi="Times New Roman" w:cs="Times New Roman"/>
                <w:bCs/>
                <w:sz w:val="24"/>
                <w:szCs w:val="24"/>
                <w:lang w:val="vi-VN"/>
              </w:rPr>
              <w:t xml:space="preserve">Đặc thù hoạt động ngân hàng là </w:t>
            </w:r>
            <w:r w:rsidRPr="00A853DF">
              <w:rPr>
                <w:rFonts w:ascii="Times New Roman" w:eastAsia="Cambria" w:hAnsi="Times New Roman" w:cs="Times New Roman"/>
                <w:bCs/>
                <w:sz w:val="24"/>
                <w:szCs w:val="24"/>
                <w:lang w:val="vi-VN"/>
              </w:rPr>
              <w:t>huy động</w:t>
            </w:r>
            <w:r w:rsidRPr="000D3265">
              <w:rPr>
                <w:rFonts w:ascii="Times New Roman" w:eastAsia="Cambria" w:hAnsi="Times New Roman" w:cs="Times New Roman"/>
                <w:bCs/>
                <w:sz w:val="24"/>
                <w:szCs w:val="24"/>
                <w:lang w:val="vi-VN"/>
              </w:rPr>
              <w:t xml:space="preserve"> tiền gửi của người dân, doanh nghiệp để cho vay. Hiện nay quy mô huy động vốn của 04 </w:t>
            </w:r>
            <w:r w:rsidRPr="00B8535E">
              <w:rPr>
                <w:rFonts w:ascii="Times New Roman" w:eastAsia="Cambria" w:hAnsi="Times New Roman" w:cs="Times New Roman"/>
                <w:bCs/>
                <w:sz w:val="24"/>
                <w:szCs w:val="24"/>
                <w:lang w:val="vi-VN"/>
              </w:rPr>
              <w:t>ngân hàng thương mại nhà nước</w:t>
            </w:r>
            <w:r w:rsidRPr="000D3265">
              <w:rPr>
                <w:rFonts w:ascii="Times New Roman" w:eastAsia="Cambria" w:hAnsi="Times New Roman" w:cs="Times New Roman"/>
                <w:bCs/>
                <w:sz w:val="24"/>
                <w:szCs w:val="24"/>
                <w:lang w:val="vi-VN"/>
              </w:rPr>
              <w:t xml:space="preserve"> là rất lớn (khoảng hơn 7,4 triệu tỷ đồng</w:t>
            </w:r>
            <w:r w:rsidRPr="00B8535E">
              <w:rPr>
                <w:rFonts w:ascii="Times New Roman" w:eastAsia="Cambria" w:hAnsi="Times New Roman" w:cs="Times New Roman"/>
                <w:bCs/>
                <w:sz w:val="24"/>
                <w:szCs w:val="24"/>
                <w:lang w:val="vi-VN"/>
              </w:rPr>
              <w:t>)</w:t>
            </w:r>
            <w:r w:rsidRPr="000D3265">
              <w:rPr>
                <w:rFonts w:ascii="Times New Roman" w:eastAsia="Cambria" w:hAnsi="Times New Roman" w:cs="Times New Roman"/>
                <w:bCs/>
                <w:sz w:val="24"/>
                <w:szCs w:val="24"/>
                <w:lang w:val="vi-VN"/>
              </w:rPr>
              <w:t xml:space="preserve">, nếu xảy ra đổ vỡ sẽ tác động rất lớn tới nền kinh tế nên việc quy định các tiêu chí đánh giá, xếp loại </w:t>
            </w:r>
            <w:r w:rsidR="008F3862" w:rsidRPr="008F3862">
              <w:rPr>
                <w:rFonts w:ascii="Times New Roman" w:eastAsia="Cambria" w:hAnsi="Times New Roman" w:cs="Times New Roman"/>
                <w:bCs/>
                <w:sz w:val="24"/>
                <w:szCs w:val="24"/>
                <w:lang w:val="vi-VN"/>
              </w:rPr>
              <w:t>cần đảm bảo chặt chẽ và phù hợp với tính chất hoạt động của các ngân hàng thương mại</w:t>
            </w:r>
            <w:r w:rsidRPr="000D3265">
              <w:rPr>
                <w:rFonts w:ascii="Times New Roman" w:eastAsia="Cambria" w:hAnsi="Times New Roman" w:cs="Times New Roman"/>
                <w:bCs/>
                <w:sz w:val="24"/>
                <w:szCs w:val="24"/>
                <w:lang w:val="vi-VN"/>
              </w:rPr>
              <w:t xml:space="preserve">. </w:t>
            </w:r>
          </w:p>
          <w:p w:rsidR="00602E69" w:rsidRPr="00365B29" w:rsidRDefault="00602E69" w:rsidP="0089050C">
            <w:pPr>
              <w:tabs>
                <w:tab w:val="left" w:pos="143"/>
              </w:tabs>
              <w:ind w:firstLine="284"/>
              <w:jc w:val="both"/>
              <w:rPr>
                <w:rFonts w:ascii="Times New Roman" w:eastAsia="Cambria" w:hAnsi="Times New Roman" w:cs="Times New Roman"/>
                <w:bCs/>
                <w:sz w:val="24"/>
                <w:szCs w:val="24"/>
                <w:lang w:val="vi-VN"/>
              </w:rPr>
            </w:pPr>
            <w:r w:rsidRPr="000D3265">
              <w:rPr>
                <w:rFonts w:ascii="Times New Roman" w:eastAsia="Cambria" w:hAnsi="Times New Roman" w:cs="Times New Roman"/>
                <w:bCs/>
                <w:sz w:val="24"/>
                <w:szCs w:val="24"/>
                <w:lang w:val="vi-VN"/>
              </w:rPr>
              <w:t xml:space="preserve">Theo đó, dự thảo Nghị định </w:t>
            </w:r>
            <w:r w:rsidRPr="0089050C">
              <w:rPr>
                <w:rFonts w:ascii="Times New Roman" w:eastAsia="Cambria" w:hAnsi="Times New Roman" w:cs="Times New Roman"/>
                <w:bCs/>
                <w:sz w:val="24"/>
                <w:szCs w:val="24"/>
                <w:lang w:val="vi-VN"/>
              </w:rPr>
              <w:t>tiếp tục giữ nguyên các tiêu chí như hiện hành về tỷ lệ nợ xấu, nợ có khả năng mất vốn. Riêng đối với tiêu chí chấp hành pháp luật sẽ</w:t>
            </w:r>
            <w:r w:rsidRPr="008E43A0">
              <w:rPr>
                <w:rFonts w:ascii="Times New Roman" w:eastAsia="Cambria" w:hAnsi="Times New Roman" w:cs="Times New Roman"/>
                <w:bCs/>
                <w:sz w:val="24"/>
                <w:szCs w:val="24"/>
                <w:u w:val="single"/>
                <w:lang w:val="vi-VN"/>
              </w:rPr>
              <w:t xml:space="preserve"> bỏ nội dung chấp hành pháp luật về thuế và các khoản thu nộp NSNN</w:t>
            </w:r>
            <w:r w:rsidRPr="0089050C">
              <w:rPr>
                <w:rFonts w:ascii="Times New Roman" w:eastAsia="Cambria" w:hAnsi="Times New Roman" w:cs="Times New Roman"/>
                <w:bCs/>
                <w:sz w:val="24"/>
                <w:szCs w:val="24"/>
                <w:u w:val="single"/>
                <w:lang w:val="vi-VN"/>
              </w:rPr>
              <w:t xml:space="preserve"> tương tự như doanh nghiệp nhà nước</w:t>
            </w:r>
            <w:r w:rsidRPr="0089050C">
              <w:rPr>
                <w:rFonts w:ascii="Times New Roman" w:eastAsia="Cambria" w:hAnsi="Times New Roman" w:cs="Times New Roman"/>
                <w:bCs/>
                <w:sz w:val="24"/>
                <w:szCs w:val="24"/>
                <w:lang w:val="vi-VN"/>
              </w:rPr>
              <w:t>;</w:t>
            </w:r>
            <w:r w:rsidRPr="008E43A0">
              <w:rPr>
                <w:rFonts w:ascii="Times New Roman" w:eastAsia="Cambria" w:hAnsi="Times New Roman" w:cs="Times New Roman"/>
                <w:bCs/>
                <w:sz w:val="24"/>
                <w:szCs w:val="24"/>
                <w:lang w:val="vi-VN"/>
              </w:rPr>
              <w:t xml:space="preserve"> các nội dung khác như chấp hành </w:t>
            </w:r>
            <w:r w:rsidRPr="00D469B6">
              <w:rPr>
                <w:rFonts w:ascii="Times New Roman" w:eastAsia="Cambria" w:hAnsi="Times New Roman" w:cs="Times New Roman"/>
                <w:bCs/>
                <w:sz w:val="24"/>
                <w:szCs w:val="24"/>
                <w:lang w:val="vi-VN"/>
              </w:rPr>
              <w:t>chế độ, chính sách pháp luật trong</w:t>
            </w:r>
            <w:r w:rsidRPr="008E43A0">
              <w:rPr>
                <w:rFonts w:ascii="Times New Roman" w:eastAsia="Cambria" w:hAnsi="Times New Roman" w:cs="Times New Roman"/>
                <w:bCs/>
                <w:sz w:val="24"/>
                <w:szCs w:val="24"/>
                <w:lang w:val="vi-VN"/>
              </w:rPr>
              <w:t>:</w:t>
            </w:r>
            <w:r w:rsidRPr="00D469B6">
              <w:rPr>
                <w:rFonts w:ascii="Times New Roman" w:eastAsia="Cambria" w:hAnsi="Times New Roman" w:cs="Times New Roman"/>
                <w:bCs/>
                <w:sz w:val="24"/>
                <w:szCs w:val="24"/>
                <w:lang w:val="vi-VN"/>
              </w:rPr>
              <w:t xml:space="preserve"> lĩnh vực về đầu tư, quản lý và sử dụng vốn nhà nước tại </w:t>
            </w:r>
            <w:r w:rsidRPr="008E43A0">
              <w:rPr>
                <w:rFonts w:ascii="Times New Roman" w:eastAsia="Cambria" w:hAnsi="Times New Roman" w:cs="Times New Roman"/>
                <w:bCs/>
                <w:sz w:val="24"/>
                <w:szCs w:val="24"/>
                <w:lang w:val="vi-VN"/>
              </w:rPr>
              <w:t>TCTD</w:t>
            </w:r>
            <w:r w:rsidRPr="0089050C">
              <w:rPr>
                <w:rFonts w:ascii="Times New Roman" w:eastAsia="Cambria" w:hAnsi="Times New Roman" w:cs="Times New Roman"/>
                <w:bCs/>
                <w:sz w:val="24"/>
                <w:szCs w:val="24"/>
                <w:lang w:val="vi-VN"/>
              </w:rPr>
              <w:t>,</w:t>
            </w:r>
            <w:r w:rsidRPr="00D469B6">
              <w:rPr>
                <w:rFonts w:ascii="Times New Roman" w:eastAsia="Cambria" w:hAnsi="Times New Roman" w:cs="Times New Roman"/>
                <w:bCs/>
                <w:sz w:val="24"/>
                <w:szCs w:val="24"/>
                <w:lang w:val="vi-VN"/>
              </w:rPr>
              <w:t xml:space="preserve"> </w:t>
            </w:r>
            <w:r w:rsidRPr="008E43A0">
              <w:rPr>
                <w:rFonts w:ascii="Times New Roman" w:eastAsia="Cambria" w:hAnsi="Times New Roman" w:cs="Times New Roman"/>
                <w:bCs/>
                <w:sz w:val="24"/>
                <w:szCs w:val="24"/>
                <w:lang w:val="vi-VN"/>
              </w:rPr>
              <w:t>lĩnh vực tiền tệ và ngân hàng</w:t>
            </w:r>
            <w:r w:rsidRPr="0089050C">
              <w:rPr>
                <w:rFonts w:ascii="Times New Roman" w:eastAsia="Cambria" w:hAnsi="Times New Roman" w:cs="Times New Roman"/>
                <w:bCs/>
                <w:sz w:val="24"/>
                <w:szCs w:val="24"/>
                <w:lang w:val="vi-VN"/>
              </w:rPr>
              <w:t>,</w:t>
            </w:r>
            <w:r w:rsidRPr="008E43A0">
              <w:rPr>
                <w:rFonts w:ascii="Times New Roman" w:eastAsia="Cambria" w:hAnsi="Times New Roman" w:cs="Times New Roman"/>
                <w:bCs/>
                <w:sz w:val="24"/>
                <w:szCs w:val="24"/>
                <w:lang w:val="vi-VN"/>
              </w:rPr>
              <w:t xml:space="preserve"> quy định về </w:t>
            </w:r>
            <w:r w:rsidRPr="00D469B6">
              <w:rPr>
                <w:rFonts w:ascii="Times New Roman" w:eastAsia="Cambria" w:hAnsi="Times New Roman" w:cs="Times New Roman"/>
                <w:bCs/>
                <w:sz w:val="24"/>
                <w:szCs w:val="24"/>
                <w:lang w:val="vi-VN"/>
              </w:rPr>
              <w:t>chế độ báo cáo</w:t>
            </w:r>
            <w:r w:rsidRPr="0089050C">
              <w:rPr>
                <w:rFonts w:ascii="Times New Roman" w:eastAsia="Cambria" w:hAnsi="Times New Roman" w:cs="Times New Roman"/>
                <w:bCs/>
                <w:sz w:val="24"/>
                <w:szCs w:val="24"/>
                <w:lang w:val="vi-VN"/>
              </w:rPr>
              <w:t xml:space="preserve"> tiếp tục giữ nguyên như hiện hành </w:t>
            </w:r>
            <w:r w:rsidRPr="000D3265">
              <w:rPr>
                <w:rFonts w:ascii="Times New Roman" w:eastAsia="Cambria" w:hAnsi="Times New Roman" w:cs="Times New Roman"/>
                <w:bCs/>
                <w:sz w:val="24"/>
                <w:szCs w:val="24"/>
                <w:lang w:val="vi-VN"/>
              </w:rPr>
              <w:t xml:space="preserve">để </w:t>
            </w:r>
            <w:r w:rsidRPr="000D3265">
              <w:rPr>
                <w:rFonts w:ascii="Times New Roman" w:eastAsia="Cambria" w:hAnsi="Times New Roman" w:cs="Times New Roman"/>
                <w:bCs/>
                <w:sz w:val="24"/>
                <w:szCs w:val="24"/>
                <w:lang w:val="vi-VN"/>
              </w:rPr>
              <w:lastRenderedPageBreak/>
              <w:t xml:space="preserve">nâng cao trách nhiệm của </w:t>
            </w:r>
            <w:r w:rsidRPr="00B8535E">
              <w:rPr>
                <w:rFonts w:ascii="Times New Roman" w:eastAsia="Cambria" w:hAnsi="Times New Roman" w:cs="Times New Roman"/>
                <w:bCs/>
                <w:sz w:val="24"/>
                <w:szCs w:val="24"/>
                <w:lang w:val="vi-VN"/>
              </w:rPr>
              <w:t>các TCTD nhà nước</w:t>
            </w:r>
            <w:r w:rsidRPr="000D3265">
              <w:rPr>
                <w:rFonts w:ascii="Times New Roman" w:eastAsia="Cambria" w:hAnsi="Times New Roman" w:cs="Times New Roman"/>
                <w:bCs/>
                <w:sz w:val="24"/>
                <w:szCs w:val="24"/>
                <w:lang w:val="vi-VN"/>
              </w:rPr>
              <w:t xml:space="preserve"> trong việc thực hiện đúng pháp luật, đảm bảo an toàn hoạt động và an toàn hệ thống ngân hàng.</w:t>
            </w:r>
          </w:p>
          <w:p w:rsidR="00602E69" w:rsidRPr="00365B29" w:rsidRDefault="00602E69" w:rsidP="00A853DF">
            <w:pPr>
              <w:tabs>
                <w:tab w:val="left" w:pos="143"/>
              </w:tabs>
              <w:ind w:firstLine="284"/>
              <w:jc w:val="both"/>
              <w:rPr>
                <w:rFonts w:ascii="Times New Roman" w:eastAsia="Cambria" w:hAnsi="Times New Roman" w:cs="Times New Roman"/>
                <w:bCs/>
                <w:sz w:val="24"/>
                <w:szCs w:val="24"/>
                <w:lang w:val="vi-VN"/>
              </w:rPr>
            </w:pPr>
            <w:r w:rsidRPr="00365B29">
              <w:rPr>
                <w:rFonts w:ascii="Times New Roman" w:eastAsia="Cambria" w:hAnsi="Times New Roman" w:cs="Times New Roman"/>
                <w:bCs/>
                <w:sz w:val="24"/>
                <w:szCs w:val="24"/>
                <w:lang w:val="vi-VN"/>
              </w:rPr>
              <w:t>Ngoài ra, dự thảo Nghị định không bổ sung tiêu chí (i</w:t>
            </w:r>
            <w:r w:rsidRPr="00A853DF">
              <w:rPr>
                <w:rFonts w:ascii="Times New Roman" w:eastAsia="Cambria" w:hAnsi="Times New Roman" w:cs="Times New Roman"/>
                <w:bCs/>
                <w:sz w:val="24"/>
                <w:szCs w:val="24"/>
                <w:lang w:val="vi-VN"/>
              </w:rPr>
              <w:t>v</w:t>
            </w:r>
            <w:r w:rsidRPr="00365B29">
              <w:rPr>
                <w:rFonts w:ascii="Times New Roman" w:eastAsia="Cambria" w:hAnsi="Times New Roman" w:cs="Times New Roman"/>
                <w:bCs/>
                <w:sz w:val="24"/>
                <w:szCs w:val="24"/>
                <w:lang w:val="vi-VN"/>
              </w:rPr>
              <w:t xml:space="preserve">) </w:t>
            </w:r>
            <w:r w:rsidRPr="00D65704">
              <w:rPr>
                <w:rFonts w:ascii="Times New Roman" w:eastAsia="Cambria" w:hAnsi="Times New Roman" w:cs="Times New Roman"/>
                <w:bCs/>
                <w:sz w:val="24"/>
                <w:szCs w:val="24"/>
                <w:lang w:val="vi-VN"/>
              </w:rPr>
              <w:t xml:space="preserve">- </w:t>
            </w:r>
            <w:r w:rsidRPr="00354FAC">
              <w:rPr>
                <w:rFonts w:ascii="Times New Roman" w:eastAsia="Cambria" w:hAnsi="Times New Roman" w:cs="Times New Roman"/>
                <w:bCs/>
                <w:sz w:val="24"/>
                <w:szCs w:val="24"/>
                <w:lang w:val="vi-VN"/>
              </w:rPr>
              <w:t>giá trị khối lượng thực hiện hoặc giá trị giải ngân đối với dự án đầu tư theo luật đầu tư công</w:t>
            </w:r>
            <w:r w:rsidRPr="000D3265">
              <w:rPr>
                <w:rFonts w:ascii="Times New Roman" w:eastAsia="Cambria" w:hAnsi="Times New Roman" w:cs="Times New Roman"/>
                <w:bCs/>
                <w:sz w:val="24"/>
                <w:szCs w:val="24"/>
                <w:lang w:val="vi-VN"/>
              </w:rPr>
              <w:t xml:space="preserve"> </w:t>
            </w:r>
            <w:r w:rsidRPr="00365B29">
              <w:rPr>
                <w:rFonts w:ascii="Times New Roman" w:eastAsia="Cambria" w:hAnsi="Times New Roman" w:cs="Times New Roman"/>
                <w:bCs/>
                <w:sz w:val="24"/>
                <w:szCs w:val="24"/>
                <w:lang w:val="vi-VN"/>
              </w:rPr>
              <w:t xml:space="preserve">và tiêu chí (v) - </w:t>
            </w:r>
            <w:r w:rsidRPr="00354FAC">
              <w:rPr>
                <w:rFonts w:ascii="Times New Roman" w:eastAsia="Cambria" w:hAnsi="Times New Roman" w:cs="Times New Roman"/>
                <w:bCs/>
                <w:sz w:val="24"/>
                <w:szCs w:val="24"/>
                <w:lang w:val="vi-VN"/>
              </w:rPr>
              <w:t>thực hiện nhiệm vụ chính trị, quốc phòng, an ninh do cơ quan có thẩm quyền giao</w:t>
            </w:r>
            <w:r w:rsidRPr="00365B29">
              <w:rPr>
                <w:rFonts w:ascii="Times New Roman" w:eastAsia="Cambria" w:hAnsi="Times New Roman" w:cs="Times New Roman"/>
                <w:bCs/>
                <w:sz w:val="24"/>
                <w:szCs w:val="24"/>
                <w:lang w:val="vi-VN"/>
              </w:rPr>
              <w:t xml:space="preserve"> như doanh nghiệp nhà nước vì đây không phải là </w:t>
            </w:r>
            <w:r w:rsidRPr="00D65704">
              <w:rPr>
                <w:rFonts w:ascii="Times New Roman" w:eastAsia="Cambria" w:hAnsi="Times New Roman" w:cs="Times New Roman"/>
                <w:bCs/>
                <w:sz w:val="24"/>
                <w:szCs w:val="24"/>
                <w:lang w:val="vi-VN"/>
              </w:rPr>
              <w:t xml:space="preserve">nhiệm vụ </w:t>
            </w:r>
            <w:r w:rsidRPr="00365B29">
              <w:rPr>
                <w:rFonts w:ascii="Times New Roman" w:eastAsia="Cambria" w:hAnsi="Times New Roman" w:cs="Times New Roman"/>
                <w:bCs/>
                <w:sz w:val="24"/>
                <w:szCs w:val="24"/>
                <w:lang w:val="vi-VN"/>
              </w:rPr>
              <w:t>đặ</w:t>
            </w:r>
            <w:r>
              <w:rPr>
                <w:rFonts w:ascii="Times New Roman" w:eastAsia="Cambria" w:hAnsi="Times New Roman" w:cs="Times New Roman"/>
                <w:bCs/>
                <w:sz w:val="24"/>
                <w:szCs w:val="24"/>
                <w:lang w:val="vi-VN"/>
              </w:rPr>
              <w:t>c thù</w:t>
            </w:r>
            <w:r w:rsidRPr="00365B29">
              <w:rPr>
                <w:rFonts w:ascii="Times New Roman" w:eastAsia="Cambria" w:hAnsi="Times New Roman" w:cs="Times New Roman"/>
                <w:bCs/>
                <w:sz w:val="24"/>
                <w:szCs w:val="24"/>
                <w:lang w:val="vi-VN"/>
              </w:rPr>
              <w:t>, trọng yếu của TCTD.</w:t>
            </w:r>
          </w:p>
        </w:tc>
      </w:tr>
      <w:tr w:rsidR="00602E69" w:rsidRPr="008A118E" w:rsidTr="001551D6">
        <w:trPr>
          <w:trHeight w:val="296"/>
        </w:trPr>
        <w:tc>
          <w:tcPr>
            <w:tcW w:w="1757" w:type="pct"/>
          </w:tcPr>
          <w:p w:rsidR="00602E69" w:rsidRPr="00602E69" w:rsidRDefault="00602E69" w:rsidP="00D7544E">
            <w:pPr>
              <w:tabs>
                <w:tab w:val="left" w:pos="143"/>
              </w:tabs>
              <w:ind w:firstLine="284"/>
              <w:jc w:val="both"/>
              <w:rPr>
                <w:rFonts w:ascii="Times New Roman" w:eastAsia="Cambria" w:hAnsi="Times New Roman" w:cs="Times New Roman"/>
                <w:b/>
                <w:bCs/>
                <w:sz w:val="24"/>
                <w:szCs w:val="24"/>
                <w:lang w:val="vi-VN"/>
              </w:rPr>
            </w:pPr>
            <w:r w:rsidRPr="00A118A2">
              <w:rPr>
                <w:rFonts w:ascii="Times New Roman" w:eastAsia="Cambria" w:hAnsi="Times New Roman" w:cs="Times New Roman"/>
                <w:b/>
                <w:bCs/>
                <w:sz w:val="24"/>
                <w:szCs w:val="24"/>
                <w:lang w:val="vi-VN"/>
              </w:rPr>
              <w:lastRenderedPageBreak/>
              <w:t>Khoản 2 Điều 32</w:t>
            </w:r>
            <w:r w:rsidRPr="00602E69">
              <w:rPr>
                <w:rFonts w:ascii="Times New Roman" w:eastAsia="Cambria" w:hAnsi="Times New Roman" w:cs="Times New Roman"/>
                <w:b/>
                <w:bCs/>
                <w:sz w:val="24"/>
                <w:szCs w:val="24"/>
                <w:lang w:val="vi-VN"/>
              </w:rPr>
              <w:t xml:space="preserve"> về </w:t>
            </w:r>
            <w:r w:rsidRPr="00602E69">
              <w:rPr>
                <w:rFonts w:ascii="Times New Roman Bold" w:eastAsia="Cambria" w:hAnsi="Times New Roman Bold" w:cs="Times New Roman"/>
                <w:b/>
                <w:bCs/>
                <w:spacing w:val="-2"/>
                <w:sz w:val="24"/>
                <w:szCs w:val="24"/>
                <w:lang w:val="vi-VN"/>
              </w:rPr>
              <w:t>đ</w:t>
            </w:r>
            <w:r w:rsidRPr="00A00A97">
              <w:rPr>
                <w:rFonts w:ascii="Times New Roman Bold" w:eastAsia="Cambria" w:hAnsi="Times New Roman Bold" w:cs="Times New Roman"/>
                <w:b/>
                <w:bCs/>
                <w:spacing w:val="-2"/>
                <w:sz w:val="24"/>
                <w:szCs w:val="24"/>
                <w:lang w:val="vi-VN"/>
              </w:rPr>
              <w:t>ánh giá hiệu quả hoạt động và xếp loại doanh nghiệp nhà nước là tổ chức tín dụng do Nhà nước nắm giữ 100% vốn điều lệ</w:t>
            </w:r>
          </w:p>
          <w:p w:rsidR="00602E69" w:rsidRPr="00A82910" w:rsidRDefault="00602E69" w:rsidP="00D7544E">
            <w:pPr>
              <w:tabs>
                <w:tab w:val="left" w:pos="143"/>
              </w:tabs>
              <w:ind w:firstLine="284"/>
              <w:jc w:val="both"/>
              <w:rPr>
                <w:rFonts w:ascii="Times New Roman" w:eastAsia="Cambria" w:hAnsi="Times New Roman" w:cs="Times New Roman"/>
                <w:bCs/>
                <w:sz w:val="24"/>
                <w:szCs w:val="24"/>
                <w:lang w:val="vi-VN"/>
              </w:rPr>
            </w:pPr>
            <w:r w:rsidRPr="00A82910">
              <w:rPr>
                <w:rFonts w:ascii="Times New Roman" w:eastAsia="Cambria" w:hAnsi="Times New Roman" w:cs="Times New Roman"/>
                <w:bCs/>
                <w:sz w:val="24"/>
                <w:szCs w:val="24"/>
                <w:lang w:val="vi-VN"/>
              </w:rPr>
              <w:t>2. Ngân hàng Nhà nước Việt Nam chủ trì, phối hợp với Bộ Tài chính rà soát kế hoạch tài chính để giao các chỉ tiêu đánh giá, xếp loại cho tổ chức tín dụng do Nhà nước nắm giữ 100% vốn điều lệ phù hợp với đặc thù hoạt động kinh doanh của tổ chức tín dụng. Các chỉ tiêu này phải giao cho tổ chức tín dụng bằng văn bản trước ngày 30 tháng 4 của năm kế hoạch và không được điều chỉnh trong suốt kỳ thực hiện kế hoạch, trừ các trường hợp bất khả kháng.</w:t>
            </w:r>
          </w:p>
          <w:p w:rsidR="00602E69" w:rsidRPr="00A82910" w:rsidRDefault="00602E69" w:rsidP="00D7544E">
            <w:pPr>
              <w:tabs>
                <w:tab w:val="left" w:pos="143"/>
              </w:tabs>
              <w:ind w:firstLine="284"/>
              <w:jc w:val="both"/>
              <w:rPr>
                <w:rFonts w:ascii="Times New Roman" w:eastAsia="Cambria" w:hAnsi="Times New Roman" w:cs="Times New Roman"/>
                <w:bCs/>
                <w:sz w:val="24"/>
                <w:szCs w:val="24"/>
                <w:lang w:val="vi-VN"/>
              </w:rPr>
            </w:pPr>
            <w:r w:rsidRPr="00A82910">
              <w:rPr>
                <w:rFonts w:ascii="Times New Roman" w:eastAsia="Cambria" w:hAnsi="Times New Roman" w:cs="Times New Roman"/>
                <w:bCs/>
                <w:sz w:val="24"/>
                <w:szCs w:val="24"/>
                <w:lang w:val="vi-VN"/>
              </w:rPr>
              <w:t>3. Phương thức đánh giá hiệu quả và xếp loại tổ chức tín dụng:</w:t>
            </w:r>
          </w:p>
          <w:p w:rsidR="00602E69" w:rsidRPr="001C5403" w:rsidRDefault="00602E69" w:rsidP="00D7544E">
            <w:pPr>
              <w:tabs>
                <w:tab w:val="left" w:pos="143"/>
              </w:tabs>
              <w:ind w:firstLine="284"/>
              <w:jc w:val="both"/>
              <w:rPr>
                <w:rFonts w:ascii="Times New Roman" w:eastAsia="Cambria" w:hAnsi="Times New Roman" w:cs="Times New Roman"/>
                <w:b/>
                <w:sz w:val="24"/>
                <w:szCs w:val="24"/>
                <w:lang w:val="vi-VN"/>
              </w:rPr>
            </w:pPr>
            <w:r w:rsidRPr="00A82910">
              <w:rPr>
                <w:rFonts w:ascii="Times New Roman" w:eastAsia="Cambria" w:hAnsi="Times New Roman" w:cs="Times New Roman"/>
                <w:bCs/>
                <w:sz w:val="24"/>
                <w:szCs w:val="24"/>
                <w:lang w:val="vi-VN"/>
              </w:rPr>
              <w:t>Việc đánh giá hiệu quả hoạt động tổ chức tín dụng được thực hiện thông qua đánh giá mức độ hoàn thành các chỉ tiêu đánh giá hiệu quả và xếp loại (A, B, C) do Ngân hàng Nhà nước Việt Nam giao cho tổ chức tín dụng theo quy định tại Phụ lục IV Nghị định này.</w:t>
            </w:r>
          </w:p>
        </w:tc>
        <w:tc>
          <w:tcPr>
            <w:tcW w:w="1813" w:type="pct"/>
          </w:tcPr>
          <w:p w:rsidR="00602E69" w:rsidRPr="000D7B6F" w:rsidRDefault="00602E69" w:rsidP="00D7544E">
            <w:pPr>
              <w:tabs>
                <w:tab w:val="left" w:pos="143"/>
              </w:tabs>
              <w:ind w:firstLine="284"/>
              <w:jc w:val="both"/>
              <w:rPr>
                <w:rFonts w:ascii="Times New Roman" w:eastAsia="Cambria" w:hAnsi="Times New Roman" w:cs="Times New Roman"/>
                <w:b/>
                <w:bCs/>
                <w:sz w:val="24"/>
                <w:szCs w:val="24"/>
                <w:lang w:val="vi-VN"/>
              </w:rPr>
            </w:pPr>
            <w:r w:rsidRPr="00FC245D">
              <w:rPr>
                <w:rFonts w:ascii="Times New Roman" w:eastAsia="Cambria" w:hAnsi="Times New Roman" w:cs="Times New Roman"/>
                <w:b/>
                <w:bCs/>
                <w:sz w:val="24"/>
                <w:szCs w:val="24"/>
                <w:lang w:val="vi-VN"/>
              </w:rPr>
              <w:t>K</w:t>
            </w:r>
            <w:r>
              <w:rPr>
                <w:rFonts w:ascii="Times New Roman" w:eastAsia="Cambria" w:hAnsi="Times New Roman" w:cs="Times New Roman"/>
                <w:b/>
                <w:bCs/>
                <w:sz w:val="24"/>
                <w:szCs w:val="24"/>
                <w:lang w:val="vi-VN"/>
              </w:rPr>
              <w:t xml:space="preserve">hoản 2 Điều 32 </w:t>
            </w:r>
            <w:r w:rsidRPr="00602E69">
              <w:rPr>
                <w:rFonts w:ascii="Times New Roman" w:eastAsia="Cambria" w:hAnsi="Times New Roman" w:cs="Times New Roman"/>
                <w:b/>
                <w:bCs/>
                <w:sz w:val="24"/>
                <w:szCs w:val="24"/>
                <w:lang w:val="vi-VN"/>
              </w:rPr>
              <w:t xml:space="preserve">về </w:t>
            </w:r>
            <w:r w:rsidRPr="00602E69">
              <w:rPr>
                <w:rFonts w:ascii="Times New Roman Bold" w:eastAsia="Cambria" w:hAnsi="Times New Roman Bold" w:cs="Times New Roman"/>
                <w:b/>
                <w:bCs/>
                <w:spacing w:val="-2"/>
                <w:sz w:val="24"/>
                <w:szCs w:val="24"/>
                <w:lang w:val="vi-VN"/>
              </w:rPr>
              <w:t>đ</w:t>
            </w:r>
            <w:r w:rsidRPr="00A00A97">
              <w:rPr>
                <w:rFonts w:ascii="Times New Roman Bold" w:eastAsia="Cambria" w:hAnsi="Times New Roman Bold" w:cs="Times New Roman"/>
                <w:b/>
                <w:bCs/>
                <w:spacing w:val="-2"/>
                <w:sz w:val="24"/>
                <w:szCs w:val="24"/>
                <w:lang w:val="vi-VN"/>
              </w:rPr>
              <w:t>ánh giá hiệu quả hoạt động và xếp loại doanh nghiệp nhà nước là tổ chức tín dụng do Nhà nước nắm giữ 100% vốn điều lệ</w:t>
            </w:r>
          </w:p>
          <w:p w:rsidR="00602E69" w:rsidRPr="00FC245D" w:rsidRDefault="00602E69" w:rsidP="00D7544E">
            <w:pPr>
              <w:tabs>
                <w:tab w:val="left" w:pos="143"/>
              </w:tabs>
              <w:ind w:firstLine="284"/>
              <w:jc w:val="both"/>
              <w:rPr>
                <w:rFonts w:ascii="Times New Roman" w:eastAsia="Cambria" w:hAnsi="Times New Roman" w:cs="Times New Roman"/>
                <w:bCs/>
                <w:sz w:val="24"/>
                <w:szCs w:val="24"/>
                <w:lang w:val="vi-VN"/>
              </w:rPr>
            </w:pPr>
            <w:r w:rsidRPr="000D7B6F">
              <w:rPr>
                <w:rFonts w:ascii="Times New Roman" w:eastAsia="Cambria" w:hAnsi="Times New Roman" w:cs="Times New Roman"/>
                <w:bCs/>
                <w:sz w:val="24"/>
                <w:szCs w:val="24"/>
                <w:lang w:val="vi-VN"/>
              </w:rPr>
              <w:t xml:space="preserve">2. Ngân hàng Nhà nước Việt Nam chủ trì, phối hợp với Bộ Tài chính rà soát kế hoạch </w:t>
            </w:r>
            <w:r w:rsidRPr="00E82093">
              <w:rPr>
                <w:rFonts w:ascii="Times New Roman" w:eastAsia="Cambria" w:hAnsi="Times New Roman" w:cs="Times New Roman"/>
                <w:bCs/>
                <w:sz w:val="24"/>
                <w:szCs w:val="24"/>
                <w:lang w:val="vi-VN"/>
              </w:rPr>
              <w:t>tài chính</w:t>
            </w:r>
            <w:r w:rsidRPr="000D7B6F">
              <w:rPr>
                <w:rFonts w:ascii="Times New Roman" w:eastAsia="Cambria" w:hAnsi="Times New Roman" w:cs="Times New Roman"/>
                <w:bCs/>
                <w:sz w:val="24"/>
                <w:szCs w:val="24"/>
                <w:lang w:val="vi-VN"/>
              </w:rPr>
              <w:t xml:space="preserve"> </w:t>
            </w:r>
            <w:r w:rsidRPr="00E82093">
              <w:rPr>
                <w:rFonts w:ascii="Times New Roman" w:eastAsia="Cambria" w:hAnsi="Times New Roman" w:cs="Times New Roman"/>
                <w:bCs/>
                <w:sz w:val="24"/>
                <w:szCs w:val="24"/>
                <w:lang w:val="vi-VN"/>
              </w:rPr>
              <w:t>để</w:t>
            </w:r>
            <w:r w:rsidRPr="000D7B6F">
              <w:rPr>
                <w:rFonts w:ascii="Times New Roman" w:eastAsia="Cambria" w:hAnsi="Times New Roman" w:cs="Times New Roman"/>
                <w:bCs/>
                <w:sz w:val="24"/>
                <w:szCs w:val="24"/>
                <w:lang w:val="vi-VN"/>
              </w:rPr>
              <w:t xml:space="preserve"> giao các chỉ tiêu đánh giá, xếp loại cho tổ chức tín dụng do Nhà nước nắm giữ 100% vốn điều lệ phù hợp với đặc thù hoạt động kinh doanh của tổ chức tín dụng. Các chỉ tiêu này phải giao cho tổ chức tín dụng bằng văn bản trước ngày </w:t>
            </w:r>
            <w:r w:rsidRPr="000D7B6F">
              <w:rPr>
                <w:rFonts w:ascii="Times New Roman" w:eastAsia="Cambria" w:hAnsi="Times New Roman" w:cs="Times New Roman"/>
                <w:b/>
                <w:bCs/>
                <w:sz w:val="24"/>
                <w:szCs w:val="24"/>
                <w:lang w:val="vi-VN"/>
              </w:rPr>
              <w:t>31</w:t>
            </w:r>
            <w:r w:rsidRPr="000D7B6F">
              <w:rPr>
                <w:rFonts w:ascii="Times New Roman" w:eastAsia="Cambria" w:hAnsi="Times New Roman" w:cs="Times New Roman"/>
                <w:bCs/>
                <w:strike/>
                <w:sz w:val="24"/>
                <w:szCs w:val="24"/>
                <w:lang w:val="vi-VN"/>
              </w:rPr>
              <w:t>30</w:t>
            </w:r>
            <w:r w:rsidRPr="000D7B6F">
              <w:rPr>
                <w:rFonts w:ascii="Times New Roman" w:eastAsia="Cambria" w:hAnsi="Times New Roman" w:cs="Times New Roman"/>
                <w:bCs/>
                <w:sz w:val="24"/>
                <w:szCs w:val="24"/>
                <w:lang w:val="vi-VN"/>
              </w:rPr>
              <w:t xml:space="preserve"> tháng </w:t>
            </w:r>
            <w:r w:rsidRPr="000D7B6F">
              <w:rPr>
                <w:rFonts w:ascii="Times New Roman" w:eastAsia="Cambria" w:hAnsi="Times New Roman" w:cs="Times New Roman"/>
                <w:b/>
                <w:bCs/>
                <w:sz w:val="24"/>
                <w:szCs w:val="24"/>
                <w:lang w:val="vi-VN"/>
              </w:rPr>
              <w:t>3</w:t>
            </w:r>
            <w:r w:rsidRPr="000D7B6F">
              <w:rPr>
                <w:rFonts w:ascii="Times New Roman" w:eastAsia="Cambria" w:hAnsi="Times New Roman" w:cs="Times New Roman"/>
                <w:bCs/>
                <w:strike/>
                <w:sz w:val="24"/>
                <w:szCs w:val="24"/>
                <w:lang w:val="vi-VN"/>
              </w:rPr>
              <w:t>4</w:t>
            </w:r>
            <w:r w:rsidRPr="000D7B6F">
              <w:rPr>
                <w:rFonts w:ascii="Times New Roman" w:eastAsia="Cambria" w:hAnsi="Times New Roman" w:cs="Times New Roman"/>
                <w:bCs/>
                <w:sz w:val="24"/>
                <w:szCs w:val="24"/>
                <w:lang w:val="vi-VN"/>
              </w:rPr>
              <w:t xml:space="preserve"> của năm kế hoạch và không được điều chỉnh trong suốt kỳ thực hiện kế hoạch, trừ các trường hợp bất khả kháng.</w:t>
            </w:r>
          </w:p>
          <w:p w:rsidR="00602E69" w:rsidRPr="008D1E02" w:rsidRDefault="00602E69" w:rsidP="00D7544E">
            <w:pPr>
              <w:tabs>
                <w:tab w:val="left" w:pos="143"/>
              </w:tabs>
              <w:ind w:firstLine="284"/>
              <w:jc w:val="both"/>
              <w:rPr>
                <w:rFonts w:ascii="Times New Roman" w:eastAsia="Cambria" w:hAnsi="Times New Roman" w:cs="Times New Roman"/>
                <w:b/>
                <w:bCs/>
                <w:sz w:val="24"/>
                <w:szCs w:val="24"/>
                <w:lang w:val="vi-VN"/>
              </w:rPr>
            </w:pPr>
          </w:p>
        </w:tc>
        <w:tc>
          <w:tcPr>
            <w:tcW w:w="1430" w:type="pct"/>
          </w:tcPr>
          <w:p w:rsidR="00602E69" w:rsidRPr="003B4469" w:rsidRDefault="00602E69" w:rsidP="003B4469">
            <w:pPr>
              <w:tabs>
                <w:tab w:val="left" w:pos="143"/>
              </w:tabs>
              <w:ind w:firstLine="284"/>
              <w:jc w:val="both"/>
              <w:rPr>
                <w:rFonts w:ascii="Times New Roman" w:eastAsia="Cambria" w:hAnsi="Times New Roman" w:cs="Times New Roman"/>
                <w:bCs/>
                <w:sz w:val="24"/>
                <w:szCs w:val="24"/>
                <w:lang w:val="vi-VN"/>
              </w:rPr>
            </w:pPr>
            <w:r w:rsidRPr="000D7B6F">
              <w:rPr>
                <w:rFonts w:ascii="Times New Roman" w:eastAsia="Cambria" w:hAnsi="Times New Roman" w:cs="Times New Roman"/>
                <w:bCs/>
                <w:sz w:val="24"/>
                <w:szCs w:val="24"/>
                <w:lang w:val="vi-VN"/>
              </w:rPr>
              <w:t>Sửa lạ</w:t>
            </w:r>
            <w:r>
              <w:rPr>
                <w:rFonts w:ascii="Times New Roman" w:eastAsia="Cambria" w:hAnsi="Times New Roman" w:cs="Times New Roman"/>
                <w:bCs/>
                <w:sz w:val="24"/>
                <w:szCs w:val="24"/>
                <w:lang w:val="vi-VN"/>
              </w:rPr>
              <w:t>i</w:t>
            </w:r>
            <w:r w:rsidRPr="00AE019F">
              <w:rPr>
                <w:rFonts w:ascii="Times New Roman" w:eastAsia="Cambria" w:hAnsi="Times New Roman" w:cs="Times New Roman"/>
                <w:bCs/>
                <w:sz w:val="24"/>
                <w:szCs w:val="24"/>
                <w:lang w:val="vi-VN"/>
              </w:rPr>
              <w:t xml:space="preserve"> thời hạn giao </w:t>
            </w:r>
            <w:r w:rsidRPr="000D7B6F">
              <w:rPr>
                <w:rFonts w:ascii="Times New Roman" w:eastAsia="Cambria" w:hAnsi="Times New Roman" w:cs="Times New Roman"/>
                <w:bCs/>
                <w:sz w:val="24"/>
                <w:szCs w:val="24"/>
                <w:lang w:val="vi-VN"/>
              </w:rPr>
              <w:t>chỉ tiêu đánh giá, xếp loại cho phù hợp</w:t>
            </w:r>
            <w:r w:rsidRPr="00AE019F">
              <w:rPr>
                <w:rFonts w:ascii="Times New Roman" w:eastAsia="Cambria" w:hAnsi="Times New Roman" w:cs="Times New Roman"/>
                <w:bCs/>
                <w:sz w:val="24"/>
                <w:szCs w:val="24"/>
                <w:lang w:val="vi-VN"/>
              </w:rPr>
              <w:t xml:space="preserve"> với </w:t>
            </w:r>
            <w:r w:rsidRPr="00A118A2">
              <w:rPr>
                <w:rFonts w:ascii="Times New Roman" w:eastAsia="Cambria" w:hAnsi="Times New Roman" w:cs="Times New Roman"/>
                <w:bCs/>
                <w:sz w:val="24"/>
                <w:szCs w:val="24"/>
                <w:lang w:val="vi-VN"/>
              </w:rPr>
              <w:t>khoản 2 Điều 50 Luật 68</w:t>
            </w:r>
            <w:r w:rsidRPr="003B4469">
              <w:rPr>
                <w:rFonts w:ascii="Times New Roman" w:eastAsia="Cambria" w:hAnsi="Times New Roman" w:cs="Times New Roman"/>
                <w:bCs/>
                <w:sz w:val="24"/>
                <w:szCs w:val="24"/>
                <w:lang w:val="vi-VN"/>
              </w:rPr>
              <w:t>.</w:t>
            </w:r>
          </w:p>
          <w:p w:rsidR="00602E69" w:rsidRPr="00A118A2" w:rsidRDefault="00602E69" w:rsidP="003B0CD7">
            <w:pPr>
              <w:tabs>
                <w:tab w:val="left" w:pos="143"/>
              </w:tabs>
              <w:ind w:firstLine="314"/>
              <w:jc w:val="both"/>
              <w:rPr>
                <w:rFonts w:ascii="Times New Roman" w:eastAsia="Cambria" w:hAnsi="Times New Roman" w:cs="Times New Roman"/>
                <w:bCs/>
                <w:sz w:val="24"/>
                <w:szCs w:val="24"/>
                <w:lang w:val="vi-VN"/>
              </w:rPr>
            </w:pPr>
          </w:p>
        </w:tc>
      </w:tr>
      <w:tr w:rsidR="00602E69" w:rsidRPr="008A118E" w:rsidTr="001551D6">
        <w:trPr>
          <w:trHeight w:val="296"/>
        </w:trPr>
        <w:tc>
          <w:tcPr>
            <w:tcW w:w="1757" w:type="pct"/>
          </w:tcPr>
          <w:p w:rsidR="00602E69" w:rsidRPr="00602E69" w:rsidRDefault="00602E69" w:rsidP="00D7544E">
            <w:pPr>
              <w:tabs>
                <w:tab w:val="left" w:pos="143"/>
              </w:tabs>
              <w:ind w:firstLine="284"/>
              <w:jc w:val="both"/>
              <w:rPr>
                <w:rFonts w:ascii="Times New Roman" w:eastAsia="Cambria" w:hAnsi="Times New Roman" w:cs="Times New Roman"/>
                <w:b/>
                <w:bCs/>
                <w:sz w:val="24"/>
                <w:szCs w:val="24"/>
                <w:lang w:val="vi-VN"/>
              </w:rPr>
            </w:pPr>
            <w:r w:rsidRPr="00A118A2">
              <w:rPr>
                <w:rFonts w:ascii="Times New Roman" w:eastAsia="Cambria" w:hAnsi="Times New Roman" w:cs="Times New Roman"/>
                <w:b/>
                <w:bCs/>
                <w:sz w:val="24"/>
                <w:szCs w:val="24"/>
                <w:lang w:val="vi-VN"/>
              </w:rPr>
              <w:t>Khoản 2 Điều 33</w:t>
            </w:r>
            <w:r w:rsidRPr="00602E69">
              <w:rPr>
                <w:rFonts w:ascii="Times New Roman" w:eastAsia="Cambria" w:hAnsi="Times New Roman" w:cs="Times New Roman"/>
                <w:b/>
                <w:bCs/>
                <w:sz w:val="24"/>
                <w:szCs w:val="24"/>
                <w:lang w:val="vi-VN"/>
              </w:rPr>
              <w:t xml:space="preserve"> về đ</w:t>
            </w:r>
            <w:r w:rsidRPr="00A118A2">
              <w:rPr>
                <w:rFonts w:ascii="Times New Roman" w:eastAsia="Cambria" w:hAnsi="Times New Roman" w:cs="Times New Roman"/>
                <w:b/>
                <w:bCs/>
                <w:sz w:val="24"/>
                <w:szCs w:val="24"/>
                <w:lang w:val="vi-VN"/>
              </w:rPr>
              <w:t>ánh giá hiệu quả đầu tư vốn nhà nước tại doanh nghiệp là tổ chức tín dụng do Nhà nước nắm giữ trên 50% đến dưới 100% vốn điều lệ</w:t>
            </w:r>
          </w:p>
          <w:p w:rsidR="00602E69" w:rsidRPr="00FC245D" w:rsidRDefault="00602E69" w:rsidP="00A118A2">
            <w:pPr>
              <w:tabs>
                <w:tab w:val="left" w:pos="143"/>
              </w:tabs>
              <w:ind w:firstLine="284"/>
              <w:jc w:val="both"/>
              <w:rPr>
                <w:rFonts w:ascii="Times New Roman" w:eastAsia="Cambria" w:hAnsi="Times New Roman" w:cs="Times New Roman"/>
                <w:bCs/>
                <w:sz w:val="24"/>
                <w:szCs w:val="24"/>
                <w:lang w:val="vi-VN"/>
              </w:rPr>
            </w:pPr>
            <w:r w:rsidRPr="00A82910">
              <w:rPr>
                <w:rFonts w:ascii="Times New Roman" w:eastAsia="Cambria" w:hAnsi="Times New Roman" w:cs="Times New Roman"/>
                <w:bCs/>
                <w:sz w:val="24"/>
                <w:szCs w:val="24"/>
                <w:lang w:val="vi-VN"/>
              </w:rPr>
              <w:lastRenderedPageBreak/>
              <w:t xml:space="preserve">2. Trước khi tổ chức tín dụng tổ chức họp Đại hội đồng cổ đông, Ngân hàng Nhà nước Việt Nam chủ trì, phối hợp với Bộ Tài chính rà soát kế hoạch tài chính để xác định các chỉ tiêu đánh giá đối với tổ chức tín dụng do Nhà nước nắm giữ trên 50% đến dưới 100% vốn điều lệ để giao nhiệm vụ cho người đại diện vốn nhà nước tại tổ chức tín dụng bằng văn bản trước ngày 30 tháng 4 của năm kế hoạch. Các chỉ tiêu đánh giá không được điều chỉnh trong suốt kỳ thực hiện kế hoạch, trừ các trường hợp bất khả kháng. </w:t>
            </w:r>
          </w:p>
        </w:tc>
        <w:tc>
          <w:tcPr>
            <w:tcW w:w="1813" w:type="pct"/>
          </w:tcPr>
          <w:p w:rsidR="00602E69" w:rsidRPr="00602E69" w:rsidRDefault="00602E69" w:rsidP="00D7544E">
            <w:pPr>
              <w:tabs>
                <w:tab w:val="left" w:pos="143"/>
              </w:tabs>
              <w:ind w:firstLine="284"/>
              <w:jc w:val="both"/>
              <w:rPr>
                <w:rFonts w:ascii="Times New Roman" w:eastAsia="Cambria" w:hAnsi="Times New Roman" w:cs="Times New Roman"/>
                <w:bCs/>
                <w:sz w:val="24"/>
                <w:szCs w:val="24"/>
                <w:lang w:val="vi-VN"/>
              </w:rPr>
            </w:pPr>
            <w:r w:rsidRPr="00A118A2">
              <w:rPr>
                <w:rFonts w:ascii="Times New Roman" w:eastAsia="Cambria" w:hAnsi="Times New Roman" w:cs="Times New Roman"/>
                <w:b/>
                <w:bCs/>
                <w:sz w:val="24"/>
                <w:szCs w:val="24"/>
                <w:lang w:val="vi-VN"/>
              </w:rPr>
              <w:lastRenderedPageBreak/>
              <w:t>K</w:t>
            </w:r>
            <w:r>
              <w:rPr>
                <w:rFonts w:ascii="Times New Roman" w:eastAsia="Cambria" w:hAnsi="Times New Roman" w:cs="Times New Roman"/>
                <w:b/>
                <w:bCs/>
                <w:sz w:val="24"/>
                <w:szCs w:val="24"/>
                <w:lang w:val="vi-VN"/>
              </w:rPr>
              <w:t>hoản 2</w:t>
            </w:r>
            <w:r w:rsidRPr="002F3F6D">
              <w:rPr>
                <w:rFonts w:ascii="Times New Roman" w:eastAsia="Cambria" w:hAnsi="Times New Roman" w:cs="Times New Roman"/>
                <w:b/>
                <w:bCs/>
                <w:sz w:val="24"/>
                <w:szCs w:val="24"/>
                <w:lang w:val="vi-VN"/>
              </w:rPr>
              <w:t xml:space="preserve"> </w:t>
            </w:r>
            <w:r>
              <w:rPr>
                <w:rFonts w:ascii="Times New Roman" w:eastAsia="Cambria" w:hAnsi="Times New Roman" w:cs="Times New Roman"/>
                <w:b/>
                <w:bCs/>
                <w:sz w:val="24"/>
                <w:szCs w:val="24"/>
                <w:lang w:val="vi-VN"/>
              </w:rPr>
              <w:t>Điều 33</w:t>
            </w:r>
            <w:r w:rsidRPr="00602E69">
              <w:rPr>
                <w:rFonts w:ascii="Times New Roman" w:eastAsia="Cambria" w:hAnsi="Times New Roman" w:cs="Times New Roman"/>
                <w:b/>
                <w:bCs/>
                <w:sz w:val="24"/>
                <w:szCs w:val="24"/>
                <w:lang w:val="vi-VN"/>
              </w:rPr>
              <w:t xml:space="preserve"> về đ</w:t>
            </w:r>
            <w:r w:rsidRPr="00A118A2">
              <w:rPr>
                <w:rFonts w:ascii="Times New Roman" w:eastAsia="Cambria" w:hAnsi="Times New Roman" w:cs="Times New Roman"/>
                <w:b/>
                <w:bCs/>
                <w:sz w:val="24"/>
                <w:szCs w:val="24"/>
                <w:lang w:val="vi-VN"/>
              </w:rPr>
              <w:t>ánh giá hiệu quả đầu tư vốn nhà nước tại doanh nghiệp là tổ chức tín dụng do Nhà nước nắm giữ trên 50% đến dưới 100% vốn điều lệ</w:t>
            </w:r>
          </w:p>
          <w:p w:rsidR="00602E69" w:rsidRPr="00A118A2" w:rsidRDefault="00602E69" w:rsidP="00A118A2">
            <w:pPr>
              <w:tabs>
                <w:tab w:val="left" w:pos="143"/>
              </w:tabs>
              <w:ind w:firstLine="284"/>
              <w:jc w:val="both"/>
              <w:rPr>
                <w:rFonts w:ascii="Times New Roman" w:eastAsia="Cambria" w:hAnsi="Times New Roman" w:cs="Times New Roman"/>
                <w:bCs/>
                <w:spacing w:val="-2"/>
                <w:sz w:val="24"/>
                <w:szCs w:val="24"/>
                <w:lang w:val="vi-VN"/>
              </w:rPr>
            </w:pPr>
            <w:bookmarkStart w:id="5" w:name="_Hlk207230344"/>
            <w:r w:rsidRPr="00A118A2">
              <w:rPr>
                <w:rFonts w:ascii="Times New Roman" w:eastAsia="Cambria" w:hAnsi="Times New Roman" w:cs="Times New Roman"/>
                <w:bCs/>
                <w:spacing w:val="-2"/>
                <w:sz w:val="24"/>
                <w:szCs w:val="24"/>
                <w:lang w:val="vi-VN"/>
              </w:rPr>
              <w:lastRenderedPageBreak/>
              <w:t xml:space="preserve">2. Trước khi tổ chức tín dụng tổ chức họp Đại hội đồng cổ đông, Ngân hàng Nhà nước Việt Nam chủ trì, phối hợp với Bộ Tài chính rà soát kế hoạch tài chính để xác định các chỉ tiêu đánh giá đối với tổ chức tín dụng do Nhà nước nắm giữ trên 50% đến dưới 100% vốn điều lệ để giao nhiệm vụ cho người đại diện vốn nhà nước tại tổ chức tín dụng bằng văn bản trước ngày </w:t>
            </w:r>
            <w:r w:rsidRPr="00A118A2">
              <w:rPr>
                <w:rFonts w:ascii="Times New Roman" w:eastAsia="Cambria" w:hAnsi="Times New Roman" w:cs="Times New Roman"/>
                <w:b/>
                <w:bCs/>
                <w:spacing w:val="-2"/>
                <w:sz w:val="24"/>
                <w:szCs w:val="24"/>
                <w:lang w:val="vi-VN"/>
              </w:rPr>
              <w:t>31</w:t>
            </w:r>
            <w:r w:rsidRPr="00A118A2">
              <w:rPr>
                <w:rFonts w:ascii="Times New Roman" w:eastAsia="Cambria" w:hAnsi="Times New Roman" w:cs="Times New Roman"/>
                <w:bCs/>
                <w:strike/>
                <w:spacing w:val="-2"/>
                <w:sz w:val="24"/>
                <w:szCs w:val="24"/>
                <w:lang w:val="vi-VN"/>
              </w:rPr>
              <w:t>30</w:t>
            </w:r>
            <w:r w:rsidRPr="00A118A2">
              <w:rPr>
                <w:rFonts w:ascii="Times New Roman" w:eastAsia="Cambria" w:hAnsi="Times New Roman" w:cs="Times New Roman"/>
                <w:bCs/>
                <w:spacing w:val="-2"/>
                <w:sz w:val="24"/>
                <w:szCs w:val="24"/>
                <w:lang w:val="vi-VN"/>
              </w:rPr>
              <w:t xml:space="preserve"> tháng </w:t>
            </w:r>
            <w:r w:rsidRPr="00A118A2">
              <w:rPr>
                <w:rFonts w:ascii="Times New Roman" w:eastAsia="Cambria" w:hAnsi="Times New Roman" w:cs="Times New Roman"/>
                <w:b/>
                <w:bCs/>
                <w:spacing w:val="-2"/>
                <w:sz w:val="24"/>
                <w:szCs w:val="24"/>
                <w:lang w:val="vi-VN"/>
              </w:rPr>
              <w:t>3</w:t>
            </w:r>
            <w:r w:rsidRPr="00A118A2">
              <w:rPr>
                <w:rFonts w:ascii="Times New Roman" w:eastAsia="Cambria" w:hAnsi="Times New Roman" w:cs="Times New Roman"/>
                <w:bCs/>
                <w:strike/>
                <w:spacing w:val="-2"/>
                <w:sz w:val="24"/>
                <w:szCs w:val="24"/>
                <w:lang w:val="vi-VN"/>
              </w:rPr>
              <w:t>4</w:t>
            </w:r>
            <w:r w:rsidRPr="00A118A2">
              <w:rPr>
                <w:rFonts w:ascii="Times New Roman" w:eastAsia="Cambria" w:hAnsi="Times New Roman" w:cs="Times New Roman"/>
                <w:bCs/>
                <w:spacing w:val="-2"/>
                <w:sz w:val="24"/>
                <w:szCs w:val="24"/>
                <w:lang w:val="vi-VN"/>
              </w:rPr>
              <w:t xml:space="preserve"> của năm kế hoạch. Các chỉ tiêu đánh giá không được điều chỉnh trong suốt kỳ thực hiện kế hoạch, trừ các trường hợp bất khả kháng.</w:t>
            </w:r>
            <w:bookmarkEnd w:id="5"/>
          </w:p>
        </w:tc>
        <w:tc>
          <w:tcPr>
            <w:tcW w:w="1430" w:type="pct"/>
          </w:tcPr>
          <w:p w:rsidR="00602E69" w:rsidRPr="008D1E02" w:rsidRDefault="00602E69" w:rsidP="001A3D21">
            <w:pPr>
              <w:tabs>
                <w:tab w:val="left" w:pos="143"/>
              </w:tabs>
              <w:ind w:firstLine="314"/>
              <w:jc w:val="both"/>
              <w:rPr>
                <w:rFonts w:ascii="Times New Roman" w:eastAsia="Cambria" w:hAnsi="Times New Roman" w:cs="Times New Roman"/>
                <w:bCs/>
                <w:sz w:val="24"/>
                <w:szCs w:val="24"/>
                <w:lang w:val="vi-VN"/>
              </w:rPr>
            </w:pPr>
            <w:r w:rsidRPr="00283810">
              <w:rPr>
                <w:rFonts w:ascii="Times New Roman" w:eastAsia="Cambria" w:hAnsi="Times New Roman" w:cs="Times New Roman"/>
                <w:bCs/>
                <w:sz w:val="24"/>
                <w:szCs w:val="24"/>
                <w:lang w:val="vi-VN"/>
              </w:rPr>
              <w:lastRenderedPageBreak/>
              <w:t xml:space="preserve">Sửa lại thời hạn giao </w:t>
            </w:r>
            <w:r w:rsidRPr="000D7B6F">
              <w:rPr>
                <w:rFonts w:ascii="Times New Roman" w:eastAsia="Cambria" w:hAnsi="Times New Roman" w:cs="Times New Roman"/>
                <w:bCs/>
                <w:sz w:val="24"/>
                <w:szCs w:val="24"/>
                <w:lang w:val="vi-VN"/>
              </w:rPr>
              <w:t xml:space="preserve">chỉ tiêu đánh giá, xếp loại </w:t>
            </w:r>
            <w:r w:rsidRPr="00283810">
              <w:rPr>
                <w:rFonts w:ascii="Times New Roman" w:eastAsia="Cambria" w:hAnsi="Times New Roman" w:cs="Times New Roman"/>
                <w:bCs/>
                <w:sz w:val="24"/>
                <w:szCs w:val="24"/>
                <w:lang w:val="vi-VN"/>
              </w:rPr>
              <w:t xml:space="preserve">cho phù hợp với </w:t>
            </w:r>
            <w:r w:rsidRPr="00A118A2">
              <w:rPr>
                <w:rFonts w:ascii="Times New Roman" w:eastAsia="Cambria" w:hAnsi="Times New Roman" w:cs="Times New Roman"/>
                <w:bCs/>
                <w:sz w:val="24"/>
                <w:szCs w:val="24"/>
                <w:lang w:val="vi-VN"/>
              </w:rPr>
              <w:t>khoản 2 Điều 50 Luật 68.</w:t>
            </w:r>
          </w:p>
        </w:tc>
      </w:tr>
      <w:tr w:rsidR="00602E69" w:rsidRPr="008A118E" w:rsidTr="001551D6">
        <w:trPr>
          <w:trHeight w:val="296"/>
        </w:trPr>
        <w:tc>
          <w:tcPr>
            <w:tcW w:w="1757" w:type="pct"/>
          </w:tcPr>
          <w:p w:rsidR="00602E69" w:rsidRPr="00602E69" w:rsidRDefault="00602E69" w:rsidP="00D7544E">
            <w:pPr>
              <w:tabs>
                <w:tab w:val="left" w:pos="143"/>
              </w:tabs>
              <w:ind w:firstLine="284"/>
              <w:jc w:val="both"/>
              <w:rPr>
                <w:rFonts w:ascii="Times New Roman" w:eastAsia="Cambria" w:hAnsi="Times New Roman" w:cs="Times New Roman"/>
                <w:b/>
                <w:bCs/>
                <w:sz w:val="24"/>
                <w:szCs w:val="24"/>
                <w:lang w:val="vi-VN"/>
              </w:rPr>
            </w:pPr>
            <w:r w:rsidRPr="00A118A2">
              <w:rPr>
                <w:rFonts w:ascii="Times New Roman" w:eastAsia="Cambria" w:hAnsi="Times New Roman" w:cs="Times New Roman"/>
                <w:b/>
                <w:bCs/>
                <w:sz w:val="24"/>
                <w:szCs w:val="24"/>
                <w:lang w:val="vi-VN"/>
              </w:rPr>
              <w:lastRenderedPageBreak/>
              <w:t>Khoản 2 Điều 34</w:t>
            </w:r>
            <w:r w:rsidRPr="00602E69">
              <w:rPr>
                <w:rFonts w:ascii="Times New Roman" w:eastAsia="Cambria" w:hAnsi="Times New Roman" w:cs="Times New Roman"/>
                <w:b/>
                <w:bCs/>
                <w:sz w:val="24"/>
                <w:szCs w:val="24"/>
                <w:lang w:val="vi-VN"/>
              </w:rPr>
              <w:t xml:space="preserve"> về đ</w:t>
            </w:r>
            <w:r w:rsidRPr="00A118A2">
              <w:rPr>
                <w:rFonts w:ascii="Times New Roman" w:eastAsia="Cambria" w:hAnsi="Times New Roman" w:cs="Times New Roman"/>
                <w:b/>
                <w:bCs/>
                <w:sz w:val="24"/>
                <w:szCs w:val="24"/>
                <w:lang w:val="vi-VN"/>
              </w:rPr>
              <w:t>ánh giá hiệu quả hoạt động ngân hàng hợp tác xã</w:t>
            </w:r>
          </w:p>
          <w:p w:rsidR="00602E69" w:rsidRPr="00D65704" w:rsidRDefault="00602E69" w:rsidP="00A118A2">
            <w:pPr>
              <w:tabs>
                <w:tab w:val="left" w:pos="143"/>
              </w:tabs>
              <w:ind w:firstLine="284"/>
              <w:jc w:val="both"/>
              <w:rPr>
                <w:rFonts w:ascii="Times New Roman" w:eastAsia="Cambria" w:hAnsi="Times New Roman" w:cs="Times New Roman"/>
                <w:bCs/>
                <w:spacing w:val="2"/>
                <w:sz w:val="24"/>
                <w:szCs w:val="24"/>
                <w:lang w:val="vi-VN"/>
              </w:rPr>
            </w:pPr>
            <w:r w:rsidRPr="00D65704">
              <w:rPr>
                <w:rFonts w:ascii="Times New Roman" w:eastAsia="Cambria" w:hAnsi="Times New Roman" w:cs="Times New Roman"/>
                <w:bCs/>
                <w:spacing w:val="2"/>
                <w:sz w:val="24"/>
                <w:szCs w:val="24"/>
                <w:lang w:val="vi-VN"/>
              </w:rPr>
              <w:t>2. Trước khi ngân hàng hợp tác xã tổ chức họp Đại hội thành viên, Ngân hàng Nhà nước Việt Nam chủ trì, phối hợp với Bộ Tài chính rà soát kế hoạch tài chính để xác định các chỉ tiêu đánh giá đối với ngân hàng hợp tác xã để giao nhiệm vụ cho người đại diện phần vốn hỗ trợ của Nhà nước tại Ngân hàng Hợp tác xã bằng văn bản trước ngày 30 tháng 4 của năm kế hoạch. Các chỉ tiêu đánh giá không được điều chỉnh trong suốt kỳ thực hiện kế hoạch, trừ các trường hợp bất khả kháng.</w:t>
            </w:r>
          </w:p>
        </w:tc>
        <w:tc>
          <w:tcPr>
            <w:tcW w:w="1813" w:type="pct"/>
          </w:tcPr>
          <w:p w:rsidR="00602E69" w:rsidRPr="00602E69" w:rsidRDefault="00602E69" w:rsidP="00A118A2">
            <w:pPr>
              <w:tabs>
                <w:tab w:val="left" w:pos="143"/>
              </w:tabs>
              <w:ind w:firstLine="284"/>
              <w:jc w:val="both"/>
              <w:rPr>
                <w:rFonts w:ascii="Times New Roman" w:eastAsia="Cambria" w:hAnsi="Times New Roman" w:cs="Times New Roman"/>
                <w:b/>
                <w:bCs/>
                <w:sz w:val="24"/>
                <w:szCs w:val="24"/>
                <w:lang w:val="vi-VN"/>
              </w:rPr>
            </w:pPr>
            <w:r w:rsidRPr="00A118A2">
              <w:rPr>
                <w:rFonts w:ascii="Times New Roman" w:eastAsia="Cambria" w:hAnsi="Times New Roman" w:cs="Times New Roman"/>
                <w:b/>
                <w:bCs/>
                <w:sz w:val="24"/>
                <w:szCs w:val="24"/>
                <w:lang w:val="vi-VN"/>
              </w:rPr>
              <w:t>Khoản 2 Điều 34</w:t>
            </w:r>
            <w:r w:rsidRPr="00602E69">
              <w:rPr>
                <w:rFonts w:ascii="Times New Roman" w:eastAsia="Cambria" w:hAnsi="Times New Roman" w:cs="Times New Roman"/>
                <w:b/>
                <w:bCs/>
                <w:sz w:val="24"/>
                <w:szCs w:val="24"/>
                <w:lang w:val="vi-VN"/>
              </w:rPr>
              <w:t xml:space="preserve"> về đ</w:t>
            </w:r>
            <w:r w:rsidRPr="00A118A2">
              <w:rPr>
                <w:rFonts w:ascii="Times New Roman" w:eastAsia="Cambria" w:hAnsi="Times New Roman" w:cs="Times New Roman"/>
                <w:b/>
                <w:bCs/>
                <w:sz w:val="24"/>
                <w:szCs w:val="24"/>
                <w:lang w:val="vi-VN"/>
              </w:rPr>
              <w:t>ánh giá hiệu quả hoạt động ngân hàng hợp tác xã</w:t>
            </w:r>
          </w:p>
          <w:p w:rsidR="00602E69" w:rsidRPr="00D65704" w:rsidRDefault="00602E69" w:rsidP="00A118A2">
            <w:pPr>
              <w:tabs>
                <w:tab w:val="left" w:pos="143"/>
              </w:tabs>
              <w:ind w:firstLine="284"/>
              <w:jc w:val="both"/>
              <w:rPr>
                <w:rFonts w:ascii="Times New Roman" w:eastAsia="Cambria" w:hAnsi="Times New Roman" w:cs="Times New Roman"/>
                <w:bCs/>
                <w:spacing w:val="2"/>
                <w:sz w:val="24"/>
                <w:szCs w:val="24"/>
                <w:lang w:val="vi-VN"/>
              </w:rPr>
            </w:pPr>
            <w:bookmarkStart w:id="6" w:name="_Hlk207230438"/>
            <w:r w:rsidRPr="00D65704">
              <w:rPr>
                <w:rFonts w:ascii="Times New Roman" w:eastAsia="Cambria" w:hAnsi="Times New Roman" w:cs="Times New Roman"/>
                <w:bCs/>
                <w:spacing w:val="2"/>
                <w:sz w:val="24"/>
                <w:szCs w:val="24"/>
                <w:lang w:val="vi-VN"/>
              </w:rPr>
              <w:t xml:space="preserve">2. Trước khi ngân hàng hợp tác xã tổ chức họp Đại hội thành viên, Ngân hàng Nhà nước Việt Nam chủ trì, phối hợp với Bộ Tài chính rà soát kế hoạch tài chính để xác định các chỉ tiêu đánh giá đối với ngân hàng hợp tác xã để giao nhiệm vụ cho người đại diện phần vốn hỗ trợ của Nhà nước tại Ngân hàng Hợp tác xã bằng văn bản trước ngày </w:t>
            </w:r>
            <w:r w:rsidRPr="00D65704">
              <w:rPr>
                <w:rFonts w:ascii="Times New Roman" w:eastAsia="Cambria" w:hAnsi="Times New Roman" w:cs="Times New Roman"/>
                <w:b/>
                <w:bCs/>
                <w:spacing w:val="2"/>
                <w:sz w:val="24"/>
                <w:szCs w:val="24"/>
                <w:lang w:val="vi-VN"/>
              </w:rPr>
              <w:t>31</w:t>
            </w:r>
            <w:r w:rsidRPr="00D65704">
              <w:rPr>
                <w:rFonts w:ascii="Times New Roman" w:eastAsia="Cambria" w:hAnsi="Times New Roman" w:cs="Times New Roman"/>
                <w:bCs/>
                <w:strike/>
                <w:spacing w:val="2"/>
                <w:sz w:val="24"/>
                <w:szCs w:val="24"/>
                <w:lang w:val="vi-VN"/>
              </w:rPr>
              <w:t>30</w:t>
            </w:r>
            <w:r w:rsidRPr="00D65704">
              <w:rPr>
                <w:rFonts w:ascii="Times New Roman" w:eastAsia="Cambria" w:hAnsi="Times New Roman" w:cs="Times New Roman"/>
                <w:bCs/>
                <w:spacing w:val="2"/>
                <w:sz w:val="24"/>
                <w:szCs w:val="24"/>
                <w:lang w:val="vi-VN"/>
              </w:rPr>
              <w:t xml:space="preserve"> tháng </w:t>
            </w:r>
            <w:r w:rsidRPr="00D65704">
              <w:rPr>
                <w:rFonts w:ascii="Times New Roman" w:eastAsia="Cambria" w:hAnsi="Times New Roman" w:cs="Times New Roman"/>
                <w:b/>
                <w:bCs/>
                <w:spacing w:val="2"/>
                <w:sz w:val="24"/>
                <w:szCs w:val="24"/>
                <w:lang w:val="vi-VN"/>
              </w:rPr>
              <w:t>3</w:t>
            </w:r>
            <w:r w:rsidRPr="00D65704">
              <w:rPr>
                <w:rFonts w:ascii="Times New Roman" w:eastAsia="Cambria" w:hAnsi="Times New Roman" w:cs="Times New Roman"/>
                <w:bCs/>
                <w:strike/>
                <w:spacing w:val="2"/>
                <w:sz w:val="24"/>
                <w:szCs w:val="24"/>
                <w:lang w:val="vi-VN"/>
              </w:rPr>
              <w:t>4</w:t>
            </w:r>
            <w:r w:rsidRPr="00D65704">
              <w:rPr>
                <w:rFonts w:ascii="Times New Roman" w:eastAsia="Cambria" w:hAnsi="Times New Roman" w:cs="Times New Roman"/>
                <w:bCs/>
                <w:spacing w:val="2"/>
                <w:sz w:val="24"/>
                <w:szCs w:val="24"/>
                <w:lang w:val="vi-VN"/>
              </w:rPr>
              <w:t xml:space="preserve"> của năm kế hoạch. Các chỉ tiêu đánh giá không được điều chỉnh trong suốt kỳ thực hiện kế hoạch, trừ các trường hợp bất khả kháng.</w:t>
            </w:r>
            <w:bookmarkEnd w:id="6"/>
          </w:p>
        </w:tc>
        <w:tc>
          <w:tcPr>
            <w:tcW w:w="1430" w:type="pct"/>
          </w:tcPr>
          <w:p w:rsidR="00602E69" w:rsidRPr="008D1E02" w:rsidRDefault="00602E69" w:rsidP="001A3D21">
            <w:pPr>
              <w:tabs>
                <w:tab w:val="left" w:pos="143"/>
              </w:tabs>
              <w:ind w:firstLine="314"/>
              <w:jc w:val="both"/>
              <w:rPr>
                <w:rFonts w:ascii="Times New Roman" w:eastAsia="Cambria" w:hAnsi="Times New Roman" w:cs="Times New Roman"/>
                <w:bCs/>
                <w:sz w:val="24"/>
                <w:szCs w:val="24"/>
                <w:lang w:val="vi-VN"/>
              </w:rPr>
            </w:pPr>
            <w:r w:rsidRPr="00283810">
              <w:rPr>
                <w:rFonts w:ascii="Times New Roman" w:eastAsia="Cambria" w:hAnsi="Times New Roman" w:cs="Times New Roman"/>
                <w:bCs/>
                <w:sz w:val="24"/>
                <w:szCs w:val="24"/>
                <w:lang w:val="vi-VN"/>
              </w:rPr>
              <w:t xml:space="preserve">Sửa lại thời hạn giao </w:t>
            </w:r>
            <w:r w:rsidRPr="000D7B6F">
              <w:rPr>
                <w:rFonts w:ascii="Times New Roman" w:eastAsia="Cambria" w:hAnsi="Times New Roman" w:cs="Times New Roman"/>
                <w:bCs/>
                <w:sz w:val="24"/>
                <w:szCs w:val="24"/>
                <w:lang w:val="vi-VN"/>
              </w:rPr>
              <w:t xml:space="preserve">chỉ tiêu đánh giá, xếp loại </w:t>
            </w:r>
            <w:r w:rsidRPr="00283810">
              <w:rPr>
                <w:rFonts w:ascii="Times New Roman" w:eastAsia="Cambria" w:hAnsi="Times New Roman" w:cs="Times New Roman"/>
                <w:bCs/>
                <w:sz w:val="24"/>
                <w:szCs w:val="24"/>
                <w:lang w:val="vi-VN"/>
              </w:rPr>
              <w:t xml:space="preserve">cho phù hợp với </w:t>
            </w:r>
            <w:r w:rsidRPr="00A118A2">
              <w:rPr>
                <w:rFonts w:ascii="Times New Roman" w:eastAsia="Cambria" w:hAnsi="Times New Roman" w:cs="Times New Roman"/>
                <w:bCs/>
                <w:sz w:val="24"/>
                <w:szCs w:val="24"/>
                <w:lang w:val="vi-VN"/>
              </w:rPr>
              <w:t>khoản 2 Điều 50 Luật 68</w:t>
            </w:r>
            <w:r w:rsidRPr="00283810">
              <w:rPr>
                <w:rFonts w:ascii="Times New Roman" w:eastAsia="Cambria" w:hAnsi="Times New Roman" w:cs="Times New Roman"/>
                <w:bCs/>
                <w:sz w:val="24"/>
                <w:szCs w:val="24"/>
                <w:lang w:val="vi-VN"/>
              </w:rPr>
              <w:t>.</w:t>
            </w:r>
          </w:p>
        </w:tc>
      </w:tr>
      <w:tr w:rsidR="00602E69" w:rsidRPr="008A118E" w:rsidTr="001551D6">
        <w:trPr>
          <w:trHeight w:val="296"/>
        </w:trPr>
        <w:tc>
          <w:tcPr>
            <w:tcW w:w="1757" w:type="pct"/>
          </w:tcPr>
          <w:p w:rsidR="00602E69" w:rsidRPr="00602E69" w:rsidRDefault="00602E69" w:rsidP="00A118A2">
            <w:pPr>
              <w:tabs>
                <w:tab w:val="left" w:pos="143"/>
              </w:tabs>
              <w:ind w:firstLine="284"/>
              <w:jc w:val="both"/>
              <w:rPr>
                <w:rFonts w:ascii="Times New Roman" w:eastAsia="Cambria" w:hAnsi="Times New Roman" w:cs="Times New Roman"/>
                <w:b/>
                <w:bCs/>
                <w:sz w:val="24"/>
                <w:szCs w:val="24"/>
                <w:lang w:val="vi-VN"/>
              </w:rPr>
            </w:pPr>
            <w:r w:rsidRPr="00A118A2">
              <w:rPr>
                <w:rFonts w:ascii="Times New Roman" w:eastAsia="Cambria" w:hAnsi="Times New Roman" w:cs="Times New Roman"/>
                <w:b/>
                <w:bCs/>
                <w:sz w:val="24"/>
                <w:szCs w:val="24"/>
                <w:lang w:val="vi-VN"/>
              </w:rPr>
              <w:t>Điểm b, điểm c khoản 2 Điều 40</w:t>
            </w:r>
            <w:r w:rsidRPr="00602E69">
              <w:rPr>
                <w:rFonts w:ascii="Times New Roman" w:eastAsia="Cambria" w:hAnsi="Times New Roman" w:cs="Times New Roman"/>
                <w:b/>
                <w:bCs/>
                <w:sz w:val="24"/>
                <w:szCs w:val="24"/>
                <w:lang w:val="vi-VN"/>
              </w:rPr>
              <w:t xml:space="preserve"> về t</w:t>
            </w:r>
            <w:r w:rsidRPr="00A118A2">
              <w:rPr>
                <w:rFonts w:ascii="Times New Roman" w:eastAsia="Cambria" w:hAnsi="Times New Roman" w:cs="Times New Roman"/>
                <w:b/>
                <w:bCs/>
                <w:sz w:val="24"/>
                <w:szCs w:val="24"/>
                <w:lang w:val="vi-VN"/>
              </w:rPr>
              <w:t>rách nhiệm của Ngân hàng Nhà nước Việt Nam</w:t>
            </w:r>
          </w:p>
          <w:p w:rsidR="00602E69" w:rsidRPr="007C2EBE" w:rsidRDefault="00602E69" w:rsidP="00A118A2">
            <w:pPr>
              <w:tabs>
                <w:tab w:val="left" w:pos="143"/>
              </w:tabs>
              <w:ind w:firstLine="284"/>
              <w:jc w:val="both"/>
              <w:rPr>
                <w:rFonts w:ascii="Times New Roman" w:eastAsia="Cambria" w:hAnsi="Times New Roman" w:cs="Times New Roman"/>
                <w:bCs/>
                <w:sz w:val="24"/>
                <w:szCs w:val="24"/>
                <w:lang w:val="vi-VN"/>
              </w:rPr>
            </w:pPr>
            <w:r w:rsidRPr="007C2EBE">
              <w:rPr>
                <w:rFonts w:ascii="Times New Roman" w:eastAsia="Cambria" w:hAnsi="Times New Roman" w:cs="Times New Roman"/>
                <w:bCs/>
                <w:sz w:val="24"/>
                <w:szCs w:val="24"/>
                <w:lang w:val="vi-VN"/>
              </w:rPr>
              <w:t xml:space="preserve">b) Chủ trì, phối hợp với Bộ Tài chính trong việc lập và thực hiện kế hoạch giám sát tài chính, đánh giá hiệu quả hoạt động và xếp loại doanh nghiệp nhà nước là tổ chức tín dụng do Nhà nước nắm giữ 100% vốn điều lệ; đánh giá hiệu quả đầu tư vốn nhà nước tại doanh nghiệp là tổ chức tín dụng do Nhà nước nắm giữ trên 50% đến dưới 100% vốn điều lệ theo quy định tại Nghị định này và các quy định khác của pháp luật có liên quan; gửi báo cáo kết quả giám sát tài chính và kết quả xếp loại của doanh nghiệp là tổ chức tín dụng do Nhà nước nắm giữ 100% vốn điều lệ và báo cáo </w:t>
            </w:r>
            <w:r w:rsidRPr="007C2EBE">
              <w:rPr>
                <w:rFonts w:ascii="Times New Roman" w:eastAsia="Cambria" w:hAnsi="Times New Roman" w:cs="Times New Roman"/>
                <w:bCs/>
                <w:sz w:val="24"/>
                <w:szCs w:val="24"/>
                <w:lang w:val="vi-VN"/>
              </w:rPr>
              <w:lastRenderedPageBreak/>
              <w:t>kết quả giám sát tài chính của doanh nghiệp là tổ chức tín dụng do Nhà nước nắm giữ trên 50% đến dưới 100% vốn điều lệ cho Bộ Tài chính theo quy định của pháp luật về giám sát tài chính, đánh giá hiệu quả đầu tư vốn nhà nước tại doanh nghiệp do Nhà nước nắm giữ trên 50% vốn điều lệ;</w:t>
            </w:r>
          </w:p>
          <w:p w:rsidR="00602E69" w:rsidRPr="00A82910" w:rsidRDefault="00602E69" w:rsidP="00A118A2">
            <w:pPr>
              <w:tabs>
                <w:tab w:val="left" w:pos="143"/>
              </w:tabs>
              <w:ind w:firstLine="284"/>
              <w:jc w:val="both"/>
              <w:rPr>
                <w:rFonts w:ascii="Times New Roman" w:eastAsia="Cambria" w:hAnsi="Times New Roman" w:cs="Times New Roman"/>
                <w:b/>
                <w:bCs/>
                <w:sz w:val="24"/>
                <w:szCs w:val="24"/>
                <w:lang w:val="vi-VN"/>
              </w:rPr>
            </w:pPr>
            <w:r w:rsidRPr="007C2EBE">
              <w:rPr>
                <w:rFonts w:ascii="Times New Roman" w:eastAsia="Cambria" w:hAnsi="Times New Roman" w:cs="Times New Roman"/>
                <w:bCs/>
                <w:sz w:val="24"/>
                <w:szCs w:val="24"/>
                <w:lang w:val="vi-VN"/>
              </w:rPr>
              <w:t>c) Ngân hàng Nhà nước Việt Nam căn cứ quy định tại Nghị định này và các quy định của pháp luật về giám sát tài chính, đánh giá hiệu quả đầu tư vốn nhà nước tại doanh nghiệp có vốn nhà nước để thực hiện giám sát tài chính và đánh giá hiệu quả hoạt động ngân hàng hợp tác xã. Ngân hàng Nhà nước Việt Nam lập báo cáo đánh giá hiệu quả hoạt động ngân hàng hợp tác xã, gửi Bộ Tài chính theo quy định của pháp luật về giám sát tài chính, đánh giá hiệu quả đầu tư vốn nhà nước tại doanh nghiệp có vốn nhà nước.</w:t>
            </w:r>
          </w:p>
        </w:tc>
        <w:tc>
          <w:tcPr>
            <w:tcW w:w="1813" w:type="pct"/>
          </w:tcPr>
          <w:p w:rsidR="00602E69" w:rsidRPr="00602E69" w:rsidRDefault="00602E69" w:rsidP="00A118A2">
            <w:pPr>
              <w:tabs>
                <w:tab w:val="left" w:pos="143"/>
              </w:tabs>
              <w:ind w:firstLine="284"/>
              <w:jc w:val="both"/>
              <w:rPr>
                <w:rFonts w:ascii="Times New Roman" w:eastAsia="Cambria" w:hAnsi="Times New Roman" w:cs="Times New Roman"/>
                <w:bCs/>
                <w:sz w:val="24"/>
                <w:szCs w:val="24"/>
                <w:lang w:val="vi-VN"/>
              </w:rPr>
            </w:pPr>
            <w:bookmarkStart w:id="7" w:name="_Hlk207230682"/>
            <w:r w:rsidRPr="00A118A2">
              <w:rPr>
                <w:rFonts w:ascii="Times New Roman" w:eastAsia="Cambria" w:hAnsi="Times New Roman" w:cs="Times New Roman"/>
                <w:b/>
                <w:bCs/>
                <w:sz w:val="24"/>
                <w:szCs w:val="24"/>
                <w:lang w:val="vi-VN"/>
              </w:rPr>
              <w:lastRenderedPageBreak/>
              <w:t>Điểm b, điểm c khoản 2 Điều 40</w:t>
            </w:r>
            <w:r w:rsidRPr="00602E69">
              <w:rPr>
                <w:rFonts w:ascii="Times New Roman" w:eastAsia="Cambria" w:hAnsi="Times New Roman" w:cs="Times New Roman"/>
                <w:b/>
                <w:bCs/>
                <w:sz w:val="24"/>
                <w:szCs w:val="24"/>
                <w:lang w:val="vi-VN"/>
              </w:rPr>
              <w:t xml:space="preserve"> về t</w:t>
            </w:r>
            <w:r w:rsidRPr="00A118A2">
              <w:rPr>
                <w:rFonts w:ascii="Times New Roman" w:eastAsia="Cambria" w:hAnsi="Times New Roman" w:cs="Times New Roman"/>
                <w:b/>
                <w:bCs/>
                <w:sz w:val="24"/>
                <w:szCs w:val="24"/>
                <w:lang w:val="vi-VN"/>
              </w:rPr>
              <w:t>rách nhiệm của Ngân hàng Nhà nước Việt Nam</w:t>
            </w:r>
          </w:p>
          <w:p w:rsidR="00602E69" w:rsidRPr="007C2EBE" w:rsidRDefault="00602E69" w:rsidP="00A118A2">
            <w:pPr>
              <w:tabs>
                <w:tab w:val="left" w:pos="143"/>
              </w:tabs>
              <w:ind w:firstLine="284"/>
              <w:jc w:val="both"/>
              <w:rPr>
                <w:rFonts w:ascii="Times New Roman" w:eastAsia="Cambria" w:hAnsi="Times New Roman" w:cs="Times New Roman"/>
                <w:bCs/>
                <w:sz w:val="24"/>
                <w:szCs w:val="24"/>
                <w:lang w:val="vi-VN"/>
              </w:rPr>
            </w:pPr>
            <w:r w:rsidRPr="007C2EBE">
              <w:rPr>
                <w:rFonts w:ascii="Times New Roman" w:eastAsia="Cambria" w:hAnsi="Times New Roman" w:cs="Times New Roman"/>
                <w:bCs/>
                <w:sz w:val="24"/>
                <w:szCs w:val="24"/>
                <w:lang w:val="vi-VN"/>
              </w:rPr>
              <w:t>b) Chủ trì, phối hợp với Bộ Tài chính trong việc lập và thực hiện kế hoạch giám sát</w:t>
            </w:r>
            <w:r w:rsidRPr="003960E5">
              <w:rPr>
                <w:rFonts w:ascii="Times New Roman" w:eastAsia="Cambria" w:hAnsi="Times New Roman" w:cs="Times New Roman"/>
                <w:bCs/>
                <w:sz w:val="24"/>
                <w:szCs w:val="24"/>
                <w:lang w:val="vi-VN"/>
              </w:rPr>
              <w:t xml:space="preserve"> tài chín</w:t>
            </w:r>
            <w:r w:rsidRPr="002F3F6D">
              <w:rPr>
                <w:rFonts w:ascii="Times New Roman" w:eastAsia="Cambria" w:hAnsi="Times New Roman" w:cs="Times New Roman"/>
                <w:bCs/>
                <w:sz w:val="24"/>
                <w:szCs w:val="24"/>
                <w:lang w:val="vi-VN"/>
              </w:rPr>
              <w:t>h;</w:t>
            </w:r>
            <w:r w:rsidRPr="007C2EBE">
              <w:rPr>
                <w:rFonts w:ascii="Times New Roman" w:eastAsia="Cambria" w:hAnsi="Times New Roman" w:cs="Times New Roman"/>
                <w:bCs/>
                <w:sz w:val="24"/>
                <w:szCs w:val="24"/>
                <w:lang w:val="vi-VN"/>
              </w:rPr>
              <w:t xml:space="preserve"> đánh giá hiệu quả hoạt động và xếp loại doanh nghiệp nhà nước là tổ chức tín dụng do Nhà nước nắm giữ 100% vốn điều lệ; đánh giá hiệu quả đầu tư vốn nhà nước tại doanh nghiệp là tổ chức tín dụng do Nhà nước nắm giữ trên 50% đến dưới 100% vốn điều lệ theo quy định tại Nghị định này và các quy định khác của pháp luật có liên quan; gửi báo cáo kết quả giám sát</w:t>
            </w:r>
            <w:r w:rsidRPr="00DB49B8">
              <w:rPr>
                <w:rFonts w:ascii="Times New Roman" w:eastAsia="Cambria" w:hAnsi="Times New Roman" w:cs="Times New Roman"/>
                <w:bCs/>
                <w:sz w:val="24"/>
                <w:szCs w:val="24"/>
                <w:lang w:val="vi-VN"/>
              </w:rPr>
              <w:t xml:space="preserve"> </w:t>
            </w:r>
            <w:r w:rsidRPr="003960E5">
              <w:rPr>
                <w:rFonts w:ascii="Times New Roman" w:eastAsia="Cambria" w:hAnsi="Times New Roman" w:cs="Times New Roman"/>
                <w:bCs/>
                <w:sz w:val="24"/>
                <w:szCs w:val="24"/>
                <w:lang w:val="vi-VN"/>
              </w:rPr>
              <w:t>tài chính</w:t>
            </w:r>
            <w:r w:rsidRPr="007C2EBE">
              <w:rPr>
                <w:rFonts w:ascii="Times New Roman" w:eastAsia="Cambria" w:hAnsi="Times New Roman" w:cs="Times New Roman"/>
                <w:bCs/>
                <w:sz w:val="24"/>
                <w:szCs w:val="24"/>
                <w:lang w:val="vi-VN"/>
              </w:rPr>
              <w:t xml:space="preserve"> và kết quả xếp loại của doanh nghiệp là tổ chức tín dụng do Nhà nước nắm giữ 100% vốn điều lệ và báo cáo kết quả giám sát</w:t>
            </w:r>
            <w:r w:rsidRPr="003960E5">
              <w:rPr>
                <w:rFonts w:ascii="Times New Roman" w:eastAsia="Cambria" w:hAnsi="Times New Roman" w:cs="Times New Roman"/>
                <w:bCs/>
                <w:sz w:val="24"/>
                <w:szCs w:val="24"/>
                <w:lang w:val="vi-VN"/>
              </w:rPr>
              <w:t xml:space="preserve"> tài chính</w:t>
            </w:r>
            <w:r w:rsidRPr="003960E5">
              <w:rPr>
                <w:rFonts w:ascii="Times New Roman" w:eastAsia="Cambria" w:hAnsi="Times New Roman" w:cs="Times New Roman"/>
                <w:b/>
                <w:bCs/>
                <w:sz w:val="24"/>
                <w:szCs w:val="24"/>
                <w:lang w:val="vi-VN"/>
              </w:rPr>
              <w:t xml:space="preserve"> </w:t>
            </w:r>
            <w:r w:rsidRPr="007C2EBE">
              <w:rPr>
                <w:rFonts w:ascii="Times New Roman" w:eastAsia="Cambria" w:hAnsi="Times New Roman" w:cs="Times New Roman"/>
                <w:bCs/>
                <w:sz w:val="24"/>
                <w:szCs w:val="24"/>
                <w:lang w:val="vi-VN"/>
              </w:rPr>
              <w:lastRenderedPageBreak/>
              <w:t xml:space="preserve">của doanh nghiệp là tổ chức tín dụng do Nhà nước nắm giữ trên 50% đến dưới 100% vốn điều lệ cho Bộ Tài chính theo quy định của pháp luật về </w:t>
            </w:r>
            <w:r w:rsidRPr="007C2EBE">
              <w:rPr>
                <w:rFonts w:ascii="Times New Roman" w:eastAsia="Cambria" w:hAnsi="Times New Roman" w:cs="Times New Roman"/>
                <w:bCs/>
                <w:strike/>
                <w:sz w:val="24"/>
                <w:szCs w:val="24"/>
                <w:lang w:val="vi-VN"/>
              </w:rPr>
              <w:t xml:space="preserve">giám sát tài chính, đánh giá hiệu quả đầu tư vốn nhà nước tại doanh nghiệp do Nhà nước nắm giữ trên 50% vốn điều lệ </w:t>
            </w:r>
            <w:r w:rsidRPr="007C2EBE">
              <w:rPr>
                <w:rFonts w:ascii="Times New Roman" w:eastAsia="Cambria" w:hAnsi="Times New Roman" w:cs="Times New Roman"/>
                <w:b/>
                <w:bCs/>
                <w:sz w:val="24"/>
                <w:szCs w:val="24"/>
                <w:lang w:val="vi-VN"/>
              </w:rPr>
              <w:t>quản lý và đầu tư vốn nhà nước tại doanh nghiệp</w:t>
            </w:r>
            <w:r w:rsidRPr="007C2EBE">
              <w:rPr>
                <w:rFonts w:ascii="Times New Roman" w:eastAsia="Cambria" w:hAnsi="Times New Roman" w:cs="Times New Roman"/>
                <w:bCs/>
                <w:sz w:val="24"/>
                <w:szCs w:val="24"/>
                <w:lang w:val="vi-VN"/>
              </w:rPr>
              <w:t>;</w:t>
            </w:r>
          </w:p>
          <w:p w:rsidR="00602E69" w:rsidRPr="008D1E02" w:rsidRDefault="00602E69" w:rsidP="00A118A2">
            <w:pPr>
              <w:tabs>
                <w:tab w:val="left" w:pos="143"/>
              </w:tabs>
              <w:ind w:firstLine="284"/>
              <w:jc w:val="both"/>
              <w:rPr>
                <w:rFonts w:ascii="Times New Roman" w:eastAsia="Cambria" w:hAnsi="Times New Roman" w:cs="Times New Roman"/>
                <w:b/>
                <w:bCs/>
                <w:sz w:val="24"/>
                <w:szCs w:val="24"/>
                <w:lang w:val="vi-VN"/>
              </w:rPr>
            </w:pPr>
            <w:r w:rsidRPr="007C2EBE">
              <w:rPr>
                <w:rFonts w:ascii="Times New Roman" w:eastAsia="Cambria" w:hAnsi="Times New Roman" w:cs="Times New Roman"/>
                <w:bCs/>
                <w:sz w:val="24"/>
                <w:szCs w:val="24"/>
                <w:lang w:val="vi-VN"/>
              </w:rPr>
              <w:t xml:space="preserve">c) Ngân hàng Nhà nước Việt Nam căn cứ quy định tại Nghị định này và các quy định của pháp luật về </w:t>
            </w:r>
            <w:r w:rsidRPr="007C2EBE">
              <w:rPr>
                <w:rFonts w:ascii="Times New Roman" w:eastAsia="Cambria" w:hAnsi="Times New Roman" w:cs="Times New Roman"/>
                <w:bCs/>
                <w:strike/>
                <w:sz w:val="24"/>
                <w:szCs w:val="24"/>
                <w:lang w:val="vi-VN"/>
              </w:rPr>
              <w:t>giám sát tài chính, đánh giá hiệu quả đầu tư vốn nhà nước tại doanh nghiệp có vốn nhà nước</w:t>
            </w:r>
            <w:r w:rsidRPr="007C2EBE">
              <w:rPr>
                <w:rFonts w:ascii="Times New Roman" w:eastAsia="Cambria" w:hAnsi="Times New Roman" w:cs="Times New Roman"/>
                <w:bCs/>
                <w:sz w:val="24"/>
                <w:szCs w:val="24"/>
                <w:lang w:val="vi-VN"/>
              </w:rPr>
              <w:t xml:space="preserve"> </w:t>
            </w:r>
            <w:r w:rsidRPr="007C2EBE">
              <w:rPr>
                <w:rFonts w:ascii="Times New Roman" w:eastAsia="Cambria" w:hAnsi="Times New Roman" w:cs="Times New Roman"/>
                <w:b/>
                <w:bCs/>
                <w:sz w:val="24"/>
                <w:szCs w:val="24"/>
                <w:lang w:val="vi-VN"/>
              </w:rPr>
              <w:t>quản lý và đầu tư vốn nhà nước tại doanh nghiệp</w:t>
            </w:r>
            <w:r w:rsidRPr="007C2EBE">
              <w:rPr>
                <w:rFonts w:ascii="Times New Roman" w:eastAsia="Cambria" w:hAnsi="Times New Roman" w:cs="Times New Roman"/>
                <w:bCs/>
                <w:sz w:val="24"/>
                <w:szCs w:val="24"/>
                <w:lang w:val="vi-VN"/>
              </w:rPr>
              <w:t xml:space="preserve"> để thực hiện giám </w:t>
            </w:r>
            <w:r w:rsidRPr="003960E5">
              <w:rPr>
                <w:rFonts w:ascii="Times New Roman" w:eastAsia="Cambria" w:hAnsi="Times New Roman" w:cs="Times New Roman"/>
                <w:bCs/>
                <w:sz w:val="24"/>
                <w:szCs w:val="24"/>
                <w:lang w:val="vi-VN"/>
              </w:rPr>
              <w:t>sát tài chính</w:t>
            </w:r>
            <w:r w:rsidRPr="003960E5">
              <w:rPr>
                <w:rFonts w:ascii="Times New Roman" w:eastAsia="Cambria" w:hAnsi="Times New Roman" w:cs="Times New Roman"/>
                <w:b/>
                <w:bCs/>
                <w:sz w:val="24"/>
                <w:szCs w:val="24"/>
                <w:lang w:val="vi-VN"/>
              </w:rPr>
              <w:t xml:space="preserve"> </w:t>
            </w:r>
            <w:r w:rsidRPr="007C2EBE">
              <w:rPr>
                <w:rFonts w:ascii="Times New Roman" w:eastAsia="Cambria" w:hAnsi="Times New Roman" w:cs="Times New Roman"/>
                <w:bCs/>
                <w:sz w:val="24"/>
                <w:szCs w:val="24"/>
                <w:lang w:val="vi-VN"/>
              </w:rPr>
              <w:t>và đánh giá hiệu quả hoạt động ngân hàng hợp tác xã.</w:t>
            </w:r>
            <w:bookmarkEnd w:id="7"/>
            <w:r w:rsidRPr="007C2EBE">
              <w:rPr>
                <w:rFonts w:ascii="Times New Roman" w:eastAsia="Cambria" w:hAnsi="Times New Roman" w:cs="Times New Roman"/>
                <w:bCs/>
                <w:sz w:val="24"/>
                <w:szCs w:val="24"/>
                <w:lang w:val="vi-VN"/>
              </w:rPr>
              <w:t xml:space="preserve"> </w:t>
            </w:r>
            <w:r w:rsidRPr="003960E5">
              <w:rPr>
                <w:rFonts w:ascii="Times New Roman" w:eastAsia="Cambria" w:hAnsi="Times New Roman" w:cs="Times New Roman"/>
                <w:bCs/>
                <w:sz w:val="24"/>
                <w:szCs w:val="24"/>
                <w:lang w:val="vi-VN"/>
              </w:rPr>
              <w:t xml:space="preserve">Ngân hàng Nhà nước Việt Nam lập báo cáo đánh giá hiệu quả hoạt động ngân hàng hợp tác xã, gửi Bộ Tài chính theo quy định của pháp luật về </w:t>
            </w:r>
            <w:r w:rsidRPr="003960E5">
              <w:rPr>
                <w:rFonts w:ascii="Times New Roman" w:eastAsia="Cambria" w:hAnsi="Times New Roman" w:cs="Times New Roman"/>
                <w:bCs/>
                <w:strike/>
                <w:sz w:val="24"/>
                <w:szCs w:val="24"/>
                <w:lang w:val="vi-VN"/>
              </w:rPr>
              <w:t>giám sát tài chính, đánh giá hiệu quả đầu tư vốn nhà nước tại doanh nghiệp có vốn nhà nước</w:t>
            </w:r>
            <w:r w:rsidRPr="003960E5">
              <w:rPr>
                <w:rFonts w:ascii="Times New Roman" w:eastAsia="Cambria" w:hAnsi="Times New Roman" w:cs="Times New Roman"/>
                <w:b/>
                <w:bCs/>
                <w:sz w:val="24"/>
                <w:szCs w:val="24"/>
                <w:lang w:val="vi-VN"/>
              </w:rPr>
              <w:t xml:space="preserve"> quản lý và đầu tư vốn nhà nước tại doanh nghiệp</w:t>
            </w:r>
            <w:r w:rsidRPr="003960E5">
              <w:rPr>
                <w:rFonts w:ascii="Times New Roman" w:eastAsia="Cambria" w:hAnsi="Times New Roman" w:cs="Times New Roman"/>
                <w:bCs/>
                <w:sz w:val="24"/>
                <w:szCs w:val="24"/>
                <w:lang w:val="vi-VN"/>
              </w:rPr>
              <w:t>.</w:t>
            </w:r>
          </w:p>
        </w:tc>
        <w:tc>
          <w:tcPr>
            <w:tcW w:w="1430" w:type="pct"/>
          </w:tcPr>
          <w:p w:rsidR="00602E69" w:rsidRPr="00DB49B8" w:rsidRDefault="00602E69" w:rsidP="003B0CD7">
            <w:pPr>
              <w:tabs>
                <w:tab w:val="left" w:pos="143"/>
              </w:tabs>
              <w:ind w:firstLine="314"/>
              <w:jc w:val="both"/>
              <w:rPr>
                <w:rFonts w:ascii="Times New Roman" w:eastAsia="Cambria" w:hAnsi="Times New Roman" w:cs="Times New Roman"/>
                <w:bCs/>
                <w:sz w:val="24"/>
                <w:szCs w:val="24"/>
                <w:lang w:val="vi-VN"/>
              </w:rPr>
            </w:pPr>
            <w:r w:rsidRPr="00FC245D">
              <w:rPr>
                <w:rFonts w:ascii="Times New Roman" w:eastAsia="Cambria" w:hAnsi="Times New Roman" w:cs="Times New Roman"/>
                <w:bCs/>
                <w:sz w:val="24"/>
                <w:szCs w:val="24"/>
                <w:lang w:val="vi-VN"/>
              </w:rPr>
              <w:lastRenderedPageBreak/>
              <w:t>S</w:t>
            </w:r>
            <w:r w:rsidRPr="004325AC">
              <w:rPr>
                <w:rFonts w:ascii="Times New Roman" w:eastAsia="Cambria" w:hAnsi="Times New Roman" w:cs="Times New Roman"/>
                <w:bCs/>
                <w:sz w:val="24"/>
                <w:szCs w:val="24"/>
                <w:lang w:val="vi-VN"/>
              </w:rPr>
              <w:t xml:space="preserve">ửa lại câu chữ cho phù hợp với </w:t>
            </w:r>
            <w:r w:rsidRPr="003960E5">
              <w:rPr>
                <w:rFonts w:ascii="Times New Roman" w:eastAsia="Cambria" w:hAnsi="Times New Roman" w:cs="Times New Roman"/>
                <w:bCs/>
                <w:sz w:val="24"/>
                <w:szCs w:val="24"/>
                <w:lang w:val="vi-VN"/>
              </w:rPr>
              <w:t>tên</w:t>
            </w:r>
            <w:r w:rsidRPr="004325AC">
              <w:rPr>
                <w:rFonts w:ascii="Times New Roman" w:eastAsia="Cambria" w:hAnsi="Times New Roman" w:cs="Times New Roman"/>
                <w:bCs/>
                <w:sz w:val="24"/>
                <w:szCs w:val="24"/>
                <w:lang w:val="vi-VN"/>
              </w:rPr>
              <w:t xml:space="preserve"> Luật 68</w:t>
            </w:r>
            <w:r w:rsidRPr="00DB49B8">
              <w:rPr>
                <w:rFonts w:ascii="Times New Roman" w:eastAsia="Cambria" w:hAnsi="Times New Roman" w:cs="Times New Roman"/>
                <w:bCs/>
                <w:sz w:val="24"/>
                <w:szCs w:val="24"/>
                <w:lang w:val="vi-VN"/>
              </w:rPr>
              <w:t>.</w:t>
            </w:r>
            <w:r w:rsidRPr="00A118A2">
              <w:rPr>
                <w:rFonts w:ascii="Times New Roman" w:eastAsia="Cambria" w:hAnsi="Times New Roman" w:cs="Times New Roman"/>
                <w:bCs/>
                <w:sz w:val="24"/>
                <w:szCs w:val="24"/>
                <w:lang w:val="vi-VN"/>
              </w:rPr>
              <w:t xml:space="preserve"> </w:t>
            </w:r>
          </w:p>
        </w:tc>
      </w:tr>
      <w:tr w:rsidR="00602E69" w:rsidRPr="008A118E" w:rsidTr="001551D6">
        <w:trPr>
          <w:trHeight w:val="296"/>
        </w:trPr>
        <w:tc>
          <w:tcPr>
            <w:tcW w:w="1757" w:type="pct"/>
          </w:tcPr>
          <w:p w:rsidR="00602E69" w:rsidRPr="00365B29" w:rsidRDefault="00602E69" w:rsidP="00A00A97">
            <w:pPr>
              <w:tabs>
                <w:tab w:val="left" w:pos="143"/>
              </w:tabs>
              <w:ind w:firstLine="284"/>
              <w:jc w:val="both"/>
              <w:rPr>
                <w:rFonts w:ascii="Times New Roman" w:eastAsia="Cambria" w:hAnsi="Times New Roman" w:cs="Times New Roman"/>
                <w:b/>
                <w:bCs/>
                <w:sz w:val="24"/>
                <w:szCs w:val="24"/>
                <w:lang w:val="vi-VN"/>
              </w:rPr>
            </w:pPr>
            <w:r w:rsidRPr="00A00A97">
              <w:rPr>
                <w:rFonts w:ascii="Times New Roman" w:eastAsia="Cambria" w:hAnsi="Times New Roman" w:cs="Times New Roman"/>
                <w:b/>
                <w:bCs/>
                <w:sz w:val="24"/>
                <w:szCs w:val="24"/>
                <w:lang w:val="vi-VN"/>
              </w:rPr>
              <w:lastRenderedPageBreak/>
              <w:t xml:space="preserve">Điểm 4 mục I </w:t>
            </w:r>
            <w:r w:rsidRPr="00800295">
              <w:rPr>
                <w:rFonts w:ascii="Times New Roman" w:eastAsia="Cambria" w:hAnsi="Times New Roman" w:cs="Times New Roman"/>
                <w:b/>
                <w:bCs/>
                <w:sz w:val="24"/>
                <w:szCs w:val="24"/>
                <w:lang w:val="vi-VN"/>
              </w:rPr>
              <w:t>Phụ lục IV</w:t>
            </w:r>
            <w:r w:rsidRPr="00ED3329">
              <w:rPr>
                <w:rFonts w:ascii="Times New Roman" w:eastAsia="Cambria" w:hAnsi="Times New Roman" w:cs="Times New Roman"/>
                <w:b/>
                <w:bCs/>
                <w:sz w:val="24"/>
                <w:szCs w:val="24"/>
                <w:lang w:val="vi-VN"/>
              </w:rPr>
              <w:t xml:space="preserve"> - </w:t>
            </w:r>
            <w:r w:rsidRPr="00A00A97">
              <w:rPr>
                <w:rFonts w:ascii="Times New Roman" w:eastAsia="Cambria" w:hAnsi="Times New Roman" w:cs="Times New Roman"/>
                <w:b/>
                <w:bCs/>
                <w:sz w:val="24"/>
                <w:szCs w:val="24"/>
                <w:lang w:val="vi-VN"/>
              </w:rPr>
              <w:t>Phương thức đánh giá hiệu quả và xếp loại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bookmarkStart w:id="8" w:name="diem_d_1_5"/>
            <w:r w:rsidRPr="00800295">
              <w:rPr>
                <w:rFonts w:ascii="Times New Roman" w:eastAsia="Cambria" w:hAnsi="Times New Roman" w:cs="Times New Roman"/>
                <w:bCs/>
                <w:sz w:val="24"/>
                <w:szCs w:val="24"/>
                <w:lang w:val="vi-VN"/>
              </w:rPr>
              <w:t>4. Tiêu chí 4. Tình hình chấp hành pháp luật</w:t>
            </w:r>
            <w:bookmarkEnd w:id="8"/>
            <w:r w:rsidRPr="00800295">
              <w:rPr>
                <w:rFonts w:ascii="Times New Roman" w:eastAsia="Cambria" w:hAnsi="Times New Roman" w:cs="Times New Roman"/>
                <w:bCs/>
                <w:sz w:val="24"/>
                <w:szCs w:val="24"/>
                <w:lang w:val="vi-VN"/>
              </w:rPr>
              <w:t xml:space="preserve"> theo quy định tại điểm d khoản 1 Điều 31 Nghị định này.</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4.1. Tổ chức tín dụng xếp loại A khi đáp ứng tất cả các điều kiện sau:</w:t>
            </w:r>
          </w:p>
          <w:p w:rsidR="00602E69" w:rsidRPr="00A00A97" w:rsidRDefault="00602E69" w:rsidP="00A00A97">
            <w:pPr>
              <w:tabs>
                <w:tab w:val="left" w:pos="143"/>
              </w:tabs>
              <w:ind w:firstLine="284"/>
              <w:jc w:val="both"/>
              <w:rPr>
                <w:rFonts w:ascii="Times New Roman" w:eastAsia="Cambria" w:hAnsi="Times New Roman" w:cs="Times New Roman"/>
                <w:bCs/>
                <w:spacing w:val="-2"/>
                <w:sz w:val="24"/>
                <w:szCs w:val="24"/>
                <w:lang w:val="vi-VN"/>
              </w:rPr>
            </w:pPr>
            <w:r w:rsidRPr="00A00A97">
              <w:rPr>
                <w:rFonts w:ascii="Times New Roman" w:eastAsia="Cambria" w:hAnsi="Times New Roman" w:cs="Times New Roman"/>
                <w:bCs/>
                <w:spacing w:val="-2"/>
                <w:sz w:val="24"/>
                <w:szCs w:val="24"/>
                <w:lang w:val="vi-VN"/>
              </w:rPr>
              <w:t>a) Trong năm đánh giá không bị cơ quan đại diện chủ sở hữu hoặc cơ quan tài chính nhắc nhở bằng văn bản hoặc bị nhắc nhở bằng văn bản không quá hai lần về việc nộp báo cáo giám sát, báo cáo xếp loại tổ chức tín dụng, báo cáo tài chính và các báo cáo khác để thực hiện giám sát tài chính không đúng quy định, không đúng hạn đối với từng loại báo cáo;</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b) Trong năm đánh giá không bị cơ quan có thẩm quyền xử phạt vi phạm hành chính; trường hợp bị xử phạt vi phạm hành chính thì phải đảm bảo:</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 Đối với các hành vi vi phạm trong lĩnh vực tiền tệ </w:t>
            </w:r>
            <w:r w:rsidRPr="00800295">
              <w:rPr>
                <w:rFonts w:ascii="Times New Roman" w:eastAsia="Cambria" w:hAnsi="Times New Roman" w:cs="Times New Roman"/>
                <w:bCs/>
                <w:sz w:val="24"/>
                <w:szCs w:val="24"/>
                <w:lang w:val="vi-VN"/>
              </w:rPr>
              <w:lastRenderedPageBreak/>
              <w:t>và ngân hàng: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Không bị cơ quan có thẩm quyền xử phạt vi phạm hành chính đối với các hành vi lừa đảo, gian lận, giả mạo; nặc danh, mạo danh; chuyển nhượng, cho thuê, cho mượn giấy phép; phá hoại, hủy hoại tiền Việt Nam; hoạt động kinh doanh trái phép; cung cấp thông tin không trung thực; lấy cắp thông tin; đánh cắp dữ liệu theo quy định của Chính phủ về xử phạt vi phạm hành chính trong lĩnh vực tiền tệ và ngân hàng;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Đối với các hành vi vi phạm còn lại bị cơ quan có thẩm quyền xử phạt vi phạm hành chính: số chi nhánh (bao gồm cả trụ sở chính) bị xử phạt không vượt quá 10% tổng số chi nhánh của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bookmarkStart w:id="9" w:name="_Hlk186507302"/>
            <w:r w:rsidRPr="00800295">
              <w:rPr>
                <w:rFonts w:ascii="Times New Roman" w:eastAsia="Cambria" w:hAnsi="Times New Roman" w:cs="Times New Roman"/>
                <w:bCs/>
                <w:sz w:val="24"/>
                <w:szCs w:val="24"/>
                <w:lang w:val="vi-VN"/>
              </w:rPr>
              <w:t>- Đối với các hành vi vi phạm trong lĩnh vực thuế, hóa đơn:</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 Không bị cơ quan có thẩm quyền xử phạt vi phạm hành chính đối với hành vi trốn thuế theo quy định của Chính phủ. </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 Đối với các hành vi vi phạm hành chính còn lại bị cơ quan có thẩm quyền xử phạt vi phạm hành chính: </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(i) Vi phạm hành chính về hóa đơn, thủ tục thuế: số chi nhánh (bao gồm cả trụ sở chính) bị xử phạt không vượt quá 10% tổng số chi nhánh của tổ chức tín dụng; </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(ii) Vi phạm hành chính đối với hành vi khai sai dẫn đến thiếu số tiền thuế phải nộp hoặc tăng số tiền thuế được miễn, giảm, hoàn mà sau khi phát hiện hoặc bị phát hiện đã thực hiện nộp đủ số tiền thuế khai thiếu vào ngân sách nhà nước trước thời điểm cơ quan có thẩm quyền ra quyết định xử phạt và hạch toán kế toán đầy đủ theo quy định; </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(iii) Vi phạm hành chính đối với hành vi không thực hiện trách nhiệm trích chuyển tiền từ tài khoản của người nộp thuế vào tài khoản của ngân sách nhà nước theo yêu cầu của cơ quan thuế mà sau khi phát </w:t>
            </w:r>
            <w:r w:rsidRPr="00800295">
              <w:rPr>
                <w:rFonts w:ascii="Times New Roman" w:eastAsia="Cambria" w:hAnsi="Times New Roman" w:cs="Times New Roman"/>
                <w:bCs/>
                <w:sz w:val="24"/>
                <w:szCs w:val="24"/>
                <w:lang w:val="vi-VN"/>
              </w:rPr>
              <w:lastRenderedPageBreak/>
              <w:t>hiện hoặc bị phát hiện đã thực hiện trích chuyển tiền từ tài khoản của người nộp thuế vào tài khoản của ngân sách nhà nước trước thời điểm cơ quan có thẩm quyền ra quyết định xử phạt.</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Đối với hành vi vi phạm khác bị cơ quan có thẩm quyền xử phạt vi phạm hành chính: số chi nhánh (bao gồm cả trụ sở chính) bị xử phạt không vượt quá 10% tổng số chi nhánh của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Số chi nhánh (bao gồm cả trụ sở chính) bị xử phạt (không bao gồm các trường hợp bị xử phạt vi phạm hành chính quy định tại điểm (ii) khoản b mục 4.1 phần I Phụ lục này) không vượt quá 15% tổng số chi nhánh của tổ chức tín dụng.</w:t>
            </w:r>
            <w:bookmarkEnd w:id="9"/>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4.2. Tổ chức tín dụng xếp loại C khi vi phạm một trong các trường hợp sau:</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a) Không nộp báo cáo giám sát, báo cáo xếp loại tổ chức tín dụng, báo cáo tài chính và các báo cáo khác để thực hiện </w:t>
            </w:r>
            <w:r w:rsidRPr="00B23984">
              <w:rPr>
                <w:rFonts w:ascii="Times New Roman" w:eastAsia="Cambria" w:hAnsi="Times New Roman" w:cs="Times New Roman"/>
                <w:bCs/>
                <w:sz w:val="24"/>
                <w:szCs w:val="24"/>
                <w:lang w:val="vi-VN"/>
              </w:rPr>
              <w:t>giám sát tài chính theo quy định hoặc nộp báo cáo không đúng quy định</w:t>
            </w:r>
            <w:r w:rsidRPr="00800295">
              <w:rPr>
                <w:rFonts w:ascii="Times New Roman" w:eastAsia="Cambria" w:hAnsi="Times New Roman" w:cs="Times New Roman"/>
                <w:bCs/>
                <w:sz w:val="24"/>
                <w:szCs w:val="24"/>
                <w:lang w:val="vi-VN"/>
              </w:rPr>
              <w:t>, đúng thời hạn bị cơ quan đại diện chủ sở hữu, cơ quan tài chính nhắc nhở bằng văn bản trên ba lần trong năm đánh giá đối với từng loại báo cáo;</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b) Bị các cơ quan có thẩm quyền xử phạt vi phạm hành chính bằng hình thức phạt tiền trong năm đánh giá đối với các hành vi:</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Các hành vi vi phạm trong lĩnh vực tiền tệ và ngân hàng gồm: lừa đảo, gian lận, giả mạo; nặc danh, mạo danh; chuyển nhượng, cho thuê, cho mượn giấy phép: phá hoại, hủy hoại tiền Việt Nam; hoạt động trái phép; cung cấp thông tin không trung thực; lấy cắp thông tin; đánh cắp dữ liệu theo quy định của Chính phủ về xử phạt vi phạm hành chính trong lĩnh vực tiền tệ và ngân hàng;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Các hành vi trốn thuế theo quy định của Chính phủ về xử phạt vi phạm hành chính về thuế, hóa đơn;</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lastRenderedPageBreak/>
              <w:t>- Các hành vi vi phạm khác: số chi nhánh (bao gồm cả trụ sở chính) bị xử phạt vượt quá 20% tổng số chi nhánh của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Bị cưỡng chế thi hành quyết định xử phạt vi phạm hành chính do không tự nguyện chấp hành.</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c) Số chi nhánh (bao gồm cả trụ sở chính) bị xử phạt (không bao gồm các trường hợp bị xử phạt vi phạm hành chính quy định tại điểm (ii) khoản b mục 4.1 phần I Phụ lục này) vượt quá 20% tổng số chi nhánh của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d) </w:t>
            </w:r>
            <w:bookmarkStart w:id="10" w:name="_Hlk186508264"/>
            <w:r w:rsidRPr="00800295">
              <w:rPr>
                <w:rFonts w:ascii="Times New Roman" w:eastAsia="Cambria" w:hAnsi="Times New Roman" w:cs="Times New Roman"/>
                <w:bCs/>
                <w:sz w:val="24"/>
                <w:szCs w:val="24"/>
                <w:lang w:val="vi-VN"/>
              </w:rPr>
              <w:t>Người quản lý tổ chức tín dụng vi phạm pháp luật trong quá trình thực thi nhiệm vụ tại tổ chức tín dụng thuộc một trong những lĩnh vực nêu tại điểm d khoản 1 Điều 31 Nghị định này theo công bố, kết luận của cơ quan thanh tra, kiểm tra có thẩm quyền hoặc đến mức bị truy cứu trách nhiệm hình sự. Việc đánh giá xếp loại tổ chức tín dụng chỉ tính 01 lần đối với cùng 01 vụ việc sai phạm của người quản lý tổ chức tín dụng.</w:t>
            </w:r>
          </w:p>
          <w:bookmarkEnd w:id="10"/>
          <w:p w:rsidR="00602E69" w:rsidRPr="00A00A97" w:rsidRDefault="00602E69" w:rsidP="00A00A97">
            <w:pPr>
              <w:tabs>
                <w:tab w:val="left" w:pos="143"/>
              </w:tabs>
              <w:ind w:firstLine="284"/>
              <w:jc w:val="both"/>
              <w:rPr>
                <w:rFonts w:ascii="Times New Roman" w:eastAsia="Cambria" w:hAnsi="Times New Roman" w:cs="Times New Roman"/>
                <w:b/>
                <w:bCs/>
                <w:sz w:val="24"/>
                <w:szCs w:val="24"/>
                <w:lang w:val="vi-VN"/>
              </w:rPr>
            </w:pPr>
            <w:r w:rsidRPr="00800295">
              <w:rPr>
                <w:rFonts w:ascii="Times New Roman" w:eastAsia="Cambria" w:hAnsi="Times New Roman" w:cs="Times New Roman"/>
                <w:bCs/>
                <w:sz w:val="24"/>
                <w:szCs w:val="24"/>
                <w:lang w:val="vi-VN"/>
              </w:rPr>
              <w:t>4.3. Tổ chức tín dụng xếp loại B là các tổ chức tín dụng còn lại không được xếp loại A hoặc loại C</w:t>
            </w:r>
            <w:r w:rsidRPr="00A00A97">
              <w:rPr>
                <w:rFonts w:ascii="Times New Roman" w:eastAsia="Cambria" w:hAnsi="Times New Roman" w:cs="Times New Roman"/>
                <w:bCs/>
                <w:sz w:val="24"/>
                <w:szCs w:val="24"/>
                <w:lang w:val="vi-VN"/>
              </w:rPr>
              <w:t>.</w:t>
            </w:r>
          </w:p>
        </w:tc>
        <w:tc>
          <w:tcPr>
            <w:tcW w:w="1813" w:type="pct"/>
          </w:tcPr>
          <w:p w:rsidR="00602E69" w:rsidRPr="00365B29" w:rsidRDefault="00602E69" w:rsidP="00602E69">
            <w:pPr>
              <w:tabs>
                <w:tab w:val="left" w:pos="143"/>
              </w:tabs>
              <w:ind w:firstLine="284"/>
              <w:jc w:val="both"/>
              <w:rPr>
                <w:rFonts w:ascii="Times New Roman" w:eastAsia="Cambria" w:hAnsi="Times New Roman" w:cs="Times New Roman"/>
                <w:b/>
                <w:bCs/>
                <w:sz w:val="24"/>
                <w:szCs w:val="24"/>
                <w:lang w:val="vi-VN"/>
              </w:rPr>
            </w:pPr>
            <w:r w:rsidRPr="00A00A97">
              <w:rPr>
                <w:rFonts w:ascii="Times New Roman" w:eastAsia="Cambria" w:hAnsi="Times New Roman" w:cs="Times New Roman"/>
                <w:b/>
                <w:bCs/>
                <w:sz w:val="24"/>
                <w:szCs w:val="24"/>
                <w:lang w:val="vi-VN"/>
              </w:rPr>
              <w:lastRenderedPageBreak/>
              <w:t xml:space="preserve">Điểm 4 mục I </w:t>
            </w:r>
            <w:r w:rsidRPr="00800295">
              <w:rPr>
                <w:rFonts w:ascii="Times New Roman" w:eastAsia="Cambria" w:hAnsi="Times New Roman" w:cs="Times New Roman"/>
                <w:b/>
                <w:bCs/>
                <w:sz w:val="24"/>
                <w:szCs w:val="24"/>
                <w:lang w:val="vi-VN"/>
              </w:rPr>
              <w:t>Phụ lục IV</w:t>
            </w:r>
            <w:r w:rsidRPr="00ED3329">
              <w:rPr>
                <w:rFonts w:ascii="Times New Roman" w:eastAsia="Cambria" w:hAnsi="Times New Roman" w:cs="Times New Roman"/>
                <w:b/>
                <w:bCs/>
                <w:sz w:val="24"/>
                <w:szCs w:val="24"/>
                <w:lang w:val="vi-VN"/>
              </w:rPr>
              <w:t xml:space="preserve"> - </w:t>
            </w:r>
            <w:r w:rsidRPr="00A00A97">
              <w:rPr>
                <w:rFonts w:ascii="Times New Roman" w:eastAsia="Cambria" w:hAnsi="Times New Roman" w:cs="Times New Roman"/>
                <w:b/>
                <w:bCs/>
                <w:sz w:val="24"/>
                <w:szCs w:val="24"/>
                <w:lang w:val="vi-VN"/>
              </w:rPr>
              <w:t>Phương thức đánh giá hiệu quả và xếp loại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4. Tiêu chí 4. Tình hình chấp hành pháp luật theo quy định tại điểm d khoản 1 Điều 31 Nghị định này.</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4.1. Tổ chức tín dụng xếp loại A khi đáp ứng tất cả các điều kiện sau:</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a) Trong năm đánh giá không bị cơ quan đại diện chủ sở hữu hoặc cơ quan tài chính nhắc nhở bằng văn bản hoặc bị nhắc nhở bằng văn bản không quá hai lần về việc nộp báo cáo giám sát, báo cáo xếp loại tổ chức tín dụng, báo cáo tài chính và các báo cáo khác để thực hiện </w:t>
            </w:r>
            <w:r w:rsidRPr="00B23984">
              <w:rPr>
                <w:rFonts w:ascii="Times New Roman" w:eastAsia="Cambria" w:hAnsi="Times New Roman" w:cs="Times New Roman"/>
                <w:bCs/>
                <w:sz w:val="24"/>
                <w:szCs w:val="24"/>
                <w:lang w:val="vi-VN"/>
              </w:rPr>
              <w:t>giám sát tài chính</w:t>
            </w:r>
            <w:r w:rsidRPr="00800295">
              <w:rPr>
                <w:rFonts w:ascii="Times New Roman" w:eastAsia="Cambria" w:hAnsi="Times New Roman" w:cs="Times New Roman"/>
                <w:bCs/>
                <w:sz w:val="24"/>
                <w:szCs w:val="24"/>
                <w:lang w:val="vi-VN"/>
              </w:rPr>
              <w:t xml:space="preserve"> không đúng quy định, không đúng hạn đối với từng loại báo cáo;</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b) Trong năm đánh giá không bị cơ quan có thẩm quyền xử phạt vi phạm hành chính; trường hợp bị xử phạt vi phạm hành chính thì phải đảm bảo:</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 Đối với các hành vi vi phạm trong lĩnh vực tiền tệ </w:t>
            </w:r>
            <w:r w:rsidRPr="00800295">
              <w:rPr>
                <w:rFonts w:ascii="Times New Roman" w:eastAsia="Cambria" w:hAnsi="Times New Roman" w:cs="Times New Roman"/>
                <w:bCs/>
                <w:sz w:val="24"/>
                <w:szCs w:val="24"/>
                <w:lang w:val="vi-VN"/>
              </w:rPr>
              <w:lastRenderedPageBreak/>
              <w:t>và ngân hàng: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Không bị cơ quan có thẩm quyền xử phạt vi phạm hành chính đối với các hành vi lừa đảo, gian lận, giả mạo; nặc danh, mạo danh; chuyển nhượng, cho thuê, cho mượn giấy phép; phá hoại, hủy hoại tiền Việt Nam; hoạt động kinh doanh trái phép; cung cấp thông tin không trung thực; lấy cắp thông tin; đánh cắp dữ liệu theo quy định của Chính phủ về xử phạt vi phạm hành chính trong lĩnh vực tiền tệ và ngân hàng;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Đối với các hành vi vi phạm còn lại bị cơ quan có thẩm quyền xử phạt vi phạm hành chính: số chi nhánh (bao gồm cả trụ sở chính) bị xử phạt không vượt quá 10% tổng số chi nhánh của tổ chức tín dụng;</w:t>
            </w:r>
          </w:p>
          <w:p w:rsidR="00602E69" w:rsidRPr="00A00A97" w:rsidRDefault="00602E69" w:rsidP="00A00A97">
            <w:pPr>
              <w:tabs>
                <w:tab w:val="left" w:pos="143"/>
              </w:tabs>
              <w:ind w:firstLine="284"/>
              <w:jc w:val="both"/>
              <w:rPr>
                <w:rFonts w:ascii="Times New Roman" w:eastAsia="Cambria" w:hAnsi="Times New Roman" w:cs="Times New Roman"/>
                <w:bCs/>
                <w:strike/>
                <w:sz w:val="24"/>
                <w:szCs w:val="24"/>
                <w:lang w:val="vi-VN"/>
              </w:rPr>
            </w:pPr>
            <w:r w:rsidRPr="00A00A97">
              <w:rPr>
                <w:rFonts w:ascii="Times New Roman" w:eastAsia="Cambria" w:hAnsi="Times New Roman" w:cs="Times New Roman"/>
                <w:bCs/>
                <w:strike/>
                <w:sz w:val="24"/>
                <w:szCs w:val="24"/>
                <w:lang w:val="vi-VN"/>
              </w:rPr>
              <w:t>- Đối với các hành vi vi phạm trong lĩnh vực thuế, hóa đơn:</w:t>
            </w:r>
          </w:p>
          <w:p w:rsidR="00602E69" w:rsidRPr="00A00A97" w:rsidRDefault="00602E69" w:rsidP="00A00A97">
            <w:pPr>
              <w:tabs>
                <w:tab w:val="left" w:pos="143"/>
              </w:tabs>
              <w:ind w:firstLine="284"/>
              <w:jc w:val="both"/>
              <w:rPr>
                <w:rFonts w:ascii="Times New Roman" w:eastAsia="Cambria" w:hAnsi="Times New Roman" w:cs="Times New Roman"/>
                <w:bCs/>
                <w:strike/>
                <w:sz w:val="24"/>
                <w:szCs w:val="24"/>
                <w:lang w:val="vi-VN"/>
              </w:rPr>
            </w:pPr>
            <w:r w:rsidRPr="00A00A97">
              <w:rPr>
                <w:rFonts w:ascii="Times New Roman" w:eastAsia="Cambria" w:hAnsi="Times New Roman" w:cs="Times New Roman"/>
                <w:bCs/>
                <w:strike/>
                <w:sz w:val="24"/>
                <w:szCs w:val="24"/>
                <w:lang w:val="vi-VN"/>
              </w:rPr>
              <w:t xml:space="preserve">+ Không bị cơ quan có thẩm quyền xử phạt vi phạm hành chính đối với hành vi trốn thuế theo quy định của Chính phủ. </w:t>
            </w:r>
          </w:p>
          <w:p w:rsidR="00602E69" w:rsidRPr="00A00A97" w:rsidRDefault="00602E69" w:rsidP="00A00A97">
            <w:pPr>
              <w:tabs>
                <w:tab w:val="left" w:pos="143"/>
              </w:tabs>
              <w:ind w:firstLine="284"/>
              <w:jc w:val="both"/>
              <w:rPr>
                <w:rFonts w:ascii="Times New Roman" w:eastAsia="Cambria" w:hAnsi="Times New Roman" w:cs="Times New Roman"/>
                <w:bCs/>
                <w:strike/>
                <w:sz w:val="24"/>
                <w:szCs w:val="24"/>
                <w:lang w:val="vi-VN"/>
              </w:rPr>
            </w:pPr>
            <w:r w:rsidRPr="00A00A97">
              <w:rPr>
                <w:rFonts w:ascii="Times New Roman" w:eastAsia="Cambria" w:hAnsi="Times New Roman" w:cs="Times New Roman"/>
                <w:bCs/>
                <w:strike/>
                <w:sz w:val="24"/>
                <w:szCs w:val="24"/>
                <w:lang w:val="vi-VN"/>
              </w:rPr>
              <w:t xml:space="preserve">+ Đối với các hành vi vi phạm hành chính còn lại bị cơ quan có thẩm quyền xử phạt vi phạm hành chính: </w:t>
            </w:r>
          </w:p>
          <w:p w:rsidR="00602E69" w:rsidRPr="00A00A97" w:rsidRDefault="00602E69" w:rsidP="00A00A97">
            <w:pPr>
              <w:tabs>
                <w:tab w:val="left" w:pos="143"/>
              </w:tabs>
              <w:ind w:firstLine="284"/>
              <w:jc w:val="both"/>
              <w:rPr>
                <w:rFonts w:ascii="Times New Roman" w:eastAsia="Cambria" w:hAnsi="Times New Roman" w:cs="Times New Roman"/>
                <w:bCs/>
                <w:strike/>
                <w:sz w:val="24"/>
                <w:szCs w:val="24"/>
                <w:lang w:val="vi-VN"/>
              </w:rPr>
            </w:pPr>
            <w:r w:rsidRPr="00A00A97">
              <w:rPr>
                <w:rFonts w:ascii="Times New Roman" w:eastAsia="Cambria" w:hAnsi="Times New Roman" w:cs="Times New Roman"/>
                <w:bCs/>
                <w:strike/>
                <w:sz w:val="24"/>
                <w:szCs w:val="24"/>
                <w:lang w:val="vi-VN"/>
              </w:rPr>
              <w:t xml:space="preserve">(i) Vi phạm hành chính về hóa đơn, thủ tục thuế: số chi nhánh (bao gồm cả trụ sở chính) bị xử phạt không vượt quá 10% tổng số chi nhánh của tổ chức tín dụng; </w:t>
            </w:r>
          </w:p>
          <w:p w:rsidR="00602E69" w:rsidRPr="00A00A97" w:rsidRDefault="00602E69" w:rsidP="00A00A97">
            <w:pPr>
              <w:tabs>
                <w:tab w:val="left" w:pos="143"/>
              </w:tabs>
              <w:ind w:firstLine="284"/>
              <w:jc w:val="both"/>
              <w:rPr>
                <w:rFonts w:ascii="Times New Roman" w:eastAsia="Cambria" w:hAnsi="Times New Roman" w:cs="Times New Roman"/>
                <w:bCs/>
                <w:strike/>
                <w:sz w:val="24"/>
                <w:szCs w:val="24"/>
                <w:lang w:val="vi-VN"/>
              </w:rPr>
            </w:pPr>
            <w:r w:rsidRPr="00A00A97">
              <w:rPr>
                <w:rFonts w:ascii="Times New Roman" w:eastAsia="Cambria" w:hAnsi="Times New Roman" w:cs="Times New Roman"/>
                <w:bCs/>
                <w:strike/>
                <w:sz w:val="24"/>
                <w:szCs w:val="24"/>
                <w:lang w:val="vi-VN"/>
              </w:rPr>
              <w:t xml:space="preserve">(ii) Vi phạm hành chính đối với hành vi khai sai dẫn đến thiếu số tiền thuế phải nộp hoặc tăng số tiền thuế được miễn, giảm, hoàn mà sau khi phát hiện hoặc bị phát hiện đã thực hiện nộp đủ số tiền thuế khai thiếu vào ngân sách nhà nước trước thời điểm cơ quan có thẩm quyền ra quyết định xử phạt và hạch toán kế toán đầy đủ theo quy định; </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A00A97">
              <w:rPr>
                <w:rFonts w:ascii="Times New Roman" w:eastAsia="Cambria" w:hAnsi="Times New Roman" w:cs="Times New Roman"/>
                <w:bCs/>
                <w:strike/>
                <w:sz w:val="24"/>
                <w:szCs w:val="24"/>
                <w:lang w:val="vi-VN"/>
              </w:rPr>
              <w:t xml:space="preserve">(iii) Vi phạm hành chính đối với hành vi không thực hiện trách nhiệm trích chuyển tiền từ tài khoản của người nộp thuế vào tài khoản của ngân sách nhà nước theo yêu cầu của cơ quan thuế mà sau khi phát hiện hoặc bị phát hiện đã thực hiện trích chuyển tiền từ tài </w:t>
            </w:r>
            <w:r w:rsidRPr="00A00A97">
              <w:rPr>
                <w:rFonts w:ascii="Times New Roman" w:eastAsia="Cambria" w:hAnsi="Times New Roman" w:cs="Times New Roman"/>
                <w:bCs/>
                <w:strike/>
                <w:sz w:val="24"/>
                <w:szCs w:val="24"/>
                <w:lang w:val="vi-VN"/>
              </w:rPr>
              <w:lastRenderedPageBreak/>
              <w:t>khoản của người nộp thuế vào tài khoản của ngân sách nhà nước trước thời điểm cơ quan có thẩm quyền ra quyết định xử phạt.</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Đối với hành vi vi phạm khác bị cơ quan có thẩm quyền xử phạt vi phạm hành chính: số chi nhánh (bao gồm cả trụ sở chính) bị xử phạt không vượt quá 10% tổng số chi nhánh của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 Số chi nhánh (bao gồm cả trụ sở chính) bị xử phạt </w:t>
            </w:r>
            <w:r w:rsidRPr="000B3E2E">
              <w:rPr>
                <w:rFonts w:ascii="Times New Roman" w:eastAsia="Cambria" w:hAnsi="Times New Roman" w:cs="Times New Roman"/>
                <w:bCs/>
                <w:strike/>
                <w:sz w:val="24"/>
                <w:szCs w:val="24"/>
                <w:lang w:val="vi-VN"/>
              </w:rPr>
              <w:t xml:space="preserve">(không bao gồm các trường hợp bị xử phạt vi phạm hành chính quy định tại điểm (ii) khoản b mục 4.1 phần I Phụ lục này) </w:t>
            </w:r>
            <w:r w:rsidRPr="00800295">
              <w:rPr>
                <w:rFonts w:ascii="Times New Roman" w:eastAsia="Cambria" w:hAnsi="Times New Roman" w:cs="Times New Roman"/>
                <w:bCs/>
                <w:sz w:val="24"/>
                <w:szCs w:val="24"/>
                <w:lang w:val="vi-VN"/>
              </w:rPr>
              <w:t>không vượt quá 15% tổng số chi nhánh của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4.2. Tổ chức tín dụng xếp loại C khi vi phạm một trong các trường hợp sau:</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a) Không nộp báo cáo giám sát, báo cáo </w:t>
            </w:r>
            <w:r w:rsidRPr="000B3E2E">
              <w:rPr>
                <w:rFonts w:ascii="Times New Roman" w:eastAsia="Cambria" w:hAnsi="Times New Roman" w:cs="Times New Roman"/>
                <w:bCs/>
                <w:spacing w:val="-2"/>
                <w:sz w:val="24"/>
                <w:szCs w:val="24"/>
                <w:lang w:val="vi-VN"/>
              </w:rPr>
              <w:t>xếp loại tổ chức tín dụng, báo cáo tài chính và các báo cáo khác để thực hiện giám sát tài chính theo quy định hoặc nộp báo cáo không đúng quy định, đúng thời hạn bị cơ quan đại diện chủ sở hữu, cơ quan tài chính nhắc nhở bằng văn bản trên ba lần trong năm đánh giá đối với từng loại báo cáo;</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b) Bị các cơ quan có thẩm quyền xử phạt vi phạm hành chính bằng hình thức phạt tiền trong năm đánh giá đối với các hành vi:</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Các hành vi vi phạm trong lĩnh vực tiền tệ và ngân hàng gồm: lừa đảo, gian lận, giả mạo; nặc danh, mạo danh; chuyển nhượng, cho thuê, cho mượn giấy phép: phá hoại, hủy hoại tiền Việt Nam; hoạt động trái phép; cung cấp thông tin không trung thực; lấy cắp thông tin; đánh cắp dữ liệu theo quy định của Chính phủ về xử phạt vi phạm hành chính trong lĩnh vực tiền tệ và ngân hàng;</w:t>
            </w:r>
          </w:p>
          <w:p w:rsidR="00602E69" w:rsidRPr="000B3E2E" w:rsidRDefault="00602E69" w:rsidP="00A00A97">
            <w:pPr>
              <w:tabs>
                <w:tab w:val="left" w:pos="143"/>
              </w:tabs>
              <w:ind w:firstLine="284"/>
              <w:jc w:val="both"/>
              <w:rPr>
                <w:rFonts w:ascii="Times New Roman" w:eastAsia="Cambria" w:hAnsi="Times New Roman" w:cs="Times New Roman"/>
                <w:bCs/>
                <w:strike/>
                <w:sz w:val="24"/>
                <w:szCs w:val="24"/>
                <w:lang w:val="vi-VN"/>
              </w:rPr>
            </w:pPr>
            <w:r w:rsidRPr="000B3E2E">
              <w:rPr>
                <w:rFonts w:ascii="Times New Roman" w:eastAsia="Cambria" w:hAnsi="Times New Roman" w:cs="Times New Roman"/>
                <w:bCs/>
                <w:strike/>
                <w:sz w:val="24"/>
                <w:szCs w:val="24"/>
                <w:lang w:val="vi-VN"/>
              </w:rPr>
              <w:t>- Các hành vi trốn thuế theo quy định của Chính phủ về xử phạt vi phạm hành chính về thuế, hóa đơn;</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 Các hành vi vi phạm khác: số chi nhánh (bao gồm </w:t>
            </w:r>
            <w:r w:rsidRPr="00800295">
              <w:rPr>
                <w:rFonts w:ascii="Times New Roman" w:eastAsia="Cambria" w:hAnsi="Times New Roman" w:cs="Times New Roman"/>
                <w:bCs/>
                <w:sz w:val="24"/>
                <w:szCs w:val="24"/>
                <w:lang w:val="vi-VN"/>
              </w:rPr>
              <w:lastRenderedPageBreak/>
              <w:t>cả trụ sở chính) bị xử phạt vượt quá 20% tổng số chi nhánh của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Bị cưỡng chế thi hành quyết định xử phạt vi phạm hành chính do không tự nguyện chấp hành.</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 xml:space="preserve">c) Số chi nhánh (bao gồm cả trụ sở chính) bị xử phạt </w:t>
            </w:r>
            <w:r w:rsidRPr="000B3E2E">
              <w:rPr>
                <w:rFonts w:ascii="Times New Roman" w:eastAsia="Cambria" w:hAnsi="Times New Roman" w:cs="Times New Roman"/>
                <w:bCs/>
                <w:strike/>
                <w:sz w:val="24"/>
                <w:szCs w:val="24"/>
                <w:lang w:val="vi-VN"/>
              </w:rPr>
              <w:t xml:space="preserve">(không bao gồm các trường hợp bị xử phạt vi phạm hành chính quy định tại điểm (ii) khoản b mục 4.1 phần I Phụ lục này) </w:t>
            </w:r>
            <w:r w:rsidRPr="00800295">
              <w:rPr>
                <w:rFonts w:ascii="Times New Roman" w:eastAsia="Cambria" w:hAnsi="Times New Roman" w:cs="Times New Roman"/>
                <w:bCs/>
                <w:sz w:val="24"/>
                <w:szCs w:val="24"/>
                <w:lang w:val="vi-VN"/>
              </w:rPr>
              <w:t>vượt quá 20% tổng số chi nhánh của tổ chức tín dụng;</w:t>
            </w:r>
          </w:p>
          <w:p w:rsidR="00602E69" w:rsidRPr="00800295" w:rsidRDefault="00602E69" w:rsidP="00A00A97">
            <w:pPr>
              <w:tabs>
                <w:tab w:val="left" w:pos="143"/>
              </w:tabs>
              <w:ind w:firstLine="284"/>
              <w:jc w:val="both"/>
              <w:rPr>
                <w:rFonts w:ascii="Times New Roman" w:eastAsia="Cambria" w:hAnsi="Times New Roman" w:cs="Times New Roman"/>
                <w:bCs/>
                <w:sz w:val="24"/>
                <w:szCs w:val="24"/>
                <w:lang w:val="vi-VN"/>
              </w:rPr>
            </w:pPr>
            <w:r w:rsidRPr="00800295">
              <w:rPr>
                <w:rFonts w:ascii="Times New Roman" w:eastAsia="Cambria" w:hAnsi="Times New Roman" w:cs="Times New Roman"/>
                <w:bCs/>
                <w:sz w:val="24"/>
                <w:szCs w:val="24"/>
                <w:lang w:val="vi-VN"/>
              </w:rPr>
              <w:t>d) Người quản lý tổ chức tín dụng vi phạm pháp luật trong quá trình thực thi nhiệm vụ tại tổ chức tín dụng thuộc một trong những lĩnh vực nêu tại điểm d khoản 1 Điều 31 Nghị định này theo công bố, kết luận của cơ quan thanh tra, kiểm tra có thẩm quyền hoặc đến mức bị truy cứu trách nhiệm hình sự. Việc đánh giá xếp loại tổ chức tín dụng chỉ tính 01 lần đối với cùng 01 vụ việc sai phạm của người quản lý tổ chức tín dụng.</w:t>
            </w:r>
          </w:p>
          <w:p w:rsidR="00602E69" w:rsidRPr="00A118A2" w:rsidRDefault="00602E69" w:rsidP="00A00A97">
            <w:pPr>
              <w:tabs>
                <w:tab w:val="left" w:pos="143"/>
              </w:tabs>
              <w:ind w:firstLine="284"/>
              <w:jc w:val="both"/>
              <w:rPr>
                <w:rFonts w:ascii="Times New Roman" w:eastAsia="Cambria" w:hAnsi="Times New Roman" w:cs="Times New Roman"/>
                <w:b/>
                <w:bCs/>
                <w:sz w:val="24"/>
                <w:szCs w:val="24"/>
                <w:lang w:val="vi-VN"/>
              </w:rPr>
            </w:pPr>
            <w:r w:rsidRPr="00800295">
              <w:rPr>
                <w:rFonts w:ascii="Times New Roman" w:eastAsia="Cambria" w:hAnsi="Times New Roman" w:cs="Times New Roman"/>
                <w:bCs/>
                <w:sz w:val="24"/>
                <w:szCs w:val="24"/>
                <w:lang w:val="vi-VN"/>
              </w:rPr>
              <w:t>4.3. Tổ chức tín dụng xếp loại B là các tổ chức tín dụng còn lại không được xếp loại A hoặc loại C</w:t>
            </w:r>
            <w:r w:rsidRPr="00A00A97">
              <w:rPr>
                <w:rFonts w:ascii="Times New Roman" w:eastAsia="Cambria" w:hAnsi="Times New Roman" w:cs="Times New Roman"/>
                <w:bCs/>
                <w:sz w:val="24"/>
                <w:szCs w:val="24"/>
                <w:lang w:val="vi-VN"/>
              </w:rPr>
              <w:t>.</w:t>
            </w:r>
          </w:p>
        </w:tc>
        <w:tc>
          <w:tcPr>
            <w:tcW w:w="1430" w:type="pct"/>
          </w:tcPr>
          <w:p w:rsidR="00602E69" w:rsidRPr="000B3E2E" w:rsidRDefault="00602E69" w:rsidP="000B3E2E">
            <w:pPr>
              <w:tabs>
                <w:tab w:val="left" w:pos="143"/>
              </w:tabs>
              <w:ind w:firstLine="314"/>
              <w:jc w:val="both"/>
              <w:rPr>
                <w:rFonts w:ascii="Times New Roman" w:eastAsia="Cambria" w:hAnsi="Times New Roman" w:cs="Times New Roman"/>
                <w:bCs/>
                <w:sz w:val="24"/>
                <w:szCs w:val="24"/>
                <w:lang w:val="vi-VN"/>
              </w:rPr>
            </w:pPr>
            <w:r w:rsidRPr="000B3E2E">
              <w:rPr>
                <w:rFonts w:ascii="Times New Roman" w:eastAsia="Cambria" w:hAnsi="Times New Roman" w:cs="Times New Roman"/>
                <w:bCs/>
                <w:sz w:val="24"/>
                <w:szCs w:val="24"/>
                <w:lang w:val="vi-VN"/>
              </w:rPr>
              <w:lastRenderedPageBreak/>
              <w:t>Phụ lục IV được sửa lại trên cơ sở nguyên tắc bỏ nội dung chấp hành pháp luật về thuế và các khoản thu nộp NSNN tương tự như doanh nghiệp nhà nước đã thuyết minh tại Điều 31.</w:t>
            </w:r>
          </w:p>
        </w:tc>
      </w:tr>
      <w:tr w:rsidR="00DB49B8" w:rsidRPr="008A118E" w:rsidTr="00DB49B8">
        <w:trPr>
          <w:trHeight w:val="296"/>
        </w:trPr>
        <w:tc>
          <w:tcPr>
            <w:tcW w:w="5000" w:type="pct"/>
            <w:gridSpan w:val="3"/>
          </w:tcPr>
          <w:p w:rsidR="00DB49B8" w:rsidRPr="00516AFA" w:rsidRDefault="00516AFA" w:rsidP="00516AFA">
            <w:pPr>
              <w:tabs>
                <w:tab w:val="left" w:pos="143"/>
              </w:tabs>
              <w:spacing w:before="40" w:after="40"/>
              <w:jc w:val="both"/>
              <w:rPr>
                <w:rFonts w:eastAsia="Cambria" w:cs="Times New Roman"/>
                <w:b/>
                <w:spacing w:val="-3"/>
                <w:sz w:val="24"/>
                <w:szCs w:val="24"/>
                <w:lang w:val="vi-VN"/>
              </w:rPr>
            </w:pPr>
            <w:r w:rsidRPr="00516AFA">
              <w:rPr>
                <w:rFonts w:ascii="Times New Roman Bold" w:eastAsia="Cambria" w:hAnsi="Times New Roman Bold" w:cs="Times New Roman"/>
                <w:b/>
                <w:spacing w:val="-3"/>
                <w:sz w:val="24"/>
                <w:szCs w:val="24"/>
                <w:lang w:val="vi-VN"/>
              </w:rPr>
              <w:lastRenderedPageBreak/>
              <w:t xml:space="preserve">II. </w:t>
            </w:r>
            <w:r w:rsidR="00DB49B8" w:rsidRPr="00516AFA">
              <w:rPr>
                <w:rFonts w:ascii="Times New Roman Bold" w:eastAsia="Cambria" w:hAnsi="Times New Roman Bold" w:cs="Times New Roman"/>
                <w:b/>
                <w:spacing w:val="-3"/>
                <w:sz w:val="24"/>
                <w:szCs w:val="24"/>
                <w:lang w:val="vi-VN"/>
              </w:rPr>
              <w:t>Thay thế cụm từ “pháp luật về quản lý, sử dụng vốn nhà nước đầu tư vào sản xuất, kinh doanh tại doanh nghiệp” bằng cụm từ “pháp luật về quản lý và đầu tư vốn nhà nước tại doanh nghiệp”</w:t>
            </w:r>
            <w:r w:rsidRPr="00516AFA">
              <w:rPr>
                <w:rFonts w:eastAsia="Cambria" w:cs="Times New Roman"/>
                <w:b/>
                <w:spacing w:val="-3"/>
                <w:sz w:val="24"/>
                <w:szCs w:val="24"/>
                <w:lang w:val="vi-VN"/>
              </w:rPr>
              <w:t xml:space="preserve"> </w:t>
            </w:r>
            <w:r w:rsidRPr="00516AFA">
              <w:rPr>
                <w:rFonts w:ascii="Times New Roman Bold" w:eastAsia="Cambria" w:hAnsi="Times New Roman Bold" w:cs="Times New Roman"/>
                <w:b/>
                <w:spacing w:val="-3"/>
                <w:sz w:val="24"/>
                <w:szCs w:val="24"/>
                <w:lang w:val="vi-VN"/>
              </w:rPr>
              <w:t>tại một số điều, khoản, điểm</w:t>
            </w:r>
          </w:p>
        </w:tc>
      </w:tr>
      <w:tr w:rsidR="00602E69" w:rsidRPr="008A118E" w:rsidTr="001551D6">
        <w:trPr>
          <w:trHeight w:val="296"/>
        </w:trPr>
        <w:tc>
          <w:tcPr>
            <w:tcW w:w="1757" w:type="pct"/>
          </w:tcPr>
          <w:p w:rsidR="00602E69" w:rsidRPr="00602E69" w:rsidRDefault="00602E69" w:rsidP="00F14365">
            <w:pPr>
              <w:ind w:firstLine="319"/>
              <w:jc w:val="both"/>
              <w:rPr>
                <w:rFonts w:ascii="Times New Roman" w:eastAsia="Cambria" w:hAnsi="Times New Roman" w:cs="Times New Roman"/>
                <w:b/>
                <w:sz w:val="24"/>
                <w:szCs w:val="24"/>
                <w:lang w:val="vi-VN"/>
              </w:rPr>
            </w:pPr>
            <w:r w:rsidRPr="00FC245D">
              <w:rPr>
                <w:rFonts w:ascii="Times New Roman" w:eastAsia="Cambria" w:hAnsi="Times New Roman" w:cs="Times New Roman"/>
                <w:b/>
                <w:sz w:val="24"/>
                <w:szCs w:val="24"/>
                <w:lang w:val="vi-VN"/>
              </w:rPr>
              <w:t>K</w:t>
            </w:r>
            <w:r w:rsidRPr="00DB49B8">
              <w:rPr>
                <w:rFonts w:ascii="Times New Roman" w:eastAsia="Cambria" w:hAnsi="Times New Roman" w:cs="Times New Roman"/>
                <w:b/>
                <w:sz w:val="24"/>
                <w:szCs w:val="24"/>
                <w:lang w:val="vi-VN"/>
              </w:rPr>
              <w:t>hoản 1, khoản 3 Điều 5</w:t>
            </w:r>
            <w:r w:rsidRPr="00602E69">
              <w:rPr>
                <w:rFonts w:ascii="Times New Roman" w:eastAsia="Cambria" w:hAnsi="Times New Roman" w:cs="Times New Roman"/>
                <w:b/>
                <w:sz w:val="24"/>
                <w:szCs w:val="24"/>
                <w:lang w:val="vi-VN"/>
              </w:rPr>
              <w:t xml:space="preserve"> về s</w:t>
            </w:r>
            <w:r w:rsidRPr="00DB49B8">
              <w:rPr>
                <w:rFonts w:ascii="Times New Roman" w:eastAsia="Cambria" w:hAnsi="Times New Roman" w:cs="Times New Roman"/>
                <w:b/>
                <w:sz w:val="24"/>
                <w:szCs w:val="24"/>
                <w:lang w:val="vi-VN"/>
              </w:rPr>
              <w:t>ử dụng vốn, tài sản của tổ chức tín dụng, chi nhánh ngân hàng nước ngoài</w:t>
            </w:r>
          </w:p>
          <w:p w:rsidR="00602E69" w:rsidRPr="00AB1797" w:rsidRDefault="00602E69" w:rsidP="00F14365">
            <w:pPr>
              <w:ind w:firstLine="319"/>
              <w:jc w:val="both"/>
              <w:rPr>
                <w:rFonts w:ascii="Times New Roman" w:eastAsia="Cambria" w:hAnsi="Times New Roman" w:cs="Times New Roman"/>
                <w:spacing w:val="-2"/>
                <w:sz w:val="24"/>
                <w:szCs w:val="24"/>
                <w:lang w:val="vi-VN"/>
              </w:rPr>
            </w:pPr>
            <w:r w:rsidRPr="00AB1797">
              <w:rPr>
                <w:rFonts w:ascii="Times New Roman" w:eastAsia="Cambria" w:hAnsi="Times New Roman" w:cs="Times New Roman"/>
                <w:spacing w:val="-2"/>
                <w:sz w:val="24"/>
                <w:szCs w:val="24"/>
                <w:lang w:val="vi-VN"/>
              </w:rPr>
              <w:t>1. Tổ chức tín dụng, chi nhánh ngân hàng nước ngoài được sử dụng vốn để kinh doanh theo quy định của Luật Các tổ chức tín dụng và các quy định khác của pháp luật có liên quan. Đối với tổ chức tín dụng do Nhà nước nắm giữ 100% vốn điều lệ và tổ chức tín dụng có vốn nhà nước còn phải thực hiện theo quy định pháp luật về quản lý, sử dụng vốn nhà nước đầu tư vào sản xuất, kinh doanh tại doanh nghiệp.</w:t>
            </w:r>
          </w:p>
          <w:p w:rsidR="00602E69" w:rsidRPr="00AB1797" w:rsidRDefault="00602E69" w:rsidP="00F14365">
            <w:pPr>
              <w:ind w:firstLine="319"/>
              <w:jc w:val="both"/>
              <w:rPr>
                <w:rFonts w:ascii="Times New Roman" w:eastAsia="Cambria" w:hAnsi="Times New Roman" w:cs="Times New Roman"/>
                <w:spacing w:val="-2"/>
                <w:sz w:val="24"/>
                <w:szCs w:val="24"/>
                <w:lang w:val="vi-VN"/>
              </w:rPr>
            </w:pPr>
            <w:r w:rsidRPr="00AB1797">
              <w:rPr>
                <w:rFonts w:ascii="Times New Roman" w:eastAsia="Cambria" w:hAnsi="Times New Roman" w:cs="Times New Roman"/>
                <w:spacing w:val="-2"/>
                <w:sz w:val="24"/>
                <w:szCs w:val="24"/>
                <w:lang w:val="vi-VN"/>
              </w:rPr>
              <w:t xml:space="preserve">3. Tổ chức tín dụng, chi nhánh ngân hàng nước </w:t>
            </w:r>
            <w:r w:rsidRPr="00AB1797">
              <w:rPr>
                <w:rFonts w:ascii="Times New Roman" w:eastAsia="Cambria" w:hAnsi="Times New Roman" w:cs="Times New Roman"/>
                <w:spacing w:val="-2"/>
                <w:sz w:val="24"/>
                <w:szCs w:val="24"/>
                <w:lang w:val="vi-VN"/>
              </w:rPr>
              <w:lastRenderedPageBreak/>
              <w:t>ngoài được mua, đầu tư tài sản cố định phục vụ trực tiếp cho hoạt động của mình theo quy định tại khoản 3 Điều 144 Luật Các tổ chức tín dụng. Đối với tổ chức tín dụng do Nhà nước nắm giữ 100% vốn điều lệ và tổ chức tín dụng có vốn nhà nước, việc mua, đầu tư tài sản cố định còn phải thực hiện theo quy định pháp luật về quản lý, sử dụng vốn nhà nước đầu tư vào sản xuất, kinh doanh tại doanh nghiệp.</w:t>
            </w:r>
          </w:p>
          <w:p w:rsidR="00602E69" w:rsidRPr="00FC245D" w:rsidRDefault="00602E69" w:rsidP="00DB49B8">
            <w:pPr>
              <w:ind w:firstLine="319"/>
              <w:jc w:val="both"/>
              <w:rPr>
                <w:rFonts w:ascii="Times New Roman" w:eastAsia="Cambria" w:hAnsi="Times New Roman" w:cs="Times New Roman"/>
                <w:sz w:val="24"/>
                <w:szCs w:val="24"/>
                <w:lang w:val="vi-VN"/>
              </w:rPr>
            </w:pPr>
            <w:bookmarkStart w:id="11" w:name="_Hlk179446528"/>
            <w:r w:rsidRPr="00AB1797">
              <w:rPr>
                <w:rFonts w:ascii="Times New Roman" w:eastAsia="Cambria" w:hAnsi="Times New Roman" w:cs="Times New Roman"/>
                <w:sz w:val="24"/>
                <w:szCs w:val="24"/>
                <w:lang w:val="vi-VN"/>
              </w:rPr>
              <w:t xml:space="preserve">Việc điều động vốn, tài sản giữa các chi nhánh </w:t>
            </w:r>
            <w:bookmarkEnd w:id="11"/>
            <w:r w:rsidRPr="00AB1797">
              <w:rPr>
                <w:rFonts w:ascii="Times New Roman" w:eastAsia="Cambria" w:hAnsi="Times New Roman" w:cs="Times New Roman"/>
                <w:sz w:val="24"/>
                <w:szCs w:val="24"/>
                <w:lang w:val="vi-VN"/>
              </w:rPr>
              <w:t>của tổ chức tín dụng được thực hiện theo quy chế nội bộ của tổ chức tín dụng.</w:t>
            </w:r>
          </w:p>
        </w:tc>
        <w:tc>
          <w:tcPr>
            <w:tcW w:w="1813" w:type="pct"/>
          </w:tcPr>
          <w:p w:rsidR="00602E69" w:rsidRPr="00602E69" w:rsidRDefault="00602E69" w:rsidP="00CA7ECF">
            <w:pPr>
              <w:tabs>
                <w:tab w:val="left" w:pos="143"/>
              </w:tabs>
              <w:ind w:firstLine="284"/>
              <w:jc w:val="both"/>
              <w:rPr>
                <w:rFonts w:ascii="Times New Roman" w:eastAsia="Cambria" w:hAnsi="Times New Roman" w:cs="Times New Roman"/>
                <w:b/>
                <w:bCs/>
                <w:sz w:val="24"/>
                <w:szCs w:val="24"/>
                <w:lang w:val="vi-VN"/>
              </w:rPr>
            </w:pPr>
            <w:r w:rsidRPr="00FC245D">
              <w:rPr>
                <w:rFonts w:ascii="Times New Roman" w:eastAsia="Cambria" w:hAnsi="Times New Roman" w:cs="Times New Roman"/>
                <w:b/>
                <w:bCs/>
                <w:sz w:val="24"/>
                <w:szCs w:val="24"/>
                <w:lang w:val="vi-VN"/>
              </w:rPr>
              <w:lastRenderedPageBreak/>
              <w:t>K</w:t>
            </w:r>
            <w:r w:rsidRPr="00516AFA">
              <w:rPr>
                <w:rFonts w:ascii="Times New Roman" w:eastAsia="Cambria" w:hAnsi="Times New Roman" w:cs="Times New Roman"/>
                <w:b/>
                <w:bCs/>
                <w:sz w:val="24"/>
                <w:szCs w:val="24"/>
                <w:lang w:val="vi-VN"/>
              </w:rPr>
              <w:t>hoản 1, khoản 3 Điều 5</w:t>
            </w:r>
            <w:r w:rsidRPr="00602E69">
              <w:rPr>
                <w:rFonts w:ascii="Times New Roman" w:eastAsia="Cambria" w:hAnsi="Times New Roman" w:cs="Times New Roman"/>
                <w:b/>
                <w:bCs/>
                <w:sz w:val="24"/>
                <w:szCs w:val="24"/>
                <w:lang w:val="vi-VN"/>
              </w:rPr>
              <w:t xml:space="preserve"> </w:t>
            </w:r>
            <w:r w:rsidRPr="00602E69">
              <w:rPr>
                <w:rFonts w:ascii="Times New Roman" w:eastAsia="Cambria" w:hAnsi="Times New Roman" w:cs="Times New Roman"/>
                <w:b/>
                <w:sz w:val="24"/>
                <w:szCs w:val="24"/>
                <w:lang w:val="vi-VN"/>
              </w:rPr>
              <w:t>về s</w:t>
            </w:r>
            <w:r w:rsidRPr="00DB49B8">
              <w:rPr>
                <w:rFonts w:ascii="Times New Roman" w:eastAsia="Cambria" w:hAnsi="Times New Roman" w:cs="Times New Roman"/>
                <w:b/>
                <w:sz w:val="24"/>
                <w:szCs w:val="24"/>
                <w:lang w:val="vi-VN"/>
              </w:rPr>
              <w:t>ử dụng vốn, tài sản của tổ chức tín dụng, chi nhánh ngân hàng nước ngoài</w:t>
            </w:r>
          </w:p>
          <w:p w:rsidR="00602E69" w:rsidRPr="00D65704" w:rsidRDefault="00602E69" w:rsidP="00CA7ECF">
            <w:pPr>
              <w:tabs>
                <w:tab w:val="left" w:pos="143"/>
              </w:tabs>
              <w:ind w:firstLine="284"/>
              <w:jc w:val="both"/>
              <w:rPr>
                <w:rFonts w:ascii="Times New Roman" w:eastAsia="Cambria" w:hAnsi="Times New Roman" w:cs="Times New Roman"/>
                <w:bCs/>
                <w:sz w:val="24"/>
                <w:szCs w:val="24"/>
                <w:lang w:val="vi-VN"/>
              </w:rPr>
            </w:pPr>
            <w:r w:rsidRPr="00D65704">
              <w:rPr>
                <w:rFonts w:ascii="Times New Roman" w:eastAsia="Cambria" w:hAnsi="Times New Roman" w:cs="Times New Roman"/>
                <w:bCs/>
                <w:sz w:val="24"/>
                <w:szCs w:val="24"/>
                <w:lang w:val="vi-VN"/>
              </w:rPr>
              <w:t xml:space="preserve">1. Tổ chức tín dụng, chi nhánh ngân hàng nước ngoài được sử dụng vốn để kinh doanh theo quy định của Luật Các tổ chức tín dụng và các quy định khác của pháp luật có liên quan. Đối với tổ chức tín dụng do Nhà nước nắm giữ 100% vốn điều lệ và tổ chức tín dụng có vốn nhà nước còn phải thực hiện theo quy định pháp luật về </w:t>
            </w:r>
            <w:r w:rsidRPr="00D65704">
              <w:rPr>
                <w:rFonts w:ascii="Times New Roman" w:eastAsia="Cambria" w:hAnsi="Times New Roman" w:cs="Times New Roman"/>
                <w:bCs/>
                <w:strike/>
                <w:sz w:val="24"/>
                <w:szCs w:val="24"/>
                <w:lang w:val="vi-VN"/>
              </w:rPr>
              <w:t xml:space="preserve">quản lý, sử dụng vốn nhà nước đầu tư vào sản xuất, kinh doanh tại doanh nghiệp </w:t>
            </w:r>
            <w:r w:rsidRPr="00D65704">
              <w:rPr>
                <w:rFonts w:ascii="Times New Roman" w:eastAsia="Cambria" w:hAnsi="Times New Roman" w:cs="Times New Roman"/>
                <w:b/>
                <w:bCs/>
                <w:sz w:val="24"/>
                <w:szCs w:val="24"/>
                <w:lang w:val="vi-VN"/>
              </w:rPr>
              <w:t>quản lý và đầu tư vốn nhà nước tại doanh nghiệp</w:t>
            </w:r>
            <w:r w:rsidRPr="00D65704">
              <w:rPr>
                <w:rFonts w:ascii="Times New Roman" w:eastAsia="Cambria" w:hAnsi="Times New Roman" w:cs="Times New Roman"/>
                <w:bCs/>
                <w:sz w:val="24"/>
                <w:szCs w:val="24"/>
                <w:lang w:val="vi-VN"/>
              </w:rPr>
              <w:t>.</w:t>
            </w:r>
          </w:p>
          <w:p w:rsidR="00602E69" w:rsidRPr="003E7016" w:rsidRDefault="00602E69" w:rsidP="00CA7ECF">
            <w:pPr>
              <w:tabs>
                <w:tab w:val="left" w:pos="143"/>
              </w:tabs>
              <w:ind w:firstLine="284"/>
              <w:jc w:val="both"/>
              <w:rPr>
                <w:rFonts w:ascii="Times New Roman" w:eastAsia="Cambria" w:hAnsi="Times New Roman" w:cs="Times New Roman"/>
                <w:bCs/>
                <w:spacing w:val="-4"/>
                <w:sz w:val="24"/>
                <w:szCs w:val="24"/>
                <w:lang w:val="vi-VN"/>
              </w:rPr>
            </w:pPr>
            <w:r w:rsidRPr="003E7016">
              <w:rPr>
                <w:rFonts w:ascii="Times New Roman" w:eastAsia="Cambria" w:hAnsi="Times New Roman" w:cs="Times New Roman"/>
                <w:bCs/>
                <w:spacing w:val="-4"/>
                <w:sz w:val="24"/>
                <w:szCs w:val="24"/>
                <w:lang w:val="vi-VN"/>
              </w:rPr>
              <w:lastRenderedPageBreak/>
              <w:t xml:space="preserve">3. Tổ chức tín dụng, chi nhánh ngân hàng nước ngoài được mua, đầu tư tài sản cố định phục vụ trực tiếp cho hoạt động của mình theo quy định tại khoản 3 Điều 144 Luật Các tổ chức tín dụng. Đối với tổ chức tín dụng do Nhà nước nắm giữ 100% vốn điều lệ và tổ chức tín dụng có vốn nhà nước, việc mua, đầu tư tài sản cố định còn phải thực hiện theo quy định pháp luật về </w:t>
            </w:r>
            <w:r w:rsidRPr="003E7016">
              <w:rPr>
                <w:rFonts w:ascii="Times New Roman" w:eastAsia="Cambria" w:hAnsi="Times New Roman" w:cs="Times New Roman"/>
                <w:bCs/>
                <w:strike/>
                <w:spacing w:val="-4"/>
                <w:sz w:val="24"/>
                <w:szCs w:val="24"/>
                <w:lang w:val="vi-VN"/>
              </w:rPr>
              <w:t>quản lý, sử dụng vốn nhà nước đầu tư vào sản xuất, kinh doanh tại doanh nghiệp</w:t>
            </w:r>
            <w:r w:rsidRPr="003E7016">
              <w:rPr>
                <w:rFonts w:ascii="Times New Roman" w:eastAsia="Cambria" w:hAnsi="Times New Roman" w:cs="Times New Roman"/>
                <w:bCs/>
                <w:spacing w:val="-4"/>
                <w:sz w:val="24"/>
                <w:szCs w:val="24"/>
                <w:lang w:val="vi-VN"/>
              </w:rPr>
              <w:t xml:space="preserve"> </w:t>
            </w:r>
            <w:r w:rsidRPr="003E7016">
              <w:rPr>
                <w:rFonts w:ascii="Times New Roman" w:eastAsia="Cambria" w:hAnsi="Times New Roman" w:cs="Times New Roman"/>
                <w:b/>
                <w:bCs/>
                <w:spacing w:val="-4"/>
                <w:sz w:val="24"/>
                <w:szCs w:val="24"/>
                <w:lang w:val="vi-VN"/>
              </w:rPr>
              <w:t>quản lý và đầu tư vốn nhà nước tại doanh nghiệp</w:t>
            </w:r>
            <w:r w:rsidRPr="003E7016">
              <w:rPr>
                <w:rFonts w:ascii="Times New Roman" w:eastAsia="Cambria" w:hAnsi="Times New Roman" w:cs="Times New Roman"/>
                <w:bCs/>
                <w:spacing w:val="-4"/>
                <w:sz w:val="24"/>
                <w:szCs w:val="24"/>
                <w:lang w:val="vi-VN"/>
              </w:rPr>
              <w:t>.</w:t>
            </w:r>
          </w:p>
          <w:p w:rsidR="00602E69" w:rsidRPr="00FC245D" w:rsidRDefault="00602E69" w:rsidP="00DB49B8">
            <w:pPr>
              <w:tabs>
                <w:tab w:val="left" w:pos="143"/>
              </w:tabs>
              <w:ind w:firstLine="284"/>
              <w:jc w:val="both"/>
              <w:rPr>
                <w:rFonts w:ascii="Times New Roman" w:eastAsia="Cambria" w:hAnsi="Times New Roman" w:cs="Times New Roman"/>
                <w:bCs/>
                <w:sz w:val="24"/>
                <w:szCs w:val="24"/>
                <w:lang w:val="vi-VN"/>
              </w:rPr>
            </w:pPr>
            <w:r w:rsidRPr="00CA7ECF">
              <w:rPr>
                <w:rFonts w:ascii="Times New Roman" w:eastAsia="Cambria" w:hAnsi="Times New Roman" w:cs="Times New Roman"/>
                <w:bCs/>
                <w:sz w:val="24"/>
                <w:szCs w:val="24"/>
                <w:lang w:val="vi-VN"/>
              </w:rPr>
              <w:t>Việc điều động vốn, tài sản giữa các chi nhánh của tổ chức tín dụng được thực hiện theo quy chế nội bộ của tổ chức tín dụng.</w:t>
            </w:r>
          </w:p>
        </w:tc>
        <w:tc>
          <w:tcPr>
            <w:tcW w:w="1430" w:type="pct"/>
          </w:tcPr>
          <w:p w:rsidR="00602E69" w:rsidRPr="00C070A2" w:rsidRDefault="00602E69" w:rsidP="003B0CD7">
            <w:pPr>
              <w:tabs>
                <w:tab w:val="left" w:pos="143"/>
              </w:tabs>
              <w:ind w:firstLine="314"/>
              <w:jc w:val="both"/>
              <w:rPr>
                <w:rFonts w:ascii="Times New Roman" w:eastAsia="Cambria" w:hAnsi="Times New Roman" w:cs="Times New Roman"/>
                <w:bCs/>
                <w:sz w:val="24"/>
                <w:szCs w:val="24"/>
                <w:lang w:val="vi-VN"/>
              </w:rPr>
            </w:pPr>
            <w:r w:rsidRPr="00C070A2">
              <w:rPr>
                <w:rFonts w:ascii="Times New Roman" w:eastAsia="Cambria" w:hAnsi="Times New Roman" w:cs="Times New Roman"/>
                <w:bCs/>
                <w:sz w:val="24"/>
                <w:szCs w:val="24"/>
                <w:lang w:val="vi-VN"/>
              </w:rPr>
              <w:lastRenderedPageBreak/>
              <w:t xml:space="preserve">Sửa đổi cụm từ </w:t>
            </w:r>
            <w:r w:rsidRPr="00C070A2">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C070A2">
              <w:rPr>
                <w:rFonts w:ascii="Times New Roman" w:eastAsia="Cambria" w:hAnsi="Times New Roman" w:cs="Times New Roman"/>
                <w:bCs/>
                <w:sz w:val="24"/>
                <w:szCs w:val="24"/>
                <w:lang w:val="vi-VN"/>
              </w:rPr>
              <w:t xml:space="preserve"> thành </w:t>
            </w:r>
            <w:r w:rsidRPr="00C070A2">
              <w:rPr>
                <w:rFonts w:ascii="Times New Roman" w:eastAsia="Cambria" w:hAnsi="Times New Roman" w:cs="Times New Roman"/>
                <w:bCs/>
                <w:i/>
                <w:sz w:val="24"/>
                <w:szCs w:val="24"/>
                <w:lang w:val="vi-VN"/>
              </w:rPr>
              <w:t>“pháp luật về quản lý và đầu tư vốn nhà nước tại doanh nghiệp”</w:t>
            </w:r>
            <w:r w:rsidRPr="00C070A2">
              <w:rPr>
                <w:rFonts w:ascii="Times New Roman" w:eastAsia="Cambria" w:hAnsi="Times New Roman" w:cs="Times New Roman"/>
                <w:bCs/>
                <w:sz w:val="24"/>
                <w:szCs w:val="24"/>
                <w:lang w:val="vi-VN"/>
              </w:rPr>
              <w:t xml:space="preserve"> để phù hợp với tên Luật 68.</w:t>
            </w:r>
          </w:p>
          <w:p w:rsidR="00602E69" w:rsidRPr="00736049" w:rsidRDefault="00602E69" w:rsidP="003B0CD7">
            <w:pPr>
              <w:tabs>
                <w:tab w:val="left" w:pos="143"/>
              </w:tabs>
              <w:ind w:firstLine="314"/>
              <w:jc w:val="both"/>
              <w:rPr>
                <w:rFonts w:ascii="Times New Roman" w:eastAsia="Cambria" w:hAnsi="Times New Roman" w:cs="Times New Roman"/>
                <w:bCs/>
                <w:sz w:val="24"/>
                <w:szCs w:val="24"/>
                <w:lang w:val="vi-VN"/>
              </w:rPr>
            </w:pPr>
          </w:p>
        </w:tc>
      </w:tr>
      <w:tr w:rsidR="00602E69" w:rsidRPr="008A118E" w:rsidTr="001551D6">
        <w:trPr>
          <w:trHeight w:val="296"/>
        </w:trPr>
        <w:tc>
          <w:tcPr>
            <w:tcW w:w="1757" w:type="pct"/>
          </w:tcPr>
          <w:p w:rsidR="00602E69" w:rsidRPr="00602E69" w:rsidRDefault="00602E69" w:rsidP="00CA7ECF">
            <w:pPr>
              <w:ind w:firstLine="319"/>
              <w:jc w:val="both"/>
              <w:rPr>
                <w:rFonts w:ascii="Times New Roman" w:eastAsia="Cambria" w:hAnsi="Times New Roman" w:cs="Times New Roman"/>
                <w:b/>
                <w:sz w:val="24"/>
                <w:szCs w:val="24"/>
                <w:lang w:val="vi-VN"/>
              </w:rPr>
            </w:pPr>
            <w:r w:rsidRPr="00FC245D">
              <w:rPr>
                <w:rFonts w:ascii="Times New Roman" w:eastAsia="Cambria" w:hAnsi="Times New Roman" w:cs="Times New Roman"/>
                <w:b/>
                <w:sz w:val="24"/>
                <w:szCs w:val="24"/>
                <w:lang w:val="vi-VN"/>
              </w:rPr>
              <w:lastRenderedPageBreak/>
              <w:t>Khoản 2 Điều 6</w:t>
            </w:r>
            <w:r w:rsidRPr="00602E69">
              <w:rPr>
                <w:rFonts w:ascii="Times New Roman" w:eastAsia="Cambria" w:hAnsi="Times New Roman" w:cs="Times New Roman"/>
                <w:b/>
                <w:sz w:val="24"/>
                <w:szCs w:val="24"/>
                <w:lang w:val="vi-VN"/>
              </w:rPr>
              <w:t xml:space="preserve"> về g</w:t>
            </w:r>
            <w:r w:rsidRPr="00516AFA">
              <w:rPr>
                <w:rFonts w:ascii="Times New Roman" w:eastAsia="Cambria" w:hAnsi="Times New Roman" w:cs="Times New Roman"/>
                <w:b/>
                <w:sz w:val="24"/>
                <w:szCs w:val="24"/>
                <w:lang w:val="vi-VN"/>
              </w:rPr>
              <w:t>óp vốn, mua, bán, chuyển nhượng cổ phần, phần vốn góp của tổ chức tín dụng</w:t>
            </w:r>
          </w:p>
          <w:p w:rsidR="00602E69" w:rsidRPr="00516AFA" w:rsidRDefault="00602E69" w:rsidP="00CA7ECF">
            <w:pPr>
              <w:ind w:firstLine="319"/>
              <w:jc w:val="both"/>
              <w:rPr>
                <w:rFonts w:ascii="Times New Roman" w:eastAsia="Cambria" w:hAnsi="Times New Roman" w:cs="Times New Roman"/>
                <w:b/>
                <w:spacing w:val="-2"/>
                <w:sz w:val="24"/>
                <w:szCs w:val="24"/>
                <w:lang w:val="vi-VN"/>
              </w:rPr>
            </w:pPr>
            <w:r w:rsidRPr="00516AFA">
              <w:rPr>
                <w:rFonts w:ascii="Times New Roman" w:eastAsia="Cambria" w:hAnsi="Times New Roman" w:cs="Times New Roman"/>
                <w:spacing w:val="-2"/>
                <w:sz w:val="24"/>
                <w:szCs w:val="24"/>
                <w:lang w:val="vi-VN"/>
              </w:rPr>
              <w:t>2. Thẩm quyền quyết định phương án góp vốn, mua, bán, chuyển nhượng cổ phần, phần vốn góp của tổ chức tín dụng thực hiện theo quy định của </w:t>
            </w:r>
            <w:hyperlink r:id="rId8" w:tgtFrame="_blank" w:history="1">
              <w:r w:rsidRPr="00516AFA">
                <w:rPr>
                  <w:rFonts w:ascii="Times New Roman" w:eastAsia="Cambria" w:hAnsi="Times New Roman" w:cs="Times New Roman"/>
                  <w:spacing w:val="-2"/>
                  <w:sz w:val="24"/>
                  <w:szCs w:val="24"/>
                  <w:lang w:val="vi-VN"/>
                </w:rPr>
                <w:t>Luật Các tổ chức tín dụng</w:t>
              </w:r>
            </w:hyperlink>
            <w:r w:rsidRPr="00516AFA">
              <w:rPr>
                <w:rFonts w:ascii="Times New Roman" w:eastAsia="Cambria" w:hAnsi="Times New Roman" w:cs="Times New Roman"/>
                <w:spacing w:val="-2"/>
                <w:sz w:val="24"/>
                <w:szCs w:val="24"/>
                <w:lang w:val="vi-VN"/>
              </w:rPr>
              <w:t>, các quy định khác của pháp luật có liên quan và Điều lệ của tổ chức tín dụng. Đối với tổ chức tín dụng do Nhà nước nắm giữ 100% vốn điều lệ và tổ chức tín dụng có vốn nhà nước còn phải tuân thủ quy định pháp luật về quản lý, sử dụng vốn nhà nước đầu tư vào sản xuất, kinh doanh tại doanh nghiệp.</w:t>
            </w:r>
          </w:p>
        </w:tc>
        <w:tc>
          <w:tcPr>
            <w:tcW w:w="1813" w:type="pct"/>
          </w:tcPr>
          <w:p w:rsidR="00602E69" w:rsidRPr="00602E69" w:rsidRDefault="00602E69" w:rsidP="00516AFA">
            <w:pPr>
              <w:ind w:firstLine="319"/>
              <w:jc w:val="both"/>
              <w:rPr>
                <w:rFonts w:ascii="Times New Roman" w:eastAsia="Cambria" w:hAnsi="Times New Roman" w:cs="Times New Roman"/>
                <w:b/>
                <w:bCs/>
                <w:sz w:val="24"/>
                <w:szCs w:val="24"/>
                <w:lang w:val="vi-VN"/>
              </w:rPr>
            </w:pPr>
            <w:r w:rsidRPr="00516AFA">
              <w:rPr>
                <w:rFonts w:ascii="Times New Roman" w:eastAsia="Cambria" w:hAnsi="Times New Roman" w:cs="Times New Roman"/>
                <w:b/>
                <w:bCs/>
                <w:sz w:val="24"/>
                <w:szCs w:val="24"/>
                <w:lang w:val="vi-VN"/>
              </w:rPr>
              <w:t>Khoản 2 Điều 6</w:t>
            </w:r>
            <w:r w:rsidRPr="00602E69">
              <w:rPr>
                <w:rFonts w:ascii="Times New Roman" w:eastAsia="Cambria" w:hAnsi="Times New Roman" w:cs="Times New Roman"/>
                <w:b/>
                <w:bCs/>
                <w:sz w:val="24"/>
                <w:szCs w:val="24"/>
                <w:lang w:val="vi-VN"/>
              </w:rPr>
              <w:t xml:space="preserve"> về </w:t>
            </w:r>
            <w:r w:rsidRPr="00602E69">
              <w:rPr>
                <w:rFonts w:ascii="Times New Roman" w:eastAsia="Cambria" w:hAnsi="Times New Roman" w:cs="Times New Roman"/>
                <w:b/>
                <w:sz w:val="24"/>
                <w:szCs w:val="24"/>
                <w:lang w:val="vi-VN"/>
              </w:rPr>
              <w:t>g</w:t>
            </w:r>
            <w:r w:rsidRPr="00516AFA">
              <w:rPr>
                <w:rFonts w:ascii="Times New Roman" w:eastAsia="Cambria" w:hAnsi="Times New Roman" w:cs="Times New Roman"/>
                <w:b/>
                <w:sz w:val="24"/>
                <w:szCs w:val="24"/>
                <w:lang w:val="vi-VN"/>
              </w:rPr>
              <w:t>óp vốn, mua, bán, chuyển nhượng cổ phần, phần vốn góp của tổ chức tín dụng</w:t>
            </w:r>
          </w:p>
          <w:p w:rsidR="00602E69" w:rsidRPr="00F14365" w:rsidRDefault="00602E69" w:rsidP="00C070A2">
            <w:pPr>
              <w:ind w:firstLine="319"/>
              <w:jc w:val="both"/>
              <w:rPr>
                <w:rFonts w:ascii="Times New Roman" w:eastAsia="Cambria" w:hAnsi="Times New Roman" w:cs="Times New Roman"/>
                <w:b/>
                <w:bCs/>
                <w:sz w:val="24"/>
                <w:szCs w:val="24"/>
                <w:lang w:val="vi-VN"/>
              </w:rPr>
            </w:pPr>
            <w:r w:rsidRPr="00AB1797">
              <w:rPr>
                <w:rFonts w:ascii="Times New Roman" w:eastAsia="Cambria" w:hAnsi="Times New Roman" w:cs="Times New Roman"/>
                <w:sz w:val="24"/>
                <w:szCs w:val="24"/>
                <w:lang w:val="vi-VN"/>
              </w:rPr>
              <w:t>2. Thẩm quyền quyết định phương án góp vốn, mua, bán, chuyển nhượng cổ phần, phần vốn góp của tổ chức tín dụng thực hiện theo quy định của </w:t>
            </w:r>
            <w:hyperlink r:id="rId9" w:tgtFrame="_blank" w:history="1">
              <w:r w:rsidRPr="00AB1797">
                <w:rPr>
                  <w:rFonts w:ascii="Times New Roman" w:eastAsia="Cambria" w:hAnsi="Times New Roman" w:cs="Times New Roman"/>
                  <w:sz w:val="24"/>
                  <w:szCs w:val="24"/>
                  <w:lang w:val="vi-VN"/>
                </w:rPr>
                <w:t>Luật Các tổ chức tín dụng</w:t>
              </w:r>
            </w:hyperlink>
            <w:r w:rsidRPr="00AB1797">
              <w:rPr>
                <w:rFonts w:ascii="Times New Roman" w:eastAsia="Cambria" w:hAnsi="Times New Roman" w:cs="Times New Roman"/>
                <w:sz w:val="24"/>
                <w:szCs w:val="24"/>
                <w:lang w:val="vi-VN"/>
              </w:rPr>
              <w:t xml:space="preserve">, các quy định khác của pháp luật có liên quan và Điều lệ của tổ chức tín dụng. Đối với tổ chức tín dụng do Nhà nước nắm giữ 100% vốn điều lệ và tổ chức tín dụng có vốn nhà nước còn phải tuân thủ quy định pháp luật về </w:t>
            </w:r>
            <w:r w:rsidRPr="00C070A2">
              <w:rPr>
                <w:rFonts w:ascii="Times New Roman" w:eastAsia="Cambria" w:hAnsi="Times New Roman" w:cs="Times New Roman"/>
                <w:bCs/>
                <w:strike/>
                <w:sz w:val="24"/>
                <w:szCs w:val="24"/>
                <w:lang w:val="vi-VN"/>
              </w:rPr>
              <w:t>quản lý, sử dụng vốn nhà nước đầu tư vào sản xuất, kinh doanh tại doanh nghiệp</w:t>
            </w:r>
            <w:r w:rsidRPr="00C070A2">
              <w:rPr>
                <w:rFonts w:ascii="Times New Roman" w:eastAsia="Cambria" w:hAnsi="Times New Roman" w:cs="Times New Roman"/>
                <w:bCs/>
                <w:sz w:val="24"/>
                <w:szCs w:val="24"/>
                <w:lang w:val="vi-VN"/>
              </w:rPr>
              <w:t xml:space="preserve"> </w:t>
            </w:r>
            <w:r w:rsidRPr="00C070A2">
              <w:rPr>
                <w:rFonts w:ascii="Times New Roman" w:eastAsia="Cambria" w:hAnsi="Times New Roman" w:cs="Times New Roman"/>
                <w:b/>
                <w:bCs/>
                <w:sz w:val="24"/>
                <w:szCs w:val="24"/>
                <w:lang w:val="vi-VN"/>
              </w:rPr>
              <w:t>quản lý và đầu tư vốn nhà nước tại doanh nghiệp</w:t>
            </w:r>
            <w:r w:rsidRPr="00AB1797">
              <w:rPr>
                <w:rFonts w:ascii="Times New Roman" w:eastAsia="Cambria" w:hAnsi="Times New Roman" w:cs="Times New Roman"/>
                <w:sz w:val="24"/>
                <w:szCs w:val="24"/>
                <w:lang w:val="vi-VN"/>
              </w:rPr>
              <w:t>.</w:t>
            </w:r>
          </w:p>
        </w:tc>
        <w:tc>
          <w:tcPr>
            <w:tcW w:w="1430" w:type="pct"/>
          </w:tcPr>
          <w:p w:rsidR="00602E69" w:rsidRPr="00F14365" w:rsidRDefault="00602E69" w:rsidP="003B0CD7">
            <w:pPr>
              <w:tabs>
                <w:tab w:val="left" w:pos="143"/>
              </w:tabs>
              <w:ind w:firstLine="314"/>
              <w:jc w:val="both"/>
              <w:rPr>
                <w:rFonts w:ascii="Times New Roman" w:eastAsia="Cambria" w:hAnsi="Times New Roman" w:cs="Times New Roman"/>
                <w:bCs/>
                <w:sz w:val="24"/>
                <w:szCs w:val="24"/>
                <w:lang w:val="vi-VN"/>
              </w:rPr>
            </w:pPr>
            <w:r w:rsidRPr="00C070A2">
              <w:rPr>
                <w:rFonts w:ascii="Times New Roman" w:eastAsia="Cambria" w:hAnsi="Times New Roman" w:cs="Times New Roman"/>
                <w:bCs/>
                <w:sz w:val="24"/>
                <w:szCs w:val="24"/>
                <w:lang w:val="vi-VN"/>
              </w:rPr>
              <w:t xml:space="preserve">Sửa đổi cụm từ </w:t>
            </w:r>
            <w:r w:rsidRPr="00C070A2">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C070A2">
              <w:rPr>
                <w:rFonts w:ascii="Times New Roman" w:eastAsia="Cambria" w:hAnsi="Times New Roman" w:cs="Times New Roman"/>
                <w:bCs/>
                <w:sz w:val="24"/>
                <w:szCs w:val="24"/>
                <w:lang w:val="vi-VN"/>
              </w:rPr>
              <w:t xml:space="preserve"> thành </w:t>
            </w:r>
            <w:r w:rsidRPr="00C070A2">
              <w:rPr>
                <w:rFonts w:ascii="Times New Roman" w:eastAsia="Cambria" w:hAnsi="Times New Roman" w:cs="Times New Roman"/>
                <w:bCs/>
                <w:i/>
                <w:sz w:val="24"/>
                <w:szCs w:val="24"/>
                <w:lang w:val="vi-VN"/>
              </w:rPr>
              <w:t>“pháp luật về quản lý và đầu tư vốn nhà nước tại doanh nghiệp”</w:t>
            </w:r>
            <w:r w:rsidRPr="00C070A2">
              <w:rPr>
                <w:rFonts w:ascii="Times New Roman" w:eastAsia="Cambria" w:hAnsi="Times New Roman" w:cs="Times New Roman"/>
                <w:bCs/>
                <w:sz w:val="24"/>
                <w:szCs w:val="24"/>
                <w:lang w:val="vi-VN"/>
              </w:rPr>
              <w:t xml:space="preserve"> để phù hợp với tên Luật 68.</w:t>
            </w:r>
          </w:p>
        </w:tc>
      </w:tr>
      <w:tr w:rsidR="00602E69" w:rsidRPr="008A118E" w:rsidTr="001551D6">
        <w:trPr>
          <w:trHeight w:val="296"/>
        </w:trPr>
        <w:tc>
          <w:tcPr>
            <w:tcW w:w="1757" w:type="pct"/>
          </w:tcPr>
          <w:p w:rsidR="00602E69" w:rsidRPr="00602E69" w:rsidRDefault="00602E69" w:rsidP="00ED3329">
            <w:pPr>
              <w:ind w:firstLine="319"/>
              <w:jc w:val="both"/>
              <w:rPr>
                <w:rFonts w:ascii="Times New Roman" w:eastAsia="Cambria" w:hAnsi="Times New Roman" w:cs="Times New Roman"/>
                <w:b/>
                <w:sz w:val="24"/>
                <w:szCs w:val="24"/>
                <w:lang w:val="vi-VN"/>
              </w:rPr>
            </w:pPr>
            <w:r w:rsidRPr="00FC245D">
              <w:rPr>
                <w:rFonts w:ascii="Times New Roman" w:eastAsia="Cambria" w:hAnsi="Times New Roman" w:cs="Times New Roman"/>
                <w:b/>
                <w:sz w:val="24"/>
                <w:szCs w:val="24"/>
                <w:lang w:val="vi-VN"/>
              </w:rPr>
              <w:t>Điều 10</w:t>
            </w:r>
            <w:r w:rsidRPr="00602E69">
              <w:rPr>
                <w:rFonts w:ascii="Times New Roman" w:eastAsia="Cambria" w:hAnsi="Times New Roman" w:cs="Times New Roman"/>
                <w:b/>
                <w:sz w:val="24"/>
                <w:szCs w:val="24"/>
                <w:lang w:val="vi-VN"/>
              </w:rPr>
              <w:t xml:space="preserve"> về c</w:t>
            </w:r>
            <w:r w:rsidRPr="00516AFA">
              <w:rPr>
                <w:rFonts w:ascii="Times New Roman" w:eastAsia="Cambria" w:hAnsi="Times New Roman" w:cs="Times New Roman"/>
                <w:b/>
                <w:sz w:val="24"/>
                <w:szCs w:val="24"/>
                <w:lang w:val="vi-VN"/>
              </w:rPr>
              <w:t>ho thuê tài sản</w:t>
            </w:r>
          </w:p>
          <w:p w:rsidR="00602E69" w:rsidRPr="00C070A2" w:rsidRDefault="00602E69" w:rsidP="00ED3329">
            <w:pPr>
              <w:ind w:firstLine="319"/>
              <w:jc w:val="both"/>
              <w:rPr>
                <w:rFonts w:ascii="Times New Roman" w:eastAsia="Cambria" w:hAnsi="Times New Roman" w:cs="Times New Roman"/>
                <w:b/>
                <w:sz w:val="24"/>
                <w:szCs w:val="24"/>
                <w:lang w:val="vi-VN"/>
              </w:rPr>
            </w:pPr>
            <w:r w:rsidRPr="00AB1797">
              <w:rPr>
                <w:rFonts w:ascii="Times New Roman" w:eastAsia="Cambria" w:hAnsi="Times New Roman" w:cs="Times New Roman"/>
                <w:sz w:val="24"/>
                <w:szCs w:val="24"/>
                <w:lang w:val="vi-VN"/>
              </w:rPr>
              <w:t>Tổ chức tín dụng, chi nhánh ngân hàng nước ngoài được cho thuê các tài sản thuộc quyền quản lý, sử dụng của tổ chức tín dụng, chi nhánh ngân hàng nước ngoài theo quy định của pháp luật và quy chế tài chính, quy chế nội bộ của tổ chức tín dụng, chi nhánh ngân hàng nước ngoài. Đối với tổ chức tín dụng do Nhà nước nắm giữ 100% vốn điều lệ, việc cho thuê tài sản còn phải thực hiện theo quy định pháp luật về quản lý, sử dụng vốn nhà nước đầu tư vào sản xuất, kinh doanh tại doanh nghiệp.</w:t>
            </w:r>
          </w:p>
        </w:tc>
        <w:tc>
          <w:tcPr>
            <w:tcW w:w="1813" w:type="pct"/>
          </w:tcPr>
          <w:p w:rsidR="00602E69" w:rsidRPr="00602E69" w:rsidRDefault="00602E69" w:rsidP="00ED3329">
            <w:pPr>
              <w:tabs>
                <w:tab w:val="left" w:pos="143"/>
              </w:tabs>
              <w:ind w:firstLine="284"/>
              <w:jc w:val="both"/>
              <w:rPr>
                <w:rFonts w:ascii="Times New Roman" w:eastAsia="Cambria" w:hAnsi="Times New Roman" w:cs="Times New Roman"/>
                <w:b/>
                <w:bCs/>
                <w:sz w:val="24"/>
                <w:szCs w:val="24"/>
                <w:lang w:val="vi-VN"/>
              </w:rPr>
            </w:pPr>
            <w:r w:rsidRPr="00AB1797">
              <w:rPr>
                <w:rFonts w:ascii="Times New Roman" w:eastAsia="Cambria" w:hAnsi="Times New Roman" w:cs="Times New Roman"/>
                <w:b/>
                <w:bCs/>
                <w:sz w:val="24"/>
                <w:szCs w:val="24"/>
                <w:lang w:val="vi-VN"/>
              </w:rPr>
              <w:t>Điều 10</w:t>
            </w:r>
            <w:r w:rsidRPr="00602E69">
              <w:rPr>
                <w:rFonts w:ascii="Times New Roman" w:eastAsia="Cambria" w:hAnsi="Times New Roman" w:cs="Times New Roman"/>
                <w:b/>
                <w:bCs/>
                <w:sz w:val="24"/>
                <w:szCs w:val="24"/>
                <w:lang w:val="vi-VN"/>
              </w:rPr>
              <w:t xml:space="preserve"> </w:t>
            </w:r>
            <w:r w:rsidRPr="00602E69">
              <w:rPr>
                <w:rFonts w:ascii="Times New Roman" w:eastAsia="Cambria" w:hAnsi="Times New Roman" w:cs="Times New Roman"/>
                <w:b/>
                <w:sz w:val="24"/>
                <w:szCs w:val="24"/>
                <w:lang w:val="vi-VN"/>
              </w:rPr>
              <w:t>về c</w:t>
            </w:r>
            <w:r w:rsidRPr="00516AFA">
              <w:rPr>
                <w:rFonts w:ascii="Times New Roman" w:eastAsia="Cambria" w:hAnsi="Times New Roman" w:cs="Times New Roman"/>
                <w:b/>
                <w:sz w:val="24"/>
                <w:szCs w:val="24"/>
                <w:lang w:val="vi-VN"/>
              </w:rPr>
              <w:t>ho thuê tài sản</w:t>
            </w:r>
          </w:p>
          <w:p w:rsidR="00602E69" w:rsidRPr="008A118E" w:rsidRDefault="00602E69" w:rsidP="00ED3329">
            <w:pPr>
              <w:tabs>
                <w:tab w:val="left" w:pos="143"/>
              </w:tabs>
              <w:ind w:firstLine="284"/>
              <w:jc w:val="both"/>
              <w:rPr>
                <w:rFonts w:ascii="Times New Roman" w:eastAsia="Cambria" w:hAnsi="Times New Roman" w:cs="Times New Roman"/>
                <w:bCs/>
                <w:sz w:val="24"/>
                <w:szCs w:val="24"/>
                <w:lang w:val="vi-VN"/>
              </w:rPr>
            </w:pPr>
            <w:r w:rsidRPr="008A118E">
              <w:rPr>
                <w:rFonts w:ascii="Times New Roman" w:eastAsia="Cambria" w:hAnsi="Times New Roman" w:cs="Times New Roman"/>
                <w:bCs/>
                <w:sz w:val="24"/>
                <w:szCs w:val="24"/>
                <w:lang w:val="vi-VN"/>
              </w:rPr>
              <w:t xml:space="preserve">Tổ chức tín dụng, chi nhánh ngân hàng nước ngoài được cho thuê các tài sản thuộc quyền quản lý, sử dụng của tổ chức tín dụng, chi nhánh ngân hàng nước ngoài theo quy định của pháp luật và quy chế tài chính, quy chế nội bộ của tổ chức tín dụng, chi nhánh ngân hàng nước ngoài. Đối với tổ chức tín dụng do Nhà nước nắm giữ 100% vốn điều lệ, việc cho thuê tài sản còn phải thực hiện theo quy định pháp luật về </w:t>
            </w:r>
            <w:r w:rsidRPr="008A118E">
              <w:rPr>
                <w:rFonts w:ascii="Times New Roman" w:eastAsia="Cambria" w:hAnsi="Times New Roman" w:cs="Times New Roman"/>
                <w:bCs/>
                <w:strike/>
                <w:sz w:val="24"/>
                <w:szCs w:val="24"/>
                <w:lang w:val="vi-VN"/>
              </w:rPr>
              <w:t>quản lý, sử dụng vốn nhà nước đầu tư vào sản xuất, kinh doanh tại doanh nghiệp</w:t>
            </w:r>
            <w:r w:rsidRPr="008A118E">
              <w:rPr>
                <w:rFonts w:ascii="Times New Roman" w:eastAsia="Cambria" w:hAnsi="Times New Roman" w:cs="Times New Roman"/>
                <w:bCs/>
                <w:sz w:val="24"/>
                <w:szCs w:val="24"/>
                <w:lang w:val="vi-VN"/>
              </w:rPr>
              <w:t xml:space="preserve"> </w:t>
            </w:r>
            <w:r w:rsidRPr="008A118E">
              <w:rPr>
                <w:rFonts w:ascii="Times New Roman" w:eastAsia="Cambria" w:hAnsi="Times New Roman" w:cs="Times New Roman"/>
                <w:b/>
                <w:bCs/>
                <w:sz w:val="24"/>
                <w:szCs w:val="24"/>
                <w:lang w:val="vi-VN"/>
              </w:rPr>
              <w:t xml:space="preserve">quản lý và đầu tư vốn nhà nước tại doanh </w:t>
            </w:r>
            <w:r w:rsidRPr="008A118E">
              <w:rPr>
                <w:rFonts w:ascii="Times New Roman" w:eastAsia="Cambria" w:hAnsi="Times New Roman" w:cs="Times New Roman"/>
                <w:b/>
                <w:bCs/>
                <w:sz w:val="24"/>
                <w:szCs w:val="24"/>
                <w:lang w:val="vi-VN"/>
              </w:rPr>
              <w:lastRenderedPageBreak/>
              <w:t>nghiệp</w:t>
            </w:r>
            <w:r w:rsidRPr="008A118E">
              <w:rPr>
                <w:rFonts w:ascii="Times New Roman" w:eastAsia="Cambria" w:hAnsi="Times New Roman" w:cs="Times New Roman"/>
                <w:bCs/>
                <w:sz w:val="24"/>
                <w:szCs w:val="24"/>
                <w:lang w:val="vi-VN"/>
              </w:rPr>
              <w:t>.</w:t>
            </w:r>
          </w:p>
        </w:tc>
        <w:tc>
          <w:tcPr>
            <w:tcW w:w="1430" w:type="pct"/>
          </w:tcPr>
          <w:p w:rsidR="00602E69" w:rsidRPr="00F14365" w:rsidRDefault="00602E69" w:rsidP="003B0CD7">
            <w:pPr>
              <w:tabs>
                <w:tab w:val="left" w:pos="143"/>
              </w:tabs>
              <w:ind w:firstLine="314"/>
              <w:jc w:val="both"/>
              <w:rPr>
                <w:rFonts w:ascii="Times New Roman" w:eastAsia="Cambria" w:hAnsi="Times New Roman" w:cs="Times New Roman"/>
                <w:bCs/>
                <w:sz w:val="24"/>
                <w:szCs w:val="24"/>
                <w:lang w:val="vi-VN"/>
              </w:rPr>
            </w:pPr>
            <w:r w:rsidRPr="00ED3329">
              <w:rPr>
                <w:rFonts w:ascii="Times New Roman" w:eastAsia="Cambria" w:hAnsi="Times New Roman" w:cs="Times New Roman"/>
                <w:bCs/>
                <w:sz w:val="24"/>
                <w:szCs w:val="24"/>
                <w:lang w:val="vi-VN"/>
              </w:rPr>
              <w:lastRenderedPageBreak/>
              <w:t xml:space="preserve">Sửa đổi cụm từ </w:t>
            </w:r>
            <w:r w:rsidRPr="00ED3329">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ED3329">
              <w:rPr>
                <w:rFonts w:ascii="Times New Roman" w:eastAsia="Cambria" w:hAnsi="Times New Roman" w:cs="Times New Roman"/>
                <w:bCs/>
                <w:sz w:val="24"/>
                <w:szCs w:val="24"/>
                <w:lang w:val="vi-VN"/>
              </w:rPr>
              <w:t xml:space="preserve"> thành </w:t>
            </w:r>
            <w:r w:rsidRPr="00ED3329">
              <w:rPr>
                <w:rFonts w:ascii="Times New Roman" w:eastAsia="Cambria" w:hAnsi="Times New Roman" w:cs="Times New Roman"/>
                <w:bCs/>
                <w:i/>
                <w:sz w:val="24"/>
                <w:szCs w:val="24"/>
                <w:lang w:val="vi-VN"/>
              </w:rPr>
              <w:t>“pháp luật về quản lý và đầu tư vốn nhà nước tại doanh nghiệp”</w:t>
            </w:r>
            <w:r w:rsidRPr="00ED3329">
              <w:rPr>
                <w:rFonts w:ascii="Times New Roman" w:eastAsia="Cambria" w:hAnsi="Times New Roman" w:cs="Times New Roman"/>
                <w:bCs/>
                <w:sz w:val="24"/>
                <w:szCs w:val="24"/>
                <w:lang w:val="vi-VN"/>
              </w:rPr>
              <w:t xml:space="preserve"> để phù hợp với tên Luật 68.</w:t>
            </w:r>
          </w:p>
        </w:tc>
      </w:tr>
      <w:tr w:rsidR="00602E69" w:rsidRPr="008A118E" w:rsidTr="001551D6">
        <w:trPr>
          <w:trHeight w:val="296"/>
        </w:trPr>
        <w:tc>
          <w:tcPr>
            <w:tcW w:w="1757" w:type="pct"/>
          </w:tcPr>
          <w:p w:rsidR="00602E69" w:rsidRPr="00602E69" w:rsidRDefault="00602E69" w:rsidP="00ED3329">
            <w:pPr>
              <w:ind w:firstLine="319"/>
              <w:jc w:val="both"/>
              <w:rPr>
                <w:rFonts w:ascii="Times New Roman" w:eastAsia="Cambria" w:hAnsi="Times New Roman" w:cs="Times New Roman"/>
                <w:b/>
                <w:sz w:val="24"/>
                <w:szCs w:val="24"/>
                <w:lang w:val="vi-VN"/>
              </w:rPr>
            </w:pPr>
            <w:r w:rsidRPr="00FC245D">
              <w:rPr>
                <w:rFonts w:ascii="Times New Roman" w:eastAsia="Cambria" w:hAnsi="Times New Roman" w:cs="Times New Roman"/>
                <w:b/>
                <w:sz w:val="24"/>
                <w:szCs w:val="24"/>
                <w:lang w:val="vi-VN"/>
              </w:rPr>
              <w:lastRenderedPageBreak/>
              <w:t xml:space="preserve">Khoản 2 </w:t>
            </w:r>
            <w:r w:rsidRPr="00AB1797">
              <w:rPr>
                <w:rFonts w:ascii="Times New Roman" w:eastAsia="Cambria" w:hAnsi="Times New Roman" w:cs="Times New Roman"/>
                <w:b/>
                <w:sz w:val="24"/>
                <w:szCs w:val="24"/>
                <w:lang w:val="vi-VN"/>
              </w:rPr>
              <w:t>Điề</w:t>
            </w:r>
            <w:r>
              <w:rPr>
                <w:rFonts w:ascii="Times New Roman" w:eastAsia="Cambria" w:hAnsi="Times New Roman" w:cs="Times New Roman"/>
                <w:b/>
                <w:sz w:val="24"/>
                <w:szCs w:val="24"/>
                <w:lang w:val="vi-VN"/>
              </w:rPr>
              <w:t>u 11</w:t>
            </w:r>
            <w:r w:rsidRPr="00602E69">
              <w:rPr>
                <w:rFonts w:ascii="Times New Roman" w:eastAsia="Cambria" w:hAnsi="Times New Roman" w:cs="Times New Roman"/>
                <w:b/>
                <w:sz w:val="24"/>
                <w:szCs w:val="24"/>
                <w:lang w:val="vi-VN"/>
              </w:rPr>
              <w:t xml:space="preserve"> về m</w:t>
            </w:r>
            <w:r w:rsidRPr="00516AFA">
              <w:rPr>
                <w:rFonts w:ascii="Times New Roman" w:eastAsia="Cambria" w:hAnsi="Times New Roman" w:cs="Times New Roman"/>
                <w:b/>
                <w:sz w:val="24"/>
                <w:szCs w:val="24"/>
                <w:lang w:val="vi-VN"/>
              </w:rPr>
              <w:t>ua, bán, chuyển nhượng tài sản</w:t>
            </w:r>
          </w:p>
          <w:p w:rsidR="00602E69" w:rsidRPr="00ED3329" w:rsidRDefault="00602E69" w:rsidP="00ED3329">
            <w:pPr>
              <w:ind w:firstLine="319"/>
              <w:jc w:val="both"/>
              <w:rPr>
                <w:rFonts w:ascii="Times New Roman" w:eastAsia="Cambria" w:hAnsi="Times New Roman" w:cs="Times New Roman"/>
                <w:b/>
                <w:sz w:val="24"/>
                <w:szCs w:val="24"/>
                <w:lang w:val="vi-VN"/>
              </w:rPr>
            </w:pPr>
            <w:r w:rsidRPr="00AB1797">
              <w:rPr>
                <w:rFonts w:ascii="Times New Roman" w:eastAsia="Cambria" w:hAnsi="Times New Roman" w:cs="Times New Roman"/>
                <w:sz w:val="24"/>
                <w:szCs w:val="24"/>
                <w:lang w:val="vi-VN"/>
              </w:rPr>
              <w:t>2. Việc mua, bán, chuyển nhượng tài sản của tổ chức tín dụng, chi nhánh ngân hàng nước ngoài thực hiện theo quy định của Luật Các tổ chức tín dụng, các quy định khác của pháp luật có liên quan, Điều lệ và quy chế tài chính, quy chế nội bộ của tổ chức tín dụng, chi nhánh ngân hàng nước ngoài. Đối với tổ chức tín dụng do Nhà nước nắm giữ 100% vốn điều lệ và tổ chức tín dụng có vốn nhà nước còn phải tuân thủ quy định pháp luật về quản lý, sử dụng vốn nhà nước đầu tư vào sản xuất, kinh doanh tại doanh nghiệp.</w:t>
            </w:r>
          </w:p>
        </w:tc>
        <w:tc>
          <w:tcPr>
            <w:tcW w:w="1813" w:type="pct"/>
          </w:tcPr>
          <w:p w:rsidR="00602E69" w:rsidRPr="00602E69" w:rsidRDefault="00602E69" w:rsidP="00ED3329">
            <w:pPr>
              <w:tabs>
                <w:tab w:val="left" w:pos="143"/>
              </w:tabs>
              <w:ind w:firstLine="284"/>
              <w:jc w:val="both"/>
              <w:rPr>
                <w:rFonts w:ascii="Times New Roman" w:eastAsia="Cambria" w:hAnsi="Times New Roman" w:cs="Times New Roman"/>
                <w:b/>
                <w:bCs/>
                <w:sz w:val="24"/>
                <w:szCs w:val="24"/>
                <w:lang w:val="vi-VN"/>
              </w:rPr>
            </w:pPr>
            <w:r w:rsidRPr="00516AFA">
              <w:rPr>
                <w:rFonts w:ascii="Times New Roman" w:eastAsia="Cambria" w:hAnsi="Times New Roman" w:cs="Times New Roman"/>
                <w:b/>
                <w:bCs/>
                <w:sz w:val="24"/>
                <w:szCs w:val="24"/>
                <w:lang w:val="vi-VN"/>
              </w:rPr>
              <w:t>Khoản 2 Điều 11</w:t>
            </w:r>
            <w:r w:rsidRPr="00602E69">
              <w:rPr>
                <w:rFonts w:ascii="Times New Roman" w:eastAsia="Cambria" w:hAnsi="Times New Roman" w:cs="Times New Roman"/>
                <w:b/>
                <w:bCs/>
                <w:sz w:val="24"/>
                <w:szCs w:val="24"/>
                <w:lang w:val="vi-VN"/>
              </w:rPr>
              <w:t xml:space="preserve"> </w:t>
            </w:r>
            <w:r w:rsidRPr="00602E69">
              <w:rPr>
                <w:rFonts w:ascii="Times New Roman" w:eastAsia="Cambria" w:hAnsi="Times New Roman" w:cs="Times New Roman"/>
                <w:b/>
                <w:sz w:val="24"/>
                <w:szCs w:val="24"/>
                <w:lang w:val="vi-VN"/>
              </w:rPr>
              <w:t>về m</w:t>
            </w:r>
            <w:r w:rsidRPr="00516AFA">
              <w:rPr>
                <w:rFonts w:ascii="Times New Roman" w:eastAsia="Cambria" w:hAnsi="Times New Roman" w:cs="Times New Roman"/>
                <w:b/>
                <w:sz w:val="24"/>
                <w:szCs w:val="24"/>
                <w:lang w:val="vi-VN"/>
              </w:rPr>
              <w:t>ua, bán, chuyển nhượng tài sản</w:t>
            </w:r>
          </w:p>
          <w:p w:rsidR="00602E69" w:rsidRPr="00A24DF9" w:rsidRDefault="00602E69" w:rsidP="00ED3329">
            <w:pPr>
              <w:tabs>
                <w:tab w:val="left" w:pos="143"/>
              </w:tabs>
              <w:ind w:firstLine="284"/>
              <w:jc w:val="both"/>
              <w:rPr>
                <w:rFonts w:ascii="Times New Roman" w:eastAsia="Cambria" w:hAnsi="Times New Roman" w:cs="Times New Roman"/>
                <w:b/>
                <w:bCs/>
                <w:spacing w:val="-2"/>
                <w:sz w:val="24"/>
                <w:szCs w:val="24"/>
                <w:lang w:val="vi-VN"/>
              </w:rPr>
            </w:pPr>
            <w:r w:rsidRPr="00A24DF9">
              <w:rPr>
                <w:rFonts w:ascii="Times New Roman" w:eastAsia="Cambria" w:hAnsi="Times New Roman" w:cs="Times New Roman"/>
                <w:bCs/>
                <w:spacing w:val="-2"/>
                <w:sz w:val="24"/>
                <w:szCs w:val="24"/>
                <w:lang w:val="vi-VN"/>
              </w:rPr>
              <w:t xml:space="preserve">2. Việc mua, bán, chuyển nhượng tài sản của tổ chức tín dụng, chi nhánh ngân hàng nước ngoài thực hiện theo quy định của Luật Các tổ chức tín dụng, các quy định khác của pháp luật có liên quan, Điều lệ và quy chế tài chính, quy chế nội bộ của tổ chức tín dụng, chi nhánh ngân hàng nước ngoài. Đối với tổ chức tín dụng do Nhà nước nắm giữ 100% vốn điều lệ và tổ chức tín dụng có vốn nhà nước còn phải tuân thủ quy định pháp luật về </w:t>
            </w:r>
            <w:r w:rsidRPr="00A24DF9">
              <w:rPr>
                <w:rFonts w:ascii="Times New Roman" w:eastAsia="Cambria" w:hAnsi="Times New Roman" w:cs="Times New Roman"/>
                <w:bCs/>
                <w:strike/>
                <w:spacing w:val="-2"/>
                <w:sz w:val="24"/>
                <w:szCs w:val="24"/>
                <w:lang w:val="vi-VN"/>
              </w:rPr>
              <w:t>quản lý, sử dụng vốn nhà nước đầu tư vào sản xuất, kinh doanh tại doanh nghiệp</w:t>
            </w:r>
            <w:r w:rsidRPr="00A24DF9">
              <w:rPr>
                <w:rFonts w:ascii="Times New Roman" w:eastAsia="Cambria" w:hAnsi="Times New Roman" w:cs="Times New Roman"/>
                <w:b/>
                <w:bCs/>
                <w:strike/>
                <w:spacing w:val="-2"/>
                <w:sz w:val="24"/>
                <w:szCs w:val="24"/>
                <w:lang w:val="vi-VN"/>
              </w:rPr>
              <w:t xml:space="preserve"> </w:t>
            </w:r>
            <w:r w:rsidRPr="00A24DF9">
              <w:rPr>
                <w:rFonts w:ascii="Times New Roman" w:eastAsia="Cambria" w:hAnsi="Times New Roman" w:cs="Times New Roman"/>
                <w:b/>
                <w:bCs/>
                <w:spacing w:val="-2"/>
                <w:sz w:val="24"/>
                <w:szCs w:val="24"/>
                <w:lang w:val="vi-VN"/>
              </w:rPr>
              <w:t>quản lý và đầu tư vốn nhà nước tại doanh nghiệp</w:t>
            </w:r>
            <w:r w:rsidRPr="00A24DF9">
              <w:rPr>
                <w:rFonts w:ascii="Times New Roman" w:eastAsia="Cambria" w:hAnsi="Times New Roman" w:cs="Times New Roman"/>
                <w:bCs/>
                <w:spacing w:val="-2"/>
                <w:sz w:val="24"/>
                <w:szCs w:val="24"/>
                <w:lang w:val="vi-VN"/>
              </w:rPr>
              <w:t>.</w:t>
            </w:r>
          </w:p>
        </w:tc>
        <w:tc>
          <w:tcPr>
            <w:tcW w:w="1430" w:type="pct"/>
          </w:tcPr>
          <w:p w:rsidR="00602E69" w:rsidRPr="00ED3329" w:rsidRDefault="00602E69" w:rsidP="003B0CD7">
            <w:pPr>
              <w:tabs>
                <w:tab w:val="left" w:pos="143"/>
              </w:tabs>
              <w:ind w:firstLine="314"/>
              <w:jc w:val="both"/>
              <w:rPr>
                <w:rFonts w:ascii="Times New Roman" w:eastAsia="Cambria" w:hAnsi="Times New Roman" w:cs="Times New Roman"/>
                <w:bCs/>
                <w:sz w:val="24"/>
                <w:szCs w:val="24"/>
                <w:lang w:val="vi-VN"/>
              </w:rPr>
            </w:pPr>
            <w:r w:rsidRPr="00ED3329">
              <w:rPr>
                <w:rFonts w:ascii="Times New Roman" w:eastAsia="Cambria" w:hAnsi="Times New Roman" w:cs="Times New Roman"/>
                <w:bCs/>
                <w:sz w:val="24"/>
                <w:szCs w:val="24"/>
                <w:lang w:val="vi-VN"/>
              </w:rPr>
              <w:t xml:space="preserve">Sửa đổi cụm từ </w:t>
            </w:r>
            <w:r w:rsidRPr="00ED3329">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ED3329">
              <w:rPr>
                <w:rFonts w:ascii="Times New Roman" w:eastAsia="Cambria" w:hAnsi="Times New Roman" w:cs="Times New Roman"/>
                <w:bCs/>
                <w:sz w:val="24"/>
                <w:szCs w:val="24"/>
                <w:lang w:val="vi-VN"/>
              </w:rPr>
              <w:t xml:space="preserve"> thành </w:t>
            </w:r>
            <w:r w:rsidRPr="00ED3329">
              <w:rPr>
                <w:rFonts w:ascii="Times New Roman" w:eastAsia="Cambria" w:hAnsi="Times New Roman" w:cs="Times New Roman"/>
                <w:bCs/>
                <w:i/>
                <w:sz w:val="24"/>
                <w:szCs w:val="24"/>
                <w:lang w:val="vi-VN"/>
              </w:rPr>
              <w:t>“pháp luật về quản lý và đầu tư vốn nhà nước tại doanh nghiệp”</w:t>
            </w:r>
            <w:r w:rsidRPr="00ED3329">
              <w:rPr>
                <w:rFonts w:ascii="Times New Roman" w:eastAsia="Cambria" w:hAnsi="Times New Roman" w:cs="Times New Roman"/>
                <w:bCs/>
                <w:sz w:val="24"/>
                <w:szCs w:val="24"/>
                <w:lang w:val="vi-VN"/>
              </w:rPr>
              <w:t xml:space="preserve"> để phù hợp với tên Luật 68.</w:t>
            </w:r>
          </w:p>
        </w:tc>
      </w:tr>
      <w:tr w:rsidR="00602E69" w:rsidRPr="008A118E" w:rsidTr="001551D6">
        <w:trPr>
          <w:trHeight w:val="296"/>
        </w:trPr>
        <w:tc>
          <w:tcPr>
            <w:tcW w:w="1757" w:type="pct"/>
          </w:tcPr>
          <w:p w:rsidR="00602E69" w:rsidRPr="00602E69" w:rsidRDefault="00602E69" w:rsidP="00ED3329">
            <w:pPr>
              <w:ind w:firstLine="319"/>
              <w:jc w:val="both"/>
              <w:rPr>
                <w:rFonts w:ascii="Times New Roman" w:eastAsia="Cambria" w:hAnsi="Times New Roman" w:cs="Times New Roman"/>
                <w:b/>
                <w:sz w:val="24"/>
                <w:szCs w:val="24"/>
                <w:lang w:val="vi-VN"/>
              </w:rPr>
            </w:pPr>
            <w:r w:rsidRPr="00516AFA">
              <w:rPr>
                <w:rFonts w:ascii="Times New Roman" w:eastAsia="Cambria" w:hAnsi="Times New Roman" w:cs="Times New Roman"/>
                <w:b/>
                <w:sz w:val="24"/>
                <w:szCs w:val="24"/>
                <w:lang w:val="vi-VN"/>
              </w:rPr>
              <w:t>Khoản 2 Điều 12</w:t>
            </w:r>
            <w:r w:rsidRPr="00602E69">
              <w:rPr>
                <w:rFonts w:ascii="Times New Roman" w:eastAsia="Cambria" w:hAnsi="Times New Roman" w:cs="Times New Roman"/>
                <w:b/>
                <w:sz w:val="24"/>
                <w:szCs w:val="24"/>
                <w:lang w:val="vi-VN"/>
              </w:rPr>
              <w:t xml:space="preserve"> về t</w:t>
            </w:r>
            <w:r w:rsidRPr="00516AFA">
              <w:rPr>
                <w:rFonts w:ascii="Times New Roman" w:eastAsia="Cambria" w:hAnsi="Times New Roman" w:cs="Times New Roman"/>
                <w:b/>
                <w:sz w:val="24"/>
                <w:szCs w:val="24"/>
                <w:lang w:val="vi-VN"/>
              </w:rPr>
              <w:t>hanh lý tài sản</w:t>
            </w:r>
          </w:p>
          <w:p w:rsidR="00602E69" w:rsidRPr="00ED3329" w:rsidRDefault="00602E69" w:rsidP="00ED3329">
            <w:pPr>
              <w:ind w:firstLine="319"/>
              <w:jc w:val="both"/>
              <w:rPr>
                <w:rFonts w:ascii="Times New Roman" w:eastAsia="Cambria" w:hAnsi="Times New Roman" w:cs="Times New Roman"/>
                <w:b/>
                <w:sz w:val="24"/>
                <w:szCs w:val="24"/>
                <w:lang w:val="vi-VN"/>
              </w:rPr>
            </w:pPr>
            <w:r w:rsidRPr="00AB1797">
              <w:rPr>
                <w:rFonts w:ascii="Times New Roman" w:eastAsia="Cambria" w:hAnsi="Times New Roman" w:cs="Times New Roman"/>
                <w:sz w:val="24"/>
                <w:szCs w:val="24"/>
                <w:lang w:val="vi-VN"/>
              </w:rPr>
              <w:t>2. Việc thanh lý tài sản và thẩm quyền quyết định việc thanh lý tài sản của tổ chức tín dụng, chi nhánh ngân hàng nước ngoài thực hiện theo quy định của Luật Các tổ chức tín dụng, các quy định khác của pháp luật có liên quan và Điều lệ, quy chế tài chính, quy chế nội bộ của tổ chức tín dụng, chi nhánh ngân hàng nước ngoài. Đối với những tài sản pháp luật quy định phải bán đấu giá khi thanh lý, tổ chức tín dụng, chi nhánh ngân hàng nước ngoài phải tổ chức bán đấu giá theo quy định của pháp luật. Đối với tổ chức tín dụng do Nhà nước nắm giữ 100% vốn điều lệ và tổ chức tín dụng có vốn nhà nước còn phải tuân thủ quy định pháp luật về quản lý, sử dụng vốn nhà nước đầu tư vào sản xuất, kinh doanh tại doanh nghiệp.</w:t>
            </w:r>
          </w:p>
        </w:tc>
        <w:tc>
          <w:tcPr>
            <w:tcW w:w="1813" w:type="pct"/>
          </w:tcPr>
          <w:p w:rsidR="00602E69" w:rsidRPr="00602E69" w:rsidRDefault="00602E69" w:rsidP="00A10FD0">
            <w:pPr>
              <w:tabs>
                <w:tab w:val="left" w:pos="143"/>
              </w:tabs>
              <w:ind w:firstLine="284"/>
              <w:jc w:val="both"/>
              <w:rPr>
                <w:rFonts w:ascii="Times New Roman" w:eastAsia="Cambria" w:hAnsi="Times New Roman" w:cs="Times New Roman"/>
                <w:b/>
                <w:bCs/>
                <w:sz w:val="24"/>
                <w:szCs w:val="24"/>
                <w:lang w:val="vi-VN"/>
              </w:rPr>
            </w:pPr>
            <w:r w:rsidRPr="00516AFA">
              <w:rPr>
                <w:rFonts w:ascii="Times New Roman" w:eastAsia="Cambria" w:hAnsi="Times New Roman" w:cs="Times New Roman"/>
                <w:b/>
                <w:bCs/>
                <w:sz w:val="24"/>
                <w:szCs w:val="24"/>
                <w:lang w:val="vi-VN"/>
              </w:rPr>
              <w:t>Khoản 2 Điều 12</w:t>
            </w:r>
            <w:r w:rsidRPr="00602E69">
              <w:rPr>
                <w:rFonts w:ascii="Times New Roman" w:eastAsia="Cambria" w:hAnsi="Times New Roman" w:cs="Times New Roman"/>
                <w:b/>
                <w:bCs/>
                <w:sz w:val="24"/>
                <w:szCs w:val="24"/>
                <w:lang w:val="vi-VN"/>
              </w:rPr>
              <w:t xml:space="preserve"> </w:t>
            </w:r>
            <w:r w:rsidRPr="00602E69">
              <w:rPr>
                <w:rFonts w:ascii="Times New Roman" w:eastAsia="Cambria" w:hAnsi="Times New Roman" w:cs="Times New Roman"/>
                <w:b/>
                <w:sz w:val="24"/>
                <w:szCs w:val="24"/>
                <w:lang w:val="vi-VN"/>
              </w:rPr>
              <w:t>về t</w:t>
            </w:r>
            <w:r w:rsidRPr="00516AFA">
              <w:rPr>
                <w:rFonts w:ascii="Times New Roman" w:eastAsia="Cambria" w:hAnsi="Times New Roman" w:cs="Times New Roman"/>
                <w:b/>
                <w:sz w:val="24"/>
                <w:szCs w:val="24"/>
                <w:lang w:val="vi-VN"/>
              </w:rPr>
              <w:t>hanh lý tài sản</w:t>
            </w:r>
          </w:p>
          <w:p w:rsidR="00602E69" w:rsidRPr="00ED3329" w:rsidRDefault="00602E69" w:rsidP="00A10FD0">
            <w:pPr>
              <w:tabs>
                <w:tab w:val="left" w:pos="143"/>
              </w:tabs>
              <w:ind w:firstLine="284"/>
              <w:jc w:val="both"/>
              <w:rPr>
                <w:rFonts w:ascii="Times New Roman" w:eastAsia="Cambria" w:hAnsi="Times New Roman" w:cs="Times New Roman"/>
                <w:b/>
                <w:bCs/>
                <w:sz w:val="24"/>
                <w:szCs w:val="24"/>
                <w:lang w:val="vi-VN"/>
              </w:rPr>
            </w:pPr>
            <w:r w:rsidRPr="00A10FD0">
              <w:rPr>
                <w:rFonts w:ascii="Times New Roman" w:eastAsia="Cambria" w:hAnsi="Times New Roman" w:cs="Times New Roman"/>
                <w:bCs/>
                <w:sz w:val="24"/>
                <w:szCs w:val="24"/>
                <w:lang w:val="vi-VN"/>
              </w:rPr>
              <w:t xml:space="preserve">2. Việc thanh lý tài sản và thẩm quyền quyết định việc thanh lý tài sản của tổ chức tín dụng, chi nhánh ngân hàng nước ngoài thực hiện theo quy định của Luật Các tổ chức tín dụng, các quy định khác của pháp luật có liên quan và Điều lệ, quy chế tài chính, quy chế nội bộ của tổ chức tín dụng, chi nhánh ngân hàng nước ngoài. Đối với những tài sản pháp luật quy định phải bán đấu giá khi thanh lý, tổ chức tín dụng, chi nhánh ngân hàng nước ngoài phải tổ chức bán đấu giá theo quy định của pháp luật. Đối với tổ chức tín dụng do Nhà nước nắm giữ 100% vốn điều lệ và tổ chức tín dụng có vốn nhà nước còn phải tuân thủ quy định pháp luật về </w:t>
            </w:r>
            <w:r w:rsidRPr="00A10FD0">
              <w:rPr>
                <w:rFonts w:ascii="Times New Roman" w:eastAsia="Cambria" w:hAnsi="Times New Roman" w:cs="Times New Roman"/>
                <w:bCs/>
                <w:strike/>
                <w:sz w:val="24"/>
                <w:szCs w:val="24"/>
                <w:lang w:val="vi-VN"/>
              </w:rPr>
              <w:t xml:space="preserve">quản lý, sử dụng vốn nhà nước đầu tư vào sản xuất, kinh doanh tại doanh nghiệp </w:t>
            </w:r>
            <w:r w:rsidRPr="00A10FD0">
              <w:rPr>
                <w:rFonts w:ascii="Times New Roman" w:eastAsia="Cambria" w:hAnsi="Times New Roman" w:cs="Times New Roman"/>
                <w:b/>
                <w:bCs/>
                <w:sz w:val="24"/>
                <w:szCs w:val="24"/>
                <w:lang w:val="vi-VN"/>
              </w:rPr>
              <w:t>quản lý và đầu tư vốn nhà nước tại doanh nghiệp</w:t>
            </w:r>
            <w:r w:rsidRPr="00A10FD0">
              <w:rPr>
                <w:rFonts w:ascii="Times New Roman" w:eastAsia="Cambria" w:hAnsi="Times New Roman" w:cs="Times New Roman"/>
                <w:bCs/>
                <w:sz w:val="24"/>
                <w:szCs w:val="24"/>
                <w:lang w:val="vi-VN"/>
              </w:rPr>
              <w:t>.</w:t>
            </w:r>
          </w:p>
        </w:tc>
        <w:tc>
          <w:tcPr>
            <w:tcW w:w="1430" w:type="pct"/>
          </w:tcPr>
          <w:p w:rsidR="00602E69" w:rsidRPr="000468AC" w:rsidRDefault="00602E69" w:rsidP="003B0CD7">
            <w:pPr>
              <w:tabs>
                <w:tab w:val="left" w:pos="143"/>
              </w:tabs>
              <w:ind w:firstLine="314"/>
              <w:jc w:val="both"/>
              <w:rPr>
                <w:rFonts w:ascii="Times New Roman" w:eastAsia="Cambria" w:hAnsi="Times New Roman" w:cs="Times New Roman"/>
                <w:bCs/>
                <w:sz w:val="24"/>
                <w:szCs w:val="24"/>
                <w:lang w:val="vi-VN"/>
              </w:rPr>
            </w:pPr>
            <w:r w:rsidRPr="00A10FD0">
              <w:rPr>
                <w:rFonts w:ascii="Times New Roman" w:eastAsia="Cambria" w:hAnsi="Times New Roman" w:cs="Times New Roman"/>
                <w:bCs/>
                <w:sz w:val="24"/>
                <w:szCs w:val="24"/>
                <w:lang w:val="vi-VN"/>
              </w:rPr>
              <w:t xml:space="preserve">Sửa đổi cụm từ </w:t>
            </w:r>
            <w:r w:rsidRPr="00A10FD0">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A10FD0">
              <w:rPr>
                <w:rFonts w:ascii="Times New Roman" w:eastAsia="Cambria" w:hAnsi="Times New Roman" w:cs="Times New Roman"/>
                <w:bCs/>
                <w:sz w:val="24"/>
                <w:szCs w:val="24"/>
                <w:lang w:val="vi-VN"/>
              </w:rPr>
              <w:t xml:space="preserve"> thành </w:t>
            </w:r>
            <w:r w:rsidRPr="00A10FD0">
              <w:rPr>
                <w:rFonts w:ascii="Times New Roman" w:eastAsia="Cambria" w:hAnsi="Times New Roman" w:cs="Times New Roman"/>
                <w:bCs/>
                <w:i/>
                <w:sz w:val="24"/>
                <w:szCs w:val="24"/>
                <w:lang w:val="vi-VN"/>
              </w:rPr>
              <w:t>“pháp luật về quản lý và đầu tư vốn nhà nước tại doanh nghiệp”</w:t>
            </w:r>
            <w:r w:rsidRPr="00A10FD0">
              <w:rPr>
                <w:rFonts w:ascii="Times New Roman" w:eastAsia="Cambria" w:hAnsi="Times New Roman" w:cs="Times New Roman"/>
                <w:bCs/>
                <w:sz w:val="24"/>
                <w:szCs w:val="24"/>
                <w:lang w:val="vi-VN"/>
              </w:rPr>
              <w:t xml:space="preserve"> để phù hợp với tên Luật 68.</w:t>
            </w:r>
          </w:p>
        </w:tc>
      </w:tr>
      <w:tr w:rsidR="00602E69" w:rsidRPr="008A118E" w:rsidTr="001551D6">
        <w:trPr>
          <w:trHeight w:val="296"/>
        </w:trPr>
        <w:tc>
          <w:tcPr>
            <w:tcW w:w="1757" w:type="pct"/>
          </w:tcPr>
          <w:p w:rsidR="00602E69" w:rsidRPr="00602E69" w:rsidRDefault="00602E69" w:rsidP="00431254">
            <w:pPr>
              <w:tabs>
                <w:tab w:val="left" w:pos="143"/>
              </w:tabs>
              <w:ind w:firstLine="284"/>
              <w:jc w:val="both"/>
              <w:rPr>
                <w:rFonts w:ascii="Times New Roman" w:eastAsia="Cambria" w:hAnsi="Times New Roman" w:cs="Times New Roman"/>
                <w:b/>
                <w:bCs/>
                <w:sz w:val="24"/>
                <w:szCs w:val="24"/>
                <w:lang w:val="vi-VN"/>
              </w:rPr>
            </w:pPr>
            <w:r w:rsidRPr="00FC245D">
              <w:rPr>
                <w:rFonts w:ascii="Times New Roman" w:eastAsia="Cambria" w:hAnsi="Times New Roman" w:cs="Times New Roman"/>
                <w:b/>
                <w:bCs/>
                <w:sz w:val="24"/>
                <w:szCs w:val="24"/>
                <w:lang w:val="vi-VN"/>
              </w:rPr>
              <w:t>Điều 28</w:t>
            </w:r>
            <w:r w:rsidRPr="00602E69">
              <w:rPr>
                <w:rFonts w:ascii="Times New Roman" w:eastAsia="Cambria" w:hAnsi="Times New Roman" w:cs="Times New Roman"/>
                <w:b/>
                <w:bCs/>
                <w:sz w:val="24"/>
                <w:szCs w:val="24"/>
                <w:lang w:val="vi-VN"/>
              </w:rPr>
              <w:t xml:space="preserve">. </w:t>
            </w:r>
            <w:r w:rsidRPr="00516AFA">
              <w:rPr>
                <w:rFonts w:ascii="Times New Roman" w:eastAsia="Cambria" w:hAnsi="Times New Roman" w:cs="Times New Roman"/>
                <w:b/>
                <w:bCs/>
                <w:sz w:val="24"/>
                <w:szCs w:val="24"/>
                <w:lang w:val="vi-VN"/>
              </w:rPr>
              <w:t>Phạm vi, thẩm quyền, trình tự, thủ tục thực hiện đầu tư vốn nhà nước và đầu tư bổ sung vốn nhà nước tại tổ chức tín dụng</w:t>
            </w:r>
          </w:p>
          <w:p w:rsidR="00602E69" w:rsidRPr="00431254" w:rsidRDefault="00602E69" w:rsidP="00431254">
            <w:pPr>
              <w:tabs>
                <w:tab w:val="left" w:pos="143"/>
              </w:tabs>
              <w:ind w:firstLine="284"/>
              <w:jc w:val="both"/>
              <w:rPr>
                <w:rFonts w:ascii="Times New Roman" w:eastAsia="Cambria" w:hAnsi="Times New Roman" w:cs="Times New Roman"/>
                <w:bCs/>
                <w:sz w:val="24"/>
                <w:szCs w:val="24"/>
                <w:lang w:val="vi-VN"/>
              </w:rPr>
            </w:pPr>
            <w:r w:rsidRPr="00431254">
              <w:rPr>
                <w:rFonts w:ascii="Times New Roman" w:eastAsia="Cambria" w:hAnsi="Times New Roman" w:cs="Times New Roman"/>
                <w:bCs/>
                <w:sz w:val="24"/>
                <w:szCs w:val="24"/>
                <w:lang w:val="vi-VN"/>
              </w:rPr>
              <w:t xml:space="preserve">Phạm vi, thẩm quyền, trình tự, thủ tục thực hiện đầu tư vốn nhà nước và đầu tư bổ sung vốn nhà nước </w:t>
            </w:r>
            <w:r w:rsidRPr="00431254">
              <w:rPr>
                <w:rFonts w:ascii="Times New Roman" w:eastAsia="Cambria" w:hAnsi="Times New Roman" w:cs="Times New Roman"/>
                <w:bCs/>
                <w:sz w:val="24"/>
                <w:szCs w:val="24"/>
                <w:lang w:val="vi-VN"/>
              </w:rPr>
              <w:lastRenderedPageBreak/>
              <w:t>tại tổ chức tín dụng do Nhà nước nắm giữ 100% vốn điều lệ và tổ chức tín dụng do Nhà nước nắm giữ trên 50% đến dưới 100% vốn điều lệ thực hiện theo pháp luật về quản lý, sử dụng vốn nhà nước đầu tư vào sản xuất, kinh doanh tại doanh nghiệp và các quy định khác của pháp luật có liên quan.</w:t>
            </w:r>
          </w:p>
        </w:tc>
        <w:tc>
          <w:tcPr>
            <w:tcW w:w="1813" w:type="pct"/>
          </w:tcPr>
          <w:p w:rsidR="00602E69" w:rsidRPr="00602E69" w:rsidRDefault="00602E69" w:rsidP="00602E69">
            <w:pPr>
              <w:tabs>
                <w:tab w:val="left" w:pos="143"/>
              </w:tabs>
              <w:ind w:firstLine="284"/>
              <w:jc w:val="both"/>
              <w:rPr>
                <w:rFonts w:ascii="Times New Roman" w:eastAsia="Cambria" w:hAnsi="Times New Roman" w:cs="Times New Roman"/>
                <w:b/>
                <w:bCs/>
                <w:sz w:val="24"/>
                <w:szCs w:val="24"/>
                <w:lang w:val="vi-VN"/>
              </w:rPr>
            </w:pPr>
            <w:r w:rsidRPr="00FC245D">
              <w:rPr>
                <w:rFonts w:ascii="Times New Roman" w:eastAsia="Cambria" w:hAnsi="Times New Roman" w:cs="Times New Roman"/>
                <w:b/>
                <w:bCs/>
                <w:sz w:val="24"/>
                <w:szCs w:val="24"/>
                <w:lang w:val="vi-VN"/>
              </w:rPr>
              <w:lastRenderedPageBreak/>
              <w:t>Điều 28</w:t>
            </w:r>
            <w:r w:rsidRPr="00602E69">
              <w:rPr>
                <w:rFonts w:ascii="Times New Roman" w:eastAsia="Cambria" w:hAnsi="Times New Roman" w:cs="Times New Roman"/>
                <w:b/>
                <w:bCs/>
                <w:sz w:val="24"/>
                <w:szCs w:val="24"/>
                <w:lang w:val="vi-VN"/>
              </w:rPr>
              <w:t xml:space="preserve">. </w:t>
            </w:r>
            <w:r w:rsidRPr="00516AFA">
              <w:rPr>
                <w:rFonts w:ascii="Times New Roman" w:eastAsia="Cambria" w:hAnsi="Times New Roman" w:cs="Times New Roman"/>
                <w:b/>
                <w:bCs/>
                <w:sz w:val="24"/>
                <w:szCs w:val="24"/>
                <w:lang w:val="vi-VN"/>
              </w:rPr>
              <w:t>Phạm vi, thẩm quyền, trình tự, thủ tục thực hiện đầu tư vốn nhà nước và đầu tư bổ sung vốn nhà nước tại tổ chức tín dụng</w:t>
            </w:r>
          </w:p>
          <w:p w:rsidR="00602E69" w:rsidRPr="00431254" w:rsidRDefault="00602E69" w:rsidP="00431254">
            <w:pPr>
              <w:tabs>
                <w:tab w:val="left" w:pos="143"/>
              </w:tabs>
              <w:ind w:firstLine="284"/>
              <w:jc w:val="both"/>
              <w:rPr>
                <w:rFonts w:ascii="Times New Roman" w:eastAsia="Cambria" w:hAnsi="Times New Roman" w:cs="Times New Roman"/>
                <w:bCs/>
                <w:sz w:val="24"/>
                <w:szCs w:val="24"/>
                <w:lang w:val="vi-VN"/>
              </w:rPr>
            </w:pPr>
            <w:r w:rsidRPr="00431254">
              <w:rPr>
                <w:rFonts w:ascii="Times New Roman" w:eastAsia="Cambria" w:hAnsi="Times New Roman" w:cs="Times New Roman"/>
                <w:bCs/>
                <w:sz w:val="24"/>
                <w:szCs w:val="24"/>
                <w:lang w:val="vi-VN"/>
              </w:rPr>
              <w:t xml:space="preserve">Phạm vi, thẩm quyền, trình tự, thủ tục thực hiện đầu tư vốn nhà nước và đầu tư bổ sung vốn nhà nước tại tổ </w:t>
            </w:r>
            <w:r w:rsidRPr="00431254">
              <w:rPr>
                <w:rFonts w:ascii="Times New Roman" w:eastAsia="Cambria" w:hAnsi="Times New Roman" w:cs="Times New Roman"/>
                <w:bCs/>
                <w:sz w:val="24"/>
                <w:szCs w:val="24"/>
                <w:lang w:val="vi-VN"/>
              </w:rPr>
              <w:lastRenderedPageBreak/>
              <w:t xml:space="preserve">chức tín dụng do Nhà nước nắm giữ 100% vốn điều lệ và tổ chức tín dụng do Nhà nước nắm giữ trên 50% đến dưới 100% vốn điều lệ thực hiện theo pháp luật về </w:t>
            </w:r>
            <w:r w:rsidRPr="00431254">
              <w:rPr>
                <w:rFonts w:ascii="Times New Roman" w:eastAsia="Cambria" w:hAnsi="Times New Roman" w:cs="Times New Roman"/>
                <w:bCs/>
                <w:strike/>
                <w:sz w:val="24"/>
                <w:szCs w:val="24"/>
                <w:lang w:val="vi-VN"/>
              </w:rPr>
              <w:t xml:space="preserve">quản lý, sử dụng vốn nhà nước đầu tư vào sản xuất, kinh doanh tại doanh nghiệp </w:t>
            </w:r>
            <w:r w:rsidRPr="00431254">
              <w:rPr>
                <w:rFonts w:ascii="Times New Roman" w:eastAsia="Cambria" w:hAnsi="Times New Roman" w:cs="Times New Roman"/>
                <w:b/>
                <w:bCs/>
                <w:sz w:val="24"/>
                <w:szCs w:val="24"/>
                <w:lang w:val="vi-VN"/>
              </w:rPr>
              <w:t>quản lý và đầu tư vốn nhà nước tại doanh nghiệp</w:t>
            </w:r>
            <w:r w:rsidRPr="00431254">
              <w:rPr>
                <w:rFonts w:ascii="Times New Roman" w:eastAsia="Cambria" w:hAnsi="Times New Roman" w:cs="Times New Roman"/>
                <w:bCs/>
                <w:sz w:val="24"/>
                <w:szCs w:val="24"/>
                <w:lang w:val="vi-VN"/>
              </w:rPr>
              <w:t xml:space="preserve"> và các quy định khác của pháp luật có liên quan.</w:t>
            </w:r>
          </w:p>
        </w:tc>
        <w:tc>
          <w:tcPr>
            <w:tcW w:w="1430" w:type="pct"/>
          </w:tcPr>
          <w:p w:rsidR="00602E69" w:rsidRPr="008D1E02" w:rsidRDefault="00602E69" w:rsidP="003B0CD7">
            <w:pPr>
              <w:tabs>
                <w:tab w:val="left" w:pos="143"/>
              </w:tabs>
              <w:ind w:firstLine="314"/>
              <w:jc w:val="both"/>
              <w:rPr>
                <w:rFonts w:ascii="Times New Roman" w:eastAsia="Cambria" w:hAnsi="Times New Roman" w:cs="Times New Roman"/>
                <w:bCs/>
                <w:sz w:val="24"/>
                <w:szCs w:val="24"/>
                <w:lang w:val="vi-VN"/>
              </w:rPr>
            </w:pPr>
            <w:r w:rsidRPr="00431254">
              <w:rPr>
                <w:rFonts w:ascii="Times New Roman" w:eastAsia="Cambria" w:hAnsi="Times New Roman" w:cs="Times New Roman"/>
                <w:bCs/>
                <w:sz w:val="24"/>
                <w:szCs w:val="24"/>
                <w:lang w:val="vi-VN"/>
              </w:rPr>
              <w:lastRenderedPageBreak/>
              <w:t xml:space="preserve">Sửa đổi cụm từ </w:t>
            </w:r>
            <w:r w:rsidRPr="00431254">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431254">
              <w:rPr>
                <w:rFonts w:ascii="Times New Roman" w:eastAsia="Cambria" w:hAnsi="Times New Roman" w:cs="Times New Roman"/>
                <w:bCs/>
                <w:sz w:val="24"/>
                <w:szCs w:val="24"/>
                <w:lang w:val="vi-VN"/>
              </w:rPr>
              <w:t xml:space="preserve"> thành </w:t>
            </w:r>
            <w:r w:rsidRPr="00431254">
              <w:rPr>
                <w:rFonts w:ascii="Times New Roman" w:eastAsia="Cambria" w:hAnsi="Times New Roman" w:cs="Times New Roman"/>
                <w:bCs/>
                <w:i/>
                <w:sz w:val="24"/>
                <w:szCs w:val="24"/>
                <w:lang w:val="vi-VN"/>
              </w:rPr>
              <w:t>“pháp luật về quản lý và đầu tư vốn nhà nước tại doanh nghiệp”</w:t>
            </w:r>
            <w:r w:rsidRPr="00431254">
              <w:rPr>
                <w:rFonts w:ascii="Times New Roman" w:eastAsia="Cambria" w:hAnsi="Times New Roman" w:cs="Times New Roman"/>
                <w:bCs/>
                <w:sz w:val="24"/>
                <w:szCs w:val="24"/>
                <w:lang w:val="vi-VN"/>
              </w:rPr>
              <w:t xml:space="preserve"> để phù hợp với tên Luật 68.</w:t>
            </w:r>
          </w:p>
        </w:tc>
      </w:tr>
      <w:tr w:rsidR="00602E69" w:rsidRPr="008A118E" w:rsidTr="001551D6">
        <w:trPr>
          <w:trHeight w:val="296"/>
        </w:trPr>
        <w:tc>
          <w:tcPr>
            <w:tcW w:w="1757" w:type="pct"/>
          </w:tcPr>
          <w:p w:rsidR="00602E69" w:rsidRPr="00602E69" w:rsidRDefault="00602E69" w:rsidP="00A82910">
            <w:pPr>
              <w:tabs>
                <w:tab w:val="left" w:pos="143"/>
              </w:tabs>
              <w:ind w:firstLine="284"/>
              <w:jc w:val="both"/>
              <w:rPr>
                <w:rFonts w:ascii="Times New Roman" w:eastAsia="Cambria" w:hAnsi="Times New Roman" w:cs="Times New Roman"/>
                <w:b/>
                <w:bCs/>
                <w:sz w:val="24"/>
                <w:szCs w:val="24"/>
                <w:lang w:val="vi-VN"/>
              </w:rPr>
            </w:pPr>
            <w:r w:rsidRPr="00FC245D">
              <w:rPr>
                <w:rFonts w:ascii="Times New Roman" w:eastAsia="Cambria" w:hAnsi="Times New Roman" w:cs="Times New Roman"/>
                <w:b/>
                <w:bCs/>
                <w:sz w:val="24"/>
                <w:szCs w:val="24"/>
                <w:lang w:val="vi-VN"/>
              </w:rPr>
              <w:lastRenderedPageBreak/>
              <w:t>Khoản 1 Điều 39</w:t>
            </w:r>
            <w:r w:rsidRPr="00602E69">
              <w:rPr>
                <w:rFonts w:ascii="Times New Roman" w:eastAsia="Cambria" w:hAnsi="Times New Roman" w:cs="Times New Roman"/>
                <w:b/>
                <w:bCs/>
                <w:sz w:val="24"/>
                <w:szCs w:val="24"/>
                <w:lang w:val="vi-VN"/>
              </w:rPr>
              <w:t xml:space="preserve"> về t</w:t>
            </w:r>
            <w:r w:rsidRPr="00516AFA">
              <w:rPr>
                <w:rFonts w:ascii="Times New Roman" w:eastAsia="Cambria" w:hAnsi="Times New Roman" w:cs="Times New Roman"/>
                <w:b/>
                <w:bCs/>
                <w:sz w:val="24"/>
                <w:szCs w:val="24"/>
                <w:lang w:val="vi-VN"/>
              </w:rPr>
              <w:t>rách nhiệm của Bộ Tài chính</w:t>
            </w:r>
          </w:p>
          <w:p w:rsidR="00602E69" w:rsidRPr="00FC245D" w:rsidRDefault="00602E69" w:rsidP="00516AFA">
            <w:pPr>
              <w:tabs>
                <w:tab w:val="left" w:pos="143"/>
              </w:tabs>
              <w:ind w:firstLine="284"/>
              <w:jc w:val="both"/>
              <w:rPr>
                <w:rFonts w:ascii="Times New Roman" w:eastAsia="Cambria" w:hAnsi="Times New Roman" w:cs="Times New Roman"/>
                <w:bCs/>
                <w:sz w:val="24"/>
                <w:szCs w:val="24"/>
                <w:lang w:val="vi-VN"/>
              </w:rPr>
            </w:pPr>
            <w:r w:rsidRPr="0004399C">
              <w:rPr>
                <w:rFonts w:ascii="Times New Roman" w:eastAsia="Cambria" w:hAnsi="Times New Roman" w:cs="Times New Roman"/>
                <w:bCs/>
                <w:sz w:val="24"/>
                <w:szCs w:val="24"/>
                <w:lang w:val="vi-VN"/>
              </w:rPr>
              <w:t>1. Phối hợp với Ngân hàng Nhà nước Việt Nam trong việc lập và thực hiện kế hoạch giám sát các tổ chức tín dụng do Nhà nước nắm giữ 100% vốn điều lệ và tổ chức tín dụng có vốn nhà nước; giám sát theo chuyên đề hoặc theo yêu cầu của Chính phủ, Thủ tướng Chính phủ theo quy định của pháp luật về quản lý, sử dụng vốn nhà nước đầu tư vào sản xuất, kinh doanh tại doanh nghiệp.</w:t>
            </w:r>
          </w:p>
        </w:tc>
        <w:tc>
          <w:tcPr>
            <w:tcW w:w="1813" w:type="pct"/>
          </w:tcPr>
          <w:p w:rsidR="00602E69" w:rsidRPr="008A118E" w:rsidRDefault="00602E69" w:rsidP="0004399C">
            <w:pPr>
              <w:tabs>
                <w:tab w:val="left" w:pos="143"/>
              </w:tabs>
              <w:ind w:firstLine="284"/>
              <w:jc w:val="both"/>
              <w:rPr>
                <w:rFonts w:ascii="Times New Roman" w:eastAsia="Cambria" w:hAnsi="Times New Roman" w:cs="Times New Roman"/>
                <w:b/>
                <w:bCs/>
                <w:sz w:val="24"/>
                <w:szCs w:val="24"/>
                <w:lang w:val="vi-VN"/>
              </w:rPr>
            </w:pPr>
            <w:r w:rsidRPr="008A118E">
              <w:rPr>
                <w:rFonts w:ascii="Times New Roman" w:eastAsia="Cambria" w:hAnsi="Times New Roman" w:cs="Times New Roman"/>
                <w:b/>
                <w:bCs/>
                <w:sz w:val="24"/>
                <w:szCs w:val="24"/>
                <w:lang w:val="vi-VN"/>
              </w:rPr>
              <w:t>Khoản 1 Điều 39 về trách nhiệm của Bộ Tài chính</w:t>
            </w:r>
          </w:p>
          <w:p w:rsidR="00602E69" w:rsidRPr="00FC245D" w:rsidRDefault="00602E69" w:rsidP="00AE7E49">
            <w:pPr>
              <w:tabs>
                <w:tab w:val="left" w:pos="143"/>
              </w:tabs>
              <w:ind w:firstLine="284"/>
              <w:jc w:val="both"/>
              <w:rPr>
                <w:rFonts w:ascii="Times New Roman" w:eastAsia="Cambria" w:hAnsi="Times New Roman" w:cs="Times New Roman"/>
                <w:bCs/>
                <w:spacing w:val="-2"/>
                <w:sz w:val="24"/>
                <w:szCs w:val="24"/>
                <w:lang w:val="vi-VN"/>
              </w:rPr>
            </w:pPr>
            <w:r w:rsidRPr="008A118E">
              <w:rPr>
                <w:rFonts w:ascii="Times New Roman" w:eastAsia="Cambria" w:hAnsi="Times New Roman" w:cs="Times New Roman"/>
                <w:bCs/>
                <w:sz w:val="24"/>
                <w:szCs w:val="24"/>
                <w:lang w:val="vi-VN"/>
              </w:rPr>
              <w:t xml:space="preserve">1. Phối hợp với Ngân hàng Nhà nước Việt Nam trong việc lập và thực hiện kế hoạch giám sát các tổ chức tín dụng do Nhà nước nắm giữ 100% vốn điều lệ và tổ chức tín dụng có vốn nhà nước; giám sát theo chuyên đề hoặc theo yêu cầu của Chính phủ, Thủ tướng Chính phủ theo quy định của pháp luật về </w:t>
            </w:r>
            <w:r w:rsidRPr="008A118E">
              <w:rPr>
                <w:rFonts w:ascii="Times New Roman" w:eastAsia="Cambria" w:hAnsi="Times New Roman" w:cs="Times New Roman"/>
                <w:bCs/>
                <w:strike/>
                <w:sz w:val="24"/>
                <w:szCs w:val="24"/>
                <w:lang w:val="vi-VN"/>
              </w:rPr>
              <w:t xml:space="preserve">quản lý, sử dụng vốn nhà nước đầu tư vào sản xuất, kinh doanh tại doanh nghiệp </w:t>
            </w:r>
            <w:r w:rsidRPr="008A118E">
              <w:rPr>
                <w:rFonts w:ascii="Times New Roman" w:eastAsia="Cambria" w:hAnsi="Times New Roman" w:cs="Times New Roman"/>
                <w:b/>
                <w:bCs/>
                <w:sz w:val="24"/>
                <w:szCs w:val="24"/>
                <w:lang w:val="vi-VN"/>
              </w:rPr>
              <w:t>quản lý và đầu tư vốn nhà nước tại doanh nghiệp</w:t>
            </w:r>
            <w:r w:rsidRPr="008A118E">
              <w:rPr>
                <w:rFonts w:ascii="Times New Roman" w:eastAsia="Cambria" w:hAnsi="Times New Roman" w:cs="Times New Roman"/>
                <w:bCs/>
                <w:sz w:val="24"/>
                <w:szCs w:val="24"/>
                <w:lang w:val="vi-VN"/>
              </w:rPr>
              <w:t>.</w:t>
            </w:r>
          </w:p>
        </w:tc>
        <w:tc>
          <w:tcPr>
            <w:tcW w:w="1430" w:type="pct"/>
          </w:tcPr>
          <w:p w:rsidR="00602E69" w:rsidRPr="008D1E02" w:rsidRDefault="00602E69" w:rsidP="003B0CD7">
            <w:pPr>
              <w:tabs>
                <w:tab w:val="left" w:pos="143"/>
              </w:tabs>
              <w:ind w:firstLine="314"/>
              <w:jc w:val="both"/>
              <w:rPr>
                <w:rFonts w:ascii="Times New Roman" w:eastAsia="Cambria" w:hAnsi="Times New Roman" w:cs="Times New Roman"/>
                <w:bCs/>
                <w:sz w:val="24"/>
                <w:szCs w:val="24"/>
                <w:lang w:val="vi-VN"/>
              </w:rPr>
            </w:pPr>
            <w:r w:rsidRPr="0004399C">
              <w:rPr>
                <w:rFonts w:ascii="Times New Roman" w:eastAsia="Cambria" w:hAnsi="Times New Roman" w:cs="Times New Roman"/>
                <w:bCs/>
                <w:sz w:val="24"/>
                <w:szCs w:val="24"/>
                <w:lang w:val="vi-VN"/>
              </w:rPr>
              <w:t xml:space="preserve">Sửa đổi cụm từ </w:t>
            </w:r>
            <w:r w:rsidRPr="0004399C">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04399C">
              <w:rPr>
                <w:rFonts w:ascii="Times New Roman" w:eastAsia="Cambria" w:hAnsi="Times New Roman" w:cs="Times New Roman"/>
                <w:bCs/>
                <w:sz w:val="24"/>
                <w:szCs w:val="24"/>
                <w:lang w:val="vi-VN"/>
              </w:rPr>
              <w:t xml:space="preserve"> thành </w:t>
            </w:r>
            <w:r w:rsidRPr="0004399C">
              <w:rPr>
                <w:rFonts w:ascii="Times New Roman" w:eastAsia="Cambria" w:hAnsi="Times New Roman" w:cs="Times New Roman"/>
                <w:bCs/>
                <w:i/>
                <w:sz w:val="24"/>
                <w:szCs w:val="24"/>
                <w:lang w:val="vi-VN"/>
              </w:rPr>
              <w:t>“pháp luật về quản lý và đầu tư vốn nhà nước tại doanh nghiệp”</w:t>
            </w:r>
            <w:r w:rsidRPr="0004399C">
              <w:rPr>
                <w:rFonts w:ascii="Times New Roman" w:eastAsia="Cambria" w:hAnsi="Times New Roman" w:cs="Times New Roman"/>
                <w:bCs/>
                <w:sz w:val="24"/>
                <w:szCs w:val="24"/>
                <w:lang w:val="vi-VN"/>
              </w:rPr>
              <w:t xml:space="preserve"> để phù hợp với tên Luật 68.</w:t>
            </w:r>
          </w:p>
        </w:tc>
      </w:tr>
      <w:tr w:rsidR="00602E69" w:rsidRPr="008A118E" w:rsidTr="001551D6">
        <w:trPr>
          <w:trHeight w:val="296"/>
        </w:trPr>
        <w:tc>
          <w:tcPr>
            <w:tcW w:w="1757" w:type="pct"/>
          </w:tcPr>
          <w:p w:rsidR="00602E69" w:rsidRPr="00602E69" w:rsidRDefault="00602E69" w:rsidP="00A82910">
            <w:pPr>
              <w:tabs>
                <w:tab w:val="left" w:pos="143"/>
              </w:tabs>
              <w:ind w:firstLine="284"/>
              <w:jc w:val="both"/>
              <w:rPr>
                <w:rFonts w:ascii="Times New Roman" w:eastAsia="Cambria" w:hAnsi="Times New Roman" w:cs="Times New Roman"/>
                <w:b/>
                <w:bCs/>
                <w:sz w:val="24"/>
                <w:szCs w:val="24"/>
                <w:lang w:val="vi-VN"/>
              </w:rPr>
            </w:pPr>
            <w:r w:rsidRPr="00FC245D">
              <w:rPr>
                <w:rFonts w:ascii="Times New Roman" w:eastAsia="Cambria" w:hAnsi="Times New Roman" w:cs="Times New Roman"/>
                <w:b/>
                <w:bCs/>
                <w:sz w:val="24"/>
                <w:szCs w:val="24"/>
                <w:lang w:val="vi-VN"/>
              </w:rPr>
              <w:t xml:space="preserve">Khoản 5 </w:t>
            </w:r>
            <w:r w:rsidRPr="00A82910">
              <w:rPr>
                <w:rFonts w:ascii="Times New Roman" w:eastAsia="Cambria" w:hAnsi="Times New Roman" w:cs="Times New Roman"/>
                <w:b/>
                <w:bCs/>
                <w:sz w:val="24"/>
                <w:szCs w:val="24"/>
                <w:lang w:val="vi-VN"/>
              </w:rPr>
              <w:t>Điều 41</w:t>
            </w:r>
            <w:r w:rsidRPr="00602E69">
              <w:rPr>
                <w:rFonts w:ascii="Times New Roman" w:eastAsia="Cambria" w:hAnsi="Times New Roman" w:cs="Times New Roman"/>
                <w:b/>
                <w:bCs/>
                <w:sz w:val="24"/>
                <w:szCs w:val="24"/>
                <w:lang w:val="vi-VN"/>
              </w:rPr>
              <w:t xml:space="preserve"> về t</w:t>
            </w:r>
            <w:r w:rsidRPr="00516AFA">
              <w:rPr>
                <w:rFonts w:ascii="Times New Roman" w:eastAsia="Cambria" w:hAnsi="Times New Roman" w:cs="Times New Roman"/>
                <w:b/>
                <w:bCs/>
                <w:sz w:val="24"/>
                <w:szCs w:val="24"/>
                <w:lang w:val="vi-VN"/>
              </w:rPr>
              <w:t>rách nhiệm của tổ chức tín dụng, chi nhánh ngân hàng nước ngoài</w:t>
            </w:r>
          </w:p>
          <w:p w:rsidR="00602E69" w:rsidRPr="00A82910" w:rsidRDefault="00602E69" w:rsidP="00516AFA">
            <w:pPr>
              <w:tabs>
                <w:tab w:val="left" w:pos="143"/>
              </w:tabs>
              <w:ind w:firstLine="284"/>
              <w:jc w:val="both"/>
              <w:rPr>
                <w:rFonts w:ascii="Times New Roman" w:eastAsia="Cambria" w:hAnsi="Times New Roman" w:cs="Times New Roman"/>
                <w:b/>
                <w:bCs/>
                <w:sz w:val="24"/>
                <w:szCs w:val="24"/>
                <w:lang w:val="vi-VN"/>
              </w:rPr>
            </w:pPr>
            <w:r w:rsidRPr="00A82910">
              <w:rPr>
                <w:rFonts w:ascii="Times New Roman" w:eastAsia="Cambria" w:hAnsi="Times New Roman" w:cs="Times New Roman"/>
                <w:bCs/>
                <w:sz w:val="24"/>
                <w:szCs w:val="24"/>
                <w:lang w:val="vi-VN"/>
              </w:rPr>
              <w:t>5. Người đại diện phần vốn nhà nước tại tổ chức tín dụng có trách nhiệm: Thực hiện đầy đủ quyền, trách nhiệm của người đại diện liên quan đến việc quản lý tài chính, giám sát tài chính và đánh giá hiệu quả đầu tư vốn nhà nước tại tổ chức tín dụng theo quy định của Nghị định này, pháp luật về quản lý, sử dụng vốn nhà nước đầu tư vào sản xuất, kinh doanh tại doanh nghiệp và các quy định khác của pháp luật có liên quan.</w:t>
            </w:r>
          </w:p>
        </w:tc>
        <w:tc>
          <w:tcPr>
            <w:tcW w:w="1813" w:type="pct"/>
          </w:tcPr>
          <w:p w:rsidR="00602E69" w:rsidRPr="00602E69" w:rsidRDefault="00602E69" w:rsidP="008D1E02">
            <w:pPr>
              <w:tabs>
                <w:tab w:val="left" w:pos="143"/>
              </w:tabs>
              <w:ind w:firstLine="284"/>
              <w:jc w:val="both"/>
              <w:rPr>
                <w:rFonts w:ascii="Times New Roman" w:eastAsia="Cambria" w:hAnsi="Times New Roman" w:cs="Times New Roman"/>
                <w:b/>
                <w:bCs/>
                <w:sz w:val="24"/>
                <w:szCs w:val="24"/>
                <w:lang w:val="vi-VN"/>
              </w:rPr>
            </w:pPr>
            <w:bookmarkStart w:id="12" w:name="_Hlk207230771"/>
            <w:r w:rsidRPr="00FC245D">
              <w:rPr>
                <w:rFonts w:ascii="Times New Roman" w:eastAsia="Cambria" w:hAnsi="Times New Roman" w:cs="Times New Roman"/>
                <w:b/>
                <w:bCs/>
                <w:sz w:val="24"/>
                <w:szCs w:val="24"/>
                <w:lang w:val="vi-VN"/>
              </w:rPr>
              <w:t>K</w:t>
            </w:r>
            <w:r w:rsidRPr="004325AC">
              <w:rPr>
                <w:rFonts w:ascii="Times New Roman" w:eastAsia="Cambria" w:hAnsi="Times New Roman" w:cs="Times New Roman"/>
                <w:b/>
                <w:bCs/>
                <w:sz w:val="24"/>
                <w:szCs w:val="24"/>
                <w:lang w:val="vi-VN"/>
              </w:rPr>
              <w:t xml:space="preserve">hoản 5 Điều 41 </w:t>
            </w:r>
            <w:r w:rsidRPr="00602E69">
              <w:rPr>
                <w:rFonts w:ascii="Times New Roman" w:eastAsia="Cambria" w:hAnsi="Times New Roman" w:cs="Times New Roman"/>
                <w:b/>
                <w:bCs/>
                <w:sz w:val="24"/>
                <w:szCs w:val="24"/>
                <w:lang w:val="vi-VN"/>
              </w:rPr>
              <w:t>về t</w:t>
            </w:r>
            <w:r w:rsidRPr="00516AFA">
              <w:rPr>
                <w:rFonts w:ascii="Times New Roman" w:eastAsia="Cambria" w:hAnsi="Times New Roman" w:cs="Times New Roman"/>
                <w:b/>
                <w:bCs/>
                <w:sz w:val="24"/>
                <w:szCs w:val="24"/>
                <w:lang w:val="vi-VN"/>
              </w:rPr>
              <w:t>rách nhiệm của tổ chức tín dụng, chi nhánh ngân hàng nước ngoài</w:t>
            </w:r>
          </w:p>
          <w:p w:rsidR="00602E69" w:rsidRPr="00516AFA" w:rsidRDefault="00602E69" w:rsidP="00516AFA">
            <w:pPr>
              <w:tabs>
                <w:tab w:val="left" w:pos="143"/>
              </w:tabs>
              <w:ind w:firstLine="284"/>
              <w:jc w:val="both"/>
              <w:rPr>
                <w:rFonts w:ascii="Times New Roman" w:eastAsia="Cambria" w:hAnsi="Times New Roman" w:cs="Times New Roman"/>
                <w:b/>
                <w:bCs/>
                <w:sz w:val="24"/>
                <w:szCs w:val="24"/>
                <w:lang w:val="vi-VN"/>
              </w:rPr>
            </w:pPr>
            <w:r w:rsidRPr="004325AC">
              <w:rPr>
                <w:rFonts w:ascii="Times New Roman" w:eastAsia="Cambria" w:hAnsi="Times New Roman" w:cs="Times New Roman"/>
                <w:bCs/>
                <w:sz w:val="24"/>
                <w:szCs w:val="24"/>
                <w:lang w:val="vi-VN"/>
              </w:rPr>
              <w:t>5. Người đại diện phần vốn nhà nước tại tổ chức tín dụng có trách nhiệm: Thực hiện đầy đủ quyền, trách nhiệm của người đại diện liên quan đến việc quản lý tài chính, giám sát</w:t>
            </w:r>
            <w:r w:rsidRPr="003960E5">
              <w:rPr>
                <w:rFonts w:ascii="Times New Roman" w:eastAsia="Cambria" w:hAnsi="Times New Roman" w:cs="Times New Roman"/>
                <w:bCs/>
                <w:sz w:val="24"/>
                <w:szCs w:val="24"/>
                <w:lang w:val="vi-VN"/>
              </w:rPr>
              <w:t xml:space="preserve"> tài chính</w:t>
            </w:r>
            <w:r w:rsidRPr="004325AC">
              <w:rPr>
                <w:rFonts w:ascii="Times New Roman" w:eastAsia="Cambria" w:hAnsi="Times New Roman" w:cs="Times New Roman"/>
                <w:bCs/>
                <w:sz w:val="24"/>
                <w:szCs w:val="24"/>
                <w:lang w:val="vi-VN"/>
              </w:rPr>
              <w:t xml:space="preserve"> và đánh giá </w:t>
            </w:r>
            <w:r w:rsidRPr="003960E5">
              <w:rPr>
                <w:rFonts w:ascii="Times New Roman" w:eastAsia="Cambria" w:hAnsi="Times New Roman" w:cs="Times New Roman"/>
                <w:bCs/>
                <w:sz w:val="24"/>
                <w:szCs w:val="24"/>
                <w:lang w:val="vi-VN"/>
              </w:rPr>
              <w:t xml:space="preserve">hiệu quả đầu tư vốn nhà nước tại </w:t>
            </w:r>
            <w:r w:rsidRPr="004325AC">
              <w:rPr>
                <w:rFonts w:ascii="Times New Roman" w:eastAsia="Cambria" w:hAnsi="Times New Roman" w:cs="Times New Roman"/>
                <w:bCs/>
                <w:sz w:val="24"/>
                <w:szCs w:val="24"/>
                <w:lang w:val="vi-VN"/>
              </w:rPr>
              <w:t xml:space="preserve">tổ chức tín dụng theo quy định của Nghị định này, pháp luật về </w:t>
            </w:r>
            <w:r w:rsidRPr="004325AC">
              <w:rPr>
                <w:rFonts w:ascii="Times New Roman" w:eastAsia="Cambria" w:hAnsi="Times New Roman" w:cs="Times New Roman"/>
                <w:bCs/>
                <w:strike/>
                <w:sz w:val="24"/>
                <w:szCs w:val="24"/>
                <w:lang w:val="vi-VN"/>
              </w:rPr>
              <w:t>quản lý, sử dụng vốn nhà nước đầu tư vào sản xuất, kinh doanh tại doanh nghiệp</w:t>
            </w:r>
            <w:r w:rsidRPr="004325AC">
              <w:rPr>
                <w:rFonts w:ascii="Times New Roman" w:eastAsia="Cambria" w:hAnsi="Times New Roman" w:cs="Times New Roman"/>
                <w:bCs/>
                <w:sz w:val="24"/>
                <w:szCs w:val="24"/>
                <w:lang w:val="vi-VN"/>
              </w:rPr>
              <w:t xml:space="preserve"> </w:t>
            </w:r>
            <w:r w:rsidRPr="004325AC">
              <w:rPr>
                <w:rFonts w:ascii="Times New Roman" w:eastAsia="Cambria" w:hAnsi="Times New Roman" w:cs="Times New Roman"/>
                <w:b/>
                <w:bCs/>
                <w:sz w:val="24"/>
                <w:szCs w:val="24"/>
                <w:lang w:val="vi-VN"/>
              </w:rPr>
              <w:t>quản lý và đầu tư vốn nhà nước tại doanh nghiệp</w:t>
            </w:r>
            <w:r w:rsidRPr="004325AC">
              <w:rPr>
                <w:rFonts w:ascii="Times New Roman" w:eastAsia="Cambria" w:hAnsi="Times New Roman" w:cs="Times New Roman"/>
                <w:bCs/>
                <w:sz w:val="24"/>
                <w:szCs w:val="24"/>
                <w:lang w:val="vi-VN"/>
              </w:rPr>
              <w:t xml:space="preserve"> và các quy định khác của pháp luật có liên quan.</w:t>
            </w:r>
            <w:bookmarkEnd w:id="12"/>
          </w:p>
        </w:tc>
        <w:tc>
          <w:tcPr>
            <w:tcW w:w="1430" w:type="pct"/>
          </w:tcPr>
          <w:p w:rsidR="00602E69" w:rsidRPr="008D1E02" w:rsidRDefault="00602E69" w:rsidP="003B0CD7">
            <w:pPr>
              <w:tabs>
                <w:tab w:val="left" w:pos="143"/>
              </w:tabs>
              <w:ind w:firstLine="314"/>
              <w:jc w:val="both"/>
              <w:rPr>
                <w:rFonts w:ascii="Times New Roman" w:eastAsia="Cambria" w:hAnsi="Times New Roman" w:cs="Times New Roman"/>
                <w:bCs/>
                <w:sz w:val="24"/>
                <w:szCs w:val="24"/>
                <w:lang w:val="vi-VN"/>
              </w:rPr>
            </w:pPr>
            <w:r w:rsidRPr="003960E5">
              <w:rPr>
                <w:rFonts w:ascii="Times New Roman" w:eastAsia="Cambria" w:hAnsi="Times New Roman" w:cs="Times New Roman"/>
                <w:bCs/>
                <w:sz w:val="24"/>
                <w:szCs w:val="24"/>
                <w:lang w:val="vi-VN"/>
              </w:rPr>
              <w:t xml:space="preserve">Sửa đổi cụm từ </w:t>
            </w:r>
            <w:r w:rsidRPr="003960E5">
              <w:rPr>
                <w:rFonts w:ascii="Times New Roman" w:eastAsia="Cambria" w:hAnsi="Times New Roman" w:cs="Times New Roman"/>
                <w:bCs/>
                <w:i/>
                <w:sz w:val="24"/>
                <w:szCs w:val="24"/>
                <w:lang w:val="vi-VN"/>
              </w:rPr>
              <w:t>“pháp luật về quản lý, sử dụng vốn nhà nước đầu tư vào sản xuất, kinh doanh tại doanh nghiệp”</w:t>
            </w:r>
            <w:r w:rsidRPr="003960E5">
              <w:rPr>
                <w:rFonts w:ascii="Times New Roman" w:eastAsia="Cambria" w:hAnsi="Times New Roman" w:cs="Times New Roman"/>
                <w:bCs/>
                <w:sz w:val="24"/>
                <w:szCs w:val="24"/>
                <w:lang w:val="vi-VN"/>
              </w:rPr>
              <w:t xml:space="preserve"> thành </w:t>
            </w:r>
            <w:r w:rsidRPr="003960E5">
              <w:rPr>
                <w:rFonts w:ascii="Times New Roman" w:eastAsia="Cambria" w:hAnsi="Times New Roman" w:cs="Times New Roman"/>
                <w:bCs/>
                <w:i/>
                <w:sz w:val="24"/>
                <w:szCs w:val="24"/>
                <w:lang w:val="vi-VN"/>
              </w:rPr>
              <w:t>“pháp luật về quản lý và đầu tư vốn nhà nước tại doanh nghiệp”</w:t>
            </w:r>
            <w:r w:rsidRPr="003960E5">
              <w:rPr>
                <w:rFonts w:ascii="Times New Roman" w:eastAsia="Cambria" w:hAnsi="Times New Roman" w:cs="Times New Roman"/>
                <w:bCs/>
                <w:sz w:val="24"/>
                <w:szCs w:val="24"/>
                <w:lang w:val="vi-VN"/>
              </w:rPr>
              <w:t xml:space="preserve"> để phù hợp với tên Luật 68.</w:t>
            </w:r>
          </w:p>
        </w:tc>
      </w:tr>
      <w:bookmarkEnd w:id="0"/>
    </w:tbl>
    <w:p w:rsidR="002A0F08" w:rsidRDefault="002A0F08" w:rsidP="002A0F08">
      <w:pPr>
        <w:spacing w:after="0" w:line="240" w:lineRule="auto"/>
        <w:ind w:firstLine="284"/>
        <w:jc w:val="both"/>
        <w:rPr>
          <w:rFonts w:ascii="Times New Roman" w:hAnsi="Times New Roman" w:cs="Times New Roman"/>
          <w:b/>
          <w:sz w:val="24"/>
          <w:szCs w:val="24"/>
          <w:lang w:val="vi-VN"/>
        </w:rPr>
      </w:pPr>
    </w:p>
    <w:p w:rsidR="00730D1C" w:rsidRDefault="00730D1C" w:rsidP="002A0F08">
      <w:pPr>
        <w:spacing w:after="0" w:line="240" w:lineRule="auto"/>
        <w:ind w:firstLine="284"/>
        <w:jc w:val="both"/>
        <w:rPr>
          <w:rFonts w:ascii="Times New Roman" w:hAnsi="Times New Roman" w:cs="Times New Roman"/>
          <w:b/>
          <w:sz w:val="24"/>
          <w:szCs w:val="24"/>
          <w:lang w:val="vi-VN"/>
        </w:rPr>
      </w:pPr>
    </w:p>
    <w:p w:rsidR="00730D1C" w:rsidRDefault="00730D1C" w:rsidP="002A0F08">
      <w:pPr>
        <w:spacing w:after="0" w:line="240" w:lineRule="auto"/>
        <w:ind w:firstLine="284"/>
        <w:jc w:val="both"/>
        <w:rPr>
          <w:rFonts w:ascii="Times New Roman" w:hAnsi="Times New Roman" w:cs="Times New Roman"/>
          <w:b/>
          <w:sz w:val="24"/>
          <w:szCs w:val="24"/>
          <w:lang w:val="vi-VN"/>
        </w:rPr>
      </w:pPr>
    </w:p>
    <w:p w:rsidR="00730D1C" w:rsidRDefault="00730D1C" w:rsidP="002A0F08">
      <w:pPr>
        <w:spacing w:after="0" w:line="240" w:lineRule="auto"/>
        <w:ind w:firstLine="284"/>
        <w:jc w:val="both"/>
        <w:rPr>
          <w:rFonts w:ascii="Times New Roman" w:hAnsi="Times New Roman" w:cs="Times New Roman"/>
          <w:b/>
          <w:sz w:val="24"/>
          <w:szCs w:val="24"/>
          <w:lang w:val="vi-VN"/>
        </w:rPr>
      </w:pPr>
    </w:p>
    <w:p w:rsidR="00730D1C" w:rsidRDefault="00730D1C" w:rsidP="002A0F08">
      <w:pPr>
        <w:spacing w:after="0" w:line="240" w:lineRule="auto"/>
        <w:ind w:firstLine="284"/>
        <w:jc w:val="both"/>
        <w:rPr>
          <w:rFonts w:ascii="Times New Roman" w:hAnsi="Times New Roman" w:cs="Times New Roman"/>
          <w:b/>
          <w:sz w:val="24"/>
          <w:szCs w:val="24"/>
          <w:lang w:val="vi-VN"/>
        </w:rPr>
      </w:pPr>
    </w:p>
    <w:sectPr w:rsidR="00730D1C" w:rsidSect="00CA7ECF">
      <w:headerReference w:type="default" r:id="rId10"/>
      <w:footerReference w:type="default" r:id="rId11"/>
      <w:pgSz w:w="16838" w:h="11906" w:orient="landscape" w:code="9"/>
      <w:pgMar w:top="709" w:right="567" w:bottom="709" w:left="851" w:header="425"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862" w:rsidRPr="00F9337E" w:rsidRDefault="008F3862" w:rsidP="00C20E9F">
      <w:pPr>
        <w:spacing w:after="0" w:line="240" w:lineRule="auto"/>
      </w:pPr>
      <w:r w:rsidRPr="00F9337E">
        <w:separator/>
      </w:r>
    </w:p>
  </w:endnote>
  <w:endnote w:type="continuationSeparator" w:id="1">
    <w:p w:rsidR="008F3862" w:rsidRPr="00F9337E" w:rsidRDefault="008F3862" w:rsidP="00C20E9F">
      <w:pPr>
        <w:spacing w:after="0" w:line="240" w:lineRule="auto"/>
      </w:pPr>
      <w:r w:rsidRPr="00F9337E">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
    <w:altName w:val="Courier"/>
    <w:charset w:val="00"/>
    <w:family w:val="swiss"/>
    <w:pitch w:val="variable"/>
    <w:sig w:usb0="00000003" w:usb1="00000000" w:usb2="00000000" w:usb3="00000000" w:csb0="00000001" w:csb1="00000000"/>
  </w:font>
  <w:font w:name="Yu Mincho Light">
    <w:charset w:val="80"/>
    <w:family w:val="roman"/>
    <w:pitch w:val="variable"/>
    <w:sig w:usb0="800002E7" w:usb1="2AC7FCFF" w:usb2="00000012" w:usb3="00000000" w:csb0="0002009F" w:csb1="00000000"/>
  </w:font>
  <w:font w:name="Times New Roman Bold">
    <w:panose1 w:val="02020803070505020304"/>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62" w:rsidRDefault="008F3862" w:rsidP="008B1C53">
    <w:pPr>
      <w:pStyle w:val="Footer"/>
    </w:pPr>
  </w:p>
  <w:p w:rsidR="008F3862" w:rsidRDefault="008F3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862" w:rsidRPr="00F9337E" w:rsidRDefault="008F3862" w:rsidP="00C20E9F">
      <w:pPr>
        <w:spacing w:after="0" w:line="240" w:lineRule="auto"/>
      </w:pPr>
      <w:r w:rsidRPr="00F9337E">
        <w:separator/>
      </w:r>
    </w:p>
  </w:footnote>
  <w:footnote w:type="continuationSeparator" w:id="1">
    <w:p w:rsidR="008F3862" w:rsidRPr="00F9337E" w:rsidRDefault="008F3862" w:rsidP="00C20E9F">
      <w:pPr>
        <w:spacing w:after="0" w:line="240" w:lineRule="auto"/>
      </w:pPr>
      <w:r w:rsidRPr="00F9337E">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w:hAnsi="Times"/>
      </w:rPr>
      <w:id w:val="-1019618799"/>
      <w:docPartObj>
        <w:docPartGallery w:val="Page Numbers (Top of Page)"/>
        <w:docPartUnique/>
      </w:docPartObj>
    </w:sdtPr>
    <w:sdtContent>
      <w:p w:rsidR="008F3862" w:rsidRPr="00A74621" w:rsidRDefault="008F3862" w:rsidP="00D46C91">
        <w:pPr>
          <w:pStyle w:val="Header"/>
          <w:spacing w:after="0" w:line="240" w:lineRule="auto"/>
          <w:contextualSpacing/>
          <w:jc w:val="center"/>
          <w:rPr>
            <w:rFonts w:ascii="Times" w:hAnsi="Times"/>
          </w:rPr>
        </w:pPr>
        <w:r w:rsidRPr="00A74621">
          <w:rPr>
            <w:rFonts w:ascii="Times" w:hAnsi="Times"/>
          </w:rPr>
          <w:fldChar w:fldCharType="begin"/>
        </w:r>
        <w:r w:rsidRPr="00A74621">
          <w:rPr>
            <w:rFonts w:ascii="Times" w:hAnsi="Times"/>
          </w:rPr>
          <w:instrText xml:space="preserve"> PAGE   \* MERGEFORMAT </w:instrText>
        </w:r>
        <w:r w:rsidRPr="00A74621">
          <w:rPr>
            <w:rFonts w:ascii="Times" w:hAnsi="Times"/>
          </w:rPr>
          <w:fldChar w:fldCharType="separate"/>
        </w:r>
        <w:r w:rsidR="00C04487">
          <w:rPr>
            <w:rFonts w:ascii="Times" w:hAnsi="Times"/>
          </w:rPr>
          <w:t>16</w:t>
        </w:r>
        <w:r w:rsidRPr="00A74621">
          <w:rPr>
            <w:rFonts w:ascii="Times" w:hAnsi="Times"/>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3B6"/>
    <w:multiLevelType w:val="hybridMultilevel"/>
    <w:tmpl w:val="1582815E"/>
    <w:lvl w:ilvl="0" w:tplc="2A80BF80">
      <w:start w:val="1"/>
      <w:numFmt w:val="bullet"/>
      <w:lvlText w:val="-"/>
      <w:lvlJc w:val="left"/>
      <w:pPr>
        <w:ind w:left="644" w:hanging="360"/>
      </w:pPr>
      <w:rPr>
        <w:rFonts w:ascii="Times New Roman" w:eastAsia="Cambria"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
    <w:nsid w:val="0D7C0733"/>
    <w:multiLevelType w:val="hybridMultilevel"/>
    <w:tmpl w:val="1B2CD668"/>
    <w:lvl w:ilvl="0" w:tplc="A662A0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9CA0196"/>
    <w:multiLevelType w:val="hybridMultilevel"/>
    <w:tmpl w:val="984E4DEA"/>
    <w:lvl w:ilvl="0" w:tplc="5BEE1BD2">
      <w:start w:val="1"/>
      <w:numFmt w:val="lowerLetter"/>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3">
    <w:nsid w:val="231D4459"/>
    <w:multiLevelType w:val="hybridMultilevel"/>
    <w:tmpl w:val="CA4A2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A3541F4"/>
    <w:multiLevelType w:val="hybridMultilevel"/>
    <w:tmpl w:val="333C0DDA"/>
    <w:lvl w:ilvl="0" w:tplc="4809000F">
      <w:start w:val="1"/>
      <w:numFmt w:val="decimal"/>
      <w:lvlText w:val="%1."/>
      <w:lvlJc w:val="left"/>
      <w:pPr>
        <w:ind w:left="1287" w:hanging="360"/>
      </w:pPr>
    </w:lvl>
    <w:lvl w:ilvl="1" w:tplc="A7DC0DEA">
      <w:start w:val="1"/>
      <w:numFmt w:val="lowerRoman"/>
      <w:lvlText w:val="%2)"/>
      <w:lvlJc w:val="left"/>
      <w:pPr>
        <w:ind w:left="2367" w:hanging="720"/>
      </w:pPr>
      <w:rPr>
        <w:rFonts w:hint="default"/>
      </w:r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6">
    <w:nsid w:val="422A758E"/>
    <w:multiLevelType w:val="hybridMultilevel"/>
    <w:tmpl w:val="4022C7B2"/>
    <w:lvl w:ilvl="0" w:tplc="8286D75A">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0953EE"/>
    <w:multiLevelType w:val="hybridMultilevel"/>
    <w:tmpl w:val="83D63294"/>
    <w:lvl w:ilvl="0" w:tplc="51BE7FB4">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8">
    <w:nsid w:val="4D5D36FF"/>
    <w:multiLevelType w:val="hybridMultilevel"/>
    <w:tmpl w:val="02442F3E"/>
    <w:lvl w:ilvl="0" w:tplc="E01650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532C16AE"/>
    <w:multiLevelType w:val="hybridMultilevel"/>
    <w:tmpl w:val="2076C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9C359D"/>
    <w:multiLevelType w:val="multilevel"/>
    <w:tmpl w:val="FE0812F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5A9541A"/>
    <w:multiLevelType w:val="hybridMultilevel"/>
    <w:tmpl w:val="6700ED1C"/>
    <w:lvl w:ilvl="0" w:tplc="FFFFFFFF">
      <w:start w:val="1"/>
      <w:numFmt w:val="decimal"/>
      <w:lvlText w:val="%1."/>
      <w:lvlJc w:val="left"/>
      <w:pPr>
        <w:ind w:left="1287" w:hanging="360"/>
      </w:pPr>
    </w:lvl>
    <w:lvl w:ilvl="1" w:tplc="FFFFFFFF">
      <w:start w:val="1"/>
      <w:numFmt w:val="lowerRoman"/>
      <w:lvlText w:val="%2)"/>
      <w:lvlJc w:val="left"/>
      <w:pPr>
        <w:ind w:left="2367" w:hanging="72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nsid w:val="674B7330"/>
    <w:multiLevelType w:val="hybridMultilevel"/>
    <w:tmpl w:val="CB66A432"/>
    <w:lvl w:ilvl="0" w:tplc="D360A96A">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
    <w:nsid w:val="6BD51D9D"/>
    <w:multiLevelType w:val="hybridMultilevel"/>
    <w:tmpl w:val="C11CF16C"/>
    <w:lvl w:ilvl="0" w:tplc="8F90319E">
      <w:start w:val="2"/>
      <w:numFmt w:val="bullet"/>
      <w:lvlText w:val="-"/>
      <w:lvlJc w:val="left"/>
      <w:pPr>
        <w:ind w:left="530" w:hanging="360"/>
      </w:pPr>
      <w:rPr>
        <w:rFonts w:ascii="Times New Roman" w:eastAsia="Cambria"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11"/>
  </w:num>
  <w:num w:numId="6">
    <w:abstractNumId w:val="2"/>
  </w:num>
  <w:num w:numId="7">
    <w:abstractNumId w:val="9"/>
  </w:num>
  <w:num w:numId="8">
    <w:abstractNumId w:val="1"/>
  </w:num>
  <w:num w:numId="9">
    <w:abstractNumId w:val="12"/>
  </w:num>
  <w:num w:numId="10">
    <w:abstractNumId w:val="7"/>
  </w:num>
  <w:num w:numId="11">
    <w:abstractNumId w:val="13"/>
  </w:num>
  <w:num w:numId="12">
    <w:abstractNumId w:val="6"/>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stylePaneFormatFilter w:val="1028"/>
  <w:doNotTrackFormatting/>
  <w:defaultTabStop w:val="720"/>
  <w:hyphenationZone w:val="425"/>
  <w:characterSpacingControl w:val="doNotCompress"/>
  <w:hdrShapeDefaults>
    <o:shapedefaults v:ext="edit" spidmax="2052"/>
  </w:hdrShapeDefaults>
  <w:footnotePr>
    <w:footnote w:id="0"/>
    <w:footnote w:id="1"/>
  </w:footnotePr>
  <w:endnotePr>
    <w:endnote w:id="0"/>
    <w:endnote w:id="1"/>
  </w:endnotePr>
  <w:compat/>
  <w:rsids>
    <w:rsidRoot w:val="00907BD8"/>
    <w:rsid w:val="0000028F"/>
    <w:rsid w:val="0000077E"/>
    <w:rsid w:val="000020DD"/>
    <w:rsid w:val="00002AAA"/>
    <w:rsid w:val="00003EA4"/>
    <w:rsid w:val="00003ECD"/>
    <w:rsid w:val="000056EF"/>
    <w:rsid w:val="00006549"/>
    <w:rsid w:val="00010AF1"/>
    <w:rsid w:val="00010C54"/>
    <w:rsid w:val="00011052"/>
    <w:rsid w:val="00012CA7"/>
    <w:rsid w:val="00013158"/>
    <w:rsid w:val="0001334D"/>
    <w:rsid w:val="00013DC7"/>
    <w:rsid w:val="00014529"/>
    <w:rsid w:val="00014BEF"/>
    <w:rsid w:val="00015097"/>
    <w:rsid w:val="000173AF"/>
    <w:rsid w:val="0001778A"/>
    <w:rsid w:val="00017A90"/>
    <w:rsid w:val="00020CA2"/>
    <w:rsid w:val="00021B58"/>
    <w:rsid w:val="00021EE2"/>
    <w:rsid w:val="000221F1"/>
    <w:rsid w:val="000232AF"/>
    <w:rsid w:val="000251A3"/>
    <w:rsid w:val="000255EE"/>
    <w:rsid w:val="00025CC6"/>
    <w:rsid w:val="0002643B"/>
    <w:rsid w:val="00027F74"/>
    <w:rsid w:val="00030191"/>
    <w:rsid w:val="000304E9"/>
    <w:rsid w:val="00030623"/>
    <w:rsid w:val="00032ADC"/>
    <w:rsid w:val="00032C75"/>
    <w:rsid w:val="00033988"/>
    <w:rsid w:val="00033EE9"/>
    <w:rsid w:val="00034A57"/>
    <w:rsid w:val="00036065"/>
    <w:rsid w:val="000373AA"/>
    <w:rsid w:val="00037556"/>
    <w:rsid w:val="00037C80"/>
    <w:rsid w:val="00037E2F"/>
    <w:rsid w:val="000406E9"/>
    <w:rsid w:val="00040D1E"/>
    <w:rsid w:val="0004109D"/>
    <w:rsid w:val="00042449"/>
    <w:rsid w:val="0004399C"/>
    <w:rsid w:val="00043E8F"/>
    <w:rsid w:val="000444BE"/>
    <w:rsid w:val="00044B36"/>
    <w:rsid w:val="00044BBF"/>
    <w:rsid w:val="000456C9"/>
    <w:rsid w:val="0004585D"/>
    <w:rsid w:val="0004612B"/>
    <w:rsid w:val="000468AC"/>
    <w:rsid w:val="00046D91"/>
    <w:rsid w:val="00046F21"/>
    <w:rsid w:val="00052642"/>
    <w:rsid w:val="00052BA3"/>
    <w:rsid w:val="000535CA"/>
    <w:rsid w:val="00056EAE"/>
    <w:rsid w:val="000571E1"/>
    <w:rsid w:val="00061525"/>
    <w:rsid w:val="00061E33"/>
    <w:rsid w:val="00062DD5"/>
    <w:rsid w:val="0006442C"/>
    <w:rsid w:val="00064819"/>
    <w:rsid w:val="00064986"/>
    <w:rsid w:val="00064CFA"/>
    <w:rsid w:val="0006561A"/>
    <w:rsid w:val="00065F24"/>
    <w:rsid w:val="00067A2B"/>
    <w:rsid w:val="0007305D"/>
    <w:rsid w:val="000735D8"/>
    <w:rsid w:val="00073A5E"/>
    <w:rsid w:val="00075458"/>
    <w:rsid w:val="000774D5"/>
    <w:rsid w:val="00077D76"/>
    <w:rsid w:val="0008018C"/>
    <w:rsid w:val="0008085A"/>
    <w:rsid w:val="0008097A"/>
    <w:rsid w:val="000820E9"/>
    <w:rsid w:val="00084067"/>
    <w:rsid w:val="00084258"/>
    <w:rsid w:val="000843A3"/>
    <w:rsid w:val="0008518D"/>
    <w:rsid w:val="00086D60"/>
    <w:rsid w:val="0008764C"/>
    <w:rsid w:val="00087C51"/>
    <w:rsid w:val="000926BB"/>
    <w:rsid w:val="00092775"/>
    <w:rsid w:val="0009437B"/>
    <w:rsid w:val="00096ACB"/>
    <w:rsid w:val="00096BA7"/>
    <w:rsid w:val="00096C5A"/>
    <w:rsid w:val="000A07ED"/>
    <w:rsid w:val="000A0DE7"/>
    <w:rsid w:val="000A19F7"/>
    <w:rsid w:val="000A2663"/>
    <w:rsid w:val="000A4315"/>
    <w:rsid w:val="000A4B78"/>
    <w:rsid w:val="000A4C10"/>
    <w:rsid w:val="000A4ED3"/>
    <w:rsid w:val="000A7CED"/>
    <w:rsid w:val="000B04E3"/>
    <w:rsid w:val="000B094B"/>
    <w:rsid w:val="000B1E6C"/>
    <w:rsid w:val="000B2200"/>
    <w:rsid w:val="000B3947"/>
    <w:rsid w:val="000B3D3E"/>
    <w:rsid w:val="000B3E2E"/>
    <w:rsid w:val="000B5D56"/>
    <w:rsid w:val="000C0B44"/>
    <w:rsid w:val="000C2417"/>
    <w:rsid w:val="000C586A"/>
    <w:rsid w:val="000C6CE3"/>
    <w:rsid w:val="000C75F6"/>
    <w:rsid w:val="000C7DC0"/>
    <w:rsid w:val="000D1103"/>
    <w:rsid w:val="000D28C3"/>
    <w:rsid w:val="000D3265"/>
    <w:rsid w:val="000D3E1D"/>
    <w:rsid w:val="000D422A"/>
    <w:rsid w:val="000D50AC"/>
    <w:rsid w:val="000D56E2"/>
    <w:rsid w:val="000D5CC5"/>
    <w:rsid w:val="000D7B6F"/>
    <w:rsid w:val="000E0428"/>
    <w:rsid w:val="000E2230"/>
    <w:rsid w:val="000E35CE"/>
    <w:rsid w:val="000E3A44"/>
    <w:rsid w:val="000E46D7"/>
    <w:rsid w:val="000E4887"/>
    <w:rsid w:val="000E7194"/>
    <w:rsid w:val="000E719B"/>
    <w:rsid w:val="000E7AD3"/>
    <w:rsid w:val="000F23D1"/>
    <w:rsid w:val="000F2775"/>
    <w:rsid w:val="000F323E"/>
    <w:rsid w:val="000F3658"/>
    <w:rsid w:val="000F37CF"/>
    <w:rsid w:val="000F4854"/>
    <w:rsid w:val="000F5F74"/>
    <w:rsid w:val="000F6732"/>
    <w:rsid w:val="00101002"/>
    <w:rsid w:val="001014A2"/>
    <w:rsid w:val="00102DF0"/>
    <w:rsid w:val="00104104"/>
    <w:rsid w:val="001045DE"/>
    <w:rsid w:val="00104F8B"/>
    <w:rsid w:val="00105F7D"/>
    <w:rsid w:val="001061C8"/>
    <w:rsid w:val="0010649C"/>
    <w:rsid w:val="00106981"/>
    <w:rsid w:val="00106CDC"/>
    <w:rsid w:val="00107001"/>
    <w:rsid w:val="001076C6"/>
    <w:rsid w:val="00112687"/>
    <w:rsid w:val="00112F9A"/>
    <w:rsid w:val="00114D92"/>
    <w:rsid w:val="00115309"/>
    <w:rsid w:val="001165FD"/>
    <w:rsid w:val="00116667"/>
    <w:rsid w:val="00117D72"/>
    <w:rsid w:val="00120007"/>
    <w:rsid w:val="00120CB9"/>
    <w:rsid w:val="00120D78"/>
    <w:rsid w:val="0012133D"/>
    <w:rsid w:val="00121963"/>
    <w:rsid w:val="001235AF"/>
    <w:rsid w:val="00123A9E"/>
    <w:rsid w:val="00123B41"/>
    <w:rsid w:val="00123C61"/>
    <w:rsid w:val="00123DE5"/>
    <w:rsid w:val="001248B8"/>
    <w:rsid w:val="0012497E"/>
    <w:rsid w:val="00127295"/>
    <w:rsid w:val="00130095"/>
    <w:rsid w:val="001305F4"/>
    <w:rsid w:val="00130B4D"/>
    <w:rsid w:val="0013110A"/>
    <w:rsid w:val="0013209F"/>
    <w:rsid w:val="001342C2"/>
    <w:rsid w:val="00134341"/>
    <w:rsid w:val="00135DE5"/>
    <w:rsid w:val="00135FBB"/>
    <w:rsid w:val="00137DCB"/>
    <w:rsid w:val="00140174"/>
    <w:rsid w:val="00140EBC"/>
    <w:rsid w:val="00140EF7"/>
    <w:rsid w:val="00141BB6"/>
    <w:rsid w:val="0014239F"/>
    <w:rsid w:val="001424AB"/>
    <w:rsid w:val="00143E77"/>
    <w:rsid w:val="00143EC5"/>
    <w:rsid w:val="00144715"/>
    <w:rsid w:val="00145136"/>
    <w:rsid w:val="00145704"/>
    <w:rsid w:val="0014579D"/>
    <w:rsid w:val="00145D71"/>
    <w:rsid w:val="00147778"/>
    <w:rsid w:val="0015067F"/>
    <w:rsid w:val="0015089F"/>
    <w:rsid w:val="00150CA4"/>
    <w:rsid w:val="001522D6"/>
    <w:rsid w:val="00152B3B"/>
    <w:rsid w:val="001530C1"/>
    <w:rsid w:val="001551D6"/>
    <w:rsid w:val="001552F2"/>
    <w:rsid w:val="0016043F"/>
    <w:rsid w:val="00162EDD"/>
    <w:rsid w:val="00164C9D"/>
    <w:rsid w:val="0016551D"/>
    <w:rsid w:val="0016585E"/>
    <w:rsid w:val="00165F19"/>
    <w:rsid w:val="00165FB3"/>
    <w:rsid w:val="001660EC"/>
    <w:rsid w:val="00166204"/>
    <w:rsid w:val="00166E93"/>
    <w:rsid w:val="00167A3A"/>
    <w:rsid w:val="001700BB"/>
    <w:rsid w:val="00170164"/>
    <w:rsid w:val="001719EB"/>
    <w:rsid w:val="00173345"/>
    <w:rsid w:val="001743D4"/>
    <w:rsid w:val="001747CC"/>
    <w:rsid w:val="00176A45"/>
    <w:rsid w:val="001800E3"/>
    <w:rsid w:val="00180179"/>
    <w:rsid w:val="00180FE5"/>
    <w:rsid w:val="00184ADD"/>
    <w:rsid w:val="00184BDB"/>
    <w:rsid w:val="001851A4"/>
    <w:rsid w:val="00185955"/>
    <w:rsid w:val="00186D22"/>
    <w:rsid w:val="00190423"/>
    <w:rsid w:val="0019078F"/>
    <w:rsid w:val="00191B09"/>
    <w:rsid w:val="00192BD5"/>
    <w:rsid w:val="00192E1D"/>
    <w:rsid w:val="0019368B"/>
    <w:rsid w:val="001942C4"/>
    <w:rsid w:val="00195D38"/>
    <w:rsid w:val="00196BB0"/>
    <w:rsid w:val="0019716B"/>
    <w:rsid w:val="001A0445"/>
    <w:rsid w:val="001A1EB9"/>
    <w:rsid w:val="001A22C9"/>
    <w:rsid w:val="001A22D4"/>
    <w:rsid w:val="001A3D21"/>
    <w:rsid w:val="001A3F56"/>
    <w:rsid w:val="001A3FA7"/>
    <w:rsid w:val="001A4499"/>
    <w:rsid w:val="001A5CCF"/>
    <w:rsid w:val="001A73D8"/>
    <w:rsid w:val="001B07A8"/>
    <w:rsid w:val="001B119F"/>
    <w:rsid w:val="001B13CE"/>
    <w:rsid w:val="001B1A14"/>
    <w:rsid w:val="001B27AD"/>
    <w:rsid w:val="001B2CFC"/>
    <w:rsid w:val="001B2D6D"/>
    <w:rsid w:val="001B3FB1"/>
    <w:rsid w:val="001B7A48"/>
    <w:rsid w:val="001B7D88"/>
    <w:rsid w:val="001C0030"/>
    <w:rsid w:val="001C006A"/>
    <w:rsid w:val="001C00B8"/>
    <w:rsid w:val="001C0171"/>
    <w:rsid w:val="001C0FAA"/>
    <w:rsid w:val="001C1335"/>
    <w:rsid w:val="001C29AE"/>
    <w:rsid w:val="001C2EB1"/>
    <w:rsid w:val="001C4D98"/>
    <w:rsid w:val="001C5403"/>
    <w:rsid w:val="001C540E"/>
    <w:rsid w:val="001C628E"/>
    <w:rsid w:val="001D0B91"/>
    <w:rsid w:val="001D19F8"/>
    <w:rsid w:val="001D1ED7"/>
    <w:rsid w:val="001D323B"/>
    <w:rsid w:val="001D4ACC"/>
    <w:rsid w:val="001D4F0E"/>
    <w:rsid w:val="001D4FBA"/>
    <w:rsid w:val="001D60D0"/>
    <w:rsid w:val="001D7463"/>
    <w:rsid w:val="001D7545"/>
    <w:rsid w:val="001E00A4"/>
    <w:rsid w:val="001E0A04"/>
    <w:rsid w:val="001E0C6B"/>
    <w:rsid w:val="001E0DE8"/>
    <w:rsid w:val="001E15AD"/>
    <w:rsid w:val="001E2EC5"/>
    <w:rsid w:val="001E3DA9"/>
    <w:rsid w:val="001E6582"/>
    <w:rsid w:val="001E6B15"/>
    <w:rsid w:val="001E70F8"/>
    <w:rsid w:val="001F0186"/>
    <w:rsid w:val="001F0ACD"/>
    <w:rsid w:val="001F19D9"/>
    <w:rsid w:val="001F1D5F"/>
    <w:rsid w:val="001F1E36"/>
    <w:rsid w:val="001F2F8B"/>
    <w:rsid w:val="001F384A"/>
    <w:rsid w:val="001F39F7"/>
    <w:rsid w:val="001F3A76"/>
    <w:rsid w:val="001F3D12"/>
    <w:rsid w:val="001F480D"/>
    <w:rsid w:val="001F5AE4"/>
    <w:rsid w:val="001F7270"/>
    <w:rsid w:val="001F7D01"/>
    <w:rsid w:val="002007E5"/>
    <w:rsid w:val="0020136F"/>
    <w:rsid w:val="002019B5"/>
    <w:rsid w:val="0020248F"/>
    <w:rsid w:val="0020264F"/>
    <w:rsid w:val="00202AF4"/>
    <w:rsid w:val="0020365F"/>
    <w:rsid w:val="00203686"/>
    <w:rsid w:val="002036F0"/>
    <w:rsid w:val="002063D7"/>
    <w:rsid w:val="00206C03"/>
    <w:rsid w:val="00207C81"/>
    <w:rsid w:val="0021128D"/>
    <w:rsid w:val="0021173D"/>
    <w:rsid w:val="00211B5E"/>
    <w:rsid w:val="0021282B"/>
    <w:rsid w:val="00212A99"/>
    <w:rsid w:val="00212B8B"/>
    <w:rsid w:val="00216AC4"/>
    <w:rsid w:val="00216DEE"/>
    <w:rsid w:val="00217582"/>
    <w:rsid w:val="00217811"/>
    <w:rsid w:val="0022053F"/>
    <w:rsid w:val="002206E7"/>
    <w:rsid w:val="00222BB2"/>
    <w:rsid w:val="002234A8"/>
    <w:rsid w:val="00223F30"/>
    <w:rsid w:val="0022454E"/>
    <w:rsid w:val="00225E37"/>
    <w:rsid w:val="00227075"/>
    <w:rsid w:val="0022780B"/>
    <w:rsid w:val="00227C23"/>
    <w:rsid w:val="002302BE"/>
    <w:rsid w:val="00230C78"/>
    <w:rsid w:val="00232554"/>
    <w:rsid w:val="00232D3D"/>
    <w:rsid w:val="00233FF6"/>
    <w:rsid w:val="00234221"/>
    <w:rsid w:val="00234A6C"/>
    <w:rsid w:val="00234C81"/>
    <w:rsid w:val="00235551"/>
    <w:rsid w:val="0023681A"/>
    <w:rsid w:val="00237DD9"/>
    <w:rsid w:val="00240187"/>
    <w:rsid w:val="00241461"/>
    <w:rsid w:val="00241ACA"/>
    <w:rsid w:val="00242DE2"/>
    <w:rsid w:val="00242EC7"/>
    <w:rsid w:val="00244747"/>
    <w:rsid w:val="00244B3B"/>
    <w:rsid w:val="00246785"/>
    <w:rsid w:val="00246843"/>
    <w:rsid w:val="00246B53"/>
    <w:rsid w:val="0024715D"/>
    <w:rsid w:val="00247AC6"/>
    <w:rsid w:val="00251E58"/>
    <w:rsid w:val="002530D2"/>
    <w:rsid w:val="00254CAB"/>
    <w:rsid w:val="00254D0D"/>
    <w:rsid w:val="0025554E"/>
    <w:rsid w:val="002560D1"/>
    <w:rsid w:val="00260538"/>
    <w:rsid w:val="002615E5"/>
    <w:rsid w:val="00263849"/>
    <w:rsid w:val="002639E3"/>
    <w:rsid w:val="0026469A"/>
    <w:rsid w:val="00266CE0"/>
    <w:rsid w:val="002704DB"/>
    <w:rsid w:val="00270650"/>
    <w:rsid w:val="002714A5"/>
    <w:rsid w:val="00272C71"/>
    <w:rsid w:val="0027375E"/>
    <w:rsid w:val="002741DA"/>
    <w:rsid w:val="00276F2A"/>
    <w:rsid w:val="00277A96"/>
    <w:rsid w:val="00277BCD"/>
    <w:rsid w:val="002805F7"/>
    <w:rsid w:val="00280C6B"/>
    <w:rsid w:val="00281371"/>
    <w:rsid w:val="002813E0"/>
    <w:rsid w:val="0028291F"/>
    <w:rsid w:val="00282DCA"/>
    <w:rsid w:val="00283810"/>
    <w:rsid w:val="002848A8"/>
    <w:rsid w:val="002849B4"/>
    <w:rsid w:val="00284E27"/>
    <w:rsid w:val="0028594B"/>
    <w:rsid w:val="002859E7"/>
    <w:rsid w:val="00287F76"/>
    <w:rsid w:val="00290618"/>
    <w:rsid w:val="00290756"/>
    <w:rsid w:val="00290C6D"/>
    <w:rsid w:val="0029119D"/>
    <w:rsid w:val="002920B7"/>
    <w:rsid w:val="002922C8"/>
    <w:rsid w:val="00292B68"/>
    <w:rsid w:val="00292F13"/>
    <w:rsid w:val="002932FD"/>
    <w:rsid w:val="00294896"/>
    <w:rsid w:val="0029590C"/>
    <w:rsid w:val="00295BAD"/>
    <w:rsid w:val="00296E58"/>
    <w:rsid w:val="00296E8C"/>
    <w:rsid w:val="00297962"/>
    <w:rsid w:val="002A09DD"/>
    <w:rsid w:val="002A0F08"/>
    <w:rsid w:val="002A1BD7"/>
    <w:rsid w:val="002A2A10"/>
    <w:rsid w:val="002A30B5"/>
    <w:rsid w:val="002A3CCC"/>
    <w:rsid w:val="002A6284"/>
    <w:rsid w:val="002A7083"/>
    <w:rsid w:val="002B408C"/>
    <w:rsid w:val="002B491C"/>
    <w:rsid w:val="002C1453"/>
    <w:rsid w:val="002C181A"/>
    <w:rsid w:val="002C1B14"/>
    <w:rsid w:val="002C2BFE"/>
    <w:rsid w:val="002C301E"/>
    <w:rsid w:val="002C3E96"/>
    <w:rsid w:val="002C551F"/>
    <w:rsid w:val="002C5C02"/>
    <w:rsid w:val="002C6360"/>
    <w:rsid w:val="002C68E6"/>
    <w:rsid w:val="002C766E"/>
    <w:rsid w:val="002D0AF7"/>
    <w:rsid w:val="002D16D7"/>
    <w:rsid w:val="002D5155"/>
    <w:rsid w:val="002D5907"/>
    <w:rsid w:val="002D5E51"/>
    <w:rsid w:val="002D6055"/>
    <w:rsid w:val="002D7E39"/>
    <w:rsid w:val="002E0759"/>
    <w:rsid w:val="002E1D1D"/>
    <w:rsid w:val="002E2C96"/>
    <w:rsid w:val="002E3BB0"/>
    <w:rsid w:val="002E4B88"/>
    <w:rsid w:val="002E6832"/>
    <w:rsid w:val="002F0010"/>
    <w:rsid w:val="002F0684"/>
    <w:rsid w:val="002F3F6D"/>
    <w:rsid w:val="002F43C7"/>
    <w:rsid w:val="002F448E"/>
    <w:rsid w:val="002F6291"/>
    <w:rsid w:val="002F6D0E"/>
    <w:rsid w:val="00300A7C"/>
    <w:rsid w:val="00300DB5"/>
    <w:rsid w:val="00301BB0"/>
    <w:rsid w:val="00302752"/>
    <w:rsid w:val="00303023"/>
    <w:rsid w:val="00305E0E"/>
    <w:rsid w:val="003066CE"/>
    <w:rsid w:val="00306A38"/>
    <w:rsid w:val="00306EA3"/>
    <w:rsid w:val="00307981"/>
    <w:rsid w:val="003100FF"/>
    <w:rsid w:val="00311111"/>
    <w:rsid w:val="00313246"/>
    <w:rsid w:val="003153AE"/>
    <w:rsid w:val="00315BDE"/>
    <w:rsid w:val="00316B24"/>
    <w:rsid w:val="00316B70"/>
    <w:rsid w:val="00321524"/>
    <w:rsid w:val="0032160E"/>
    <w:rsid w:val="00322E58"/>
    <w:rsid w:val="00323968"/>
    <w:rsid w:val="003241C6"/>
    <w:rsid w:val="003256AB"/>
    <w:rsid w:val="00325976"/>
    <w:rsid w:val="00326091"/>
    <w:rsid w:val="0032656A"/>
    <w:rsid w:val="00326C37"/>
    <w:rsid w:val="00326DB0"/>
    <w:rsid w:val="00326FD5"/>
    <w:rsid w:val="00330432"/>
    <w:rsid w:val="0033109A"/>
    <w:rsid w:val="00332D6B"/>
    <w:rsid w:val="0033340B"/>
    <w:rsid w:val="00333A68"/>
    <w:rsid w:val="00333B5F"/>
    <w:rsid w:val="00333D0A"/>
    <w:rsid w:val="003342B9"/>
    <w:rsid w:val="003367C3"/>
    <w:rsid w:val="00337974"/>
    <w:rsid w:val="0034021B"/>
    <w:rsid w:val="00342043"/>
    <w:rsid w:val="003423DC"/>
    <w:rsid w:val="003426C0"/>
    <w:rsid w:val="00343C15"/>
    <w:rsid w:val="003469BA"/>
    <w:rsid w:val="00346DDA"/>
    <w:rsid w:val="0035007A"/>
    <w:rsid w:val="00352FDC"/>
    <w:rsid w:val="00353559"/>
    <w:rsid w:val="00354E73"/>
    <w:rsid w:val="00354FAC"/>
    <w:rsid w:val="003565E5"/>
    <w:rsid w:val="00356801"/>
    <w:rsid w:val="00357E4F"/>
    <w:rsid w:val="0036069E"/>
    <w:rsid w:val="00361310"/>
    <w:rsid w:val="0036152F"/>
    <w:rsid w:val="00361D3B"/>
    <w:rsid w:val="00362225"/>
    <w:rsid w:val="003624EA"/>
    <w:rsid w:val="0036267B"/>
    <w:rsid w:val="003637EB"/>
    <w:rsid w:val="00363B4F"/>
    <w:rsid w:val="003641CB"/>
    <w:rsid w:val="003651AF"/>
    <w:rsid w:val="003656EC"/>
    <w:rsid w:val="00365AC7"/>
    <w:rsid w:val="00365B29"/>
    <w:rsid w:val="00366356"/>
    <w:rsid w:val="00366DA1"/>
    <w:rsid w:val="003677A5"/>
    <w:rsid w:val="0036787C"/>
    <w:rsid w:val="00367D42"/>
    <w:rsid w:val="003708F2"/>
    <w:rsid w:val="003712B2"/>
    <w:rsid w:val="003718F0"/>
    <w:rsid w:val="003735C7"/>
    <w:rsid w:val="003740B4"/>
    <w:rsid w:val="0037420B"/>
    <w:rsid w:val="003745AF"/>
    <w:rsid w:val="0037581D"/>
    <w:rsid w:val="00375A9F"/>
    <w:rsid w:val="00376156"/>
    <w:rsid w:val="00376C97"/>
    <w:rsid w:val="00376E76"/>
    <w:rsid w:val="00376EA0"/>
    <w:rsid w:val="003771E4"/>
    <w:rsid w:val="00380840"/>
    <w:rsid w:val="00380A96"/>
    <w:rsid w:val="003810C4"/>
    <w:rsid w:val="003810D5"/>
    <w:rsid w:val="003814B2"/>
    <w:rsid w:val="00381D6D"/>
    <w:rsid w:val="00381F21"/>
    <w:rsid w:val="0038243D"/>
    <w:rsid w:val="00382886"/>
    <w:rsid w:val="003835CD"/>
    <w:rsid w:val="00383F3B"/>
    <w:rsid w:val="003853CB"/>
    <w:rsid w:val="00386F07"/>
    <w:rsid w:val="003900C5"/>
    <w:rsid w:val="0039136C"/>
    <w:rsid w:val="00391C70"/>
    <w:rsid w:val="00392274"/>
    <w:rsid w:val="00392664"/>
    <w:rsid w:val="00392BF4"/>
    <w:rsid w:val="003943CD"/>
    <w:rsid w:val="003957F9"/>
    <w:rsid w:val="00395966"/>
    <w:rsid w:val="003960E5"/>
    <w:rsid w:val="003A0639"/>
    <w:rsid w:val="003A25B5"/>
    <w:rsid w:val="003A40B1"/>
    <w:rsid w:val="003A437D"/>
    <w:rsid w:val="003A484F"/>
    <w:rsid w:val="003A49C1"/>
    <w:rsid w:val="003A5D98"/>
    <w:rsid w:val="003A6D6D"/>
    <w:rsid w:val="003A725D"/>
    <w:rsid w:val="003A7A79"/>
    <w:rsid w:val="003B0302"/>
    <w:rsid w:val="003B0320"/>
    <w:rsid w:val="003B0CD7"/>
    <w:rsid w:val="003B17BF"/>
    <w:rsid w:val="003B2269"/>
    <w:rsid w:val="003B2ECC"/>
    <w:rsid w:val="003B3055"/>
    <w:rsid w:val="003B32A4"/>
    <w:rsid w:val="003B4469"/>
    <w:rsid w:val="003B64AF"/>
    <w:rsid w:val="003B7311"/>
    <w:rsid w:val="003B7A47"/>
    <w:rsid w:val="003B7AD8"/>
    <w:rsid w:val="003B7F88"/>
    <w:rsid w:val="003C0673"/>
    <w:rsid w:val="003C104D"/>
    <w:rsid w:val="003C2B1A"/>
    <w:rsid w:val="003C3515"/>
    <w:rsid w:val="003C393F"/>
    <w:rsid w:val="003C3C2A"/>
    <w:rsid w:val="003C497B"/>
    <w:rsid w:val="003C4F51"/>
    <w:rsid w:val="003C50F8"/>
    <w:rsid w:val="003C5A5F"/>
    <w:rsid w:val="003C6535"/>
    <w:rsid w:val="003D0FD0"/>
    <w:rsid w:val="003D265A"/>
    <w:rsid w:val="003D2764"/>
    <w:rsid w:val="003D3647"/>
    <w:rsid w:val="003D6083"/>
    <w:rsid w:val="003D7770"/>
    <w:rsid w:val="003E05FA"/>
    <w:rsid w:val="003E0C22"/>
    <w:rsid w:val="003E12AB"/>
    <w:rsid w:val="003E2067"/>
    <w:rsid w:val="003E2224"/>
    <w:rsid w:val="003E283B"/>
    <w:rsid w:val="003E2FA8"/>
    <w:rsid w:val="003E374D"/>
    <w:rsid w:val="003E3C43"/>
    <w:rsid w:val="003E3DB4"/>
    <w:rsid w:val="003E3F87"/>
    <w:rsid w:val="003E4207"/>
    <w:rsid w:val="003E44C7"/>
    <w:rsid w:val="003E57D0"/>
    <w:rsid w:val="003E6E14"/>
    <w:rsid w:val="003E6E2B"/>
    <w:rsid w:val="003E7016"/>
    <w:rsid w:val="003E79BA"/>
    <w:rsid w:val="003F165C"/>
    <w:rsid w:val="003F314A"/>
    <w:rsid w:val="003F5014"/>
    <w:rsid w:val="003F5149"/>
    <w:rsid w:val="003F576A"/>
    <w:rsid w:val="003F5F3D"/>
    <w:rsid w:val="003F68EC"/>
    <w:rsid w:val="003F6A7E"/>
    <w:rsid w:val="003F7695"/>
    <w:rsid w:val="003F78A3"/>
    <w:rsid w:val="0040092F"/>
    <w:rsid w:val="00400FE4"/>
    <w:rsid w:val="0040119F"/>
    <w:rsid w:val="0040156C"/>
    <w:rsid w:val="00401623"/>
    <w:rsid w:val="00402521"/>
    <w:rsid w:val="00402CB0"/>
    <w:rsid w:val="00404532"/>
    <w:rsid w:val="004047A5"/>
    <w:rsid w:val="00404DF6"/>
    <w:rsid w:val="00404FE5"/>
    <w:rsid w:val="00406BC7"/>
    <w:rsid w:val="00407730"/>
    <w:rsid w:val="00407DB0"/>
    <w:rsid w:val="004110DA"/>
    <w:rsid w:val="00411507"/>
    <w:rsid w:val="00411B8E"/>
    <w:rsid w:val="00411D80"/>
    <w:rsid w:val="00412761"/>
    <w:rsid w:val="00413200"/>
    <w:rsid w:val="004139E8"/>
    <w:rsid w:val="00414EE4"/>
    <w:rsid w:val="00417053"/>
    <w:rsid w:val="004177F0"/>
    <w:rsid w:val="00420FC8"/>
    <w:rsid w:val="00421988"/>
    <w:rsid w:val="00421BD1"/>
    <w:rsid w:val="00421FB6"/>
    <w:rsid w:val="00423518"/>
    <w:rsid w:val="00423B7A"/>
    <w:rsid w:val="00424406"/>
    <w:rsid w:val="00424991"/>
    <w:rsid w:val="00426A01"/>
    <w:rsid w:val="00427C2E"/>
    <w:rsid w:val="00430299"/>
    <w:rsid w:val="004304FA"/>
    <w:rsid w:val="00430817"/>
    <w:rsid w:val="00431254"/>
    <w:rsid w:val="0043213E"/>
    <w:rsid w:val="00432176"/>
    <w:rsid w:val="004325AC"/>
    <w:rsid w:val="0043419D"/>
    <w:rsid w:val="004379CE"/>
    <w:rsid w:val="00437AB5"/>
    <w:rsid w:val="00437FEF"/>
    <w:rsid w:val="0044171E"/>
    <w:rsid w:val="00442D56"/>
    <w:rsid w:val="00443228"/>
    <w:rsid w:val="00443A86"/>
    <w:rsid w:val="0044407E"/>
    <w:rsid w:val="00444218"/>
    <w:rsid w:val="0044440F"/>
    <w:rsid w:val="0044473C"/>
    <w:rsid w:val="00444923"/>
    <w:rsid w:val="00445846"/>
    <w:rsid w:val="00445A9A"/>
    <w:rsid w:val="00447566"/>
    <w:rsid w:val="00447B1B"/>
    <w:rsid w:val="00447DF6"/>
    <w:rsid w:val="004508E4"/>
    <w:rsid w:val="00450FF7"/>
    <w:rsid w:val="00451A22"/>
    <w:rsid w:val="00452290"/>
    <w:rsid w:val="00453153"/>
    <w:rsid w:val="00453F02"/>
    <w:rsid w:val="00454C5D"/>
    <w:rsid w:val="004567E2"/>
    <w:rsid w:val="00457AEB"/>
    <w:rsid w:val="00457DDA"/>
    <w:rsid w:val="004603BD"/>
    <w:rsid w:val="00460527"/>
    <w:rsid w:val="00462446"/>
    <w:rsid w:val="004638FC"/>
    <w:rsid w:val="00464CAB"/>
    <w:rsid w:val="004659B5"/>
    <w:rsid w:val="00465FD4"/>
    <w:rsid w:val="004673F9"/>
    <w:rsid w:val="004721A8"/>
    <w:rsid w:val="0047688A"/>
    <w:rsid w:val="00477141"/>
    <w:rsid w:val="00477AFA"/>
    <w:rsid w:val="00482050"/>
    <w:rsid w:val="00483169"/>
    <w:rsid w:val="0048567A"/>
    <w:rsid w:val="00486BD0"/>
    <w:rsid w:val="00487045"/>
    <w:rsid w:val="00487CBD"/>
    <w:rsid w:val="004903DF"/>
    <w:rsid w:val="00490637"/>
    <w:rsid w:val="004909FB"/>
    <w:rsid w:val="00491DE8"/>
    <w:rsid w:val="00492972"/>
    <w:rsid w:val="00493519"/>
    <w:rsid w:val="00494213"/>
    <w:rsid w:val="004944BC"/>
    <w:rsid w:val="0049576B"/>
    <w:rsid w:val="0049685D"/>
    <w:rsid w:val="00496B64"/>
    <w:rsid w:val="004A01FB"/>
    <w:rsid w:val="004A1834"/>
    <w:rsid w:val="004A2974"/>
    <w:rsid w:val="004A4EFA"/>
    <w:rsid w:val="004A4F17"/>
    <w:rsid w:val="004A5096"/>
    <w:rsid w:val="004A5779"/>
    <w:rsid w:val="004A6425"/>
    <w:rsid w:val="004B026E"/>
    <w:rsid w:val="004B08DC"/>
    <w:rsid w:val="004B08E8"/>
    <w:rsid w:val="004B0FD6"/>
    <w:rsid w:val="004B1466"/>
    <w:rsid w:val="004B4001"/>
    <w:rsid w:val="004B5339"/>
    <w:rsid w:val="004B5C56"/>
    <w:rsid w:val="004B61BE"/>
    <w:rsid w:val="004B6803"/>
    <w:rsid w:val="004C12C6"/>
    <w:rsid w:val="004C1AA5"/>
    <w:rsid w:val="004C2C5B"/>
    <w:rsid w:val="004C2F1D"/>
    <w:rsid w:val="004C441B"/>
    <w:rsid w:val="004C442E"/>
    <w:rsid w:val="004C4683"/>
    <w:rsid w:val="004C529D"/>
    <w:rsid w:val="004C5314"/>
    <w:rsid w:val="004C5B71"/>
    <w:rsid w:val="004C5BA0"/>
    <w:rsid w:val="004C7694"/>
    <w:rsid w:val="004D000D"/>
    <w:rsid w:val="004D3273"/>
    <w:rsid w:val="004D3455"/>
    <w:rsid w:val="004D3507"/>
    <w:rsid w:val="004D37C0"/>
    <w:rsid w:val="004D381C"/>
    <w:rsid w:val="004D3956"/>
    <w:rsid w:val="004D4397"/>
    <w:rsid w:val="004D4D2D"/>
    <w:rsid w:val="004D778E"/>
    <w:rsid w:val="004E00D3"/>
    <w:rsid w:val="004E0BFE"/>
    <w:rsid w:val="004E0E3E"/>
    <w:rsid w:val="004E0EC0"/>
    <w:rsid w:val="004E2434"/>
    <w:rsid w:val="004E386D"/>
    <w:rsid w:val="004E3C93"/>
    <w:rsid w:val="004E3F51"/>
    <w:rsid w:val="004E4154"/>
    <w:rsid w:val="004E4A6D"/>
    <w:rsid w:val="004E4C31"/>
    <w:rsid w:val="004E4CC9"/>
    <w:rsid w:val="004E5AE8"/>
    <w:rsid w:val="004E5F8C"/>
    <w:rsid w:val="004F04CB"/>
    <w:rsid w:val="004F07B8"/>
    <w:rsid w:val="004F1418"/>
    <w:rsid w:val="004F2452"/>
    <w:rsid w:val="004F3E33"/>
    <w:rsid w:val="004F45E6"/>
    <w:rsid w:val="004F4D61"/>
    <w:rsid w:val="004F6710"/>
    <w:rsid w:val="004F6D0E"/>
    <w:rsid w:val="004F7B8E"/>
    <w:rsid w:val="004F7DEF"/>
    <w:rsid w:val="00500470"/>
    <w:rsid w:val="00500B89"/>
    <w:rsid w:val="00501DC0"/>
    <w:rsid w:val="0050239E"/>
    <w:rsid w:val="00504327"/>
    <w:rsid w:val="005057F8"/>
    <w:rsid w:val="00505999"/>
    <w:rsid w:val="00506D57"/>
    <w:rsid w:val="00507224"/>
    <w:rsid w:val="0050729B"/>
    <w:rsid w:val="00511CAC"/>
    <w:rsid w:val="00512157"/>
    <w:rsid w:val="00512276"/>
    <w:rsid w:val="00513E69"/>
    <w:rsid w:val="0051410B"/>
    <w:rsid w:val="00515E8E"/>
    <w:rsid w:val="00516739"/>
    <w:rsid w:val="00516982"/>
    <w:rsid w:val="00516AFA"/>
    <w:rsid w:val="00517496"/>
    <w:rsid w:val="00517890"/>
    <w:rsid w:val="00517AC4"/>
    <w:rsid w:val="00517E59"/>
    <w:rsid w:val="00520454"/>
    <w:rsid w:val="00520A42"/>
    <w:rsid w:val="00520F5F"/>
    <w:rsid w:val="00521986"/>
    <w:rsid w:val="00522477"/>
    <w:rsid w:val="005226EF"/>
    <w:rsid w:val="00523879"/>
    <w:rsid w:val="00523D76"/>
    <w:rsid w:val="00524004"/>
    <w:rsid w:val="005241CF"/>
    <w:rsid w:val="00525C8F"/>
    <w:rsid w:val="00526944"/>
    <w:rsid w:val="0052699D"/>
    <w:rsid w:val="00526A15"/>
    <w:rsid w:val="0052759F"/>
    <w:rsid w:val="005305B8"/>
    <w:rsid w:val="005313BF"/>
    <w:rsid w:val="00531F9A"/>
    <w:rsid w:val="00532EF0"/>
    <w:rsid w:val="005332F1"/>
    <w:rsid w:val="005351D3"/>
    <w:rsid w:val="00535331"/>
    <w:rsid w:val="00537CD3"/>
    <w:rsid w:val="00540347"/>
    <w:rsid w:val="0054069E"/>
    <w:rsid w:val="005440C7"/>
    <w:rsid w:val="00545354"/>
    <w:rsid w:val="0054582C"/>
    <w:rsid w:val="00547CC9"/>
    <w:rsid w:val="00550159"/>
    <w:rsid w:val="005513E7"/>
    <w:rsid w:val="0055197C"/>
    <w:rsid w:val="0055201A"/>
    <w:rsid w:val="00552DA6"/>
    <w:rsid w:val="00552EF8"/>
    <w:rsid w:val="00554377"/>
    <w:rsid w:val="00554B2F"/>
    <w:rsid w:val="00555297"/>
    <w:rsid w:val="005554E5"/>
    <w:rsid w:val="00555887"/>
    <w:rsid w:val="00555F97"/>
    <w:rsid w:val="00557C97"/>
    <w:rsid w:val="005602AD"/>
    <w:rsid w:val="0056152A"/>
    <w:rsid w:val="00561BC9"/>
    <w:rsid w:val="00561ECE"/>
    <w:rsid w:val="00562450"/>
    <w:rsid w:val="005627BB"/>
    <w:rsid w:val="00564AAD"/>
    <w:rsid w:val="005659E6"/>
    <w:rsid w:val="00565A53"/>
    <w:rsid w:val="00565A75"/>
    <w:rsid w:val="0056681C"/>
    <w:rsid w:val="00566BE7"/>
    <w:rsid w:val="005670E7"/>
    <w:rsid w:val="00570875"/>
    <w:rsid w:val="00572AA7"/>
    <w:rsid w:val="00573977"/>
    <w:rsid w:val="00573A56"/>
    <w:rsid w:val="00573ECE"/>
    <w:rsid w:val="005750AF"/>
    <w:rsid w:val="00575CE7"/>
    <w:rsid w:val="0057610C"/>
    <w:rsid w:val="005761A4"/>
    <w:rsid w:val="00576472"/>
    <w:rsid w:val="00576975"/>
    <w:rsid w:val="0057767C"/>
    <w:rsid w:val="00580BE6"/>
    <w:rsid w:val="005811E2"/>
    <w:rsid w:val="00581AE8"/>
    <w:rsid w:val="00581B69"/>
    <w:rsid w:val="00582446"/>
    <w:rsid w:val="00583CE3"/>
    <w:rsid w:val="00584A7A"/>
    <w:rsid w:val="005853DC"/>
    <w:rsid w:val="005855BB"/>
    <w:rsid w:val="005859AA"/>
    <w:rsid w:val="00587BF7"/>
    <w:rsid w:val="00592103"/>
    <w:rsid w:val="00592CA5"/>
    <w:rsid w:val="005935AF"/>
    <w:rsid w:val="00593F77"/>
    <w:rsid w:val="00594060"/>
    <w:rsid w:val="00594801"/>
    <w:rsid w:val="0059521F"/>
    <w:rsid w:val="005A044F"/>
    <w:rsid w:val="005A1394"/>
    <w:rsid w:val="005A175D"/>
    <w:rsid w:val="005A1E3F"/>
    <w:rsid w:val="005A1ED7"/>
    <w:rsid w:val="005A2A6F"/>
    <w:rsid w:val="005A3633"/>
    <w:rsid w:val="005A5188"/>
    <w:rsid w:val="005A65F9"/>
    <w:rsid w:val="005A671D"/>
    <w:rsid w:val="005A67C8"/>
    <w:rsid w:val="005A6A97"/>
    <w:rsid w:val="005A727E"/>
    <w:rsid w:val="005B238F"/>
    <w:rsid w:val="005B2645"/>
    <w:rsid w:val="005B26B9"/>
    <w:rsid w:val="005B3779"/>
    <w:rsid w:val="005B3F1D"/>
    <w:rsid w:val="005B4AD0"/>
    <w:rsid w:val="005B4BA1"/>
    <w:rsid w:val="005B688F"/>
    <w:rsid w:val="005C0CAD"/>
    <w:rsid w:val="005C0E8E"/>
    <w:rsid w:val="005C2833"/>
    <w:rsid w:val="005C2C3F"/>
    <w:rsid w:val="005C3DBC"/>
    <w:rsid w:val="005C685E"/>
    <w:rsid w:val="005D05D8"/>
    <w:rsid w:val="005D1212"/>
    <w:rsid w:val="005D1DE2"/>
    <w:rsid w:val="005D2407"/>
    <w:rsid w:val="005D5DB7"/>
    <w:rsid w:val="005D6B18"/>
    <w:rsid w:val="005D7B3F"/>
    <w:rsid w:val="005E0557"/>
    <w:rsid w:val="005E0FA4"/>
    <w:rsid w:val="005E1D92"/>
    <w:rsid w:val="005E32EA"/>
    <w:rsid w:val="005E4053"/>
    <w:rsid w:val="005E48F9"/>
    <w:rsid w:val="005F0D44"/>
    <w:rsid w:val="005F13C8"/>
    <w:rsid w:val="005F1CC4"/>
    <w:rsid w:val="005F2D79"/>
    <w:rsid w:val="005F41FA"/>
    <w:rsid w:val="005F4EB6"/>
    <w:rsid w:val="005F55D5"/>
    <w:rsid w:val="005F65CF"/>
    <w:rsid w:val="005F6933"/>
    <w:rsid w:val="005F6C9B"/>
    <w:rsid w:val="005F6F80"/>
    <w:rsid w:val="005F7277"/>
    <w:rsid w:val="005F7D06"/>
    <w:rsid w:val="00600940"/>
    <w:rsid w:val="006011F8"/>
    <w:rsid w:val="0060156F"/>
    <w:rsid w:val="0060264D"/>
    <w:rsid w:val="00602E21"/>
    <w:rsid w:val="00602E69"/>
    <w:rsid w:val="00605A12"/>
    <w:rsid w:val="00605AFA"/>
    <w:rsid w:val="00606A1E"/>
    <w:rsid w:val="00607F27"/>
    <w:rsid w:val="006100FD"/>
    <w:rsid w:val="006117C0"/>
    <w:rsid w:val="00612195"/>
    <w:rsid w:val="006122F8"/>
    <w:rsid w:val="00612722"/>
    <w:rsid w:val="0061277A"/>
    <w:rsid w:val="00612B68"/>
    <w:rsid w:val="00613468"/>
    <w:rsid w:val="00614175"/>
    <w:rsid w:val="006142E4"/>
    <w:rsid w:val="006152DA"/>
    <w:rsid w:val="00615586"/>
    <w:rsid w:val="00615EB0"/>
    <w:rsid w:val="006205DF"/>
    <w:rsid w:val="00620AB2"/>
    <w:rsid w:val="006210DB"/>
    <w:rsid w:val="00622228"/>
    <w:rsid w:val="00622A64"/>
    <w:rsid w:val="00622A9D"/>
    <w:rsid w:val="00624DC3"/>
    <w:rsid w:val="006260C4"/>
    <w:rsid w:val="0062672D"/>
    <w:rsid w:val="00627267"/>
    <w:rsid w:val="00627F24"/>
    <w:rsid w:val="00630045"/>
    <w:rsid w:val="006308EE"/>
    <w:rsid w:val="006337EB"/>
    <w:rsid w:val="00634586"/>
    <w:rsid w:val="00634670"/>
    <w:rsid w:val="00634815"/>
    <w:rsid w:val="0063562C"/>
    <w:rsid w:val="00635DAE"/>
    <w:rsid w:val="00635EB1"/>
    <w:rsid w:val="006369E7"/>
    <w:rsid w:val="00637FAA"/>
    <w:rsid w:val="00640AFA"/>
    <w:rsid w:val="00640D24"/>
    <w:rsid w:val="00640FCD"/>
    <w:rsid w:val="00641F4A"/>
    <w:rsid w:val="006427AA"/>
    <w:rsid w:val="00642EBF"/>
    <w:rsid w:val="00643C05"/>
    <w:rsid w:val="00643FD8"/>
    <w:rsid w:val="00645CCD"/>
    <w:rsid w:val="00646C6D"/>
    <w:rsid w:val="00647926"/>
    <w:rsid w:val="00647D2D"/>
    <w:rsid w:val="00650665"/>
    <w:rsid w:val="00651B1D"/>
    <w:rsid w:val="00651B70"/>
    <w:rsid w:val="006525DE"/>
    <w:rsid w:val="006526E6"/>
    <w:rsid w:val="00652CF6"/>
    <w:rsid w:val="00653D15"/>
    <w:rsid w:val="0065480D"/>
    <w:rsid w:val="0065490C"/>
    <w:rsid w:val="0065642B"/>
    <w:rsid w:val="00657BD4"/>
    <w:rsid w:val="00657FD0"/>
    <w:rsid w:val="00661584"/>
    <w:rsid w:val="00661E55"/>
    <w:rsid w:val="00663113"/>
    <w:rsid w:val="0066511F"/>
    <w:rsid w:val="00670910"/>
    <w:rsid w:val="0067126B"/>
    <w:rsid w:val="00672BD8"/>
    <w:rsid w:val="00672BFE"/>
    <w:rsid w:val="00674029"/>
    <w:rsid w:val="00674A27"/>
    <w:rsid w:val="00674BCB"/>
    <w:rsid w:val="00674EF5"/>
    <w:rsid w:val="006759CA"/>
    <w:rsid w:val="006762A1"/>
    <w:rsid w:val="00677604"/>
    <w:rsid w:val="00677DF9"/>
    <w:rsid w:val="00677F7B"/>
    <w:rsid w:val="00677FD4"/>
    <w:rsid w:val="006805BF"/>
    <w:rsid w:val="00683BDE"/>
    <w:rsid w:val="00684526"/>
    <w:rsid w:val="00684BE1"/>
    <w:rsid w:val="00684F55"/>
    <w:rsid w:val="00687833"/>
    <w:rsid w:val="006901CB"/>
    <w:rsid w:val="0069052E"/>
    <w:rsid w:val="006905DC"/>
    <w:rsid w:val="00690B7E"/>
    <w:rsid w:val="006925C2"/>
    <w:rsid w:val="00692B6E"/>
    <w:rsid w:val="0069453F"/>
    <w:rsid w:val="006951C6"/>
    <w:rsid w:val="0069580A"/>
    <w:rsid w:val="006972D5"/>
    <w:rsid w:val="006975D2"/>
    <w:rsid w:val="006A09DD"/>
    <w:rsid w:val="006A0CB7"/>
    <w:rsid w:val="006A2471"/>
    <w:rsid w:val="006A2F22"/>
    <w:rsid w:val="006A363A"/>
    <w:rsid w:val="006A367B"/>
    <w:rsid w:val="006A51CA"/>
    <w:rsid w:val="006A57FA"/>
    <w:rsid w:val="006A5BEA"/>
    <w:rsid w:val="006A744A"/>
    <w:rsid w:val="006A75B5"/>
    <w:rsid w:val="006B0B5D"/>
    <w:rsid w:val="006B10FC"/>
    <w:rsid w:val="006B1873"/>
    <w:rsid w:val="006B36FC"/>
    <w:rsid w:val="006B54E5"/>
    <w:rsid w:val="006B620B"/>
    <w:rsid w:val="006C2172"/>
    <w:rsid w:val="006C453C"/>
    <w:rsid w:val="006C4C13"/>
    <w:rsid w:val="006C5BE9"/>
    <w:rsid w:val="006C6EA7"/>
    <w:rsid w:val="006C70FD"/>
    <w:rsid w:val="006D12FA"/>
    <w:rsid w:val="006D183B"/>
    <w:rsid w:val="006D1DC3"/>
    <w:rsid w:val="006D1F26"/>
    <w:rsid w:val="006D21A9"/>
    <w:rsid w:val="006D5463"/>
    <w:rsid w:val="006D5845"/>
    <w:rsid w:val="006D58CD"/>
    <w:rsid w:val="006D72FB"/>
    <w:rsid w:val="006D73BA"/>
    <w:rsid w:val="006E0531"/>
    <w:rsid w:val="006E0666"/>
    <w:rsid w:val="006E1209"/>
    <w:rsid w:val="006E1729"/>
    <w:rsid w:val="006E5DAD"/>
    <w:rsid w:val="006E63A5"/>
    <w:rsid w:val="006F07F8"/>
    <w:rsid w:val="006F1E21"/>
    <w:rsid w:val="006F1FC2"/>
    <w:rsid w:val="006F233D"/>
    <w:rsid w:val="006F293C"/>
    <w:rsid w:val="006F2CA4"/>
    <w:rsid w:val="006F30EA"/>
    <w:rsid w:val="006F30F6"/>
    <w:rsid w:val="006F36A3"/>
    <w:rsid w:val="006F470D"/>
    <w:rsid w:val="006F4FC3"/>
    <w:rsid w:val="006F6222"/>
    <w:rsid w:val="006F6CC6"/>
    <w:rsid w:val="00700A10"/>
    <w:rsid w:val="00700D8F"/>
    <w:rsid w:val="00703EED"/>
    <w:rsid w:val="00704F34"/>
    <w:rsid w:val="00705E4B"/>
    <w:rsid w:val="00706614"/>
    <w:rsid w:val="0070785C"/>
    <w:rsid w:val="00707CEA"/>
    <w:rsid w:val="00710DFA"/>
    <w:rsid w:val="007114B5"/>
    <w:rsid w:val="00712E32"/>
    <w:rsid w:val="00713170"/>
    <w:rsid w:val="00713744"/>
    <w:rsid w:val="00713F45"/>
    <w:rsid w:val="0071461C"/>
    <w:rsid w:val="00714676"/>
    <w:rsid w:val="00716289"/>
    <w:rsid w:val="00717C10"/>
    <w:rsid w:val="00717E3B"/>
    <w:rsid w:val="00720741"/>
    <w:rsid w:val="00720EEB"/>
    <w:rsid w:val="00722788"/>
    <w:rsid w:val="00722B51"/>
    <w:rsid w:val="00723F2E"/>
    <w:rsid w:val="007245E7"/>
    <w:rsid w:val="007254BD"/>
    <w:rsid w:val="00725E5D"/>
    <w:rsid w:val="00726385"/>
    <w:rsid w:val="007273DD"/>
    <w:rsid w:val="0072764E"/>
    <w:rsid w:val="00727CFA"/>
    <w:rsid w:val="00730333"/>
    <w:rsid w:val="00730A46"/>
    <w:rsid w:val="00730D1C"/>
    <w:rsid w:val="007313F4"/>
    <w:rsid w:val="00731913"/>
    <w:rsid w:val="00731D19"/>
    <w:rsid w:val="007320F4"/>
    <w:rsid w:val="0073226F"/>
    <w:rsid w:val="00734C6E"/>
    <w:rsid w:val="00735AF7"/>
    <w:rsid w:val="00736049"/>
    <w:rsid w:val="00737335"/>
    <w:rsid w:val="007427A1"/>
    <w:rsid w:val="00745667"/>
    <w:rsid w:val="00745F6C"/>
    <w:rsid w:val="00746B6F"/>
    <w:rsid w:val="007505EE"/>
    <w:rsid w:val="00751455"/>
    <w:rsid w:val="0075263D"/>
    <w:rsid w:val="007527E4"/>
    <w:rsid w:val="00752838"/>
    <w:rsid w:val="00753427"/>
    <w:rsid w:val="00753E03"/>
    <w:rsid w:val="007541D6"/>
    <w:rsid w:val="00754CD4"/>
    <w:rsid w:val="00755A4E"/>
    <w:rsid w:val="00755C90"/>
    <w:rsid w:val="00756F7B"/>
    <w:rsid w:val="007570BF"/>
    <w:rsid w:val="00761371"/>
    <w:rsid w:val="00763599"/>
    <w:rsid w:val="00765305"/>
    <w:rsid w:val="0076532D"/>
    <w:rsid w:val="00766C71"/>
    <w:rsid w:val="00770805"/>
    <w:rsid w:val="00771A37"/>
    <w:rsid w:val="007731A7"/>
    <w:rsid w:val="00776730"/>
    <w:rsid w:val="00777920"/>
    <w:rsid w:val="007815A8"/>
    <w:rsid w:val="00781E36"/>
    <w:rsid w:val="007834B7"/>
    <w:rsid w:val="0078410A"/>
    <w:rsid w:val="00784659"/>
    <w:rsid w:val="00784771"/>
    <w:rsid w:val="00785CC8"/>
    <w:rsid w:val="007879A2"/>
    <w:rsid w:val="00790868"/>
    <w:rsid w:val="00790FEF"/>
    <w:rsid w:val="00791590"/>
    <w:rsid w:val="0079265C"/>
    <w:rsid w:val="0079310D"/>
    <w:rsid w:val="00793D96"/>
    <w:rsid w:val="00793E9D"/>
    <w:rsid w:val="007A0519"/>
    <w:rsid w:val="007A0E8A"/>
    <w:rsid w:val="007A113E"/>
    <w:rsid w:val="007A167F"/>
    <w:rsid w:val="007A1B18"/>
    <w:rsid w:val="007A1E80"/>
    <w:rsid w:val="007A40FB"/>
    <w:rsid w:val="007A4285"/>
    <w:rsid w:val="007A4F81"/>
    <w:rsid w:val="007A5BE8"/>
    <w:rsid w:val="007A5C6F"/>
    <w:rsid w:val="007A5F19"/>
    <w:rsid w:val="007A7469"/>
    <w:rsid w:val="007A748E"/>
    <w:rsid w:val="007A7B34"/>
    <w:rsid w:val="007B54CE"/>
    <w:rsid w:val="007B5DCA"/>
    <w:rsid w:val="007B6212"/>
    <w:rsid w:val="007B6CBE"/>
    <w:rsid w:val="007B7007"/>
    <w:rsid w:val="007B79C9"/>
    <w:rsid w:val="007B7EFD"/>
    <w:rsid w:val="007B7FC6"/>
    <w:rsid w:val="007C0E38"/>
    <w:rsid w:val="007C17EF"/>
    <w:rsid w:val="007C1ED3"/>
    <w:rsid w:val="007C2514"/>
    <w:rsid w:val="007C2EBE"/>
    <w:rsid w:val="007C6B40"/>
    <w:rsid w:val="007D0756"/>
    <w:rsid w:val="007D24A1"/>
    <w:rsid w:val="007D55F1"/>
    <w:rsid w:val="007D566C"/>
    <w:rsid w:val="007D5765"/>
    <w:rsid w:val="007D64D0"/>
    <w:rsid w:val="007D65A5"/>
    <w:rsid w:val="007D6AC0"/>
    <w:rsid w:val="007D709F"/>
    <w:rsid w:val="007D71BC"/>
    <w:rsid w:val="007D79A6"/>
    <w:rsid w:val="007E0540"/>
    <w:rsid w:val="007E0F9D"/>
    <w:rsid w:val="007E12D8"/>
    <w:rsid w:val="007E149C"/>
    <w:rsid w:val="007E2414"/>
    <w:rsid w:val="007E2E2C"/>
    <w:rsid w:val="007E3B97"/>
    <w:rsid w:val="007E4B58"/>
    <w:rsid w:val="007E51BB"/>
    <w:rsid w:val="007E5D34"/>
    <w:rsid w:val="007F3F47"/>
    <w:rsid w:val="007F56B1"/>
    <w:rsid w:val="007F5708"/>
    <w:rsid w:val="007F675D"/>
    <w:rsid w:val="007F6B60"/>
    <w:rsid w:val="007F6C00"/>
    <w:rsid w:val="00800295"/>
    <w:rsid w:val="008006CA"/>
    <w:rsid w:val="008014FE"/>
    <w:rsid w:val="00802E31"/>
    <w:rsid w:val="0080373F"/>
    <w:rsid w:val="00803B4E"/>
    <w:rsid w:val="00803E1B"/>
    <w:rsid w:val="0080439C"/>
    <w:rsid w:val="00805884"/>
    <w:rsid w:val="00805AD5"/>
    <w:rsid w:val="00807A33"/>
    <w:rsid w:val="00812863"/>
    <w:rsid w:val="00814543"/>
    <w:rsid w:val="00814610"/>
    <w:rsid w:val="008152F5"/>
    <w:rsid w:val="00815B2A"/>
    <w:rsid w:val="00816FAD"/>
    <w:rsid w:val="008207C2"/>
    <w:rsid w:val="00821835"/>
    <w:rsid w:val="00822028"/>
    <w:rsid w:val="00822FF3"/>
    <w:rsid w:val="00823815"/>
    <w:rsid w:val="00826B7C"/>
    <w:rsid w:val="0082727E"/>
    <w:rsid w:val="008319F1"/>
    <w:rsid w:val="008343C1"/>
    <w:rsid w:val="00836790"/>
    <w:rsid w:val="00836D88"/>
    <w:rsid w:val="0083734D"/>
    <w:rsid w:val="008373C3"/>
    <w:rsid w:val="008403B8"/>
    <w:rsid w:val="00841E11"/>
    <w:rsid w:val="008439E1"/>
    <w:rsid w:val="00843B09"/>
    <w:rsid w:val="008442EE"/>
    <w:rsid w:val="00844A1B"/>
    <w:rsid w:val="00844BAE"/>
    <w:rsid w:val="00844C06"/>
    <w:rsid w:val="008457A7"/>
    <w:rsid w:val="00845F9E"/>
    <w:rsid w:val="008464A0"/>
    <w:rsid w:val="00846C9D"/>
    <w:rsid w:val="00850A2D"/>
    <w:rsid w:val="00851283"/>
    <w:rsid w:val="00851E66"/>
    <w:rsid w:val="00852AD4"/>
    <w:rsid w:val="00852E24"/>
    <w:rsid w:val="008532EC"/>
    <w:rsid w:val="00855492"/>
    <w:rsid w:val="008600B2"/>
    <w:rsid w:val="00860791"/>
    <w:rsid w:val="008612CE"/>
    <w:rsid w:val="008624B1"/>
    <w:rsid w:val="00862FD3"/>
    <w:rsid w:val="00865EC6"/>
    <w:rsid w:val="008666C3"/>
    <w:rsid w:val="00867133"/>
    <w:rsid w:val="00870AF6"/>
    <w:rsid w:val="0087146B"/>
    <w:rsid w:val="00871C0F"/>
    <w:rsid w:val="008726BD"/>
    <w:rsid w:val="00872936"/>
    <w:rsid w:val="00872FA0"/>
    <w:rsid w:val="00874263"/>
    <w:rsid w:val="008758BB"/>
    <w:rsid w:val="008761B7"/>
    <w:rsid w:val="00876844"/>
    <w:rsid w:val="00877238"/>
    <w:rsid w:val="00877510"/>
    <w:rsid w:val="00877794"/>
    <w:rsid w:val="00880346"/>
    <w:rsid w:val="00880EBE"/>
    <w:rsid w:val="00881117"/>
    <w:rsid w:val="008816CC"/>
    <w:rsid w:val="00883755"/>
    <w:rsid w:val="00883AA0"/>
    <w:rsid w:val="0088469E"/>
    <w:rsid w:val="0088514D"/>
    <w:rsid w:val="008866CA"/>
    <w:rsid w:val="00887205"/>
    <w:rsid w:val="00887A8D"/>
    <w:rsid w:val="00887CAC"/>
    <w:rsid w:val="0089050C"/>
    <w:rsid w:val="00890754"/>
    <w:rsid w:val="008909C9"/>
    <w:rsid w:val="00890BCF"/>
    <w:rsid w:val="00893769"/>
    <w:rsid w:val="00893845"/>
    <w:rsid w:val="008958A1"/>
    <w:rsid w:val="0089637D"/>
    <w:rsid w:val="008969C1"/>
    <w:rsid w:val="00896D66"/>
    <w:rsid w:val="00897481"/>
    <w:rsid w:val="008A0E2D"/>
    <w:rsid w:val="008A118E"/>
    <w:rsid w:val="008A1F79"/>
    <w:rsid w:val="008A331E"/>
    <w:rsid w:val="008A3D34"/>
    <w:rsid w:val="008A6D7B"/>
    <w:rsid w:val="008A6ED9"/>
    <w:rsid w:val="008B1253"/>
    <w:rsid w:val="008B1B02"/>
    <w:rsid w:val="008B1C53"/>
    <w:rsid w:val="008B210A"/>
    <w:rsid w:val="008B2BD9"/>
    <w:rsid w:val="008B3007"/>
    <w:rsid w:val="008B3370"/>
    <w:rsid w:val="008B4CBB"/>
    <w:rsid w:val="008B4F27"/>
    <w:rsid w:val="008B6C6E"/>
    <w:rsid w:val="008B79CD"/>
    <w:rsid w:val="008C1F4D"/>
    <w:rsid w:val="008C2B1F"/>
    <w:rsid w:val="008C3654"/>
    <w:rsid w:val="008C56FB"/>
    <w:rsid w:val="008C5B62"/>
    <w:rsid w:val="008C5B7D"/>
    <w:rsid w:val="008C6542"/>
    <w:rsid w:val="008C6BEC"/>
    <w:rsid w:val="008C7EFD"/>
    <w:rsid w:val="008D0237"/>
    <w:rsid w:val="008D1426"/>
    <w:rsid w:val="008D1E02"/>
    <w:rsid w:val="008D33F8"/>
    <w:rsid w:val="008D3CF0"/>
    <w:rsid w:val="008D3F80"/>
    <w:rsid w:val="008D4DBE"/>
    <w:rsid w:val="008D5822"/>
    <w:rsid w:val="008D6863"/>
    <w:rsid w:val="008D6EA0"/>
    <w:rsid w:val="008D7DA5"/>
    <w:rsid w:val="008E02BD"/>
    <w:rsid w:val="008E0CC0"/>
    <w:rsid w:val="008E22DB"/>
    <w:rsid w:val="008E2666"/>
    <w:rsid w:val="008E2E24"/>
    <w:rsid w:val="008E43A0"/>
    <w:rsid w:val="008E6540"/>
    <w:rsid w:val="008E69E9"/>
    <w:rsid w:val="008E6FE1"/>
    <w:rsid w:val="008E7A23"/>
    <w:rsid w:val="008E7C1E"/>
    <w:rsid w:val="008F073E"/>
    <w:rsid w:val="008F0FCA"/>
    <w:rsid w:val="008F182E"/>
    <w:rsid w:val="008F3862"/>
    <w:rsid w:val="008F3CEC"/>
    <w:rsid w:val="008F3E39"/>
    <w:rsid w:val="008F4D6D"/>
    <w:rsid w:val="008F5958"/>
    <w:rsid w:val="008F5DB1"/>
    <w:rsid w:val="008F6445"/>
    <w:rsid w:val="0090060E"/>
    <w:rsid w:val="00900793"/>
    <w:rsid w:val="00901C1D"/>
    <w:rsid w:val="00902176"/>
    <w:rsid w:val="009027E6"/>
    <w:rsid w:val="0090292A"/>
    <w:rsid w:val="00902C06"/>
    <w:rsid w:val="0090377C"/>
    <w:rsid w:val="009062BC"/>
    <w:rsid w:val="00907BD8"/>
    <w:rsid w:val="00910F8E"/>
    <w:rsid w:val="009114B4"/>
    <w:rsid w:val="00911574"/>
    <w:rsid w:val="00913598"/>
    <w:rsid w:val="009156AD"/>
    <w:rsid w:val="00917270"/>
    <w:rsid w:val="009175D3"/>
    <w:rsid w:val="009218C7"/>
    <w:rsid w:val="00922527"/>
    <w:rsid w:val="009229BB"/>
    <w:rsid w:val="009238DF"/>
    <w:rsid w:val="00924710"/>
    <w:rsid w:val="0092576D"/>
    <w:rsid w:val="00926C4B"/>
    <w:rsid w:val="00926ED2"/>
    <w:rsid w:val="00930A8E"/>
    <w:rsid w:val="00930CAC"/>
    <w:rsid w:val="00930E80"/>
    <w:rsid w:val="009317AE"/>
    <w:rsid w:val="00931DBB"/>
    <w:rsid w:val="009329F7"/>
    <w:rsid w:val="00933070"/>
    <w:rsid w:val="00933264"/>
    <w:rsid w:val="00934B13"/>
    <w:rsid w:val="00935AB8"/>
    <w:rsid w:val="00936F77"/>
    <w:rsid w:val="0093767B"/>
    <w:rsid w:val="00937762"/>
    <w:rsid w:val="009409ED"/>
    <w:rsid w:val="009427D9"/>
    <w:rsid w:val="009431E3"/>
    <w:rsid w:val="00943473"/>
    <w:rsid w:val="009440CE"/>
    <w:rsid w:val="00944F0C"/>
    <w:rsid w:val="00945B03"/>
    <w:rsid w:val="009468BC"/>
    <w:rsid w:val="009475B5"/>
    <w:rsid w:val="009510AB"/>
    <w:rsid w:val="0095368A"/>
    <w:rsid w:val="009536BD"/>
    <w:rsid w:val="00953C38"/>
    <w:rsid w:val="0095474E"/>
    <w:rsid w:val="00954F16"/>
    <w:rsid w:val="009551A7"/>
    <w:rsid w:val="0095575F"/>
    <w:rsid w:val="009563D1"/>
    <w:rsid w:val="00956B04"/>
    <w:rsid w:val="009604C8"/>
    <w:rsid w:val="00960E2D"/>
    <w:rsid w:val="00960ECC"/>
    <w:rsid w:val="009612B6"/>
    <w:rsid w:val="00961724"/>
    <w:rsid w:val="009619BA"/>
    <w:rsid w:val="00961A75"/>
    <w:rsid w:val="00961AD1"/>
    <w:rsid w:val="00961B0A"/>
    <w:rsid w:val="0096253F"/>
    <w:rsid w:val="00962E23"/>
    <w:rsid w:val="00962F28"/>
    <w:rsid w:val="00963535"/>
    <w:rsid w:val="009660E2"/>
    <w:rsid w:val="00966ABD"/>
    <w:rsid w:val="0096791E"/>
    <w:rsid w:val="00967982"/>
    <w:rsid w:val="00967F9A"/>
    <w:rsid w:val="00970079"/>
    <w:rsid w:val="009716DF"/>
    <w:rsid w:val="009720C8"/>
    <w:rsid w:val="00973A39"/>
    <w:rsid w:val="00977012"/>
    <w:rsid w:val="00977C68"/>
    <w:rsid w:val="00977F24"/>
    <w:rsid w:val="00977FEE"/>
    <w:rsid w:val="00980072"/>
    <w:rsid w:val="00980183"/>
    <w:rsid w:val="009807A7"/>
    <w:rsid w:val="00980C12"/>
    <w:rsid w:val="00981B59"/>
    <w:rsid w:val="00982C43"/>
    <w:rsid w:val="00983A1B"/>
    <w:rsid w:val="00986A54"/>
    <w:rsid w:val="00987351"/>
    <w:rsid w:val="0099031F"/>
    <w:rsid w:val="0099179C"/>
    <w:rsid w:val="00992BFC"/>
    <w:rsid w:val="00992F2B"/>
    <w:rsid w:val="0099455A"/>
    <w:rsid w:val="00994B1E"/>
    <w:rsid w:val="00995CE0"/>
    <w:rsid w:val="009A14B9"/>
    <w:rsid w:val="009A3D79"/>
    <w:rsid w:val="009A400E"/>
    <w:rsid w:val="009A52CB"/>
    <w:rsid w:val="009A5BC0"/>
    <w:rsid w:val="009A6729"/>
    <w:rsid w:val="009B14A9"/>
    <w:rsid w:val="009B18B7"/>
    <w:rsid w:val="009B3716"/>
    <w:rsid w:val="009B3B8A"/>
    <w:rsid w:val="009B50B6"/>
    <w:rsid w:val="009B66FB"/>
    <w:rsid w:val="009B7F1E"/>
    <w:rsid w:val="009C259C"/>
    <w:rsid w:val="009C2E36"/>
    <w:rsid w:val="009C5116"/>
    <w:rsid w:val="009C5833"/>
    <w:rsid w:val="009C6F39"/>
    <w:rsid w:val="009D070B"/>
    <w:rsid w:val="009D0C6F"/>
    <w:rsid w:val="009D1C33"/>
    <w:rsid w:val="009D21DD"/>
    <w:rsid w:val="009D37A2"/>
    <w:rsid w:val="009D4701"/>
    <w:rsid w:val="009D5C01"/>
    <w:rsid w:val="009D65E6"/>
    <w:rsid w:val="009D68CD"/>
    <w:rsid w:val="009D6CDA"/>
    <w:rsid w:val="009D70EF"/>
    <w:rsid w:val="009E02CE"/>
    <w:rsid w:val="009E1FBE"/>
    <w:rsid w:val="009E543B"/>
    <w:rsid w:val="009E58DD"/>
    <w:rsid w:val="009E7905"/>
    <w:rsid w:val="009F0268"/>
    <w:rsid w:val="009F066D"/>
    <w:rsid w:val="009F0B1D"/>
    <w:rsid w:val="009F0CBC"/>
    <w:rsid w:val="009F11BC"/>
    <w:rsid w:val="009F1531"/>
    <w:rsid w:val="009F18EF"/>
    <w:rsid w:val="009F1E25"/>
    <w:rsid w:val="009F2B30"/>
    <w:rsid w:val="009F2F58"/>
    <w:rsid w:val="009F42B8"/>
    <w:rsid w:val="009F510B"/>
    <w:rsid w:val="009F7504"/>
    <w:rsid w:val="00A00A97"/>
    <w:rsid w:val="00A01B75"/>
    <w:rsid w:val="00A01D8C"/>
    <w:rsid w:val="00A021A2"/>
    <w:rsid w:val="00A02262"/>
    <w:rsid w:val="00A03074"/>
    <w:rsid w:val="00A0395E"/>
    <w:rsid w:val="00A03B76"/>
    <w:rsid w:val="00A04B0A"/>
    <w:rsid w:val="00A04D48"/>
    <w:rsid w:val="00A05772"/>
    <w:rsid w:val="00A05AB6"/>
    <w:rsid w:val="00A06D2C"/>
    <w:rsid w:val="00A071EF"/>
    <w:rsid w:val="00A07534"/>
    <w:rsid w:val="00A07592"/>
    <w:rsid w:val="00A076EE"/>
    <w:rsid w:val="00A077B2"/>
    <w:rsid w:val="00A07BF0"/>
    <w:rsid w:val="00A1025E"/>
    <w:rsid w:val="00A10FD0"/>
    <w:rsid w:val="00A118A2"/>
    <w:rsid w:val="00A11F01"/>
    <w:rsid w:val="00A14318"/>
    <w:rsid w:val="00A1439B"/>
    <w:rsid w:val="00A15C87"/>
    <w:rsid w:val="00A168B6"/>
    <w:rsid w:val="00A20F63"/>
    <w:rsid w:val="00A21067"/>
    <w:rsid w:val="00A2154D"/>
    <w:rsid w:val="00A21BB6"/>
    <w:rsid w:val="00A21EE0"/>
    <w:rsid w:val="00A225E0"/>
    <w:rsid w:val="00A23B19"/>
    <w:rsid w:val="00A242CD"/>
    <w:rsid w:val="00A24DF9"/>
    <w:rsid w:val="00A252FC"/>
    <w:rsid w:val="00A26826"/>
    <w:rsid w:val="00A26982"/>
    <w:rsid w:val="00A272D2"/>
    <w:rsid w:val="00A273FD"/>
    <w:rsid w:val="00A2789A"/>
    <w:rsid w:val="00A278B3"/>
    <w:rsid w:val="00A2797F"/>
    <w:rsid w:val="00A340ED"/>
    <w:rsid w:val="00A34A3C"/>
    <w:rsid w:val="00A34F8F"/>
    <w:rsid w:val="00A35002"/>
    <w:rsid w:val="00A35865"/>
    <w:rsid w:val="00A36702"/>
    <w:rsid w:val="00A40301"/>
    <w:rsid w:val="00A423F7"/>
    <w:rsid w:val="00A43991"/>
    <w:rsid w:val="00A44C31"/>
    <w:rsid w:val="00A479F3"/>
    <w:rsid w:val="00A500E2"/>
    <w:rsid w:val="00A51BE5"/>
    <w:rsid w:val="00A51CCF"/>
    <w:rsid w:val="00A53A32"/>
    <w:rsid w:val="00A548EE"/>
    <w:rsid w:val="00A55D67"/>
    <w:rsid w:val="00A5746A"/>
    <w:rsid w:val="00A60658"/>
    <w:rsid w:val="00A62153"/>
    <w:rsid w:val="00A6215E"/>
    <w:rsid w:val="00A63084"/>
    <w:rsid w:val="00A63240"/>
    <w:rsid w:val="00A637ED"/>
    <w:rsid w:val="00A63B1B"/>
    <w:rsid w:val="00A646AA"/>
    <w:rsid w:val="00A669E1"/>
    <w:rsid w:val="00A70740"/>
    <w:rsid w:val="00A70E00"/>
    <w:rsid w:val="00A713E1"/>
    <w:rsid w:val="00A73500"/>
    <w:rsid w:val="00A737BD"/>
    <w:rsid w:val="00A74621"/>
    <w:rsid w:val="00A7597E"/>
    <w:rsid w:val="00A8036A"/>
    <w:rsid w:val="00A8038E"/>
    <w:rsid w:val="00A8067C"/>
    <w:rsid w:val="00A826DE"/>
    <w:rsid w:val="00A82910"/>
    <w:rsid w:val="00A850BC"/>
    <w:rsid w:val="00A853DF"/>
    <w:rsid w:val="00A85604"/>
    <w:rsid w:val="00A85F1C"/>
    <w:rsid w:val="00A86BA3"/>
    <w:rsid w:val="00A86BE8"/>
    <w:rsid w:val="00A86CB5"/>
    <w:rsid w:val="00A87023"/>
    <w:rsid w:val="00A873E6"/>
    <w:rsid w:val="00A907FA"/>
    <w:rsid w:val="00A90B91"/>
    <w:rsid w:val="00A91B91"/>
    <w:rsid w:val="00A92720"/>
    <w:rsid w:val="00A928D6"/>
    <w:rsid w:val="00A93F62"/>
    <w:rsid w:val="00A93F7D"/>
    <w:rsid w:val="00A94CEC"/>
    <w:rsid w:val="00A95EE8"/>
    <w:rsid w:val="00A96380"/>
    <w:rsid w:val="00A96458"/>
    <w:rsid w:val="00A967E7"/>
    <w:rsid w:val="00AA0E3B"/>
    <w:rsid w:val="00AA2578"/>
    <w:rsid w:val="00AA30FD"/>
    <w:rsid w:val="00AA3A94"/>
    <w:rsid w:val="00AA4F7F"/>
    <w:rsid w:val="00AA50A8"/>
    <w:rsid w:val="00AA54C1"/>
    <w:rsid w:val="00AA5D20"/>
    <w:rsid w:val="00AA6248"/>
    <w:rsid w:val="00AA7E23"/>
    <w:rsid w:val="00AB0E73"/>
    <w:rsid w:val="00AB1797"/>
    <w:rsid w:val="00AB191E"/>
    <w:rsid w:val="00AB4441"/>
    <w:rsid w:val="00AB4E2C"/>
    <w:rsid w:val="00AB66CB"/>
    <w:rsid w:val="00AB7605"/>
    <w:rsid w:val="00AB797F"/>
    <w:rsid w:val="00AC105F"/>
    <w:rsid w:val="00AC18E7"/>
    <w:rsid w:val="00AC2478"/>
    <w:rsid w:val="00AC2856"/>
    <w:rsid w:val="00AC3BB6"/>
    <w:rsid w:val="00AC45A6"/>
    <w:rsid w:val="00AC4848"/>
    <w:rsid w:val="00AC48A0"/>
    <w:rsid w:val="00AC5248"/>
    <w:rsid w:val="00AC5BAA"/>
    <w:rsid w:val="00AC6756"/>
    <w:rsid w:val="00AC6C08"/>
    <w:rsid w:val="00AD04EE"/>
    <w:rsid w:val="00AD269D"/>
    <w:rsid w:val="00AD2EE3"/>
    <w:rsid w:val="00AD3895"/>
    <w:rsid w:val="00AD3B79"/>
    <w:rsid w:val="00AD4E8C"/>
    <w:rsid w:val="00AE019F"/>
    <w:rsid w:val="00AE049C"/>
    <w:rsid w:val="00AE08EA"/>
    <w:rsid w:val="00AE0FF3"/>
    <w:rsid w:val="00AE1967"/>
    <w:rsid w:val="00AE20A6"/>
    <w:rsid w:val="00AE25CF"/>
    <w:rsid w:val="00AE2F99"/>
    <w:rsid w:val="00AE305E"/>
    <w:rsid w:val="00AE3A94"/>
    <w:rsid w:val="00AE460A"/>
    <w:rsid w:val="00AE4DB3"/>
    <w:rsid w:val="00AE535E"/>
    <w:rsid w:val="00AE6121"/>
    <w:rsid w:val="00AE7428"/>
    <w:rsid w:val="00AE7E49"/>
    <w:rsid w:val="00AF173A"/>
    <w:rsid w:val="00AF2205"/>
    <w:rsid w:val="00AF4292"/>
    <w:rsid w:val="00AF4F75"/>
    <w:rsid w:val="00AF5804"/>
    <w:rsid w:val="00AF6662"/>
    <w:rsid w:val="00AF6C47"/>
    <w:rsid w:val="00B006D4"/>
    <w:rsid w:val="00B0075E"/>
    <w:rsid w:val="00B00821"/>
    <w:rsid w:val="00B00FB6"/>
    <w:rsid w:val="00B012FC"/>
    <w:rsid w:val="00B02474"/>
    <w:rsid w:val="00B0283C"/>
    <w:rsid w:val="00B02AE5"/>
    <w:rsid w:val="00B02CE1"/>
    <w:rsid w:val="00B044BA"/>
    <w:rsid w:val="00B073EA"/>
    <w:rsid w:val="00B0771D"/>
    <w:rsid w:val="00B11980"/>
    <w:rsid w:val="00B130DE"/>
    <w:rsid w:val="00B13975"/>
    <w:rsid w:val="00B14023"/>
    <w:rsid w:val="00B14646"/>
    <w:rsid w:val="00B14EED"/>
    <w:rsid w:val="00B15671"/>
    <w:rsid w:val="00B17400"/>
    <w:rsid w:val="00B17414"/>
    <w:rsid w:val="00B17E16"/>
    <w:rsid w:val="00B2046B"/>
    <w:rsid w:val="00B2086E"/>
    <w:rsid w:val="00B208BA"/>
    <w:rsid w:val="00B211DD"/>
    <w:rsid w:val="00B21B99"/>
    <w:rsid w:val="00B221F3"/>
    <w:rsid w:val="00B23A60"/>
    <w:rsid w:val="00B2465D"/>
    <w:rsid w:val="00B279F6"/>
    <w:rsid w:val="00B314EB"/>
    <w:rsid w:val="00B331A9"/>
    <w:rsid w:val="00B334A5"/>
    <w:rsid w:val="00B33693"/>
    <w:rsid w:val="00B345BB"/>
    <w:rsid w:val="00B34ACD"/>
    <w:rsid w:val="00B34D00"/>
    <w:rsid w:val="00B35913"/>
    <w:rsid w:val="00B37248"/>
    <w:rsid w:val="00B37CD4"/>
    <w:rsid w:val="00B40010"/>
    <w:rsid w:val="00B40ECC"/>
    <w:rsid w:val="00B43983"/>
    <w:rsid w:val="00B447FA"/>
    <w:rsid w:val="00B44C4F"/>
    <w:rsid w:val="00B44DD7"/>
    <w:rsid w:val="00B460B0"/>
    <w:rsid w:val="00B46A09"/>
    <w:rsid w:val="00B46B0C"/>
    <w:rsid w:val="00B47A6D"/>
    <w:rsid w:val="00B47F00"/>
    <w:rsid w:val="00B50F33"/>
    <w:rsid w:val="00B512F3"/>
    <w:rsid w:val="00B52029"/>
    <w:rsid w:val="00B520F1"/>
    <w:rsid w:val="00B52AC4"/>
    <w:rsid w:val="00B5339F"/>
    <w:rsid w:val="00B5405D"/>
    <w:rsid w:val="00B54279"/>
    <w:rsid w:val="00B55844"/>
    <w:rsid w:val="00B55D01"/>
    <w:rsid w:val="00B561E1"/>
    <w:rsid w:val="00B56254"/>
    <w:rsid w:val="00B57B42"/>
    <w:rsid w:val="00B6021B"/>
    <w:rsid w:val="00B61EF4"/>
    <w:rsid w:val="00B625E3"/>
    <w:rsid w:val="00B6353B"/>
    <w:rsid w:val="00B63A85"/>
    <w:rsid w:val="00B64BB6"/>
    <w:rsid w:val="00B64C23"/>
    <w:rsid w:val="00B651E8"/>
    <w:rsid w:val="00B65F79"/>
    <w:rsid w:val="00B666C8"/>
    <w:rsid w:val="00B66F63"/>
    <w:rsid w:val="00B67478"/>
    <w:rsid w:val="00B70005"/>
    <w:rsid w:val="00B701CB"/>
    <w:rsid w:val="00B70260"/>
    <w:rsid w:val="00B70AD6"/>
    <w:rsid w:val="00B70BE8"/>
    <w:rsid w:val="00B716C3"/>
    <w:rsid w:val="00B71C0B"/>
    <w:rsid w:val="00B74146"/>
    <w:rsid w:val="00B7496E"/>
    <w:rsid w:val="00B74C20"/>
    <w:rsid w:val="00B74CBC"/>
    <w:rsid w:val="00B75437"/>
    <w:rsid w:val="00B76795"/>
    <w:rsid w:val="00B77728"/>
    <w:rsid w:val="00B83024"/>
    <w:rsid w:val="00B83346"/>
    <w:rsid w:val="00B8535E"/>
    <w:rsid w:val="00B86213"/>
    <w:rsid w:val="00B86B29"/>
    <w:rsid w:val="00B87825"/>
    <w:rsid w:val="00B87F42"/>
    <w:rsid w:val="00B90404"/>
    <w:rsid w:val="00B904ED"/>
    <w:rsid w:val="00B9170C"/>
    <w:rsid w:val="00B92C91"/>
    <w:rsid w:val="00B92DFC"/>
    <w:rsid w:val="00B94736"/>
    <w:rsid w:val="00B947B3"/>
    <w:rsid w:val="00B948A5"/>
    <w:rsid w:val="00B94ECF"/>
    <w:rsid w:val="00B9532A"/>
    <w:rsid w:val="00B96E64"/>
    <w:rsid w:val="00BA014E"/>
    <w:rsid w:val="00BA4B85"/>
    <w:rsid w:val="00BA5B6D"/>
    <w:rsid w:val="00BA64A1"/>
    <w:rsid w:val="00BA6C82"/>
    <w:rsid w:val="00BA74D6"/>
    <w:rsid w:val="00BA7A62"/>
    <w:rsid w:val="00BB02DE"/>
    <w:rsid w:val="00BB0A6A"/>
    <w:rsid w:val="00BB360B"/>
    <w:rsid w:val="00BB470C"/>
    <w:rsid w:val="00BB4BFD"/>
    <w:rsid w:val="00BB5223"/>
    <w:rsid w:val="00BB666E"/>
    <w:rsid w:val="00BB7488"/>
    <w:rsid w:val="00BC07A8"/>
    <w:rsid w:val="00BC3A1B"/>
    <w:rsid w:val="00BC3B28"/>
    <w:rsid w:val="00BC57EB"/>
    <w:rsid w:val="00BC5890"/>
    <w:rsid w:val="00BC659C"/>
    <w:rsid w:val="00BC7652"/>
    <w:rsid w:val="00BD08D3"/>
    <w:rsid w:val="00BD0F0F"/>
    <w:rsid w:val="00BD10B6"/>
    <w:rsid w:val="00BD26FE"/>
    <w:rsid w:val="00BD3368"/>
    <w:rsid w:val="00BD6633"/>
    <w:rsid w:val="00BE2C19"/>
    <w:rsid w:val="00BE306B"/>
    <w:rsid w:val="00BE3CB4"/>
    <w:rsid w:val="00BE4CB1"/>
    <w:rsid w:val="00BE5580"/>
    <w:rsid w:val="00BE6871"/>
    <w:rsid w:val="00BF10B2"/>
    <w:rsid w:val="00BF1EF3"/>
    <w:rsid w:val="00BF2674"/>
    <w:rsid w:val="00BF3CE5"/>
    <w:rsid w:val="00BF436D"/>
    <w:rsid w:val="00BF4FA2"/>
    <w:rsid w:val="00BF6758"/>
    <w:rsid w:val="00BF7541"/>
    <w:rsid w:val="00BF75CA"/>
    <w:rsid w:val="00C00B34"/>
    <w:rsid w:val="00C01595"/>
    <w:rsid w:val="00C03214"/>
    <w:rsid w:val="00C03C65"/>
    <w:rsid w:val="00C03E25"/>
    <w:rsid w:val="00C0420D"/>
    <w:rsid w:val="00C04487"/>
    <w:rsid w:val="00C055DD"/>
    <w:rsid w:val="00C05B90"/>
    <w:rsid w:val="00C06ECD"/>
    <w:rsid w:val="00C070A2"/>
    <w:rsid w:val="00C078A4"/>
    <w:rsid w:val="00C10CA1"/>
    <w:rsid w:val="00C11FD8"/>
    <w:rsid w:val="00C1234D"/>
    <w:rsid w:val="00C12858"/>
    <w:rsid w:val="00C1304C"/>
    <w:rsid w:val="00C136A1"/>
    <w:rsid w:val="00C1401F"/>
    <w:rsid w:val="00C141B8"/>
    <w:rsid w:val="00C14449"/>
    <w:rsid w:val="00C1549A"/>
    <w:rsid w:val="00C16014"/>
    <w:rsid w:val="00C16E8C"/>
    <w:rsid w:val="00C17397"/>
    <w:rsid w:val="00C2039B"/>
    <w:rsid w:val="00C20E9F"/>
    <w:rsid w:val="00C21BD6"/>
    <w:rsid w:val="00C25F68"/>
    <w:rsid w:val="00C2643E"/>
    <w:rsid w:val="00C26668"/>
    <w:rsid w:val="00C26763"/>
    <w:rsid w:val="00C273A7"/>
    <w:rsid w:val="00C278F9"/>
    <w:rsid w:val="00C31E7F"/>
    <w:rsid w:val="00C3473E"/>
    <w:rsid w:val="00C35017"/>
    <w:rsid w:val="00C3530C"/>
    <w:rsid w:val="00C3589B"/>
    <w:rsid w:val="00C36D47"/>
    <w:rsid w:val="00C373B1"/>
    <w:rsid w:val="00C3745F"/>
    <w:rsid w:val="00C408D9"/>
    <w:rsid w:val="00C40D69"/>
    <w:rsid w:val="00C425E7"/>
    <w:rsid w:val="00C42841"/>
    <w:rsid w:val="00C4347D"/>
    <w:rsid w:val="00C45E99"/>
    <w:rsid w:val="00C46942"/>
    <w:rsid w:val="00C47729"/>
    <w:rsid w:val="00C47B75"/>
    <w:rsid w:val="00C50F24"/>
    <w:rsid w:val="00C51431"/>
    <w:rsid w:val="00C515E6"/>
    <w:rsid w:val="00C52A88"/>
    <w:rsid w:val="00C5304C"/>
    <w:rsid w:val="00C53544"/>
    <w:rsid w:val="00C54045"/>
    <w:rsid w:val="00C54C44"/>
    <w:rsid w:val="00C54DF6"/>
    <w:rsid w:val="00C5514B"/>
    <w:rsid w:val="00C555C8"/>
    <w:rsid w:val="00C55A58"/>
    <w:rsid w:val="00C61399"/>
    <w:rsid w:val="00C61495"/>
    <w:rsid w:val="00C6190F"/>
    <w:rsid w:val="00C6323F"/>
    <w:rsid w:val="00C6399A"/>
    <w:rsid w:val="00C660C5"/>
    <w:rsid w:val="00C66613"/>
    <w:rsid w:val="00C70B4D"/>
    <w:rsid w:val="00C71B6C"/>
    <w:rsid w:val="00C72192"/>
    <w:rsid w:val="00C73A3B"/>
    <w:rsid w:val="00C7607F"/>
    <w:rsid w:val="00C7632B"/>
    <w:rsid w:val="00C76A95"/>
    <w:rsid w:val="00C80005"/>
    <w:rsid w:val="00C860D7"/>
    <w:rsid w:val="00C877DB"/>
    <w:rsid w:val="00C87C18"/>
    <w:rsid w:val="00C91468"/>
    <w:rsid w:val="00C91CC3"/>
    <w:rsid w:val="00C94565"/>
    <w:rsid w:val="00C94AF3"/>
    <w:rsid w:val="00C96448"/>
    <w:rsid w:val="00CA2052"/>
    <w:rsid w:val="00CA2507"/>
    <w:rsid w:val="00CA37E7"/>
    <w:rsid w:val="00CA3CDA"/>
    <w:rsid w:val="00CA3F87"/>
    <w:rsid w:val="00CA41C7"/>
    <w:rsid w:val="00CA4E4D"/>
    <w:rsid w:val="00CA60C2"/>
    <w:rsid w:val="00CA6A5A"/>
    <w:rsid w:val="00CA704F"/>
    <w:rsid w:val="00CA7814"/>
    <w:rsid w:val="00CA7ECF"/>
    <w:rsid w:val="00CA7F44"/>
    <w:rsid w:val="00CB1AB1"/>
    <w:rsid w:val="00CB3954"/>
    <w:rsid w:val="00CB5518"/>
    <w:rsid w:val="00CB6761"/>
    <w:rsid w:val="00CB742E"/>
    <w:rsid w:val="00CC1A38"/>
    <w:rsid w:val="00CC26ED"/>
    <w:rsid w:val="00CC4626"/>
    <w:rsid w:val="00CC5CF3"/>
    <w:rsid w:val="00CC5D8C"/>
    <w:rsid w:val="00CC6128"/>
    <w:rsid w:val="00CC7028"/>
    <w:rsid w:val="00CC779D"/>
    <w:rsid w:val="00CD011F"/>
    <w:rsid w:val="00CD0495"/>
    <w:rsid w:val="00CD06DB"/>
    <w:rsid w:val="00CD07B8"/>
    <w:rsid w:val="00CD1008"/>
    <w:rsid w:val="00CD1B09"/>
    <w:rsid w:val="00CD1D27"/>
    <w:rsid w:val="00CD2C9B"/>
    <w:rsid w:val="00CD2CB7"/>
    <w:rsid w:val="00CD2E1C"/>
    <w:rsid w:val="00CD40DF"/>
    <w:rsid w:val="00CD4298"/>
    <w:rsid w:val="00CD4B08"/>
    <w:rsid w:val="00CD652D"/>
    <w:rsid w:val="00CD6B5A"/>
    <w:rsid w:val="00CD7552"/>
    <w:rsid w:val="00CD7CA7"/>
    <w:rsid w:val="00CE0314"/>
    <w:rsid w:val="00CE070D"/>
    <w:rsid w:val="00CE0DA1"/>
    <w:rsid w:val="00CE1B20"/>
    <w:rsid w:val="00CE22E4"/>
    <w:rsid w:val="00CE38FF"/>
    <w:rsid w:val="00CE42F2"/>
    <w:rsid w:val="00CE5F80"/>
    <w:rsid w:val="00CE68EC"/>
    <w:rsid w:val="00CE6F08"/>
    <w:rsid w:val="00CF0317"/>
    <w:rsid w:val="00CF051E"/>
    <w:rsid w:val="00CF09A7"/>
    <w:rsid w:val="00CF2438"/>
    <w:rsid w:val="00CF2BD0"/>
    <w:rsid w:val="00CF3A71"/>
    <w:rsid w:val="00CF42E7"/>
    <w:rsid w:val="00CF4B75"/>
    <w:rsid w:val="00CF5BEE"/>
    <w:rsid w:val="00D0014B"/>
    <w:rsid w:val="00D00319"/>
    <w:rsid w:val="00D007FB"/>
    <w:rsid w:val="00D02A67"/>
    <w:rsid w:val="00D05080"/>
    <w:rsid w:val="00D0510A"/>
    <w:rsid w:val="00D058C0"/>
    <w:rsid w:val="00D05AEA"/>
    <w:rsid w:val="00D10AEB"/>
    <w:rsid w:val="00D1110A"/>
    <w:rsid w:val="00D11FDD"/>
    <w:rsid w:val="00D12C08"/>
    <w:rsid w:val="00D13393"/>
    <w:rsid w:val="00D138A3"/>
    <w:rsid w:val="00D13C7C"/>
    <w:rsid w:val="00D142D9"/>
    <w:rsid w:val="00D1770D"/>
    <w:rsid w:val="00D20872"/>
    <w:rsid w:val="00D21911"/>
    <w:rsid w:val="00D226BD"/>
    <w:rsid w:val="00D23D19"/>
    <w:rsid w:val="00D249CD"/>
    <w:rsid w:val="00D25CAB"/>
    <w:rsid w:val="00D2630D"/>
    <w:rsid w:val="00D26DBF"/>
    <w:rsid w:val="00D2777B"/>
    <w:rsid w:val="00D27C69"/>
    <w:rsid w:val="00D30569"/>
    <w:rsid w:val="00D30BD5"/>
    <w:rsid w:val="00D325E1"/>
    <w:rsid w:val="00D32F6B"/>
    <w:rsid w:val="00D34333"/>
    <w:rsid w:val="00D34D92"/>
    <w:rsid w:val="00D367E2"/>
    <w:rsid w:val="00D36CD2"/>
    <w:rsid w:val="00D370AD"/>
    <w:rsid w:val="00D3713F"/>
    <w:rsid w:val="00D40750"/>
    <w:rsid w:val="00D40809"/>
    <w:rsid w:val="00D408DA"/>
    <w:rsid w:val="00D415F2"/>
    <w:rsid w:val="00D4234A"/>
    <w:rsid w:val="00D4248A"/>
    <w:rsid w:val="00D4283F"/>
    <w:rsid w:val="00D42D7D"/>
    <w:rsid w:val="00D43309"/>
    <w:rsid w:val="00D43702"/>
    <w:rsid w:val="00D450FB"/>
    <w:rsid w:val="00D458BB"/>
    <w:rsid w:val="00D46050"/>
    <w:rsid w:val="00D469B6"/>
    <w:rsid w:val="00D46C91"/>
    <w:rsid w:val="00D4778D"/>
    <w:rsid w:val="00D50AC6"/>
    <w:rsid w:val="00D5240A"/>
    <w:rsid w:val="00D5311F"/>
    <w:rsid w:val="00D5342B"/>
    <w:rsid w:val="00D54A8A"/>
    <w:rsid w:val="00D56A02"/>
    <w:rsid w:val="00D56A56"/>
    <w:rsid w:val="00D56BEF"/>
    <w:rsid w:val="00D5713B"/>
    <w:rsid w:val="00D61746"/>
    <w:rsid w:val="00D61945"/>
    <w:rsid w:val="00D61B73"/>
    <w:rsid w:val="00D62B2E"/>
    <w:rsid w:val="00D6302B"/>
    <w:rsid w:val="00D6313B"/>
    <w:rsid w:val="00D638D6"/>
    <w:rsid w:val="00D64E2C"/>
    <w:rsid w:val="00D65704"/>
    <w:rsid w:val="00D65CB9"/>
    <w:rsid w:val="00D6662A"/>
    <w:rsid w:val="00D67443"/>
    <w:rsid w:val="00D6756E"/>
    <w:rsid w:val="00D67838"/>
    <w:rsid w:val="00D70024"/>
    <w:rsid w:val="00D70575"/>
    <w:rsid w:val="00D720C0"/>
    <w:rsid w:val="00D729BC"/>
    <w:rsid w:val="00D74214"/>
    <w:rsid w:val="00D7544E"/>
    <w:rsid w:val="00D75605"/>
    <w:rsid w:val="00D756CE"/>
    <w:rsid w:val="00D769E8"/>
    <w:rsid w:val="00D77114"/>
    <w:rsid w:val="00D80C47"/>
    <w:rsid w:val="00D812FB"/>
    <w:rsid w:val="00D8139A"/>
    <w:rsid w:val="00D81B3D"/>
    <w:rsid w:val="00D82ED2"/>
    <w:rsid w:val="00D8468A"/>
    <w:rsid w:val="00D84A22"/>
    <w:rsid w:val="00D8517B"/>
    <w:rsid w:val="00D861F0"/>
    <w:rsid w:val="00D86F32"/>
    <w:rsid w:val="00D90B63"/>
    <w:rsid w:val="00D919EA"/>
    <w:rsid w:val="00D935C2"/>
    <w:rsid w:val="00D9398A"/>
    <w:rsid w:val="00D95FC0"/>
    <w:rsid w:val="00D96216"/>
    <w:rsid w:val="00D96A8C"/>
    <w:rsid w:val="00D96F66"/>
    <w:rsid w:val="00D97A7C"/>
    <w:rsid w:val="00DA044B"/>
    <w:rsid w:val="00DA0EE7"/>
    <w:rsid w:val="00DA1BDB"/>
    <w:rsid w:val="00DA26DD"/>
    <w:rsid w:val="00DA2CA5"/>
    <w:rsid w:val="00DA3981"/>
    <w:rsid w:val="00DA4F72"/>
    <w:rsid w:val="00DA61B9"/>
    <w:rsid w:val="00DA6247"/>
    <w:rsid w:val="00DB2361"/>
    <w:rsid w:val="00DB36FB"/>
    <w:rsid w:val="00DB4189"/>
    <w:rsid w:val="00DB49B8"/>
    <w:rsid w:val="00DB5404"/>
    <w:rsid w:val="00DB5D2E"/>
    <w:rsid w:val="00DC0073"/>
    <w:rsid w:val="00DC0D7B"/>
    <w:rsid w:val="00DC2036"/>
    <w:rsid w:val="00DC2544"/>
    <w:rsid w:val="00DC2C7E"/>
    <w:rsid w:val="00DC2D71"/>
    <w:rsid w:val="00DC31AD"/>
    <w:rsid w:val="00DC4D68"/>
    <w:rsid w:val="00DC69FF"/>
    <w:rsid w:val="00DC6DED"/>
    <w:rsid w:val="00DC6E32"/>
    <w:rsid w:val="00DD2745"/>
    <w:rsid w:val="00DD3365"/>
    <w:rsid w:val="00DD3F6B"/>
    <w:rsid w:val="00DD4485"/>
    <w:rsid w:val="00DD4C07"/>
    <w:rsid w:val="00DD58EF"/>
    <w:rsid w:val="00DD5CE3"/>
    <w:rsid w:val="00DD6DA6"/>
    <w:rsid w:val="00DD6FF0"/>
    <w:rsid w:val="00DE0F67"/>
    <w:rsid w:val="00DE1BF9"/>
    <w:rsid w:val="00DE3289"/>
    <w:rsid w:val="00DE4698"/>
    <w:rsid w:val="00DE6DB3"/>
    <w:rsid w:val="00DE7041"/>
    <w:rsid w:val="00DF0864"/>
    <w:rsid w:val="00DF283A"/>
    <w:rsid w:val="00DF2876"/>
    <w:rsid w:val="00DF29FF"/>
    <w:rsid w:val="00DF2FC8"/>
    <w:rsid w:val="00DF4F23"/>
    <w:rsid w:val="00DF5D2C"/>
    <w:rsid w:val="00DF6774"/>
    <w:rsid w:val="00DF7BD5"/>
    <w:rsid w:val="00E00539"/>
    <w:rsid w:val="00E00667"/>
    <w:rsid w:val="00E018A0"/>
    <w:rsid w:val="00E01DA1"/>
    <w:rsid w:val="00E035E6"/>
    <w:rsid w:val="00E0416C"/>
    <w:rsid w:val="00E055B8"/>
    <w:rsid w:val="00E0763F"/>
    <w:rsid w:val="00E102D8"/>
    <w:rsid w:val="00E107C8"/>
    <w:rsid w:val="00E10B43"/>
    <w:rsid w:val="00E127BF"/>
    <w:rsid w:val="00E12970"/>
    <w:rsid w:val="00E132F4"/>
    <w:rsid w:val="00E14603"/>
    <w:rsid w:val="00E15AF9"/>
    <w:rsid w:val="00E16405"/>
    <w:rsid w:val="00E16A7A"/>
    <w:rsid w:val="00E20536"/>
    <w:rsid w:val="00E2068E"/>
    <w:rsid w:val="00E211FE"/>
    <w:rsid w:val="00E213E9"/>
    <w:rsid w:val="00E234B3"/>
    <w:rsid w:val="00E23DF6"/>
    <w:rsid w:val="00E24CBA"/>
    <w:rsid w:val="00E251FA"/>
    <w:rsid w:val="00E252C7"/>
    <w:rsid w:val="00E254F8"/>
    <w:rsid w:val="00E26A45"/>
    <w:rsid w:val="00E26BE1"/>
    <w:rsid w:val="00E27002"/>
    <w:rsid w:val="00E31D01"/>
    <w:rsid w:val="00E31D97"/>
    <w:rsid w:val="00E3380D"/>
    <w:rsid w:val="00E33890"/>
    <w:rsid w:val="00E33965"/>
    <w:rsid w:val="00E3456C"/>
    <w:rsid w:val="00E3513E"/>
    <w:rsid w:val="00E35208"/>
    <w:rsid w:val="00E353F4"/>
    <w:rsid w:val="00E36092"/>
    <w:rsid w:val="00E3758E"/>
    <w:rsid w:val="00E37C19"/>
    <w:rsid w:val="00E40874"/>
    <w:rsid w:val="00E414BB"/>
    <w:rsid w:val="00E419D0"/>
    <w:rsid w:val="00E41C48"/>
    <w:rsid w:val="00E42447"/>
    <w:rsid w:val="00E44D5A"/>
    <w:rsid w:val="00E4620B"/>
    <w:rsid w:val="00E5151D"/>
    <w:rsid w:val="00E5202E"/>
    <w:rsid w:val="00E5369E"/>
    <w:rsid w:val="00E538E9"/>
    <w:rsid w:val="00E53C15"/>
    <w:rsid w:val="00E562CA"/>
    <w:rsid w:val="00E56FEE"/>
    <w:rsid w:val="00E57FA5"/>
    <w:rsid w:val="00E60AE6"/>
    <w:rsid w:val="00E61CA4"/>
    <w:rsid w:val="00E62869"/>
    <w:rsid w:val="00E63630"/>
    <w:rsid w:val="00E64ED9"/>
    <w:rsid w:val="00E6607D"/>
    <w:rsid w:val="00E66815"/>
    <w:rsid w:val="00E66893"/>
    <w:rsid w:val="00E669A2"/>
    <w:rsid w:val="00E67341"/>
    <w:rsid w:val="00E70B15"/>
    <w:rsid w:val="00E712E5"/>
    <w:rsid w:val="00E717E8"/>
    <w:rsid w:val="00E72DFA"/>
    <w:rsid w:val="00E74273"/>
    <w:rsid w:val="00E7487D"/>
    <w:rsid w:val="00E753DD"/>
    <w:rsid w:val="00E759D6"/>
    <w:rsid w:val="00E75E4C"/>
    <w:rsid w:val="00E75EDD"/>
    <w:rsid w:val="00E7658F"/>
    <w:rsid w:val="00E7699A"/>
    <w:rsid w:val="00E76F6B"/>
    <w:rsid w:val="00E8133E"/>
    <w:rsid w:val="00E817CE"/>
    <w:rsid w:val="00E81EEF"/>
    <w:rsid w:val="00E82093"/>
    <w:rsid w:val="00E8299E"/>
    <w:rsid w:val="00E84084"/>
    <w:rsid w:val="00E8476A"/>
    <w:rsid w:val="00E848E2"/>
    <w:rsid w:val="00E84F66"/>
    <w:rsid w:val="00E85149"/>
    <w:rsid w:val="00E8717D"/>
    <w:rsid w:val="00E909AC"/>
    <w:rsid w:val="00E91144"/>
    <w:rsid w:val="00E91774"/>
    <w:rsid w:val="00E91C13"/>
    <w:rsid w:val="00E9215A"/>
    <w:rsid w:val="00E92696"/>
    <w:rsid w:val="00E9288F"/>
    <w:rsid w:val="00E92AF6"/>
    <w:rsid w:val="00E93CDE"/>
    <w:rsid w:val="00E95C2B"/>
    <w:rsid w:val="00E96A40"/>
    <w:rsid w:val="00E96E0C"/>
    <w:rsid w:val="00E97A4C"/>
    <w:rsid w:val="00EA06AF"/>
    <w:rsid w:val="00EA1207"/>
    <w:rsid w:val="00EA1A28"/>
    <w:rsid w:val="00EA1ED9"/>
    <w:rsid w:val="00EA4638"/>
    <w:rsid w:val="00EA4E2D"/>
    <w:rsid w:val="00EA52BE"/>
    <w:rsid w:val="00EA6CA0"/>
    <w:rsid w:val="00EA6EC6"/>
    <w:rsid w:val="00EA7690"/>
    <w:rsid w:val="00EA78D7"/>
    <w:rsid w:val="00EB0DE4"/>
    <w:rsid w:val="00EB1D63"/>
    <w:rsid w:val="00EB2260"/>
    <w:rsid w:val="00EB234E"/>
    <w:rsid w:val="00EB2EE5"/>
    <w:rsid w:val="00EB368C"/>
    <w:rsid w:val="00EB5663"/>
    <w:rsid w:val="00EB57BC"/>
    <w:rsid w:val="00EB5ED4"/>
    <w:rsid w:val="00EB6D43"/>
    <w:rsid w:val="00EC05BC"/>
    <w:rsid w:val="00EC1ECA"/>
    <w:rsid w:val="00EC2378"/>
    <w:rsid w:val="00EC2FF0"/>
    <w:rsid w:val="00EC3F9F"/>
    <w:rsid w:val="00EC50D4"/>
    <w:rsid w:val="00EC5FC8"/>
    <w:rsid w:val="00EC69D7"/>
    <w:rsid w:val="00EC6FD0"/>
    <w:rsid w:val="00EC74A5"/>
    <w:rsid w:val="00ED0180"/>
    <w:rsid w:val="00ED171E"/>
    <w:rsid w:val="00ED2BA1"/>
    <w:rsid w:val="00ED2BC6"/>
    <w:rsid w:val="00ED3329"/>
    <w:rsid w:val="00ED3A4A"/>
    <w:rsid w:val="00ED4CF0"/>
    <w:rsid w:val="00ED5F60"/>
    <w:rsid w:val="00ED712A"/>
    <w:rsid w:val="00ED7562"/>
    <w:rsid w:val="00EE0438"/>
    <w:rsid w:val="00EE09DB"/>
    <w:rsid w:val="00EE0C4D"/>
    <w:rsid w:val="00EE1D62"/>
    <w:rsid w:val="00EE1F05"/>
    <w:rsid w:val="00EE4F44"/>
    <w:rsid w:val="00EE6533"/>
    <w:rsid w:val="00EE6690"/>
    <w:rsid w:val="00EE708F"/>
    <w:rsid w:val="00EF0013"/>
    <w:rsid w:val="00EF0C55"/>
    <w:rsid w:val="00EF2C53"/>
    <w:rsid w:val="00EF31B9"/>
    <w:rsid w:val="00EF3906"/>
    <w:rsid w:val="00EF3A8D"/>
    <w:rsid w:val="00EF4AA1"/>
    <w:rsid w:val="00EF4BAF"/>
    <w:rsid w:val="00EF6069"/>
    <w:rsid w:val="00EF64F9"/>
    <w:rsid w:val="00EF65F3"/>
    <w:rsid w:val="00EF6E09"/>
    <w:rsid w:val="00EF74CF"/>
    <w:rsid w:val="00F0080A"/>
    <w:rsid w:val="00F009FF"/>
    <w:rsid w:val="00F04567"/>
    <w:rsid w:val="00F05558"/>
    <w:rsid w:val="00F05627"/>
    <w:rsid w:val="00F05688"/>
    <w:rsid w:val="00F05E2E"/>
    <w:rsid w:val="00F06B82"/>
    <w:rsid w:val="00F10305"/>
    <w:rsid w:val="00F1141D"/>
    <w:rsid w:val="00F116C8"/>
    <w:rsid w:val="00F122F8"/>
    <w:rsid w:val="00F14365"/>
    <w:rsid w:val="00F16426"/>
    <w:rsid w:val="00F173F8"/>
    <w:rsid w:val="00F20110"/>
    <w:rsid w:val="00F20BA4"/>
    <w:rsid w:val="00F20C4E"/>
    <w:rsid w:val="00F22125"/>
    <w:rsid w:val="00F23311"/>
    <w:rsid w:val="00F23738"/>
    <w:rsid w:val="00F2497B"/>
    <w:rsid w:val="00F24D52"/>
    <w:rsid w:val="00F24ECE"/>
    <w:rsid w:val="00F2510B"/>
    <w:rsid w:val="00F25361"/>
    <w:rsid w:val="00F2584D"/>
    <w:rsid w:val="00F267B7"/>
    <w:rsid w:val="00F273A1"/>
    <w:rsid w:val="00F30452"/>
    <w:rsid w:val="00F30FD2"/>
    <w:rsid w:val="00F34925"/>
    <w:rsid w:val="00F35157"/>
    <w:rsid w:val="00F358E0"/>
    <w:rsid w:val="00F35911"/>
    <w:rsid w:val="00F36639"/>
    <w:rsid w:val="00F4136E"/>
    <w:rsid w:val="00F41B56"/>
    <w:rsid w:val="00F430CD"/>
    <w:rsid w:val="00F44116"/>
    <w:rsid w:val="00F444D4"/>
    <w:rsid w:val="00F44984"/>
    <w:rsid w:val="00F465F3"/>
    <w:rsid w:val="00F4683F"/>
    <w:rsid w:val="00F509CC"/>
    <w:rsid w:val="00F50FA2"/>
    <w:rsid w:val="00F52357"/>
    <w:rsid w:val="00F5244E"/>
    <w:rsid w:val="00F529C7"/>
    <w:rsid w:val="00F53344"/>
    <w:rsid w:val="00F53C25"/>
    <w:rsid w:val="00F561F0"/>
    <w:rsid w:val="00F57CD7"/>
    <w:rsid w:val="00F64938"/>
    <w:rsid w:val="00F651D5"/>
    <w:rsid w:val="00F662D9"/>
    <w:rsid w:val="00F71406"/>
    <w:rsid w:val="00F71C64"/>
    <w:rsid w:val="00F72165"/>
    <w:rsid w:val="00F726D8"/>
    <w:rsid w:val="00F73130"/>
    <w:rsid w:val="00F7406A"/>
    <w:rsid w:val="00F740E6"/>
    <w:rsid w:val="00F7587F"/>
    <w:rsid w:val="00F7628C"/>
    <w:rsid w:val="00F7647C"/>
    <w:rsid w:val="00F7665B"/>
    <w:rsid w:val="00F7737F"/>
    <w:rsid w:val="00F775B4"/>
    <w:rsid w:val="00F81136"/>
    <w:rsid w:val="00F820C8"/>
    <w:rsid w:val="00F8308B"/>
    <w:rsid w:val="00F83882"/>
    <w:rsid w:val="00F8441E"/>
    <w:rsid w:val="00F85745"/>
    <w:rsid w:val="00F8775C"/>
    <w:rsid w:val="00F92101"/>
    <w:rsid w:val="00F9237F"/>
    <w:rsid w:val="00F92C02"/>
    <w:rsid w:val="00F92D59"/>
    <w:rsid w:val="00F9337E"/>
    <w:rsid w:val="00F935D4"/>
    <w:rsid w:val="00F949B0"/>
    <w:rsid w:val="00F960AD"/>
    <w:rsid w:val="00F961F8"/>
    <w:rsid w:val="00F9690B"/>
    <w:rsid w:val="00F96DB7"/>
    <w:rsid w:val="00F977C3"/>
    <w:rsid w:val="00F97A7E"/>
    <w:rsid w:val="00F97AD7"/>
    <w:rsid w:val="00FA0517"/>
    <w:rsid w:val="00FA0DD7"/>
    <w:rsid w:val="00FA0DFA"/>
    <w:rsid w:val="00FA3839"/>
    <w:rsid w:val="00FA3FFC"/>
    <w:rsid w:val="00FA4C8B"/>
    <w:rsid w:val="00FA4FA2"/>
    <w:rsid w:val="00FA4FC3"/>
    <w:rsid w:val="00FA538F"/>
    <w:rsid w:val="00FA5413"/>
    <w:rsid w:val="00FA69C0"/>
    <w:rsid w:val="00FB030B"/>
    <w:rsid w:val="00FB03AE"/>
    <w:rsid w:val="00FB0E82"/>
    <w:rsid w:val="00FB13A6"/>
    <w:rsid w:val="00FB164A"/>
    <w:rsid w:val="00FB21AA"/>
    <w:rsid w:val="00FB2735"/>
    <w:rsid w:val="00FB2A59"/>
    <w:rsid w:val="00FB3D0A"/>
    <w:rsid w:val="00FB3EAD"/>
    <w:rsid w:val="00FB43ED"/>
    <w:rsid w:val="00FB4B83"/>
    <w:rsid w:val="00FB6394"/>
    <w:rsid w:val="00FC245D"/>
    <w:rsid w:val="00FC2BBB"/>
    <w:rsid w:val="00FC2D8F"/>
    <w:rsid w:val="00FC2F9B"/>
    <w:rsid w:val="00FC356F"/>
    <w:rsid w:val="00FC6193"/>
    <w:rsid w:val="00FC621C"/>
    <w:rsid w:val="00FC73CF"/>
    <w:rsid w:val="00FD0734"/>
    <w:rsid w:val="00FD1D3A"/>
    <w:rsid w:val="00FD1EC4"/>
    <w:rsid w:val="00FD1F4C"/>
    <w:rsid w:val="00FD272D"/>
    <w:rsid w:val="00FD296B"/>
    <w:rsid w:val="00FD31E7"/>
    <w:rsid w:val="00FD3C3D"/>
    <w:rsid w:val="00FD48FA"/>
    <w:rsid w:val="00FD52D4"/>
    <w:rsid w:val="00FD53E4"/>
    <w:rsid w:val="00FD5A0D"/>
    <w:rsid w:val="00FD5D5D"/>
    <w:rsid w:val="00FD6A56"/>
    <w:rsid w:val="00FD6DCA"/>
    <w:rsid w:val="00FD7240"/>
    <w:rsid w:val="00FD7624"/>
    <w:rsid w:val="00FD7D5F"/>
    <w:rsid w:val="00FE144C"/>
    <w:rsid w:val="00FE1CC3"/>
    <w:rsid w:val="00FE4754"/>
    <w:rsid w:val="00FE57BB"/>
    <w:rsid w:val="00FF1554"/>
    <w:rsid w:val="00FF2E1E"/>
    <w:rsid w:val="00FF3C59"/>
    <w:rsid w:val="00FF4881"/>
    <w:rsid w:val="00FF4B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27"/>
    <w:rPr>
      <w:noProof/>
      <w:lang w:val="en-US"/>
    </w:rPr>
  </w:style>
  <w:style w:type="paragraph" w:styleId="Heading1">
    <w:name w:val="heading 1"/>
    <w:basedOn w:val="Normal"/>
    <w:next w:val="Normal"/>
    <w:link w:val="Heading1Char"/>
    <w:rsid w:val="00C51431"/>
    <w:pPr>
      <w:keepNext/>
      <w:keepLines/>
      <w:spacing w:after="0" w:line="240" w:lineRule="auto"/>
      <w:ind w:firstLine="187"/>
      <w:jc w:val="both"/>
      <w:outlineLvl w:val="0"/>
    </w:pPr>
    <w:rPr>
      <w:rFonts w:ascii="Times New Roman" w:eastAsia="Calibri" w:hAnsi="Times New Roman" w:cs="Calibri"/>
      <w:b/>
      <w:sz w:val="24"/>
      <w:szCs w:val="48"/>
    </w:rPr>
  </w:style>
  <w:style w:type="paragraph" w:styleId="Heading2">
    <w:name w:val="heading 2"/>
    <w:basedOn w:val="Normal"/>
    <w:next w:val="Normal"/>
    <w:link w:val="Heading2Char"/>
    <w:rsid w:val="00C51431"/>
    <w:pPr>
      <w:keepNext/>
      <w:keepLines/>
      <w:spacing w:after="0" w:line="240" w:lineRule="auto"/>
      <w:ind w:firstLine="187"/>
      <w:jc w:val="both"/>
      <w:outlineLvl w:val="1"/>
    </w:pPr>
    <w:rPr>
      <w:rFonts w:ascii="Times New Roman" w:eastAsia="Calibri" w:hAnsi="Times New Roman" w:cs="Calibri"/>
      <w:b/>
      <w:sz w:val="24"/>
      <w:szCs w:val="36"/>
    </w:rPr>
  </w:style>
  <w:style w:type="paragraph" w:styleId="Heading3">
    <w:name w:val="heading 3"/>
    <w:basedOn w:val="Normal"/>
    <w:next w:val="Normal"/>
    <w:link w:val="Heading3Char"/>
    <w:rsid w:val="002859E7"/>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859E7"/>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859E7"/>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859E7"/>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t Char"/>
    <w:basedOn w:val="DefaultParagraphFont"/>
    <w:link w:val="FootnoteText"/>
    <w:qFormat/>
    <w:rsid w:val="00C20E9F"/>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t,fn"/>
    <w:basedOn w:val="Normal"/>
    <w:link w:val="FootnoteTextChar"/>
    <w:qFormat/>
    <w:rsid w:val="00C20E9F"/>
    <w:pPr>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20E9F"/>
    <w:rPr>
      <w:rFonts w:ascii="Arial" w:eastAsia="Arial" w:hAnsi="Arial" w:cs="Times New Roman"/>
    </w:rPr>
  </w:style>
  <w:style w:type="paragraph" w:styleId="Header">
    <w:name w:val="header"/>
    <w:basedOn w:val="Normal"/>
    <w:link w:val="HeaderChar"/>
    <w:uiPriority w:val="99"/>
    <w:unhideWhenUsed/>
    <w:rsid w:val="00C20E9F"/>
    <w:pPr>
      <w:tabs>
        <w:tab w:val="center" w:pos="4513"/>
        <w:tab w:val="right" w:pos="9026"/>
      </w:tabs>
    </w:pPr>
    <w:rPr>
      <w:rFonts w:ascii="Arial" w:eastAsia="Arial" w:hAnsi="Arial" w:cs="Times New Roman"/>
    </w:rPr>
  </w:style>
  <w:style w:type="character" w:customStyle="1" w:styleId="FooterChar">
    <w:name w:val="Footer Char"/>
    <w:basedOn w:val="DefaultParagraphFont"/>
    <w:link w:val="Footer"/>
    <w:uiPriority w:val="99"/>
    <w:rsid w:val="00C20E9F"/>
    <w:rPr>
      <w:rFonts w:ascii="Arial" w:eastAsia="Arial" w:hAnsi="Arial" w:cs="Times New Roman"/>
    </w:rPr>
  </w:style>
  <w:style w:type="paragraph" w:styleId="Footer">
    <w:name w:val="footer"/>
    <w:basedOn w:val="Normal"/>
    <w:link w:val="FooterChar"/>
    <w:uiPriority w:val="99"/>
    <w:unhideWhenUsed/>
    <w:rsid w:val="00C20E9F"/>
    <w:pPr>
      <w:tabs>
        <w:tab w:val="center" w:pos="4513"/>
        <w:tab w:val="right" w:pos="9026"/>
      </w:tabs>
    </w:pPr>
    <w:rPr>
      <w:rFonts w:ascii="Arial" w:eastAsia="Arial" w:hAnsi="Arial" w:cs="Times New Roman"/>
    </w:rPr>
  </w:style>
  <w:style w:type="paragraph" w:styleId="NormalWeb">
    <w:name w:val="Normal (Web)"/>
    <w:basedOn w:val="Normal"/>
    <w:link w:val="NormalWebChar"/>
    <w:uiPriority w:val="99"/>
    <w:unhideWhenUsed/>
    <w:rsid w:val="00C20E9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qFormat/>
    <w:rsid w:val="00C20E9F"/>
    <w:rPr>
      <w:vertAlign w:val="superscript"/>
    </w:rPr>
  </w:style>
  <w:style w:type="paragraph" w:styleId="ListParagraph">
    <w:name w:val="List Paragraph"/>
    <w:basedOn w:val="Normal"/>
    <w:uiPriority w:val="34"/>
    <w:qFormat/>
    <w:rsid w:val="00A637ED"/>
    <w:pPr>
      <w:ind w:left="720"/>
      <w:contextualSpacing/>
    </w:pPr>
  </w:style>
  <w:style w:type="character" w:styleId="Hyperlink">
    <w:name w:val="Hyperlink"/>
    <w:basedOn w:val="DefaultParagraphFont"/>
    <w:uiPriority w:val="99"/>
    <w:unhideWhenUsed/>
    <w:rsid w:val="00D20872"/>
    <w:rPr>
      <w:color w:val="0000FF" w:themeColor="hyperlink"/>
      <w:u w:val="single"/>
    </w:rPr>
  </w:style>
  <w:style w:type="character" w:customStyle="1" w:styleId="Heading1Char">
    <w:name w:val="Heading 1 Char"/>
    <w:basedOn w:val="DefaultParagraphFont"/>
    <w:link w:val="Heading1"/>
    <w:rsid w:val="00C51431"/>
    <w:rPr>
      <w:rFonts w:ascii="Times New Roman" w:eastAsia="Calibri" w:hAnsi="Times New Roman" w:cs="Calibri"/>
      <w:b/>
      <w:noProof/>
      <w:sz w:val="24"/>
      <w:szCs w:val="48"/>
      <w:lang w:val="en-US"/>
    </w:rPr>
  </w:style>
  <w:style w:type="character" w:customStyle="1" w:styleId="Heading2Char">
    <w:name w:val="Heading 2 Char"/>
    <w:basedOn w:val="DefaultParagraphFont"/>
    <w:link w:val="Heading2"/>
    <w:rsid w:val="00C51431"/>
    <w:rPr>
      <w:rFonts w:ascii="Times New Roman" w:eastAsia="Calibri" w:hAnsi="Times New Roman" w:cs="Calibri"/>
      <w:b/>
      <w:noProof/>
      <w:sz w:val="24"/>
      <w:szCs w:val="36"/>
      <w:lang w:val="en-US"/>
    </w:rPr>
  </w:style>
  <w:style w:type="character" w:customStyle="1" w:styleId="Heading3Char">
    <w:name w:val="Heading 3 Char"/>
    <w:basedOn w:val="DefaultParagraphFont"/>
    <w:link w:val="Heading3"/>
    <w:rsid w:val="002859E7"/>
    <w:rPr>
      <w:rFonts w:ascii="Calibri" w:eastAsia="Calibri" w:hAnsi="Calibri" w:cs="Calibri"/>
      <w:b/>
      <w:sz w:val="28"/>
      <w:szCs w:val="28"/>
    </w:rPr>
  </w:style>
  <w:style w:type="character" w:customStyle="1" w:styleId="Heading4Char">
    <w:name w:val="Heading 4 Char"/>
    <w:basedOn w:val="DefaultParagraphFont"/>
    <w:link w:val="Heading4"/>
    <w:rsid w:val="002859E7"/>
    <w:rPr>
      <w:rFonts w:ascii="Calibri" w:eastAsia="Calibri" w:hAnsi="Calibri" w:cs="Calibri"/>
      <w:b/>
      <w:sz w:val="24"/>
      <w:szCs w:val="24"/>
    </w:rPr>
  </w:style>
  <w:style w:type="character" w:customStyle="1" w:styleId="Heading5Char">
    <w:name w:val="Heading 5 Char"/>
    <w:basedOn w:val="DefaultParagraphFont"/>
    <w:link w:val="Heading5"/>
    <w:rsid w:val="002859E7"/>
    <w:rPr>
      <w:rFonts w:ascii="Calibri" w:eastAsia="Calibri" w:hAnsi="Calibri" w:cs="Calibri"/>
      <w:b/>
    </w:rPr>
  </w:style>
  <w:style w:type="character" w:customStyle="1" w:styleId="Heading6Char">
    <w:name w:val="Heading 6 Char"/>
    <w:basedOn w:val="DefaultParagraphFont"/>
    <w:link w:val="Heading6"/>
    <w:rsid w:val="002859E7"/>
    <w:rPr>
      <w:rFonts w:ascii="Calibri" w:eastAsia="Calibri" w:hAnsi="Calibri" w:cs="Calibri"/>
      <w:b/>
      <w:sz w:val="20"/>
      <w:szCs w:val="20"/>
    </w:rPr>
  </w:style>
  <w:style w:type="paragraph" w:styleId="Title">
    <w:name w:val="Title"/>
    <w:basedOn w:val="Normal"/>
    <w:next w:val="Normal"/>
    <w:link w:val="TitleChar"/>
    <w:rsid w:val="002859E7"/>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859E7"/>
    <w:rPr>
      <w:rFonts w:ascii="Calibri" w:eastAsia="Calibri" w:hAnsi="Calibri" w:cs="Calibri"/>
      <w:b/>
      <w:sz w:val="72"/>
      <w:szCs w:val="72"/>
    </w:rPr>
  </w:style>
  <w:style w:type="character" w:customStyle="1" w:styleId="HeaderChar1">
    <w:name w:val="Header Char1"/>
    <w:basedOn w:val="DefaultParagraphFont"/>
    <w:uiPriority w:val="99"/>
    <w:semiHidden/>
    <w:rsid w:val="002859E7"/>
    <w:rPr>
      <w:rFonts w:ascii="Calibri" w:eastAsia="Calibri" w:hAnsi="Calibri" w:cs="Calibri"/>
    </w:rPr>
  </w:style>
  <w:style w:type="character" w:customStyle="1" w:styleId="FooterChar1">
    <w:name w:val="Footer Char1"/>
    <w:basedOn w:val="DefaultParagraphFont"/>
    <w:uiPriority w:val="99"/>
    <w:semiHidden/>
    <w:rsid w:val="002859E7"/>
    <w:rPr>
      <w:rFonts w:ascii="Calibri" w:eastAsia="Calibri" w:hAnsi="Calibri" w:cs="Calibri"/>
    </w:rPr>
  </w:style>
  <w:style w:type="character" w:customStyle="1" w:styleId="BalloonTextChar">
    <w:name w:val="Balloon Text Char"/>
    <w:basedOn w:val="DefaultParagraphFont"/>
    <w:link w:val="BalloonText"/>
    <w:uiPriority w:val="99"/>
    <w:semiHidden/>
    <w:rsid w:val="002859E7"/>
    <w:rPr>
      <w:rFonts w:ascii="Tahoma" w:eastAsia="Calibri" w:hAnsi="Tahoma" w:cs="Tahoma"/>
      <w:sz w:val="16"/>
      <w:szCs w:val="16"/>
    </w:rPr>
  </w:style>
  <w:style w:type="paragraph" w:styleId="BalloonText">
    <w:name w:val="Balloon Text"/>
    <w:basedOn w:val="Normal"/>
    <w:link w:val="BalloonTextChar"/>
    <w:uiPriority w:val="99"/>
    <w:semiHidden/>
    <w:unhideWhenUsed/>
    <w:rsid w:val="002859E7"/>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2859E7"/>
    <w:rPr>
      <w:rFonts w:ascii="Tahoma" w:hAnsi="Tahoma" w:cs="Tahoma"/>
      <w:sz w:val="16"/>
      <w:szCs w:val="16"/>
    </w:rPr>
  </w:style>
  <w:style w:type="paragraph" w:styleId="Subtitle">
    <w:name w:val="Subtitle"/>
    <w:basedOn w:val="Normal"/>
    <w:next w:val="Normal"/>
    <w:link w:val="SubtitleChar"/>
    <w:rsid w:val="002859E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859E7"/>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2859E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859E7"/>
    <w:rPr>
      <w:rFonts w:ascii="Calibri" w:eastAsia="Calibri" w:hAnsi="Calibri" w:cs="Calibri"/>
      <w:sz w:val="20"/>
      <w:szCs w:val="20"/>
    </w:rPr>
  </w:style>
  <w:style w:type="character" w:customStyle="1" w:styleId="CommentTextChar1">
    <w:name w:val="Comment Text Char1"/>
    <w:locked/>
    <w:rsid w:val="002859E7"/>
    <w:rPr>
      <w:rFonts w:ascii=".VnTime" w:eastAsia="Times New Roman" w:hAnsi=".VnTime" w:cs="Times New Roman"/>
      <w:sz w:val="20"/>
      <w:szCs w:val="20"/>
      <w:lang w:val="en-US"/>
    </w:rPr>
  </w:style>
  <w:style w:type="character" w:styleId="Strong">
    <w:name w:val="Strong"/>
    <w:uiPriority w:val="22"/>
    <w:qFormat/>
    <w:rsid w:val="002859E7"/>
    <w:rPr>
      <w:b/>
      <w:bCs/>
    </w:rPr>
  </w:style>
  <w:style w:type="character" w:customStyle="1" w:styleId="CommentSubjectChar">
    <w:name w:val="Comment Subject Char"/>
    <w:basedOn w:val="CommentTextChar"/>
    <w:link w:val="CommentSubject"/>
    <w:uiPriority w:val="99"/>
    <w:semiHidden/>
    <w:rsid w:val="002859E7"/>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2859E7"/>
    <w:rPr>
      <w:b/>
      <w:bCs/>
    </w:rPr>
  </w:style>
  <w:style w:type="character" w:customStyle="1" w:styleId="CommentSubjectChar1">
    <w:name w:val="Comment Subject Char1"/>
    <w:basedOn w:val="CommentTextChar"/>
    <w:uiPriority w:val="99"/>
    <w:semiHidden/>
    <w:rsid w:val="002859E7"/>
    <w:rPr>
      <w:rFonts w:ascii="Calibri" w:eastAsia="Calibri" w:hAnsi="Calibri" w:cs="Calibri"/>
      <w:b/>
      <w:bCs/>
      <w:sz w:val="20"/>
      <w:szCs w:val="20"/>
    </w:rPr>
  </w:style>
  <w:style w:type="paragraph" w:customStyle="1" w:styleId="BVIfnrCarCar">
    <w:name w:val="BVI fnr Car Car"/>
    <w:aliases w:val="BVI fnr Car,BVI fnr Car Car Car Car Char"/>
    <w:basedOn w:val="Normal"/>
    <w:link w:val="FootnoteReference"/>
    <w:uiPriority w:val="99"/>
    <w:rsid w:val="001F384A"/>
    <w:pPr>
      <w:spacing w:after="160" w:line="240" w:lineRule="exact"/>
    </w:pPr>
    <w:rPr>
      <w:vertAlign w:val="superscript"/>
    </w:rPr>
  </w:style>
  <w:style w:type="paragraph" w:styleId="Revision">
    <w:name w:val="Revision"/>
    <w:hidden/>
    <w:uiPriority w:val="99"/>
    <w:semiHidden/>
    <w:rsid w:val="002805F7"/>
    <w:pPr>
      <w:spacing w:after="0" w:line="240" w:lineRule="auto"/>
    </w:pPr>
  </w:style>
  <w:style w:type="character" w:styleId="CommentReference">
    <w:name w:val="annotation reference"/>
    <w:basedOn w:val="DefaultParagraphFont"/>
    <w:uiPriority w:val="99"/>
    <w:unhideWhenUsed/>
    <w:rsid w:val="008F5DB1"/>
    <w:rPr>
      <w:sz w:val="16"/>
      <w:szCs w:val="16"/>
    </w:rPr>
  </w:style>
  <w:style w:type="table" w:styleId="TableGrid">
    <w:name w:val="Table Grid"/>
    <w:basedOn w:val="TableNormal"/>
    <w:uiPriority w:val="59"/>
    <w:rsid w:val="00BF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43991"/>
    <w:rPr>
      <w:color w:val="605E5C"/>
      <w:shd w:val="clear" w:color="auto" w:fill="E1DFDD"/>
    </w:rPr>
  </w:style>
  <w:style w:type="character" w:customStyle="1" w:styleId="NormalWebChar">
    <w:name w:val="Normal (Web) Char"/>
    <w:link w:val="NormalWeb"/>
    <w:locked/>
    <w:rsid w:val="00852AD4"/>
    <w:rPr>
      <w:rFonts w:ascii="Times New Roman" w:eastAsia="Times New Roman" w:hAnsi="Times New Roman" w:cs="Times New Roman"/>
      <w:noProof/>
      <w:sz w:val="24"/>
      <w:szCs w:val="24"/>
      <w:lang w:val="en-US" w:eastAsia="ko-KR"/>
    </w:rPr>
  </w:style>
  <w:style w:type="character" w:customStyle="1" w:styleId="apple-converted-space">
    <w:name w:val="apple-converted-space"/>
    <w:rsid w:val="00CF2BD0"/>
  </w:style>
  <w:style w:type="character" w:customStyle="1" w:styleId="UnresolvedMention2">
    <w:name w:val="Unresolved Mention2"/>
    <w:basedOn w:val="DefaultParagraphFont"/>
    <w:uiPriority w:val="99"/>
    <w:semiHidden/>
    <w:unhideWhenUsed/>
    <w:rsid w:val="0090377C"/>
    <w:rPr>
      <w:color w:val="605E5C"/>
      <w:shd w:val="clear" w:color="auto" w:fill="E1DFDD"/>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777920"/>
    <w:pPr>
      <w:spacing w:after="160" w:line="240" w:lineRule="exact"/>
    </w:pPr>
    <w:rPr>
      <w:rFonts w:ascii="Arial" w:eastAsia="Arial" w:hAnsi="Arial" w:cs="Times New Roman"/>
      <w:noProof w:val="0"/>
      <w:sz w:val="20"/>
      <w:szCs w:val="20"/>
      <w:vertAlign w:val="superscript"/>
    </w:rPr>
  </w:style>
  <w:style w:type="paragraph" w:customStyle="1" w:styleId="Normal1">
    <w:name w:val="Normal1"/>
    <w:rsid w:val="001747CC"/>
    <w:pPr>
      <w:spacing w:line="276" w:lineRule="auto"/>
    </w:pPr>
    <w:rPr>
      <w:rFonts w:ascii="Yu Mincho Light" w:eastAsia="Yu Mincho Light" w:hAnsi="Yu Mincho Light" w:cs="Yu Mincho Light"/>
    </w:rPr>
  </w:style>
</w:styles>
</file>

<file path=word/webSettings.xml><?xml version="1.0" encoding="utf-8"?>
<w:webSettings xmlns:r="http://schemas.openxmlformats.org/officeDocument/2006/relationships" xmlns:w="http://schemas.openxmlformats.org/wordprocessingml/2006/main">
  <w:divs>
    <w:div w:id="21563087">
      <w:bodyDiv w:val="1"/>
      <w:marLeft w:val="0"/>
      <w:marRight w:val="0"/>
      <w:marTop w:val="0"/>
      <w:marBottom w:val="0"/>
      <w:divBdr>
        <w:top w:val="none" w:sz="0" w:space="0" w:color="auto"/>
        <w:left w:val="none" w:sz="0" w:space="0" w:color="auto"/>
        <w:bottom w:val="none" w:sz="0" w:space="0" w:color="auto"/>
        <w:right w:val="none" w:sz="0" w:space="0" w:color="auto"/>
      </w:divBdr>
    </w:div>
    <w:div w:id="29113132">
      <w:bodyDiv w:val="1"/>
      <w:marLeft w:val="0"/>
      <w:marRight w:val="0"/>
      <w:marTop w:val="0"/>
      <w:marBottom w:val="0"/>
      <w:divBdr>
        <w:top w:val="none" w:sz="0" w:space="0" w:color="auto"/>
        <w:left w:val="none" w:sz="0" w:space="0" w:color="auto"/>
        <w:bottom w:val="none" w:sz="0" w:space="0" w:color="auto"/>
        <w:right w:val="none" w:sz="0" w:space="0" w:color="auto"/>
      </w:divBdr>
    </w:div>
    <w:div w:id="43260334">
      <w:bodyDiv w:val="1"/>
      <w:marLeft w:val="0"/>
      <w:marRight w:val="0"/>
      <w:marTop w:val="0"/>
      <w:marBottom w:val="0"/>
      <w:divBdr>
        <w:top w:val="none" w:sz="0" w:space="0" w:color="auto"/>
        <w:left w:val="none" w:sz="0" w:space="0" w:color="auto"/>
        <w:bottom w:val="none" w:sz="0" w:space="0" w:color="auto"/>
        <w:right w:val="none" w:sz="0" w:space="0" w:color="auto"/>
      </w:divBdr>
    </w:div>
    <w:div w:id="43676214">
      <w:bodyDiv w:val="1"/>
      <w:marLeft w:val="0"/>
      <w:marRight w:val="0"/>
      <w:marTop w:val="0"/>
      <w:marBottom w:val="0"/>
      <w:divBdr>
        <w:top w:val="none" w:sz="0" w:space="0" w:color="auto"/>
        <w:left w:val="none" w:sz="0" w:space="0" w:color="auto"/>
        <w:bottom w:val="none" w:sz="0" w:space="0" w:color="auto"/>
        <w:right w:val="none" w:sz="0" w:space="0" w:color="auto"/>
      </w:divBdr>
    </w:div>
    <w:div w:id="62677988">
      <w:bodyDiv w:val="1"/>
      <w:marLeft w:val="0"/>
      <w:marRight w:val="0"/>
      <w:marTop w:val="0"/>
      <w:marBottom w:val="0"/>
      <w:divBdr>
        <w:top w:val="none" w:sz="0" w:space="0" w:color="auto"/>
        <w:left w:val="none" w:sz="0" w:space="0" w:color="auto"/>
        <w:bottom w:val="none" w:sz="0" w:space="0" w:color="auto"/>
        <w:right w:val="none" w:sz="0" w:space="0" w:color="auto"/>
      </w:divBdr>
    </w:div>
    <w:div w:id="68382284">
      <w:bodyDiv w:val="1"/>
      <w:marLeft w:val="0"/>
      <w:marRight w:val="0"/>
      <w:marTop w:val="0"/>
      <w:marBottom w:val="0"/>
      <w:divBdr>
        <w:top w:val="none" w:sz="0" w:space="0" w:color="auto"/>
        <w:left w:val="none" w:sz="0" w:space="0" w:color="auto"/>
        <w:bottom w:val="none" w:sz="0" w:space="0" w:color="auto"/>
        <w:right w:val="none" w:sz="0" w:space="0" w:color="auto"/>
      </w:divBdr>
    </w:div>
    <w:div w:id="69472862">
      <w:bodyDiv w:val="1"/>
      <w:marLeft w:val="0"/>
      <w:marRight w:val="0"/>
      <w:marTop w:val="0"/>
      <w:marBottom w:val="0"/>
      <w:divBdr>
        <w:top w:val="none" w:sz="0" w:space="0" w:color="auto"/>
        <w:left w:val="none" w:sz="0" w:space="0" w:color="auto"/>
        <w:bottom w:val="none" w:sz="0" w:space="0" w:color="auto"/>
        <w:right w:val="none" w:sz="0" w:space="0" w:color="auto"/>
      </w:divBdr>
    </w:div>
    <w:div w:id="80370541">
      <w:bodyDiv w:val="1"/>
      <w:marLeft w:val="0"/>
      <w:marRight w:val="0"/>
      <w:marTop w:val="0"/>
      <w:marBottom w:val="0"/>
      <w:divBdr>
        <w:top w:val="none" w:sz="0" w:space="0" w:color="auto"/>
        <w:left w:val="none" w:sz="0" w:space="0" w:color="auto"/>
        <w:bottom w:val="none" w:sz="0" w:space="0" w:color="auto"/>
        <w:right w:val="none" w:sz="0" w:space="0" w:color="auto"/>
      </w:divBdr>
    </w:div>
    <w:div w:id="93474514">
      <w:bodyDiv w:val="1"/>
      <w:marLeft w:val="0"/>
      <w:marRight w:val="0"/>
      <w:marTop w:val="0"/>
      <w:marBottom w:val="0"/>
      <w:divBdr>
        <w:top w:val="none" w:sz="0" w:space="0" w:color="auto"/>
        <w:left w:val="none" w:sz="0" w:space="0" w:color="auto"/>
        <w:bottom w:val="none" w:sz="0" w:space="0" w:color="auto"/>
        <w:right w:val="none" w:sz="0" w:space="0" w:color="auto"/>
      </w:divBdr>
    </w:div>
    <w:div w:id="140393651">
      <w:bodyDiv w:val="1"/>
      <w:marLeft w:val="0"/>
      <w:marRight w:val="0"/>
      <w:marTop w:val="0"/>
      <w:marBottom w:val="0"/>
      <w:divBdr>
        <w:top w:val="none" w:sz="0" w:space="0" w:color="auto"/>
        <w:left w:val="none" w:sz="0" w:space="0" w:color="auto"/>
        <w:bottom w:val="none" w:sz="0" w:space="0" w:color="auto"/>
        <w:right w:val="none" w:sz="0" w:space="0" w:color="auto"/>
      </w:divBdr>
    </w:div>
    <w:div w:id="144588996">
      <w:bodyDiv w:val="1"/>
      <w:marLeft w:val="0"/>
      <w:marRight w:val="0"/>
      <w:marTop w:val="0"/>
      <w:marBottom w:val="0"/>
      <w:divBdr>
        <w:top w:val="none" w:sz="0" w:space="0" w:color="auto"/>
        <w:left w:val="none" w:sz="0" w:space="0" w:color="auto"/>
        <w:bottom w:val="none" w:sz="0" w:space="0" w:color="auto"/>
        <w:right w:val="none" w:sz="0" w:space="0" w:color="auto"/>
      </w:divBdr>
    </w:div>
    <w:div w:id="154541880">
      <w:bodyDiv w:val="1"/>
      <w:marLeft w:val="0"/>
      <w:marRight w:val="0"/>
      <w:marTop w:val="0"/>
      <w:marBottom w:val="0"/>
      <w:divBdr>
        <w:top w:val="none" w:sz="0" w:space="0" w:color="auto"/>
        <w:left w:val="none" w:sz="0" w:space="0" w:color="auto"/>
        <w:bottom w:val="none" w:sz="0" w:space="0" w:color="auto"/>
        <w:right w:val="none" w:sz="0" w:space="0" w:color="auto"/>
      </w:divBdr>
    </w:div>
    <w:div w:id="168108937">
      <w:bodyDiv w:val="1"/>
      <w:marLeft w:val="0"/>
      <w:marRight w:val="0"/>
      <w:marTop w:val="0"/>
      <w:marBottom w:val="0"/>
      <w:divBdr>
        <w:top w:val="none" w:sz="0" w:space="0" w:color="auto"/>
        <w:left w:val="none" w:sz="0" w:space="0" w:color="auto"/>
        <w:bottom w:val="none" w:sz="0" w:space="0" w:color="auto"/>
        <w:right w:val="none" w:sz="0" w:space="0" w:color="auto"/>
      </w:divBdr>
    </w:div>
    <w:div w:id="190460563">
      <w:bodyDiv w:val="1"/>
      <w:marLeft w:val="0"/>
      <w:marRight w:val="0"/>
      <w:marTop w:val="0"/>
      <w:marBottom w:val="0"/>
      <w:divBdr>
        <w:top w:val="none" w:sz="0" w:space="0" w:color="auto"/>
        <w:left w:val="none" w:sz="0" w:space="0" w:color="auto"/>
        <w:bottom w:val="none" w:sz="0" w:space="0" w:color="auto"/>
        <w:right w:val="none" w:sz="0" w:space="0" w:color="auto"/>
      </w:divBdr>
    </w:div>
    <w:div w:id="217908594">
      <w:bodyDiv w:val="1"/>
      <w:marLeft w:val="0"/>
      <w:marRight w:val="0"/>
      <w:marTop w:val="0"/>
      <w:marBottom w:val="0"/>
      <w:divBdr>
        <w:top w:val="none" w:sz="0" w:space="0" w:color="auto"/>
        <w:left w:val="none" w:sz="0" w:space="0" w:color="auto"/>
        <w:bottom w:val="none" w:sz="0" w:space="0" w:color="auto"/>
        <w:right w:val="none" w:sz="0" w:space="0" w:color="auto"/>
      </w:divBdr>
    </w:div>
    <w:div w:id="233468619">
      <w:bodyDiv w:val="1"/>
      <w:marLeft w:val="0"/>
      <w:marRight w:val="0"/>
      <w:marTop w:val="0"/>
      <w:marBottom w:val="0"/>
      <w:divBdr>
        <w:top w:val="none" w:sz="0" w:space="0" w:color="auto"/>
        <w:left w:val="none" w:sz="0" w:space="0" w:color="auto"/>
        <w:bottom w:val="none" w:sz="0" w:space="0" w:color="auto"/>
        <w:right w:val="none" w:sz="0" w:space="0" w:color="auto"/>
      </w:divBdr>
    </w:div>
    <w:div w:id="237247130">
      <w:bodyDiv w:val="1"/>
      <w:marLeft w:val="0"/>
      <w:marRight w:val="0"/>
      <w:marTop w:val="0"/>
      <w:marBottom w:val="0"/>
      <w:divBdr>
        <w:top w:val="none" w:sz="0" w:space="0" w:color="auto"/>
        <w:left w:val="none" w:sz="0" w:space="0" w:color="auto"/>
        <w:bottom w:val="none" w:sz="0" w:space="0" w:color="auto"/>
        <w:right w:val="none" w:sz="0" w:space="0" w:color="auto"/>
      </w:divBdr>
    </w:div>
    <w:div w:id="242758877">
      <w:bodyDiv w:val="1"/>
      <w:marLeft w:val="0"/>
      <w:marRight w:val="0"/>
      <w:marTop w:val="0"/>
      <w:marBottom w:val="0"/>
      <w:divBdr>
        <w:top w:val="none" w:sz="0" w:space="0" w:color="auto"/>
        <w:left w:val="none" w:sz="0" w:space="0" w:color="auto"/>
        <w:bottom w:val="none" w:sz="0" w:space="0" w:color="auto"/>
        <w:right w:val="none" w:sz="0" w:space="0" w:color="auto"/>
      </w:divBdr>
    </w:div>
    <w:div w:id="248467252">
      <w:bodyDiv w:val="1"/>
      <w:marLeft w:val="0"/>
      <w:marRight w:val="0"/>
      <w:marTop w:val="0"/>
      <w:marBottom w:val="0"/>
      <w:divBdr>
        <w:top w:val="none" w:sz="0" w:space="0" w:color="auto"/>
        <w:left w:val="none" w:sz="0" w:space="0" w:color="auto"/>
        <w:bottom w:val="none" w:sz="0" w:space="0" w:color="auto"/>
        <w:right w:val="none" w:sz="0" w:space="0" w:color="auto"/>
      </w:divBdr>
    </w:div>
    <w:div w:id="258416886">
      <w:bodyDiv w:val="1"/>
      <w:marLeft w:val="0"/>
      <w:marRight w:val="0"/>
      <w:marTop w:val="0"/>
      <w:marBottom w:val="0"/>
      <w:divBdr>
        <w:top w:val="none" w:sz="0" w:space="0" w:color="auto"/>
        <w:left w:val="none" w:sz="0" w:space="0" w:color="auto"/>
        <w:bottom w:val="none" w:sz="0" w:space="0" w:color="auto"/>
        <w:right w:val="none" w:sz="0" w:space="0" w:color="auto"/>
      </w:divBdr>
    </w:div>
    <w:div w:id="305167748">
      <w:bodyDiv w:val="1"/>
      <w:marLeft w:val="0"/>
      <w:marRight w:val="0"/>
      <w:marTop w:val="0"/>
      <w:marBottom w:val="0"/>
      <w:divBdr>
        <w:top w:val="none" w:sz="0" w:space="0" w:color="auto"/>
        <w:left w:val="none" w:sz="0" w:space="0" w:color="auto"/>
        <w:bottom w:val="none" w:sz="0" w:space="0" w:color="auto"/>
        <w:right w:val="none" w:sz="0" w:space="0" w:color="auto"/>
      </w:divBdr>
    </w:div>
    <w:div w:id="312032007">
      <w:bodyDiv w:val="1"/>
      <w:marLeft w:val="0"/>
      <w:marRight w:val="0"/>
      <w:marTop w:val="0"/>
      <w:marBottom w:val="0"/>
      <w:divBdr>
        <w:top w:val="none" w:sz="0" w:space="0" w:color="auto"/>
        <w:left w:val="none" w:sz="0" w:space="0" w:color="auto"/>
        <w:bottom w:val="none" w:sz="0" w:space="0" w:color="auto"/>
        <w:right w:val="none" w:sz="0" w:space="0" w:color="auto"/>
      </w:divBdr>
    </w:div>
    <w:div w:id="347946140">
      <w:bodyDiv w:val="1"/>
      <w:marLeft w:val="0"/>
      <w:marRight w:val="0"/>
      <w:marTop w:val="0"/>
      <w:marBottom w:val="0"/>
      <w:divBdr>
        <w:top w:val="none" w:sz="0" w:space="0" w:color="auto"/>
        <w:left w:val="none" w:sz="0" w:space="0" w:color="auto"/>
        <w:bottom w:val="none" w:sz="0" w:space="0" w:color="auto"/>
        <w:right w:val="none" w:sz="0" w:space="0" w:color="auto"/>
      </w:divBdr>
    </w:div>
    <w:div w:id="351226159">
      <w:bodyDiv w:val="1"/>
      <w:marLeft w:val="0"/>
      <w:marRight w:val="0"/>
      <w:marTop w:val="0"/>
      <w:marBottom w:val="0"/>
      <w:divBdr>
        <w:top w:val="none" w:sz="0" w:space="0" w:color="auto"/>
        <w:left w:val="none" w:sz="0" w:space="0" w:color="auto"/>
        <w:bottom w:val="none" w:sz="0" w:space="0" w:color="auto"/>
        <w:right w:val="none" w:sz="0" w:space="0" w:color="auto"/>
      </w:divBdr>
    </w:div>
    <w:div w:id="381371697">
      <w:bodyDiv w:val="1"/>
      <w:marLeft w:val="0"/>
      <w:marRight w:val="0"/>
      <w:marTop w:val="0"/>
      <w:marBottom w:val="0"/>
      <w:divBdr>
        <w:top w:val="none" w:sz="0" w:space="0" w:color="auto"/>
        <w:left w:val="none" w:sz="0" w:space="0" w:color="auto"/>
        <w:bottom w:val="none" w:sz="0" w:space="0" w:color="auto"/>
        <w:right w:val="none" w:sz="0" w:space="0" w:color="auto"/>
      </w:divBdr>
    </w:div>
    <w:div w:id="397171870">
      <w:bodyDiv w:val="1"/>
      <w:marLeft w:val="0"/>
      <w:marRight w:val="0"/>
      <w:marTop w:val="0"/>
      <w:marBottom w:val="0"/>
      <w:divBdr>
        <w:top w:val="none" w:sz="0" w:space="0" w:color="auto"/>
        <w:left w:val="none" w:sz="0" w:space="0" w:color="auto"/>
        <w:bottom w:val="none" w:sz="0" w:space="0" w:color="auto"/>
        <w:right w:val="none" w:sz="0" w:space="0" w:color="auto"/>
      </w:divBdr>
    </w:div>
    <w:div w:id="468985406">
      <w:bodyDiv w:val="1"/>
      <w:marLeft w:val="0"/>
      <w:marRight w:val="0"/>
      <w:marTop w:val="0"/>
      <w:marBottom w:val="0"/>
      <w:divBdr>
        <w:top w:val="none" w:sz="0" w:space="0" w:color="auto"/>
        <w:left w:val="none" w:sz="0" w:space="0" w:color="auto"/>
        <w:bottom w:val="none" w:sz="0" w:space="0" w:color="auto"/>
        <w:right w:val="none" w:sz="0" w:space="0" w:color="auto"/>
      </w:divBdr>
    </w:div>
    <w:div w:id="476191401">
      <w:bodyDiv w:val="1"/>
      <w:marLeft w:val="0"/>
      <w:marRight w:val="0"/>
      <w:marTop w:val="0"/>
      <w:marBottom w:val="0"/>
      <w:divBdr>
        <w:top w:val="none" w:sz="0" w:space="0" w:color="auto"/>
        <w:left w:val="none" w:sz="0" w:space="0" w:color="auto"/>
        <w:bottom w:val="none" w:sz="0" w:space="0" w:color="auto"/>
        <w:right w:val="none" w:sz="0" w:space="0" w:color="auto"/>
      </w:divBdr>
    </w:div>
    <w:div w:id="483863225">
      <w:bodyDiv w:val="1"/>
      <w:marLeft w:val="0"/>
      <w:marRight w:val="0"/>
      <w:marTop w:val="0"/>
      <w:marBottom w:val="0"/>
      <w:divBdr>
        <w:top w:val="none" w:sz="0" w:space="0" w:color="auto"/>
        <w:left w:val="none" w:sz="0" w:space="0" w:color="auto"/>
        <w:bottom w:val="none" w:sz="0" w:space="0" w:color="auto"/>
        <w:right w:val="none" w:sz="0" w:space="0" w:color="auto"/>
      </w:divBdr>
    </w:div>
    <w:div w:id="533422487">
      <w:bodyDiv w:val="1"/>
      <w:marLeft w:val="0"/>
      <w:marRight w:val="0"/>
      <w:marTop w:val="0"/>
      <w:marBottom w:val="0"/>
      <w:divBdr>
        <w:top w:val="none" w:sz="0" w:space="0" w:color="auto"/>
        <w:left w:val="none" w:sz="0" w:space="0" w:color="auto"/>
        <w:bottom w:val="none" w:sz="0" w:space="0" w:color="auto"/>
        <w:right w:val="none" w:sz="0" w:space="0" w:color="auto"/>
      </w:divBdr>
    </w:div>
    <w:div w:id="548806219">
      <w:bodyDiv w:val="1"/>
      <w:marLeft w:val="0"/>
      <w:marRight w:val="0"/>
      <w:marTop w:val="0"/>
      <w:marBottom w:val="0"/>
      <w:divBdr>
        <w:top w:val="none" w:sz="0" w:space="0" w:color="auto"/>
        <w:left w:val="none" w:sz="0" w:space="0" w:color="auto"/>
        <w:bottom w:val="none" w:sz="0" w:space="0" w:color="auto"/>
        <w:right w:val="none" w:sz="0" w:space="0" w:color="auto"/>
      </w:divBdr>
    </w:div>
    <w:div w:id="573587146">
      <w:bodyDiv w:val="1"/>
      <w:marLeft w:val="0"/>
      <w:marRight w:val="0"/>
      <w:marTop w:val="0"/>
      <w:marBottom w:val="0"/>
      <w:divBdr>
        <w:top w:val="none" w:sz="0" w:space="0" w:color="auto"/>
        <w:left w:val="none" w:sz="0" w:space="0" w:color="auto"/>
        <w:bottom w:val="none" w:sz="0" w:space="0" w:color="auto"/>
        <w:right w:val="none" w:sz="0" w:space="0" w:color="auto"/>
      </w:divBdr>
    </w:div>
    <w:div w:id="598488789">
      <w:bodyDiv w:val="1"/>
      <w:marLeft w:val="0"/>
      <w:marRight w:val="0"/>
      <w:marTop w:val="0"/>
      <w:marBottom w:val="0"/>
      <w:divBdr>
        <w:top w:val="none" w:sz="0" w:space="0" w:color="auto"/>
        <w:left w:val="none" w:sz="0" w:space="0" w:color="auto"/>
        <w:bottom w:val="none" w:sz="0" w:space="0" w:color="auto"/>
        <w:right w:val="none" w:sz="0" w:space="0" w:color="auto"/>
      </w:divBdr>
    </w:div>
    <w:div w:id="620109294">
      <w:bodyDiv w:val="1"/>
      <w:marLeft w:val="0"/>
      <w:marRight w:val="0"/>
      <w:marTop w:val="0"/>
      <w:marBottom w:val="0"/>
      <w:divBdr>
        <w:top w:val="none" w:sz="0" w:space="0" w:color="auto"/>
        <w:left w:val="none" w:sz="0" w:space="0" w:color="auto"/>
        <w:bottom w:val="none" w:sz="0" w:space="0" w:color="auto"/>
        <w:right w:val="none" w:sz="0" w:space="0" w:color="auto"/>
      </w:divBdr>
    </w:div>
    <w:div w:id="634797836">
      <w:bodyDiv w:val="1"/>
      <w:marLeft w:val="0"/>
      <w:marRight w:val="0"/>
      <w:marTop w:val="0"/>
      <w:marBottom w:val="0"/>
      <w:divBdr>
        <w:top w:val="none" w:sz="0" w:space="0" w:color="auto"/>
        <w:left w:val="none" w:sz="0" w:space="0" w:color="auto"/>
        <w:bottom w:val="none" w:sz="0" w:space="0" w:color="auto"/>
        <w:right w:val="none" w:sz="0" w:space="0" w:color="auto"/>
      </w:divBdr>
    </w:div>
    <w:div w:id="643314482">
      <w:bodyDiv w:val="1"/>
      <w:marLeft w:val="0"/>
      <w:marRight w:val="0"/>
      <w:marTop w:val="0"/>
      <w:marBottom w:val="0"/>
      <w:divBdr>
        <w:top w:val="none" w:sz="0" w:space="0" w:color="auto"/>
        <w:left w:val="none" w:sz="0" w:space="0" w:color="auto"/>
        <w:bottom w:val="none" w:sz="0" w:space="0" w:color="auto"/>
        <w:right w:val="none" w:sz="0" w:space="0" w:color="auto"/>
      </w:divBdr>
    </w:div>
    <w:div w:id="649872115">
      <w:bodyDiv w:val="1"/>
      <w:marLeft w:val="0"/>
      <w:marRight w:val="0"/>
      <w:marTop w:val="0"/>
      <w:marBottom w:val="0"/>
      <w:divBdr>
        <w:top w:val="none" w:sz="0" w:space="0" w:color="auto"/>
        <w:left w:val="none" w:sz="0" w:space="0" w:color="auto"/>
        <w:bottom w:val="none" w:sz="0" w:space="0" w:color="auto"/>
        <w:right w:val="none" w:sz="0" w:space="0" w:color="auto"/>
      </w:divBdr>
    </w:div>
    <w:div w:id="651761575">
      <w:bodyDiv w:val="1"/>
      <w:marLeft w:val="0"/>
      <w:marRight w:val="0"/>
      <w:marTop w:val="0"/>
      <w:marBottom w:val="0"/>
      <w:divBdr>
        <w:top w:val="none" w:sz="0" w:space="0" w:color="auto"/>
        <w:left w:val="none" w:sz="0" w:space="0" w:color="auto"/>
        <w:bottom w:val="none" w:sz="0" w:space="0" w:color="auto"/>
        <w:right w:val="none" w:sz="0" w:space="0" w:color="auto"/>
      </w:divBdr>
    </w:div>
    <w:div w:id="657734260">
      <w:bodyDiv w:val="1"/>
      <w:marLeft w:val="0"/>
      <w:marRight w:val="0"/>
      <w:marTop w:val="0"/>
      <w:marBottom w:val="0"/>
      <w:divBdr>
        <w:top w:val="none" w:sz="0" w:space="0" w:color="auto"/>
        <w:left w:val="none" w:sz="0" w:space="0" w:color="auto"/>
        <w:bottom w:val="none" w:sz="0" w:space="0" w:color="auto"/>
        <w:right w:val="none" w:sz="0" w:space="0" w:color="auto"/>
      </w:divBdr>
    </w:div>
    <w:div w:id="665790080">
      <w:bodyDiv w:val="1"/>
      <w:marLeft w:val="0"/>
      <w:marRight w:val="0"/>
      <w:marTop w:val="0"/>
      <w:marBottom w:val="0"/>
      <w:divBdr>
        <w:top w:val="none" w:sz="0" w:space="0" w:color="auto"/>
        <w:left w:val="none" w:sz="0" w:space="0" w:color="auto"/>
        <w:bottom w:val="none" w:sz="0" w:space="0" w:color="auto"/>
        <w:right w:val="none" w:sz="0" w:space="0" w:color="auto"/>
      </w:divBdr>
    </w:div>
    <w:div w:id="672606592">
      <w:bodyDiv w:val="1"/>
      <w:marLeft w:val="0"/>
      <w:marRight w:val="0"/>
      <w:marTop w:val="0"/>
      <w:marBottom w:val="0"/>
      <w:divBdr>
        <w:top w:val="none" w:sz="0" w:space="0" w:color="auto"/>
        <w:left w:val="none" w:sz="0" w:space="0" w:color="auto"/>
        <w:bottom w:val="none" w:sz="0" w:space="0" w:color="auto"/>
        <w:right w:val="none" w:sz="0" w:space="0" w:color="auto"/>
      </w:divBdr>
    </w:div>
    <w:div w:id="676155709">
      <w:bodyDiv w:val="1"/>
      <w:marLeft w:val="0"/>
      <w:marRight w:val="0"/>
      <w:marTop w:val="0"/>
      <w:marBottom w:val="0"/>
      <w:divBdr>
        <w:top w:val="none" w:sz="0" w:space="0" w:color="auto"/>
        <w:left w:val="none" w:sz="0" w:space="0" w:color="auto"/>
        <w:bottom w:val="none" w:sz="0" w:space="0" w:color="auto"/>
        <w:right w:val="none" w:sz="0" w:space="0" w:color="auto"/>
      </w:divBdr>
    </w:div>
    <w:div w:id="686323119">
      <w:bodyDiv w:val="1"/>
      <w:marLeft w:val="0"/>
      <w:marRight w:val="0"/>
      <w:marTop w:val="0"/>
      <w:marBottom w:val="0"/>
      <w:divBdr>
        <w:top w:val="none" w:sz="0" w:space="0" w:color="auto"/>
        <w:left w:val="none" w:sz="0" w:space="0" w:color="auto"/>
        <w:bottom w:val="none" w:sz="0" w:space="0" w:color="auto"/>
        <w:right w:val="none" w:sz="0" w:space="0" w:color="auto"/>
      </w:divBdr>
    </w:div>
    <w:div w:id="686443815">
      <w:bodyDiv w:val="1"/>
      <w:marLeft w:val="0"/>
      <w:marRight w:val="0"/>
      <w:marTop w:val="0"/>
      <w:marBottom w:val="0"/>
      <w:divBdr>
        <w:top w:val="none" w:sz="0" w:space="0" w:color="auto"/>
        <w:left w:val="none" w:sz="0" w:space="0" w:color="auto"/>
        <w:bottom w:val="none" w:sz="0" w:space="0" w:color="auto"/>
        <w:right w:val="none" w:sz="0" w:space="0" w:color="auto"/>
      </w:divBdr>
    </w:div>
    <w:div w:id="700671061">
      <w:bodyDiv w:val="1"/>
      <w:marLeft w:val="0"/>
      <w:marRight w:val="0"/>
      <w:marTop w:val="0"/>
      <w:marBottom w:val="0"/>
      <w:divBdr>
        <w:top w:val="none" w:sz="0" w:space="0" w:color="auto"/>
        <w:left w:val="none" w:sz="0" w:space="0" w:color="auto"/>
        <w:bottom w:val="none" w:sz="0" w:space="0" w:color="auto"/>
        <w:right w:val="none" w:sz="0" w:space="0" w:color="auto"/>
      </w:divBdr>
    </w:div>
    <w:div w:id="702824001">
      <w:bodyDiv w:val="1"/>
      <w:marLeft w:val="0"/>
      <w:marRight w:val="0"/>
      <w:marTop w:val="0"/>
      <w:marBottom w:val="0"/>
      <w:divBdr>
        <w:top w:val="none" w:sz="0" w:space="0" w:color="auto"/>
        <w:left w:val="none" w:sz="0" w:space="0" w:color="auto"/>
        <w:bottom w:val="none" w:sz="0" w:space="0" w:color="auto"/>
        <w:right w:val="none" w:sz="0" w:space="0" w:color="auto"/>
      </w:divBdr>
    </w:div>
    <w:div w:id="716204379">
      <w:bodyDiv w:val="1"/>
      <w:marLeft w:val="0"/>
      <w:marRight w:val="0"/>
      <w:marTop w:val="0"/>
      <w:marBottom w:val="0"/>
      <w:divBdr>
        <w:top w:val="none" w:sz="0" w:space="0" w:color="auto"/>
        <w:left w:val="none" w:sz="0" w:space="0" w:color="auto"/>
        <w:bottom w:val="none" w:sz="0" w:space="0" w:color="auto"/>
        <w:right w:val="none" w:sz="0" w:space="0" w:color="auto"/>
      </w:divBdr>
    </w:div>
    <w:div w:id="761877415">
      <w:bodyDiv w:val="1"/>
      <w:marLeft w:val="0"/>
      <w:marRight w:val="0"/>
      <w:marTop w:val="0"/>
      <w:marBottom w:val="0"/>
      <w:divBdr>
        <w:top w:val="none" w:sz="0" w:space="0" w:color="auto"/>
        <w:left w:val="none" w:sz="0" w:space="0" w:color="auto"/>
        <w:bottom w:val="none" w:sz="0" w:space="0" w:color="auto"/>
        <w:right w:val="none" w:sz="0" w:space="0" w:color="auto"/>
      </w:divBdr>
    </w:div>
    <w:div w:id="767652746">
      <w:bodyDiv w:val="1"/>
      <w:marLeft w:val="0"/>
      <w:marRight w:val="0"/>
      <w:marTop w:val="0"/>
      <w:marBottom w:val="0"/>
      <w:divBdr>
        <w:top w:val="none" w:sz="0" w:space="0" w:color="auto"/>
        <w:left w:val="none" w:sz="0" w:space="0" w:color="auto"/>
        <w:bottom w:val="none" w:sz="0" w:space="0" w:color="auto"/>
        <w:right w:val="none" w:sz="0" w:space="0" w:color="auto"/>
      </w:divBdr>
    </w:div>
    <w:div w:id="789009059">
      <w:bodyDiv w:val="1"/>
      <w:marLeft w:val="0"/>
      <w:marRight w:val="0"/>
      <w:marTop w:val="0"/>
      <w:marBottom w:val="0"/>
      <w:divBdr>
        <w:top w:val="none" w:sz="0" w:space="0" w:color="auto"/>
        <w:left w:val="none" w:sz="0" w:space="0" w:color="auto"/>
        <w:bottom w:val="none" w:sz="0" w:space="0" w:color="auto"/>
        <w:right w:val="none" w:sz="0" w:space="0" w:color="auto"/>
      </w:divBdr>
    </w:div>
    <w:div w:id="799566593">
      <w:bodyDiv w:val="1"/>
      <w:marLeft w:val="0"/>
      <w:marRight w:val="0"/>
      <w:marTop w:val="0"/>
      <w:marBottom w:val="0"/>
      <w:divBdr>
        <w:top w:val="none" w:sz="0" w:space="0" w:color="auto"/>
        <w:left w:val="none" w:sz="0" w:space="0" w:color="auto"/>
        <w:bottom w:val="none" w:sz="0" w:space="0" w:color="auto"/>
        <w:right w:val="none" w:sz="0" w:space="0" w:color="auto"/>
      </w:divBdr>
    </w:div>
    <w:div w:id="850921254">
      <w:bodyDiv w:val="1"/>
      <w:marLeft w:val="0"/>
      <w:marRight w:val="0"/>
      <w:marTop w:val="0"/>
      <w:marBottom w:val="0"/>
      <w:divBdr>
        <w:top w:val="none" w:sz="0" w:space="0" w:color="auto"/>
        <w:left w:val="none" w:sz="0" w:space="0" w:color="auto"/>
        <w:bottom w:val="none" w:sz="0" w:space="0" w:color="auto"/>
        <w:right w:val="none" w:sz="0" w:space="0" w:color="auto"/>
      </w:divBdr>
    </w:div>
    <w:div w:id="853569148">
      <w:bodyDiv w:val="1"/>
      <w:marLeft w:val="0"/>
      <w:marRight w:val="0"/>
      <w:marTop w:val="0"/>
      <w:marBottom w:val="0"/>
      <w:divBdr>
        <w:top w:val="none" w:sz="0" w:space="0" w:color="auto"/>
        <w:left w:val="none" w:sz="0" w:space="0" w:color="auto"/>
        <w:bottom w:val="none" w:sz="0" w:space="0" w:color="auto"/>
        <w:right w:val="none" w:sz="0" w:space="0" w:color="auto"/>
      </w:divBdr>
    </w:div>
    <w:div w:id="860126016">
      <w:bodyDiv w:val="1"/>
      <w:marLeft w:val="0"/>
      <w:marRight w:val="0"/>
      <w:marTop w:val="0"/>
      <w:marBottom w:val="0"/>
      <w:divBdr>
        <w:top w:val="none" w:sz="0" w:space="0" w:color="auto"/>
        <w:left w:val="none" w:sz="0" w:space="0" w:color="auto"/>
        <w:bottom w:val="none" w:sz="0" w:space="0" w:color="auto"/>
        <w:right w:val="none" w:sz="0" w:space="0" w:color="auto"/>
      </w:divBdr>
    </w:div>
    <w:div w:id="871965080">
      <w:bodyDiv w:val="1"/>
      <w:marLeft w:val="0"/>
      <w:marRight w:val="0"/>
      <w:marTop w:val="0"/>
      <w:marBottom w:val="0"/>
      <w:divBdr>
        <w:top w:val="none" w:sz="0" w:space="0" w:color="auto"/>
        <w:left w:val="none" w:sz="0" w:space="0" w:color="auto"/>
        <w:bottom w:val="none" w:sz="0" w:space="0" w:color="auto"/>
        <w:right w:val="none" w:sz="0" w:space="0" w:color="auto"/>
      </w:divBdr>
    </w:div>
    <w:div w:id="872034086">
      <w:bodyDiv w:val="1"/>
      <w:marLeft w:val="0"/>
      <w:marRight w:val="0"/>
      <w:marTop w:val="0"/>
      <w:marBottom w:val="0"/>
      <w:divBdr>
        <w:top w:val="none" w:sz="0" w:space="0" w:color="auto"/>
        <w:left w:val="none" w:sz="0" w:space="0" w:color="auto"/>
        <w:bottom w:val="none" w:sz="0" w:space="0" w:color="auto"/>
        <w:right w:val="none" w:sz="0" w:space="0" w:color="auto"/>
      </w:divBdr>
    </w:div>
    <w:div w:id="874737935">
      <w:bodyDiv w:val="1"/>
      <w:marLeft w:val="0"/>
      <w:marRight w:val="0"/>
      <w:marTop w:val="0"/>
      <w:marBottom w:val="0"/>
      <w:divBdr>
        <w:top w:val="none" w:sz="0" w:space="0" w:color="auto"/>
        <w:left w:val="none" w:sz="0" w:space="0" w:color="auto"/>
        <w:bottom w:val="none" w:sz="0" w:space="0" w:color="auto"/>
        <w:right w:val="none" w:sz="0" w:space="0" w:color="auto"/>
      </w:divBdr>
    </w:div>
    <w:div w:id="882327365">
      <w:bodyDiv w:val="1"/>
      <w:marLeft w:val="0"/>
      <w:marRight w:val="0"/>
      <w:marTop w:val="0"/>
      <w:marBottom w:val="0"/>
      <w:divBdr>
        <w:top w:val="none" w:sz="0" w:space="0" w:color="auto"/>
        <w:left w:val="none" w:sz="0" w:space="0" w:color="auto"/>
        <w:bottom w:val="none" w:sz="0" w:space="0" w:color="auto"/>
        <w:right w:val="none" w:sz="0" w:space="0" w:color="auto"/>
      </w:divBdr>
    </w:div>
    <w:div w:id="899904678">
      <w:bodyDiv w:val="1"/>
      <w:marLeft w:val="0"/>
      <w:marRight w:val="0"/>
      <w:marTop w:val="0"/>
      <w:marBottom w:val="0"/>
      <w:divBdr>
        <w:top w:val="none" w:sz="0" w:space="0" w:color="auto"/>
        <w:left w:val="none" w:sz="0" w:space="0" w:color="auto"/>
        <w:bottom w:val="none" w:sz="0" w:space="0" w:color="auto"/>
        <w:right w:val="none" w:sz="0" w:space="0" w:color="auto"/>
      </w:divBdr>
    </w:div>
    <w:div w:id="940989190">
      <w:bodyDiv w:val="1"/>
      <w:marLeft w:val="0"/>
      <w:marRight w:val="0"/>
      <w:marTop w:val="0"/>
      <w:marBottom w:val="0"/>
      <w:divBdr>
        <w:top w:val="none" w:sz="0" w:space="0" w:color="auto"/>
        <w:left w:val="none" w:sz="0" w:space="0" w:color="auto"/>
        <w:bottom w:val="none" w:sz="0" w:space="0" w:color="auto"/>
        <w:right w:val="none" w:sz="0" w:space="0" w:color="auto"/>
      </w:divBdr>
    </w:div>
    <w:div w:id="955410809">
      <w:bodyDiv w:val="1"/>
      <w:marLeft w:val="0"/>
      <w:marRight w:val="0"/>
      <w:marTop w:val="0"/>
      <w:marBottom w:val="0"/>
      <w:divBdr>
        <w:top w:val="none" w:sz="0" w:space="0" w:color="auto"/>
        <w:left w:val="none" w:sz="0" w:space="0" w:color="auto"/>
        <w:bottom w:val="none" w:sz="0" w:space="0" w:color="auto"/>
        <w:right w:val="none" w:sz="0" w:space="0" w:color="auto"/>
      </w:divBdr>
    </w:div>
    <w:div w:id="958148785">
      <w:bodyDiv w:val="1"/>
      <w:marLeft w:val="0"/>
      <w:marRight w:val="0"/>
      <w:marTop w:val="0"/>
      <w:marBottom w:val="0"/>
      <w:divBdr>
        <w:top w:val="none" w:sz="0" w:space="0" w:color="auto"/>
        <w:left w:val="none" w:sz="0" w:space="0" w:color="auto"/>
        <w:bottom w:val="none" w:sz="0" w:space="0" w:color="auto"/>
        <w:right w:val="none" w:sz="0" w:space="0" w:color="auto"/>
      </w:divBdr>
    </w:div>
    <w:div w:id="959921701">
      <w:bodyDiv w:val="1"/>
      <w:marLeft w:val="0"/>
      <w:marRight w:val="0"/>
      <w:marTop w:val="0"/>
      <w:marBottom w:val="0"/>
      <w:divBdr>
        <w:top w:val="none" w:sz="0" w:space="0" w:color="auto"/>
        <w:left w:val="none" w:sz="0" w:space="0" w:color="auto"/>
        <w:bottom w:val="none" w:sz="0" w:space="0" w:color="auto"/>
        <w:right w:val="none" w:sz="0" w:space="0" w:color="auto"/>
      </w:divBdr>
    </w:div>
    <w:div w:id="964232706">
      <w:bodyDiv w:val="1"/>
      <w:marLeft w:val="0"/>
      <w:marRight w:val="0"/>
      <w:marTop w:val="0"/>
      <w:marBottom w:val="0"/>
      <w:divBdr>
        <w:top w:val="none" w:sz="0" w:space="0" w:color="auto"/>
        <w:left w:val="none" w:sz="0" w:space="0" w:color="auto"/>
        <w:bottom w:val="none" w:sz="0" w:space="0" w:color="auto"/>
        <w:right w:val="none" w:sz="0" w:space="0" w:color="auto"/>
      </w:divBdr>
    </w:div>
    <w:div w:id="969240690">
      <w:bodyDiv w:val="1"/>
      <w:marLeft w:val="0"/>
      <w:marRight w:val="0"/>
      <w:marTop w:val="0"/>
      <w:marBottom w:val="0"/>
      <w:divBdr>
        <w:top w:val="none" w:sz="0" w:space="0" w:color="auto"/>
        <w:left w:val="none" w:sz="0" w:space="0" w:color="auto"/>
        <w:bottom w:val="none" w:sz="0" w:space="0" w:color="auto"/>
        <w:right w:val="none" w:sz="0" w:space="0" w:color="auto"/>
      </w:divBdr>
    </w:div>
    <w:div w:id="1008020115">
      <w:bodyDiv w:val="1"/>
      <w:marLeft w:val="0"/>
      <w:marRight w:val="0"/>
      <w:marTop w:val="0"/>
      <w:marBottom w:val="0"/>
      <w:divBdr>
        <w:top w:val="none" w:sz="0" w:space="0" w:color="auto"/>
        <w:left w:val="none" w:sz="0" w:space="0" w:color="auto"/>
        <w:bottom w:val="none" w:sz="0" w:space="0" w:color="auto"/>
        <w:right w:val="none" w:sz="0" w:space="0" w:color="auto"/>
      </w:divBdr>
    </w:div>
    <w:div w:id="1015810907">
      <w:bodyDiv w:val="1"/>
      <w:marLeft w:val="0"/>
      <w:marRight w:val="0"/>
      <w:marTop w:val="0"/>
      <w:marBottom w:val="0"/>
      <w:divBdr>
        <w:top w:val="none" w:sz="0" w:space="0" w:color="auto"/>
        <w:left w:val="none" w:sz="0" w:space="0" w:color="auto"/>
        <w:bottom w:val="none" w:sz="0" w:space="0" w:color="auto"/>
        <w:right w:val="none" w:sz="0" w:space="0" w:color="auto"/>
      </w:divBdr>
    </w:div>
    <w:div w:id="1022702641">
      <w:bodyDiv w:val="1"/>
      <w:marLeft w:val="0"/>
      <w:marRight w:val="0"/>
      <w:marTop w:val="0"/>
      <w:marBottom w:val="0"/>
      <w:divBdr>
        <w:top w:val="none" w:sz="0" w:space="0" w:color="auto"/>
        <w:left w:val="none" w:sz="0" w:space="0" w:color="auto"/>
        <w:bottom w:val="none" w:sz="0" w:space="0" w:color="auto"/>
        <w:right w:val="none" w:sz="0" w:space="0" w:color="auto"/>
      </w:divBdr>
    </w:div>
    <w:div w:id="1024744828">
      <w:bodyDiv w:val="1"/>
      <w:marLeft w:val="0"/>
      <w:marRight w:val="0"/>
      <w:marTop w:val="0"/>
      <w:marBottom w:val="0"/>
      <w:divBdr>
        <w:top w:val="none" w:sz="0" w:space="0" w:color="auto"/>
        <w:left w:val="none" w:sz="0" w:space="0" w:color="auto"/>
        <w:bottom w:val="none" w:sz="0" w:space="0" w:color="auto"/>
        <w:right w:val="none" w:sz="0" w:space="0" w:color="auto"/>
      </w:divBdr>
    </w:div>
    <w:div w:id="1030256401">
      <w:bodyDiv w:val="1"/>
      <w:marLeft w:val="0"/>
      <w:marRight w:val="0"/>
      <w:marTop w:val="0"/>
      <w:marBottom w:val="0"/>
      <w:divBdr>
        <w:top w:val="none" w:sz="0" w:space="0" w:color="auto"/>
        <w:left w:val="none" w:sz="0" w:space="0" w:color="auto"/>
        <w:bottom w:val="none" w:sz="0" w:space="0" w:color="auto"/>
        <w:right w:val="none" w:sz="0" w:space="0" w:color="auto"/>
      </w:divBdr>
    </w:div>
    <w:div w:id="1043409659">
      <w:bodyDiv w:val="1"/>
      <w:marLeft w:val="0"/>
      <w:marRight w:val="0"/>
      <w:marTop w:val="0"/>
      <w:marBottom w:val="0"/>
      <w:divBdr>
        <w:top w:val="none" w:sz="0" w:space="0" w:color="auto"/>
        <w:left w:val="none" w:sz="0" w:space="0" w:color="auto"/>
        <w:bottom w:val="none" w:sz="0" w:space="0" w:color="auto"/>
        <w:right w:val="none" w:sz="0" w:space="0" w:color="auto"/>
      </w:divBdr>
    </w:div>
    <w:div w:id="1061095031">
      <w:bodyDiv w:val="1"/>
      <w:marLeft w:val="0"/>
      <w:marRight w:val="0"/>
      <w:marTop w:val="0"/>
      <w:marBottom w:val="0"/>
      <w:divBdr>
        <w:top w:val="none" w:sz="0" w:space="0" w:color="auto"/>
        <w:left w:val="none" w:sz="0" w:space="0" w:color="auto"/>
        <w:bottom w:val="none" w:sz="0" w:space="0" w:color="auto"/>
        <w:right w:val="none" w:sz="0" w:space="0" w:color="auto"/>
      </w:divBdr>
    </w:div>
    <w:div w:id="1063525877">
      <w:bodyDiv w:val="1"/>
      <w:marLeft w:val="0"/>
      <w:marRight w:val="0"/>
      <w:marTop w:val="0"/>
      <w:marBottom w:val="0"/>
      <w:divBdr>
        <w:top w:val="none" w:sz="0" w:space="0" w:color="auto"/>
        <w:left w:val="none" w:sz="0" w:space="0" w:color="auto"/>
        <w:bottom w:val="none" w:sz="0" w:space="0" w:color="auto"/>
        <w:right w:val="none" w:sz="0" w:space="0" w:color="auto"/>
      </w:divBdr>
    </w:div>
    <w:div w:id="1064908656">
      <w:bodyDiv w:val="1"/>
      <w:marLeft w:val="0"/>
      <w:marRight w:val="0"/>
      <w:marTop w:val="0"/>
      <w:marBottom w:val="0"/>
      <w:divBdr>
        <w:top w:val="none" w:sz="0" w:space="0" w:color="auto"/>
        <w:left w:val="none" w:sz="0" w:space="0" w:color="auto"/>
        <w:bottom w:val="none" w:sz="0" w:space="0" w:color="auto"/>
        <w:right w:val="none" w:sz="0" w:space="0" w:color="auto"/>
      </w:divBdr>
    </w:div>
    <w:div w:id="1066297729">
      <w:bodyDiv w:val="1"/>
      <w:marLeft w:val="0"/>
      <w:marRight w:val="0"/>
      <w:marTop w:val="0"/>
      <w:marBottom w:val="0"/>
      <w:divBdr>
        <w:top w:val="none" w:sz="0" w:space="0" w:color="auto"/>
        <w:left w:val="none" w:sz="0" w:space="0" w:color="auto"/>
        <w:bottom w:val="none" w:sz="0" w:space="0" w:color="auto"/>
        <w:right w:val="none" w:sz="0" w:space="0" w:color="auto"/>
      </w:divBdr>
    </w:div>
    <w:div w:id="1072973147">
      <w:bodyDiv w:val="1"/>
      <w:marLeft w:val="0"/>
      <w:marRight w:val="0"/>
      <w:marTop w:val="0"/>
      <w:marBottom w:val="0"/>
      <w:divBdr>
        <w:top w:val="none" w:sz="0" w:space="0" w:color="auto"/>
        <w:left w:val="none" w:sz="0" w:space="0" w:color="auto"/>
        <w:bottom w:val="none" w:sz="0" w:space="0" w:color="auto"/>
        <w:right w:val="none" w:sz="0" w:space="0" w:color="auto"/>
      </w:divBdr>
    </w:div>
    <w:div w:id="1074399114">
      <w:bodyDiv w:val="1"/>
      <w:marLeft w:val="0"/>
      <w:marRight w:val="0"/>
      <w:marTop w:val="0"/>
      <w:marBottom w:val="0"/>
      <w:divBdr>
        <w:top w:val="none" w:sz="0" w:space="0" w:color="auto"/>
        <w:left w:val="none" w:sz="0" w:space="0" w:color="auto"/>
        <w:bottom w:val="none" w:sz="0" w:space="0" w:color="auto"/>
        <w:right w:val="none" w:sz="0" w:space="0" w:color="auto"/>
      </w:divBdr>
    </w:div>
    <w:div w:id="1123618127">
      <w:bodyDiv w:val="1"/>
      <w:marLeft w:val="0"/>
      <w:marRight w:val="0"/>
      <w:marTop w:val="0"/>
      <w:marBottom w:val="0"/>
      <w:divBdr>
        <w:top w:val="none" w:sz="0" w:space="0" w:color="auto"/>
        <w:left w:val="none" w:sz="0" w:space="0" w:color="auto"/>
        <w:bottom w:val="none" w:sz="0" w:space="0" w:color="auto"/>
        <w:right w:val="none" w:sz="0" w:space="0" w:color="auto"/>
      </w:divBdr>
    </w:div>
    <w:div w:id="1123884130">
      <w:bodyDiv w:val="1"/>
      <w:marLeft w:val="0"/>
      <w:marRight w:val="0"/>
      <w:marTop w:val="0"/>
      <w:marBottom w:val="0"/>
      <w:divBdr>
        <w:top w:val="none" w:sz="0" w:space="0" w:color="auto"/>
        <w:left w:val="none" w:sz="0" w:space="0" w:color="auto"/>
        <w:bottom w:val="none" w:sz="0" w:space="0" w:color="auto"/>
        <w:right w:val="none" w:sz="0" w:space="0" w:color="auto"/>
      </w:divBdr>
    </w:div>
    <w:div w:id="1125656247">
      <w:bodyDiv w:val="1"/>
      <w:marLeft w:val="0"/>
      <w:marRight w:val="0"/>
      <w:marTop w:val="0"/>
      <w:marBottom w:val="0"/>
      <w:divBdr>
        <w:top w:val="none" w:sz="0" w:space="0" w:color="auto"/>
        <w:left w:val="none" w:sz="0" w:space="0" w:color="auto"/>
        <w:bottom w:val="none" w:sz="0" w:space="0" w:color="auto"/>
        <w:right w:val="none" w:sz="0" w:space="0" w:color="auto"/>
      </w:divBdr>
    </w:div>
    <w:div w:id="1126779996">
      <w:bodyDiv w:val="1"/>
      <w:marLeft w:val="0"/>
      <w:marRight w:val="0"/>
      <w:marTop w:val="0"/>
      <w:marBottom w:val="0"/>
      <w:divBdr>
        <w:top w:val="none" w:sz="0" w:space="0" w:color="auto"/>
        <w:left w:val="none" w:sz="0" w:space="0" w:color="auto"/>
        <w:bottom w:val="none" w:sz="0" w:space="0" w:color="auto"/>
        <w:right w:val="none" w:sz="0" w:space="0" w:color="auto"/>
      </w:divBdr>
    </w:div>
    <w:div w:id="1129130187">
      <w:bodyDiv w:val="1"/>
      <w:marLeft w:val="0"/>
      <w:marRight w:val="0"/>
      <w:marTop w:val="0"/>
      <w:marBottom w:val="0"/>
      <w:divBdr>
        <w:top w:val="none" w:sz="0" w:space="0" w:color="auto"/>
        <w:left w:val="none" w:sz="0" w:space="0" w:color="auto"/>
        <w:bottom w:val="none" w:sz="0" w:space="0" w:color="auto"/>
        <w:right w:val="none" w:sz="0" w:space="0" w:color="auto"/>
      </w:divBdr>
    </w:div>
    <w:div w:id="1130049496">
      <w:bodyDiv w:val="1"/>
      <w:marLeft w:val="0"/>
      <w:marRight w:val="0"/>
      <w:marTop w:val="0"/>
      <w:marBottom w:val="0"/>
      <w:divBdr>
        <w:top w:val="none" w:sz="0" w:space="0" w:color="auto"/>
        <w:left w:val="none" w:sz="0" w:space="0" w:color="auto"/>
        <w:bottom w:val="none" w:sz="0" w:space="0" w:color="auto"/>
        <w:right w:val="none" w:sz="0" w:space="0" w:color="auto"/>
      </w:divBdr>
    </w:div>
    <w:div w:id="1130510242">
      <w:bodyDiv w:val="1"/>
      <w:marLeft w:val="0"/>
      <w:marRight w:val="0"/>
      <w:marTop w:val="0"/>
      <w:marBottom w:val="0"/>
      <w:divBdr>
        <w:top w:val="none" w:sz="0" w:space="0" w:color="auto"/>
        <w:left w:val="none" w:sz="0" w:space="0" w:color="auto"/>
        <w:bottom w:val="none" w:sz="0" w:space="0" w:color="auto"/>
        <w:right w:val="none" w:sz="0" w:space="0" w:color="auto"/>
      </w:divBdr>
    </w:div>
    <w:div w:id="1136141723">
      <w:bodyDiv w:val="1"/>
      <w:marLeft w:val="0"/>
      <w:marRight w:val="0"/>
      <w:marTop w:val="0"/>
      <w:marBottom w:val="0"/>
      <w:divBdr>
        <w:top w:val="none" w:sz="0" w:space="0" w:color="auto"/>
        <w:left w:val="none" w:sz="0" w:space="0" w:color="auto"/>
        <w:bottom w:val="none" w:sz="0" w:space="0" w:color="auto"/>
        <w:right w:val="none" w:sz="0" w:space="0" w:color="auto"/>
      </w:divBdr>
    </w:div>
    <w:div w:id="1147630388">
      <w:bodyDiv w:val="1"/>
      <w:marLeft w:val="0"/>
      <w:marRight w:val="0"/>
      <w:marTop w:val="0"/>
      <w:marBottom w:val="0"/>
      <w:divBdr>
        <w:top w:val="none" w:sz="0" w:space="0" w:color="auto"/>
        <w:left w:val="none" w:sz="0" w:space="0" w:color="auto"/>
        <w:bottom w:val="none" w:sz="0" w:space="0" w:color="auto"/>
        <w:right w:val="none" w:sz="0" w:space="0" w:color="auto"/>
      </w:divBdr>
    </w:div>
    <w:div w:id="1156605480">
      <w:bodyDiv w:val="1"/>
      <w:marLeft w:val="0"/>
      <w:marRight w:val="0"/>
      <w:marTop w:val="0"/>
      <w:marBottom w:val="0"/>
      <w:divBdr>
        <w:top w:val="none" w:sz="0" w:space="0" w:color="auto"/>
        <w:left w:val="none" w:sz="0" w:space="0" w:color="auto"/>
        <w:bottom w:val="none" w:sz="0" w:space="0" w:color="auto"/>
        <w:right w:val="none" w:sz="0" w:space="0" w:color="auto"/>
      </w:divBdr>
    </w:div>
    <w:div w:id="1171217775">
      <w:bodyDiv w:val="1"/>
      <w:marLeft w:val="0"/>
      <w:marRight w:val="0"/>
      <w:marTop w:val="0"/>
      <w:marBottom w:val="0"/>
      <w:divBdr>
        <w:top w:val="none" w:sz="0" w:space="0" w:color="auto"/>
        <w:left w:val="none" w:sz="0" w:space="0" w:color="auto"/>
        <w:bottom w:val="none" w:sz="0" w:space="0" w:color="auto"/>
        <w:right w:val="none" w:sz="0" w:space="0" w:color="auto"/>
      </w:divBdr>
    </w:div>
    <w:div w:id="1177308601">
      <w:bodyDiv w:val="1"/>
      <w:marLeft w:val="0"/>
      <w:marRight w:val="0"/>
      <w:marTop w:val="0"/>
      <w:marBottom w:val="0"/>
      <w:divBdr>
        <w:top w:val="none" w:sz="0" w:space="0" w:color="auto"/>
        <w:left w:val="none" w:sz="0" w:space="0" w:color="auto"/>
        <w:bottom w:val="none" w:sz="0" w:space="0" w:color="auto"/>
        <w:right w:val="none" w:sz="0" w:space="0" w:color="auto"/>
      </w:divBdr>
    </w:div>
    <w:div w:id="1185902081">
      <w:bodyDiv w:val="1"/>
      <w:marLeft w:val="0"/>
      <w:marRight w:val="0"/>
      <w:marTop w:val="0"/>
      <w:marBottom w:val="0"/>
      <w:divBdr>
        <w:top w:val="none" w:sz="0" w:space="0" w:color="auto"/>
        <w:left w:val="none" w:sz="0" w:space="0" w:color="auto"/>
        <w:bottom w:val="none" w:sz="0" w:space="0" w:color="auto"/>
        <w:right w:val="none" w:sz="0" w:space="0" w:color="auto"/>
      </w:divBdr>
    </w:div>
    <w:div w:id="1190490729">
      <w:bodyDiv w:val="1"/>
      <w:marLeft w:val="0"/>
      <w:marRight w:val="0"/>
      <w:marTop w:val="0"/>
      <w:marBottom w:val="0"/>
      <w:divBdr>
        <w:top w:val="none" w:sz="0" w:space="0" w:color="auto"/>
        <w:left w:val="none" w:sz="0" w:space="0" w:color="auto"/>
        <w:bottom w:val="none" w:sz="0" w:space="0" w:color="auto"/>
        <w:right w:val="none" w:sz="0" w:space="0" w:color="auto"/>
      </w:divBdr>
    </w:div>
    <w:div w:id="1202786807">
      <w:bodyDiv w:val="1"/>
      <w:marLeft w:val="0"/>
      <w:marRight w:val="0"/>
      <w:marTop w:val="0"/>
      <w:marBottom w:val="0"/>
      <w:divBdr>
        <w:top w:val="none" w:sz="0" w:space="0" w:color="auto"/>
        <w:left w:val="none" w:sz="0" w:space="0" w:color="auto"/>
        <w:bottom w:val="none" w:sz="0" w:space="0" w:color="auto"/>
        <w:right w:val="none" w:sz="0" w:space="0" w:color="auto"/>
      </w:divBdr>
    </w:div>
    <w:div w:id="1212618094">
      <w:bodyDiv w:val="1"/>
      <w:marLeft w:val="0"/>
      <w:marRight w:val="0"/>
      <w:marTop w:val="0"/>
      <w:marBottom w:val="0"/>
      <w:divBdr>
        <w:top w:val="none" w:sz="0" w:space="0" w:color="auto"/>
        <w:left w:val="none" w:sz="0" w:space="0" w:color="auto"/>
        <w:bottom w:val="none" w:sz="0" w:space="0" w:color="auto"/>
        <w:right w:val="none" w:sz="0" w:space="0" w:color="auto"/>
      </w:divBdr>
    </w:div>
    <w:div w:id="1227646276">
      <w:bodyDiv w:val="1"/>
      <w:marLeft w:val="0"/>
      <w:marRight w:val="0"/>
      <w:marTop w:val="0"/>
      <w:marBottom w:val="0"/>
      <w:divBdr>
        <w:top w:val="none" w:sz="0" w:space="0" w:color="auto"/>
        <w:left w:val="none" w:sz="0" w:space="0" w:color="auto"/>
        <w:bottom w:val="none" w:sz="0" w:space="0" w:color="auto"/>
        <w:right w:val="none" w:sz="0" w:space="0" w:color="auto"/>
      </w:divBdr>
    </w:div>
    <w:div w:id="1241595110">
      <w:bodyDiv w:val="1"/>
      <w:marLeft w:val="0"/>
      <w:marRight w:val="0"/>
      <w:marTop w:val="0"/>
      <w:marBottom w:val="0"/>
      <w:divBdr>
        <w:top w:val="none" w:sz="0" w:space="0" w:color="auto"/>
        <w:left w:val="none" w:sz="0" w:space="0" w:color="auto"/>
        <w:bottom w:val="none" w:sz="0" w:space="0" w:color="auto"/>
        <w:right w:val="none" w:sz="0" w:space="0" w:color="auto"/>
      </w:divBdr>
    </w:div>
    <w:div w:id="1247038274">
      <w:bodyDiv w:val="1"/>
      <w:marLeft w:val="0"/>
      <w:marRight w:val="0"/>
      <w:marTop w:val="0"/>
      <w:marBottom w:val="0"/>
      <w:divBdr>
        <w:top w:val="none" w:sz="0" w:space="0" w:color="auto"/>
        <w:left w:val="none" w:sz="0" w:space="0" w:color="auto"/>
        <w:bottom w:val="none" w:sz="0" w:space="0" w:color="auto"/>
        <w:right w:val="none" w:sz="0" w:space="0" w:color="auto"/>
      </w:divBdr>
    </w:div>
    <w:div w:id="1247809859">
      <w:bodyDiv w:val="1"/>
      <w:marLeft w:val="0"/>
      <w:marRight w:val="0"/>
      <w:marTop w:val="0"/>
      <w:marBottom w:val="0"/>
      <w:divBdr>
        <w:top w:val="none" w:sz="0" w:space="0" w:color="auto"/>
        <w:left w:val="none" w:sz="0" w:space="0" w:color="auto"/>
        <w:bottom w:val="none" w:sz="0" w:space="0" w:color="auto"/>
        <w:right w:val="none" w:sz="0" w:space="0" w:color="auto"/>
      </w:divBdr>
    </w:div>
    <w:div w:id="1329792798">
      <w:bodyDiv w:val="1"/>
      <w:marLeft w:val="0"/>
      <w:marRight w:val="0"/>
      <w:marTop w:val="0"/>
      <w:marBottom w:val="0"/>
      <w:divBdr>
        <w:top w:val="none" w:sz="0" w:space="0" w:color="auto"/>
        <w:left w:val="none" w:sz="0" w:space="0" w:color="auto"/>
        <w:bottom w:val="none" w:sz="0" w:space="0" w:color="auto"/>
        <w:right w:val="none" w:sz="0" w:space="0" w:color="auto"/>
      </w:divBdr>
    </w:div>
    <w:div w:id="1332834262">
      <w:bodyDiv w:val="1"/>
      <w:marLeft w:val="0"/>
      <w:marRight w:val="0"/>
      <w:marTop w:val="0"/>
      <w:marBottom w:val="0"/>
      <w:divBdr>
        <w:top w:val="none" w:sz="0" w:space="0" w:color="auto"/>
        <w:left w:val="none" w:sz="0" w:space="0" w:color="auto"/>
        <w:bottom w:val="none" w:sz="0" w:space="0" w:color="auto"/>
        <w:right w:val="none" w:sz="0" w:space="0" w:color="auto"/>
      </w:divBdr>
    </w:div>
    <w:div w:id="1341854635">
      <w:bodyDiv w:val="1"/>
      <w:marLeft w:val="0"/>
      <w:marRight w:val="0"/>
      <w:marTop w:val="0"/>
      <w:marBottom w:val="0"/>
      <w:divBdr>
        <w:top w:val="none" w:sz="0" w:space="0" w:color="auto"/>
        <w:left w:val="none" w:sz="0" w:space="0" w:color="auto"/>
        <w:bottom w:val="none" w:sz="0" w:space="0" w:color="auto"/>
        <w:right w:val="none" w:sz="0" w:space="0" w:color="auto"/>
      </w:divBdr>
    </w:div>
    <w:div w:id="1345939822">
      <w:bodyDiv w:val="1"/>
      <w:marLeft w:val="0"/>
      <w:marRight w:val="0"/>
      <w:marTop w:val="0"/>
      <w:marBottom w:val="0"/>
      <w:divBdr>
        <w:top w:val="none" w:sz="0" w:space="0" w:color="auto"/>
        <w:left w:val="none" w:sz="0" w:space="0" w:color="auto"/>
        <w:bottom w:val="none" w:sz="0" w:space="0" w:color="auto"/>
        <w:right w:val="none" w:sz="0" w:space="0" w:color="auto"/>
      </w:divBdr>
    </w:div>
    <w:div w:id="1361903682">
      <w:bodyDiv w:val="1"/>
      <w:marLeft w:val="0"/>
      <w:marRight w:val="0"/>
      <w:marTop w:val="0"/>
      <w:marBottom w:val="0"/>
      <w:divBdr>
        <w:top w:val="none" w:sz="0" w:space="0" w:color="auto"/>
        <w:left w:val="none" w:sz="0" w:space="0" w:color="auto"/>
        <w:bottom w:val="none" w:sz="0" w:space="0" w:color="auto"/>
        <w:right w:val="none" w:sz="0" w:space="0" w:color="auto"/>
      </w:divBdr>
    </w:div>
    <w:div w:id="1365400579">
      <w:bodyDiv w:val="1"/>
      <w:marLeft w:val="0"/>
      <w:marRight w:val="0"/>
      <w:marTop w:val="0"/>
      <w:marBottom w:val="0"/>
      <w:divBdr>
        <w:top w:val="none" w:sz="0" w:space="0" w:color="auto"/>
        <w:left w:val="none" w:sz="0" w:space="0" w:color="auto"/>
        <w:bottom w:val="none" w:sz="0" w:space="0" w:color="auto"/>
        <w:right w:val="none" w:sz="0" w:space="0" w:color="auto"/>
      </w:divBdr>
    </w:div>
    <w:div w:id="1376732875">
      <w:bodyDiv w:val="1"/>
      <w:marLeft w:val="0"/>
      <w:marRight w:val="0"/>
      <w:marTop w:val="0"/>
      <w:marBottom w:val="0"/>
      <w:divBdr>
        <w:top w:val="none" w:sz="0" w:space="0" w:color="auto"/>
        <w:left w:val="none" w:sz="0" w:space="0" w:color="auto"/>
        <w:bottom w:val="none" w:sz="0" w:space="0" w:color="auto"/>
        <w:right w:val="none" w:sz="0" w:space="0" w:color="auto"/>
      </w:divBdr>
    </w:div>
    <w:div w:id="1380666503">
      <w:bodyDiv w:val="1"/>
      <w:marLeft w:val="0"/>
      <w:marRight w:val="0"/>
      <w:marTop w:val="0"/>
      <w:marBottom w:val="0"/>
      <w:divBdr>
        <w:top w:val="none" w:sz="0" w:space="0" w:color="auto"/>
        <w:left w:val="none" w:sz="0" w:space="0" w:color="auto"/>
        <w:bottom w:val="none" w:sz="0" w:space="0" w:color="auto"/>
        <w:right w:val="none" w:sz="0" w:space="0" w:color="auto"/>
      </w:divBdr>
    </w:div>
    <w:div w:id="1394619529">
      <w:bodyDiv w:val="1"/>
      <w:marLeft w:val="0"/>
      <w:marRight w:val="0"/>
      <w:marTop w:val="0"/>
      <w:marBottom w:val="0"/>
      <w:divBdr>
        <w:top w:val="none" w:sz="0" w:space="0" w:color="auto"/>
        <w:left w:val="none" w:sz="0" w:space="0" w:color="auto"/>
        <w:bottom w:val="none" w:sz="0" w:space="0" w:color="auto"/>
        <w:right w:val="none" w:sz="0" w:space="0" w:color="auto"/>
      </w:divBdr>
    </w:div>
    <w:div w:id="1402411837">
      <w:bodyDiv w:val="1"/>
      <w:marLeft w:val="0"/>
      <w:marRight w:val="0"/>
      <w:marTop w:val="0"/>
      <w:marBottom w:val="0"/>
      <w:divBdr>
        <w:top w:val="none" w:sz="0" w:space="0" w:color="auto"/>
        <w:left w:val="none" w:sz="0" w:space="0" w:color="auto"/>
        <w:bottom w:val="none" w:sz="0" w:space="0" w:color="auto"/>
        <w:right w:val="none" w:sz="0" w:space="0" w:color="auto"/>
      </w:divBdr>
    </w:div>
    <w:div w:id="1412895409">
      <w:bodyDiv w:val="1"/>
      <w:marLeft w:val="0"/>
      <w:marRight w:val="0"/>
      <w:marTop w:val="0"/>
      <w:marBottom w:val="0"/>
      <w:divBdr>
        <w:top w:val="none" w:sz="0" w:space="0" w:color="auto"/>
        <w:left w:val="none" w:sz="0" w:space="0" w:color="auto"/>
        <w:bottom w:val="none" w:sz="0" w:space="0" w:color="auto"/>
        <w:right w:val="none" w:sz="0" w:space="0" w:color="auto"/>
      </w:divBdr>
    </w:div>
    <w:div w:id="1422066140">
      <w:bodyDiv w:val="1"/>
      <w:marLeft w:val="0"/>
      <w:marRight w:val="0"/>
      <w:marTop w:val="0"/>
      <w:marBottom w:val="0"/>
      <w:divBdr>
        <w:top w:val="none" w:sz="0" w:space="0" w:color="auto"/>
        <w:left w:val="none" w:sz="0" w:space="0" w:color="auto"/>
        <w:bottom w:val="none" w:sz="0" w:space="0" w:color="auto"/>
        <w:right w:val="none" w:sz="0" w:space="0" w:color="auto"/>
      </w:divBdr>
    </w:div>
    <w:div w:id="1477994807">
      <w:bodyDiv w:val="1"/>
      <w:marLeft w:val="0"/>
      <w:marRight w:val="0"/>
      <w:marTop w:val="0"/>
      <w:marBottom w:val="0"/>
      <w:divBdr>
        <w:top w:val="none" w:sz="0" w:space="0" w:color="auto"/>
        <w:left w:val="none" w:sz="0" w:space="0" w:color="auto"/>
        <w:bottom w:val="none" w:sz="0" w:space="0" w:color="auto"/>
        <w:right w:val="none" w:sz="0" w:space="0" w:color="auto"/>
      </w:divBdr>
    </w:div>
    <w:div w:id="1516770077">
      <w:bodyDiv w:val="1"/>
      <w:marLeft w:val="0"/>
      <w:marRight w:val="0"/>
      <w:marTop w:val="0"/>
      <w:marBottom w:val="0"/>
      <w:divBdr>
        <w:top w:val="none" w:sz="0" w:space="0" w:color="auto"/>
        <w:left w:val="none" w:sz="0" w:space="0" w:color="auto"/>
        <w:bottom w:val="none" w:sz="0" w:space="0" w:color="auto"/>
        <w:right w:val="none" w:sz="0" w:space="0" w:color="auto"/>
      </w:divBdr>
    </w:div>
    <w:div w:id="1518277552">
      <w:bodyDiv w:val="1"/>
      <w:marLeft w:val="0"/>
      <w:marRight w:val="0"/>
      <w:marTop w:val="0"/>
      <w:marBottom w:val="0"/>
      <w:divBdr>
        <w:top w:val="none" w:sz="0" w:space="0" w:color="auto"/>
        <w:left w:val="none" w:sz="0" w:space="0" w:color="auto"/>
        <w:bottom w:val="none" w:sz="0" w:space="0" w:color="auto"/>
        <w:right w:val="none" w:sz="0" w:space="0" w:color="auto"/>
      </w:divBdr>
    </w:div>
    <w:div w:id="1528562448">
      <w:bodyDiv w:val="1"/>
      <w:marLeft w:val="0"/>
      <w:marRight w:val="0"/>
      <w:marTop w:val="0"/>
      <w:marBottom w:val="0"/>
      <w:divBdr>
        <w:top w:val="none" w:sz="0" w:space="0" w:color="auto"/>
        <w:left w:val="none" w:sz="0" w:space="0" w:color="auto"/>
        <w:bottom w:val="none" w:sz="0" w:space="0" w:color="auto"/>
        <w:right w:val="none" w:sz="0" w:space="0" w:color="auto"/>
      </w:divBdr>
    </w:div>
    <w:div w:id="1529023741">
      <w:bodyDiv w:val="1"/>
      <w:marLeft w:val="0"/>
      <w:marRight w:val="0"/>
      <w:marTop w:val="0"/>
      <w:marBottom w:val="0"/>
      <w:divBdr>
        <w:top w:val="none" w:sz="0" w:space="0" w:color="auto"/>
        <w:left w:val="none" w:sz="0" w:space="0" w:color="auto"/>
        <w:bottom w:val="none" w:sz="0" w:space="0" w:color="auto"/>
        <w:right w:val="none" w:sz="0" w:space="0" w:color="auto"/>
      </w:divBdr>
    </w:div>
    <w:div w:id="1535269324">
      <w:bodyDiv w:val="1"/>
      <w:marLeft w:val="0"/>
      <w:marRight w:val="0"/>
      <w:marTop w:val="0"/>
      <w:marBottom w:val="0"/>
      <w:divBdr>
        <w:top w:val="none" w:sz="0" w:space="0" w:color="auto"/>
        <w:left w:val="none" w:sz="0" w:space="0" w:color="auto"/>
        <w:bottom w:val="none" w:sz="0" w:space="0" w:color="auto"/>
        <w:right w:val="none" w:sz="0" w:space="0" w:color="auto"/>
      </w:divBdr>
    </w:div>
    <w:div w:id="1544439642">
      <w:bodyDiv w:val="1"/>
      <w:marLeft w:val="0"/>
      <w:marRight w:val="0"/>
      <w:marTop w:val="0"/>
      <w:marBottom w:val="0"/>
      <w:divBdr>
        <w:top w:val="none" w:sz="0" w:space="0" w:color="auto"/>
        <w:left w:val="none" w:sz="0" w:space="0" w:color="auto"/>
        <w:bottom w:val="none" w:sz="0" w:space="0" w:color="auto"/>
        <w:right w:val="none" w:sz="0" w:space="0" w:color="auto"/>
      </w:divBdr>
    </w:div>
    <w:div w:id="1595556217">
      <w:bodyDiv w:val="1"/>
      <w:marLeft w:val="0"/>
      <w:marRight w:val="0"/>
      <w:marTop w:val="0"/>
      <w:marBottom w:val="0"/>
      <w:divBdr>
        <w:top w:val="none" w:sz="0" w:space="0" w:color="auto"/>
        <w:left w:val="none" w:sz="0" w:space="0" w:color="auto"/>
        <w:bottom w:val="none" w:sz="0" w:space="0" w:color="auto"/>
        <w:right w:val="none" w:sz="0" w:space="0" w:color="auto"/>
      </w:divBdr>
    </w:div>
    <w:div w:id="1603688314">
      <w:bodyDiv w:val="1"/>
      <w:marLeft w:val="0"/>
      <w:marRight w:val="0"/>
      <w:marTop w:val="0"/>
      <w:marBottom w:val="0"/>
      <w:divBdr>
        <w:top w:val="none" w:sz="0" w:space="0" w:color="auto"/>
        <w:left w:val="none" w:sz="0" w:space="0" w:color="auto"/>
        <w:bottom w:val="none" w:sz="0" w:space="0" w:color="auto"/>
        <w:right w:val="none" w:sz="0" w:space="0" w:color="auto"/>
      </w:divBdr>
    </w:div>
    <w:div w:id="1607957391">
      <w:bodyDiv w:val="1"/>
      <w:marLeft w:val="0"/>
      <w:marRight w:val="0"/>
      <w:marTop w:val="0"/>
      <w:marBottom w:val="0"/>
      <w:divBdr>
        <w:top w:val="none" w:sz="0" w:space="0" w:color="auto"/>
        <w:left w:val="none" w:sz="0" w:space="0" w:color="auto"/>
        <w:bottom w:val="none" w:sz="0" w:space="0" w:color="auto"/>
        <w:right w:val="none" w:sz="0" w:space="0" w:color="auto"/>
      </w:divBdr>
    </w:div>
    <w:div w:id="1614047980">
      <w:bodyDiv w:val="1"/>
      <w:marLeft w:val="0"/>
      <w:marRight w:val="0"/>
      <w:marTop w:val="0"/>
      <w:marBottom w:val="0"/>
      <w:divBdr>
        <w:top w:val="none" w:sz="0" w:space="0" w:color="auto"/>
        <w:left w:val="none" w:sz="0" w:space="0" w:color="auto"/>
        <w:bottom w:val="none" w:sz="0" w:space="0" w:color="auto"/>
        <w:right w:val="none" w:sz="0" w:space="0" w:color="auto"/>
      </w:divBdr>
    </w:div>
    <w:div w:id="1625379929">
      <w:bodyDiv w:val="1"/>
      <w:marLeft w:val="0"/>
      <w:marRight w:val="0"/>
      <w:marTop w:val="0"/>
      <w:marBottom w:val="0"/>
      <w:divBdr>
        <w:top w:val="none" w:sz="0" w:space="0" w:color="auto"/>
        <w:left w:val="none" w:sz="0" w:space="0" w:color="auto"/>
        <w:bottom w:val="none" w:sz="0" w:space="0" w:color="auto"/>
        <w:right w:val="none" w:sz="0" w:space="0" w:color="auto"/>
      </w:divBdr>
    </w:div>
    <w:div w:id="1658460013">
      <w:bodyDiv w:val="1"/>
      <w:marLeft w:val="0"/>
      <w:marRight w:val="0"/>
      <w:marTop w:val="0"/>
      <w:marBottom w:val="0"/>
      <w:divBdr>
        <w:top w:val="none" w:sz="0" w:space="0" w:color="auto"/>
        <w:left w:val="none" w:sz="0" w:space="0" w:color="auto"/>
        <w:bottom w:val="none" w:sz="0" w:space="0" w:color="auto"/>
        <w:right w:val="none" w:sz="0" w:space="0" w:color="auto"/>
      </w:divBdr>
    </w:div>
    <w:div w:id="1671450265">
      <w:bodyDiv w:val="1"/>
      <w:marLeft w:val="0"/>
      <w:marRight w:val="0"/>
      <w:marTop w:val="0"/>
      <w:marBottom w:val="0"/>
      <w:divBdr>
        <w:top w:val="none" w:sz="0" w:space="0" w:color="auto"/>
        <w:left w:val="none" w:sz="0" w:space="0" w:color="auto"/>
        <w:bottom w:val="none" w:sz="0" w:space="0" w:color="auto"/>
        <w:right w:val="none" w:sz="0" w:space="0" w:color="auto"/>
      </w:divBdr>
    </w:div>
    <w:div w:id="1677416064">
      <w:bodyDiv w:val="1"/>
      <w:marLeft w:val="0"/>
      <w:marRight w:val="0"/>
      <w:marTop w:val="0"/>
      <w:marBottom w:val="0"/>
      <w:divBdr>
        <w:top w:val="none" w:sz="0" w:space="0" w:color="auto"/>
        <w:left w:val="none" w:sz="0" w:space="0" w:color="auto"/>
        <w:bottom w:val="none" w:sz="0" w:space="0" w:color="auto"/>
        <w:right w:val="none" w:sz="0" w:space="0" w:color="auto"/>
      </w:divBdr>
    </w:div>
    <w:div w:id="1698966515">
      <w:bodyDiv w:val="1"/>
      <w:marLeft w:val="0"/>
      <w:marRight w:val="0"/>
      <w:marTop w:val="0"/>
      <w:marBottom w:val="0"/>
      <w:divBdr>
        <w:top w:val="none" w:sz="0" w:space="0" w:color="auto"/>
        <w:left w:val="none" w:sz="0" w:space="0" w:color="auto"/>
        <w:bottom w:val="none" w:sz="0" w:space="0" w:color="auto"/>
        <w:right w:val="none" w:sz="0" w:space="0" w:color="auto"/>
      </w:divBdr>
    </w:div>
    <w:div w:id="1710253798">
      <w:bodyDiv w:val="1"/>
      <w:marLeft w:val="0"/>
      <w:marRight w:val="0"/>
      <w:marTop w:val="0"/>
      <w:marBottom w:val="0"/>
      <w:divBdr>
        <w:top w:val="none" w:sz="0" w:space="0" w:color="auto"/>
        <w:left w:val="none" w:sz="0" w:space="0" w:color="auto"/>
        <w:bottom w:val="none" w:sz="0" w:space="0" w:color="auto"/>
        <w:right w:val="none" w:sz="0" w:space="0" w:color="auto"/>
      </w:divBdr>
    </w:div>
    <w:div w:id="1720084156">
      <w:bodyDiv w:val="1"/>
      <w:marLeft w:val="0"/>
      <w:marRight w:val="0"/>
      <w:marTop w:val="0"/>
      <w:marBottom w:val="0"/>
      <w:divBdr>
        <w:top w:val="none" w:sz="0" w:space="0" w:color="auto"/>
        <w:left w:val="none" w:sz="0" w:space="0" w:color="auto"/>
        <w:bottom w:val="none" w:sz="0" w:space="0" w:color="auto"/>
        <w:right w:val="none" w:sz="0" w:space="0" w:color="auto"/>
      </w:divBdr>
    </w:div>
    <w:div w:id="1740251567">
      <w:bodyDiv w:val="1"/>
      <w:marLeft w:val="0"/>
      <w:marRight w:val="0"/>
      <w:marTop w:val="0"/>
      <w:marBottom w:val="0"/>
      <w:divBdr>
        <w:top w:val="none" w:sz="0" w:space="0" w:color="auto"/>
        <w:left w:val="none" w:sz="0" w:space="0" w:color="auto"/>
        <w:bottom w:val="none" w:sz="0" w:space="0" w:color="auto"/>
        <w:right w:val="none" w:sz="0" w:space="0" w:color="auto"/>
      </w:divBdr>
    </w:div>
    <w:div w:id="1750499101">
      <w:bodyDiv w:val="1"/>
      <w:marLeft w:val="0"/>
      <w:marRight w:val="0"/>
      <w:marTop w:val="0"/>
      <w:marBottom w:val="0"/>
      <w:divBdr>
        <w:top w:val="none" w:sz="0" w:space="0" w:color="auto"/>
        <w:left w:val="none" w:sz="0" w:space="0" w:color="auto"/>
        <w:bottom w:val="none" w:sz="0" w:space="0" w:color="auto"/>
        <w:right w:val="none" w:sz="0" w:space="0" w:color="auto"/>
      </w:divBdr>
    </w:div>
    <w:div w:id="1752893473">
      <w:bodyDiv w:val="1"/>
      <w:marLeft w:val="0"/>
      <w:marRight w:val="0"/>
      <w:marTop w:val="0"/>
      <w:marBottom w:val="0"/>
      <w:divBdr>
        <w:top w:val="none" w:sz="0" w:space="0" w:color="auto"/>
        <w:left w:val="none" w:sz="0" w:space="0" w:color="auto"/>
        <w:bottom w:val="none" w:sz="0" w:space="0" w:color="auto"/>
        <w:right w:val="none" w:sz="0" w:space="0" w:color="auto"/>
      </w:divBdr>
    </w:div>
    <w:div w:id="1753158420">
      <w:bodyDiv w:val="1"/>
      <w:marLeft w:val="0"/>
      <w:marRight w:val="0"/>
      <w:marTop w:val="0"/>
      <w:marBottom w:val="0"/>
      <w:divBdr>
        <w:top w:val="none" w:sz="0" w:space="0" w:color="auto"/>
        <w:left w:val="none" w:sz="0" w:space="0" w:color="auto"/>
        <w:bottom w:val="none" w:sz="0" w:space="0" w:color="auto"/>
        <w:right w:val="none" w:sz="0" w:space="0" w:color="auto"/>
      </w:divBdr>
    </w:div>
    <w:div w:id="1758667349">
      <w:bodyDiv w:val="1"/>
      <w:marLeft w:val="0"/>
      <w:marRight w:val="0"/>
      <w:marTop w:val="0"/>
      <w:marBottom w:val="0"/>
      <w:divBdr>
        <w:top w:val="none" w:sz="0" w:space="0" w:color="auto"/>
        <w:left w:val="none" w:sz="0" w:space="0" w:color="auto"/>
        <w:bottom w:val="none" w:sz="0" w:space="0" w:color="auto"/>
        <w:right w:val="none" w:sz="0" w:space="0" w:color="auto"/>
      </w:divBdr>
    </w:div>
    <w:div w:id="1760248068">
      <w:bodyDiv w:val="1"/>
      <w:marLeft w:val="0"/>
      <w:marRight w:val="0"/>
      <w:marTop w:val="0"/>
      <w:marBottom w:val="0"/>
      <w:divBdr>
        <w:top w:val="none" w:sz="0" w:space="0" w:color="auto"/>
        <w:left w:val="none" w:sz="0" w:space="0" w:color="auto"/>
        <w:bottom w:val="none" w:sz="0" w:space="0" w:color="auto"/>
        <w:right w:val="none" w:sz="0" w:space="0" w:color="auto"/>
      </w:divBdr>
    </w:div>
    <w:div w:id="1770586553">
      <w:bodyDiv w:val="1"/>
      <w:marLeft w:val="0"/>
      <w:marRight w:val="0"/>
      <w:marTop w:val="0"/>
      <w:marBottom w:val="0"/>
      <w:divBdr>
        <w:top w:val="none" w:sz="0" w:space="0" w:color="auto"/>
        <w:left w:val="none" w:sz="0" w:space="0" w:color="auto"/>
        <w:bottom w:val="none" w:sz="0" w:space="0" w:color="auto"/>
        <w:right w:val="none" w:sz="0" w:space="0" w:color="auto"/>
      </w:divBdr>
    </w:div>
    <w:div w:id="1778713858">
      <w:bodyDiv w:val="1"/>
      <w:marLeft w:val="0"/>
      <w:marRight w:val="0"/>
      <w:marTop w:val="0"/>
      <w:marBottom w:val="0"/>
      <w:divBdr>
        <w:top w:val="none" w:sz="0" w:space="0" w:color="auto"/>
        <w:left w:val="none" w:sz="0" w:space="0" w:color="auto"/>
        <w:bottom w:val="none" w:sz="0" w:space="0" w:color="auto"/>
        <w:right w:val="none" w:sz="0" w:space="0" w:color="auto"/>
      </w:divBdr>
    </w:div>
    <w:div w:id="1779636450">
      <w:bodyDiv w:val="1"/>
      <w:marLeft w:val="0"/>
      <w:marRight w:val="0"/>
      <w:marTop w:val="0"/>
      <w:marBottom w:val="0"/>
      <w:divBdr>
        <w:top w:val="none" w:sz="0" w:space="0" w:color="auto"/>
        <w:left w:val="none" w:sz="0" w:space="0" w:color="auto"/>
        <w:bottom w:val="none" w:sz="0" w:space="0" w:color="auto"/>
        <w:right w:val="none" w:sz="0" w:space="0" w:color="auto"/>
      </w:divBdr>
    </w:div>
    <w:div w:id="1848324330">
      <w:bodyDiv w:val="1"/>
      <w:marLeft w:val="0"/>
      <w:marRight w:val="0"/>
      <w:marTop w:val="0"/>
      <w:marBottom w:val="0"/>
      <w:divBdr>
        <w:top w:val="none" w:sz="0" w:space="0" w:color="auto"/>
        <w:left w:val="none" w:sz="0" w:space="0" w:color="auto"/>
        <w:bottom w:val="none" w:sz="0" w:space="0" w:color="auto"/>
        <w:right w:val="none" w:sz="0" w:space="0" w:color="auto"/>
      </w:divBdr>
    </w:div>
    <w:div w:id="1855457273">
      <w:bodyDiv w:val="1"/>
      <w:marLeft w:val="0"/>
      <w:marRight w:val="0"/>
      <w:marTop w:val="0"/>
      <w:marBottom w:val="0"/>
      <w:divBdr>
        <w:top w:val="none" w:sz="0" w:space="0" w:color="auto"/>
        <w:left w:val="none" w:sz="0" w:space="0" w:color="auto"/>
        <w:bottom w:val="none" w:sz="0" w:space="0" w:color="auto"/>
        <w:right w:val="none" w:sz="0" w:space="0" w:color="auto"/>
      </w:divBdr>
    </w:div>
    <w:div w:id="1865943826">
      <w:bodyDiv w:val="1"/>
      <w:marLeft w:val="0"/>
      <w:marRight w:val="0"/>
      <w:marTop w:val="0"/>
      <w:marBottom w:val="0"/>
      <w:divBdr>
        <w:top w:val="none" w:sz="0" w:space="0" w:color="auto"/>
        <w:left w:val="none" w:sz="0" w:space="0" w:color="auto"/>
        <w:bottom w:val="none" w:sz="0" w:space="0" w:color="auto"/>
        <w:right w:val="none" w:sz="0" w:space="0" w:color="auto"/>
      </w:divBdr>
    </w:div>
    <w:div w:id="1900893800">
      <w:bodyDiv w:val="1"/>
      <w:marLeft w:val="0"/>
      <w:marRight w:val="0"/>
      <w:marTop w:val="0"/>
      <w:marBottom w:val="0"/>
      <w:divBdr>
        <w:top w:val="none" w:sz="0" w:space="0" w:color="auto"/>
        <w:left w:val="none" w:sz="0" w:space="0" w:color="auto"/>
        <w:bottom w:val="none" w:sz="0" w:space="0" w:color="auto"/>
        <w:right w:val="none" w:sz="0" w:space="0" w:color="auto"/>
      </w:divBdr>
    </w:div>
    <w:div w:id="1908607514">
      <w:bodyDiv w:val="1"/>
      <w:marLeft w:val="0"/>
      <w:marRight w:val="0"/>
      <w:marTop w:val="0"/>
      <w:marBottom w:val="0"/>
      <w:divBdr>
        <w:top w:val="none" w:sz="0" w:space="0" w:color="auto"/>
        <w:left w:val="none" w:sz="0" w:space="0" w:color="auto"/>
        <w:bottom w:val="none" w:sz="0" w:space="0" w:color="auto"/>
        <w:right w:val="none" w:sz="0" w:space="0" w:color="auto"/>
      </w:divBdr>
    </w:div>
    <w:div w:id="1917087347">
      <w:bodyDiv w:val="1"/>
      <w:marLeft w:val="0"/>
      <w:marRight w:val="0"/>
      <w:marTop w:val="0"/>
      <w:marBottom w:val="0"/>
      <w:divBdr>
        <w:top w:val="none" w:sz="0" w:space="0" w:color="auto"/>
        <w:left w:val="none" w:sz="0" w:space="0" w:color="auto"/>
        <w:bottom w:val="none" w:sz="0" w:space="0" w:color="auto"/>
        <w:right w:val="none" w:sz="0" w:space="0" w:color="auto"/>
      </w:divBdr>
    </w:div>
    <w:div w:id="1923097448">
      <w:bodyDiv w:val="1"/>
      <w:marLeft w:val="0"/>
      <w:marRight w:val="0"/>
      <w:marTop w:val="0"/>
      <w:marBottom w:val="0"/>
      <w:divBdr>
        <w:top w:val="none" w:sz="0" w:space="0" w:color="auto"/>
        <w:left w:val="none" w:sz="0" w:space="0" w:color="auto"/>
        <w:bottom w:val="none" w:sz="0" w:space="0" w:color="auto"/>
        <w:right w:val="none" w:sz="0" w:space="0" w:color="auto"/>
      </w:divBdr>
    </w:div>
    <w:div w:id="1931355912">
      <w:bodyDiv w:val="1"/>
      <w:marLeft w:val="0"/>
      <w:marRight w:val="0"/>
      <w:marTop w:val="0"/>
      <w:marBottom w:val="0"/>
      <w:divBdr>
        <w:top w:val="none" w:sz="0" w:space="0" w:color="auto"/>
        <w:left w:val="none" w:sz="0" w:space="0" w:color="auto"/>
        <w:bottom w:val="none" w:sz="0" w:space="0" w:color="auto"/>
        <w:right w:val="none" w:sz="0" w:space="0" w:color="auto"/>
      </w:divBdr>
    </w:div>
    <w:div w:id="1932467938">
      <w:bodyDiv w:val="1"/>
      <w:marLeft w:val="0"/>
      <w:marRight w:val="0"/>
      <w:marTop w:val="0"/>
      <w:marBottom w:val="0"/>
      <w:divBdr>
        <w:top w:val="none" w:sz="0" w:space="0" w:color="auto"/>
        <w:left w:val="none" w:sz="0" w:space="0" w:color="auto"/>
        <w:bottom w:val="none" w:sz="0" w:space="0" w:color="auto"/>
        <w:right w:val="none" w:sz="0" w:space="0" w:color="auto"/>
      </w:divBdr>
    </w:div>
    <w:div w:id="1947301347">
      <w:bodyDiv w:val="1"/>
      <w:marLeft w:val="0"/>
      <w:marRight w:val="0"/>
      <w:marTop w:val="0"/>
      <w:marBottom w:val="0"/>
      <w:divBdr>
        <w:top w:val="none" w:sz="0" w:space="0" w:color="auto"/>
        <w:left w:val="none" w:sz="0" w:space="0" w:color="auto"/>
        <w:bottom w:val="none" w:sz="0" w:space="0" w:color="auto"/>
        <w:right w:val="none" w:sz="0" w:space="0" w:color="auto"/>
      </w:divBdr>
    </w:div>
    <w:div w:id="2010132373">
      <w:bodyDiv w:val="1"/>
      <w:marLeft w:val="0"/>
      <w:marRight w:val="0"/>
      <w:marTop w:val="0"/>
      <w:marBottom w:val="0"/>
      <w:divBdr>
        <w:top w:val="none" w:sz="0" w:space="0" w:color="auto"/>
        <w:left w:val="none" w:sz="0" w:space="0" w:color="auto"/>
        <w:bottom w:val="none" w:sz="0" w:space="0" w:color="auto"/>
        <w:right w:val="none" w:sz="0" w:space="0" w:color="auto"/>
      </w:divBdr>
    </w:div>
    <w:div w:id="2025398736">
      <w:bodyDiv w:val="1"/>
      <w:marLeft w:val="0"/>
      <w:marRight w:val="0"/>
      <w:marTop w:val="0"/>
      <w:marBottom w:val="0"/>
      <w:divBdr>
        <w:top w:val="none" w:sz="0" w:space="0" w:color="auto"/>
        <w:left w:val="none" w:sz="0" w:space="0" w:color="auto"/>
        <w:bottom w:val="none" w:sz="0" w:space="0" w:color="auto"/>
        <w:right w:val="none" w:sz="0" w:space="0" w:color="auto"/>
      </w:divBdr>
    </w:div>
    <w:div w:id="2048793248">
      <w:bodyDiv w:val="1"/>
      <w:marLeft w:val="0"/>
      <w:marRight w:val="0"/>
      <w:marTop w:val="0"/>
      <w:marBottom w:val="0"/>
      <w:divBdr>
        <w:top w:val="none" w:sz="0" w:space="0" w:color="auto"/>
        <w:left w:val="none" w:sz="0" w:space="0" w:color="auto"/>
        <w:bottom w:val="none" w:sz="0" w:space="0" w:color="auto"/>
        <w:right w:val="none" w:sz="0" w:space="0" w:color="auto"/>
      </w:divBdr>
    </w:div>
    <w:div w:id="2061710092">
      <w:bodyDiv w:val="1"/>
      <w:marLeft w:val="0"/>
      <w:marRight w:val="0"/>
      <w:marTop w:val="0"/>
      <w:marBottom w:val="0"/>
      <w:divBdr>
        <w:top w:val="none" w:sz="0" w:space="0" w:color="auto"/>
        <w:left w:val="none" w:sz="0" w:space="0" w:color="auto"/>
        <w:bottom w:val="none" w:sz="0" w:space="0" w:color="auto"/>
        <w:right w:val="none" w:sz="0" w:space="0" w:color="auto"/>
      </w:divBdr>
    </w:div>
    <w:div w:id="2064020163">
      <w:bodyDiv w:val="1"/>
      <w:marLeft w:val="0"/>
      <w:marRight w:val="0"/>
      <w:marTop w:val="0"/>
      <w:marBottom w:val="0"/>
      <w:divBdr>
        <w:top w:val="none" w:sz="0" w:space="0" w:color="auto"/>
        <w:left w:val="none" w:sz="0" w:space="0" w:color="auto"/>
        <w:bottom w:val="none" w:sz="0" w:space="0" w:color="auto"/>
        <w:right w:val="none" w:sz="0" w:space="0" w:color="auto"/>
      </w:divBdr>
    </w:div>
    <w:div w:id="2066365233">
      <w:bodyDiv w:val="1"/>
      <w:marLeft w:val="0"/>
      <w:marRight w:val="0"/>
      <w:marTop w:val="0"/>
      <w:marBottom w:val="0"/>
      <w:divBdr>
        <w:top w:val="none" w:sz="0" w:space="0" w:color="auto"/>
        <w:left w:val="none" w:sz="0" w:space="0" w:color="auto"/>
        <w:bottom w:val="none" w:sz="0" w:space="0" w:color="auto"/>
        <w:right w:val="none" w:sz="0" w:space="0" w:color="auto"/>
      </w:divBdr>
    </w:div>
    <w:div w:id="2067146174">
      <w:bodyDiv w:val="1"/>
      <w:marLeft w:val="0"/>
      <w:marRight w:val="0"/>
      <w:marTop w:val="0"/>
      <w:marBottom w:val="0"/>
      <w:divBdr>
        <w:top w:val="none" w:sz="0" w:space="0" w:color="auto"/>
        <w:left w:val="none" w:sz="0" w:space="0" w:color="auto"/>
        <w:bottom w:val="none" w:sz="0" w:space="0" w:color="auto"/>
        <w:right w:val="none" w:sz="0" w:space="0" w:color="auto"/>
      </w:divBdr>
    </w:div>
    <w:div w:id="2113086182">
      <w:bodyDiv w:val="1"/>
      <w:marLeft w:val="0"/>
      <w:marRight w:val="0"/>
      <w:marTop w:val="0"/>
      <w:marBottom w:val="0"/>
      <w:divBdr>
        <w:top w:val="none" w:sz="0" w:space="0" w:color="auto"/>
        <w:left w:val="none" w:sz="0" w:space="0" w:color="auto"/>
        <w:bottom w:val="none" w:sz="0" w:space="0" w:color="auto"/>
        <w:right w:val="none" w:sz="0" w:space="0" w:color="auto"/>
      </w:divBdr>
    </w:div>
    <w:div w:id="2124380918">
      <w:bodyDiv w:val="1"/>
      <w:marLeft w:val="0"/>
      <w:marRight w:val="0"/>
      <w:marTop w:val="0"/>
      <w:marBottom w:val="0"/>
      <w:divBdr>
        <w:top w:val="none" w:sz="0" w:space="0" w:color="auto"/>
        <w:left w:val="none" w:sz="0" w:space="0" w:color="auto"/>
        <w:bottom w:val="none" w:sz="0" w:space="0" w:color="auto"/>
        <w:right w:val="none" w:sz="0" w:space="0" w:color="auto"/>
      </w:divBdr>
    </w:div>
    <w:div w:id="21256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Luat-cac-to-chuc-tin-dung-2010-108079.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ien-te-Ngan-hang/Luat-cac-to-chuc-tin-dung-2010-10807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768A-AB3D-410A-861E-A4A2F086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TotalTime>
  <Pages>16</Pages>
  <Words>8241</Words>
  <Characters>46977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Ha Anh</dc:creator>
  <cp:lastModifiedBy>Vu Thi Bich Lien</cp:lastModifiedBy>
  <cp:revision>27</cp:revision>
  <cp:lastPrinted>2025-11-04T03:59:00Z</cp:lastPrinted>
  <dcterms:created xsi:type="dcterms:W3CDTF">2025-09-04T03:09:00Z</dcterms:created>
  <dcterms:modified xsi:type="dcterms:W3CDTF">2025-11-04T07:00:00Z</dcterms:modified>
</cp:coreProperties>
</file>