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284"/>
        <w:jc w:val="center"/>
        <w:rPr>
          <w:rFonts w:ascii="Times New Roman" w:cs="Times New Roman" w:eastAsia="Times New Roman" w:hAnsi="Times New Roman"/>
          <w:b w:val="1"/>
          <w:color w:val="000000"/>
          <w:sz w:val="26"/>
          <w:szCs w:val="26"/>
        </w:rPr>
      </w:pPr>
      <w:bookmarkStart w:colFirst="0" w:colLast="0" w:name="_heading=h.3wgsi0owrr32" w:id="0"/>
      <w:bookmarkEnd w:id="0"/>
      <w:r w:rsidDel="00000000" w:rsidR="00000000" w:rsidRPr="00000000">
        <w:rPr>
          <w:rFonts w:ascii="Times New Roman" w:cs="Times New Roman" w:eastAsia="Times New Roman" w:hAnsi="Times New Roman"/>
          <w:b w:val="1"/>
          <w:sz w:val="26"/>
          <w:szCs w:val="26"/>
          <w:rtl w:val="0"/>
        </w:rPr>
        <w:t xml:space="preserve">BẢN SO SÁNH, THUYẾT MINH </w:t>
      </w:r>
      <w:r w:rsidDel="00000000" w:rsidR="00000000" w:rsidRPr="00000000">
        <w:rPr>
          <w:rFonts w:ascii="Times New Roman" w:cs="Times New Roman" w:eastAsia="Times New Roman" w:hAnsi="Times New Roman"/>
          <w:b w:val="1"/>
          <w:color w:val="000000"/>
          <w:sz w:val="26"/>
          <w:szCs w:val="26"/>
          <w:rtl w:val="0"/>
        </w:rPr>
        <w:t xml:space="preserve">DỰ THẢO NGHỊ ĐỊNH VỀ THANH TOÁN, QUYẾT TOÁN VỐN NGÂN SÁCH NHÀ NƯỚC ĐỂ CẤP BÙ LÃI SUẤT CHO CÁC NGÂN HÀNG THƯƠNG MẠI THỰC HIỆN CÁC CHÍNH SÁCH TÍN DỤNG ƯU ĐÃI </w:t>
      </w:r>
    </w:p>
    <w:p w:rsidR="00000000" w:rsidDel="00000000" w:rsidP="00000000" w:rsidRDefault="00000000" w:rsidRPr="00000000" w14:paraId="00000002">
      <w:pPr>
        <w:spacing w:after="0" w:line="240" w:lineRule="auto"/>
        <w:ind w:firstLine="284"/>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CỦA NHÀ NƯỚC</w:t>
      </w:r>
      <w:bookmarkStart w:colFirst="0" w:colLast="0" w:name="bookmark=id.81q173ndvkfw" w:id="1"/>
      <w:bookmarkEnd w:id="1"/>
      <w:r w:rsidDel="00000000" w:rsidR="00000000" w:rsidRPr="00000000">
        <w:rPr>
          <w:rtl w:val="0"/>
        </w:rPr>
      </w:r>
    </w:p>
    <w:p w:rsidR="00000000" w:rsidDel="00000000" w:rsidP="00000000" w:rsidRDefault="00000000" w:rsidRPr="00000000" w14:paraId="00000003">
      <w:pPr>
        <w:spacing w:after="0" w:line="240" w:lineRule="auto"/>
        <w:ind w:firstLine="288"/>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(Trình kèm theo Tờ trình số ……/TTr-BTC ngày ……/……/2025)</w:t>
      </w:r>
    </w:p>
    <w:p w:rsidR="00000000" w:rsidDel="00000000" w:rsidP="00000000" w:rsidRDefault="00000000" w:rsidRPr="00000000" w14:paraId="00000004">
      <w:pPr>
        <w:spacing w:after="0" w:line="240" w:lineRule="auto"/>
        <w:ind w:firstLine="284"/>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240" w:lineRule="auto"/>
        <w:ind w:firstLine="284"/>
        <w:jc w:val="both"/>
        <w:rPr>
          <w:rFonts w:ascii="Times New Roman" w:cs="Times New Roman" w:eastAsia="Times New Roman" w:hAnsi="Times New Roman"/>
          <w:b w:val="1"/>
          <w:sz w:val="24"/>
          <w:szCs w:val="24"/>
        </w:rPr>
      </w:pPr>
      <w:r w:rsidDel="00000000" w:rsidR="00000000" w:rsidRPr="00000000">
        <w:rPr>
          <w:rtl w:val="0"/>
        </w:rPr>
      </w:r>
    </w:p>
    <w:tbl>
      <w:tblPr>
        <w:tblStyle w:val="Table1"/>
        <w:tblW w:w="1459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9"/>
        <w:gridCol w:w="6429"/>
        <w:gridCol w:w="5624"/>
        <w:tblGridChange w:id="0">
          <w:tblGrid>
            <w:gridCol w:w="2539"/>
            <w:gridCol w:w="6429"/>
            <w:gridCol w:w="5624"/>
          </w:tblGrid>
        </w:tblGridChange>
      </w:tblGrid>
      <w:tr>
        <w:trPr>
          <w:cantSplit w:val="0"/>
          <w:trHeight w:val="581" w:hRule="atLeast"/>
          <w:tblHeader w:val="1"/>
        </w:trPr>
        <w:tc>
          <w:tcPr>
            <w:shd w:fill="d9d9d9" w:val="clear"/>
            <w:vAlign w:val="center"/>
          </w:tcPr>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NỘI DUNG</w:t>
            </w:r>
          </w:p>
        </w:tc>
        <w:tc>
          <w:tcPr>
            <w:shd w:fill="d9d9d9" w:val="clear"/>
            <w:vAlign w:val="center"/>
          </w:tcPr>
          <w:p w:rsidR="00000000" w:rsidDel="00000000" w:rsidP="00000000" w:rsidRDefault="00000000" w:rsidRPr="00000000" w14:paraId="0000000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DỰ THẢO NGHỊ ĐỊNH</w:t>
            </w:r>
          </w:p>
          <w:p w:rsidR="00000000" w:rsidDel="00000000" w:rsidP="00000000" w:rsidRDefault="00000000" w:rsidRPr="00000000" w14:paraId="00000008">
            <w:pPr>
              <w:widowControl w:val="0"/>
              <w:ind w:firstLine="17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(Bản ngày 04/11/2025)</w:t>
            </w:r>
          </w:p>
        </w:tc>
        <w:tc>
          <w:tcPr>
            <w:shd w:fill="d9d9d9" w:val="clear"/>
            <w:vAlign w:val="center"/>
          </w:tcPr>
          <w:p w:rsidR="00000000" w:rsidDel="00000000" w:rsidP="00000000" w:rsidRDefault="00000000" w:rsidRPr="00000000" w14:paraId="00000009">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THUYẾT MINH</w:t>
            </w:r>
          </w:p>
        </w:tc>
      </w:tr>
      <w:tr>
        <w:trPr>
          <w:cantSplit w:val="0"/>
          <w:trHeight w:val="1694" w:hRule="atLeast"/>
          <w:tblHeader w:val="0"/>
        </w:trPr>
        <w:tc>
          <w:tcPr/>
          <w:p w:rsidR="00000000" w:rsidDel="00000000" w:rsidP="00000000" w:rsidRDefault="00000000" w:rsidRPr="00000000" w14:paraId="0000000A">
            <w:pPr>
              <w:tabs>
                <w:tab w:val="left" w:leader="none" w:pos="143"/>
              </w:tabs>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Phạm vi điều chỉnh</w:t>
            </w:r>
          </w:p>
          <w:p w:rsidR="00000000" w:rsidDel="00000000" w:rsidP="00000000" w:rsidRDefault="00000000" w:rsidRPr="00000000" w14:paraId="0000000B">
            <w:pPr>
              <w:tabs>
                <w:tab w:val="left" w:leader="none" w:pos="143"/>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(Điều 1)</w:t>
            </w:r>
            <w:r w:rsidDel="00000000" w:rsidR="00000000" w:rsidRPr="00000000">
              <w:rPr>
                <w:rtl w:val="0"/>
              </w:rPr>
            </w:r>
          </w:p>
        </w:tc>
        <w:tc>
          <w:tcPr>
            <w:shd w:fill="auto" w:val="clear"/>
          </w:tcPr>
          <w:p w:rsidR="00000000" w:rsidDel="00000000" w:rsidP="00000000" w:rsidRDefault="00000000" w:rsidRPr="00000000" w14:paraId="0000000C">
            <w:pPr>
              <w:tabs>
                <w:tab w:val="left" w:leader="none" w:pos="1134"/>
              </w:tabs>
              <w:spacing w:after="80" w:before="80" w:lineRule="auto"/>
              <w:jc w:val="both"/>
              <w:rPr>
                <w:rFonts w:ascii="Times New Roman" w:cs="Times New Roman" w:eastAsia="Times New Roman" w:hAnsi="Times New Roman"/>
                <w:strike w:val="1"/>
                <w:sz w:val="24"/>
                <w:szCs w:val="24"/>
                <w:highlight w:val="yellow"/>
              </w:rPr>
            </w:pPr>
            <w:r w:rsidDel="00000000" w:rsidR="00000000" w:rsidRPr="00000000">
              <w:rPr>
                <w:rFonts w:ascii="Times New Roman" w:cs="Times New Roman" w:eastAsia="Times New Roman" w:hAnsi="Times New Roman"/>
                <w:sz w:val="24"/>
                <w:szCs w:val="24"/>
                <w:rtl w:val="0"/>
              </w:rPr>
              <w:t xml:space="preserve">Nghị định này quy định về lập kế hoạch, thanh toán, quyết toán vốn ngân sách nhà nước nguồn ngân sách trung ương để cấp bù lãi suất, hỗ trợ lãi suất(sau đây gọi tắt là cấp bù lãi suất) thông qua các ngân hàng thương mại thực hiện các chính sách tín dụng ưu đãi của nhà nước.</w:t>
            </w:r>
            <w:r w:rsidDel="00000000" w:rsidR="00000000" w:rsidRPr="00000000">
              <w:rPr>
                <w:rtl w:val="0"/>
              </w:rPr>
            </w:r>
          </w:p>
        </w:tc>
        <w:tc>
          <w:tcPr/>
          <w:p w:rsidR="00000000" w:rsidDel="00000000" w:rsidP="00000000" w:rsidRDefault="00000000" w:rsidRPr="00000000" w14:paraId="0000000D">
            <w:pPr>
              <w:tabs>
                <w:tab w:val="left" w:leader="none" w:pos="143"/>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Theo quy định khoản 6 Điều 5 Luật Đầu tư công, “cấp bù lãi suất” thuộc đối tượng đầu tư công.</w:t>
            </w:r>
          </w:p>
          <w:p w:rsidR="00000000" w:rsidDel="00000000" w:rsidP="00000000" w:rsidRDefault="00000000" w:rsidRPr="00000000" w14:paraId="0000000E">
            <w:pPr>
              <w:tabs>
                <w:tab w:val="left" w:leader="none" w:pos="143"/>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Tại khoản 3 Điều 86 Luật Đầu tư công số 58/2024/QH14 đã giao nhiệm vụ Bộ Tài chính: </w:t>
            </w:r>
            <w:r w:rsidDel="00000000" w:rsidR="00000000" w:rsidRPr="00000000">
              <w:rPr>
                <w:rFonts w:ascii="Times New Roman" w:cs="Times New Roman" w:eastAsia="Times New Roman" w:hAnsi="Times New Roman"/>
                <w:i w:val="1"/>
                <w:sz w:val="24"/>
                <w:szCs w:val="24"/>
                <w:rtl w:val="0"/>
              </w:rPr>
              <w:t xml:space="preserve">“Chủ trì trình cấp có thẩm quyền ban hành hoặc ban hành theo thẩm quyền quy định về quản lý, thanh toán, quyết toán dự án sử dụng vốn đầu tư công”.</w:t>
            </w:r>
            <w:r w:rsidDel="00000000" w:rsidR="00000000" w:rsidRPr="00000000">
              <w:rPr>
                <w:rtl w:val="0"/>
              </w:rPr>
            </w:r>
          </w:p>
        </w:tc>
      </w:tr>
      <w:tr>
        <w:trPr>
          <w:cantSplit w:val="0"/>
          <w:trHeight w:val="1248" w:hRule="atLeast"/>
          <w:tblHeader w:val="0"/>
        </w:trPr>
        <w:tc>
          <w:tcPr/>
          <w:p w:rsidR="00000000" w:rsidDel="00000000" w:rsidP="00000000" w:rsidRDefault="00000000" w:rsidRPr="00000000" w14:paraId="0000000F">
            <w:pPr>
              <w:tabs>
                <w:tab w:val="left" w:leader="none" w:pos="143"/>
              </w:tabs>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Đối tượng áp dụng</w:t>
            </w:r>
          </w:p>
          <w:p w:rsidR="00000000" w:rsidDel="00000000" w:rsidP="00000000" w:rsidRDefault="00000000" w:rsidRPr="00000000" w14:paraId="00000010">
            <w:pPr>
              <w:tabs>
                <w:tab w:val="left" w:leader="none" w:pos="143"/>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(Điều 2)</w:t>
            </w:r>
            <w:r w:rsidDel="00000000" w:rsidR="00000000" w:rsidRPr="00000000">
              <w:rPr>
                <w:rtl w:val="0"/>
              </w:rPr>
            </w:r>
          </w:p>
        </w:tc>
        <w:tc>
          <w:tcPr/>
          <w:p w:rsidR="00000000" w:rsidDel="00000000" w:rsidP="00000000" w:rsidRDefault="00000000" w:rsidRPr="00000000" w14:paraId="00000011">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Ngân hàng thương mại được thành lập và hoạt động theo quy định của Luật Các tổ chức tín dụng thực </w:t>
            </w:r>
            <w:r w:rsidDel="00000000" w:rsidR="00000000" w:rsidRPr="00000000">
              <w:rPr>
                <w:rFonts w:ascii="Times New Roman" w:cs="Times New Roman" w:eastAsia="Times New Roman" w:hAnsi="Times New Roman"/>
                <w:color w:val="000000"/>
                <w:sz w:val="24"/>
                <w:szCs w:val="24"/>
                <w:rtl w:val="0"/>
              </w:rPr>
              <w:t xml:space="preserve">hiện các chính sách tín dụng ưu đãi của nhà nước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tabs>
                <w:tab w:val="left" w:leader="none" w:pos="143"/>
              </w:tabs>
              <w:ind w:firstLine="284"/>
              <w:jc w:val="both"/>
              <w:rPr>
                <w:rFonts w:ascii="Times New Roman" w:cs="Times New Roman" w:eastAsia="Times New Roman" w:hAnsi="Times New Roman"/>
                <w:strike w:val="1"/>
                <w:sz w:val="24"/>
                <w:szCs w:val="24"/>
                <w:highlight w:val="yellow"/>
              </w:rPr>
            </w:pPr>
            <w:r w:rsidDel="00000000" w:rsidR="00000000" w:rsidRPr="00000000">
              <w:rPr>
                <w:rFonts w:ascii="Times New Roman" w:cs="Times New Roman" w:eastAsia="Times New Roman" w:hAnsi="Times New Roman"/>
                <w:sz w:val="24"/>
                <w:szCs w:val="24"/>
                <w:rtl w:val="0"/>
              </w:rPr>
              <w:t xml:space="preserve">2. Cơ quan, tổ chức, cá nhân khác có liên quan.</w:t>
            </w:r>
            <w:r w:rsidDel="00000000" w:rsidR="00000000" w:rsidRPr="00000000">
              <w:rPr>
                <w:rtl w:val="0"/>
              </w:rPr>
            </w:r>
          </w:p>
        </w:tc>
        <w:tc>
          <w:tcPr/>
          <w:p w:rsidR="00000000" w:rsidDel="00000000" w:rsidP="00000000" w:rsidRDefault="00000000" w:rsidRPr="00000000" w14:paraId="00000013">
            <w:pPr>
              <w:ind w:firstLine="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Đối tượng áp dụng bao gồm các ngân hàng thương mại thực hiện các chính sách tín dụng ưu đãi của nhà nước và các cơ quan, tổ chức cá nhân khác có liên quan.</w:t>
            </w:r>
          </w:p>
        </w:tc>
      </w:tr>
      <w:tr>
        <w:trPr>
          <w:cantSplit w:val="0"/>
          <w:trHeight w:val="313" w:hRule="atLeast"/>
          <w:tblHeader w:val="0"/>
        </w:trPr>
        <w:tc>
          <w:tcPr/>
          <w:p w:rsidR="00000000" w:rsidDel="00000000" w:rsidP="00000000" w:rsidRDefault="00000000" w:rsidRPr="00000000" w14:paraId="00000014">
            <w:pPr>
              <w:tabs>
                <w:tab w:val="left" w:leader="none" w:pos="143"/>
              </w:tabs>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Nguyên tắc cấp bù lãi suất </w:t>
            </w:r>
            <w:r w:rsidDel="00000000" w:rsidR="00000000" w:rsidRPr="00000000">
              <w:rPr>
                <w:rFonts w:ascii="Times New Roman" w:cs="Times New Roman" w:eastAsia="Times New Roman" w:hAnsi="Times New Roman"/>
                <w:b w:val="1"/>
                <w:sz w:val="24"/>
                <w:szCs w:val="24"/>
                <w:rtl w:val="0"/>
              </w:rPr>
              <w:t xml:space="preserve">(Điều 3)</w:t>
            </w:r>
            <w:r w:rsidDel="00000000" w:rsidR="00000000" w:rsidRPr="00000000">
              <w:rPr>
                <w:rtl w:val="0"/>
              </w:rPr>
            </w:r>
          </w:p>
        </w:tc>
        <w:tc>
          <w:tcPr/>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Việc cấp bù lãi suất bảo đảm công khai, minh bạch, đúng đối tượng, đúng mục đích, tránh trục lợi chính sách.</w:t>
            </w:r>
          </w:p>
          <w:p w:rsidR="00000000" w:rsidDel="00000000" w:rsidP="00000000" w:rsidRDefault="00000000" w:rsidRPr="00000000" w14:paraId="00000016">
            <w:pPr>
              <w:tabs>
                <w:tab w:val="left" w:leader="none" w:pos="993"/>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Ngân hàng thương mại thực hiện chính sách tín dụng ưu đãi của nhà nước đảm bảo đúng quy định, tạo thuận lợi cho khách hàng.</w:t>
            </w:r>
          </w:p>
          <w:p w:rsidR="00000000" w:rsidDel="00000000" w:rsidP="00000000" w:rsidRDefault="00000000" w:rsidRPr="00000000" w14:paraId="00000017">
            <w:pPr>
              <w:tabs>
                <w:tab w:val="left" w:leader="none" w:pos="993"/>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Ngân sách bố trí kinh phí cấp bù lãi suất thực hiện các chính sách tín dụng ưu đãi của nhà nước thông qua các ngân hàng thương mại để thực hiện các chính sách ưu đãi của nhà nước.</w:t>
            </w:r>
          </w:p>
          <w:p w:rsidR="00000000" w:rsidDel="00000000" w:rsidP="00000000" w:rsidRDefault="00000000" w:rsidRPr="00000000" w14:paraId="00000018">
            <w:pPr>
              <w:tabs>
                <w:tab w:val="left" w:leader="none" w:pos="993"/>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Các khoản vay được cấp bù lãi suất phải đáp ứng đầy đủ các điều kiện được cấp bù lãi suất theo quy định của pháp luật, có đầy đủ chứng từ hợp pháp.</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Fonts w:ascii="Times New Roman" w:cs="Times New Roman" w:eastAsia="Times New Roman" w:hAnsi="Times New Roman"/>
                <w:sz w:val="24"/>
                <w:szCs w:val="24"/>
                <w:rtl w:val="0"/>
              </w:rPr>
              <w:t xml:space="preserve">5. Không thực hiện cấp bù lãi suất đối với các khoản vay có dư nợ gốc bị quá hạn và/hoặc số dư lãi chậm trả hoặc đã thực hiện cơ cấu lại thời hạn trả nợ, trừ các khoản cho vay bị rủi ro do sự kiện bất khả kháng theo quy định pháp luật được cơ cấu lại nợ theo quy định.</w:t>
            </w:r>
            <w:r w:rsidDel="00000000" w:rsidR="00000000" w:rsidRPr="00000000">
              <w:rPr>
                <w:rtl w:val="0"/>
              </w:rPr>
            </w:r>
          </w:p>
        </w:tc>
        <w:tc>
          <w:tcPr/>
          <w:p w:rsidR="00000000" w:rsidDel="00000000" w:rsidP="00000000" w:rsidRDefault="00000000" w:rsidRPr="00000000" w14:paraId="0000001A">
            <w:pPr>
              <w:ind w:firstLine="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Dự thảo Nghị định quy định các nguyên tắc các khoản vay được cấp bù lãi suất và các trường hợp không được cấp bù lãi suất, là căn cứ để các ngân hàng thương mại, khách hàng, tổ chức, cá nhân có liên quan triển khai thực hiện.</w:t>
            </w:r>
          </w:p>
          <w:p w:rsidR="00000000" w:rsidDel="00000000" w:rsidP="00000000" w:rsidRDefault="00000000" w:rsidRPr="00000000" w14:paraId="0000001B">
            <w:pPr>
              <w:ind w:firstLine="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nguyên tắc cấp bù lãi suất tín dụng ưu đãi được xây dựng trên nguyên tắc công khai, minh bạch, đúng đối tượng, đúng mục đích, tránh trục lợi chính sách, thuận lợi cho khách hàng theo quy định tại các chính sách tín dụng ưu đãi của nhà nước.</w:t>
            </w:r>
          </w:p>
          <w:p w:rsidR="00000000" w:rsidDel="00000000" w:rsidP="00000000" w:rsidRDefault="00000000" w:rsidRPr="00000000" w14:paraId="0000001C">
            <w:pPr>
              <w:ind w:firstLine="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Tham khảo quy định về hướng dẫn cấp bù lãi suất, hỗ trợ lãi suất cho các chương trình tín dụng tại Nghị định số 31/2022/NĐ-CP, các quy định của Thủ tướng Chính phủ và các Thông tư của Bộ Tài chính để xây dựng quy định về nguyên tắc cấp bù lãi suất, hỗ trợ lãi suất phù hợp với quy định pháp luật ngân sách nhà nước và tình hình thực tiễn.</w:t>
            </w:r>
          </w:p>
        </w:tc>
      </w:tr>
      <w:tr>
        <w:trPr>
          <w:cantSplit w:val="0"/>
          <w:trHeight w:val="70"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Lập kế hoạch và phân bổ vốn ngân sách nhà nước để cấp bù lãi suất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(Điều 4)</w:t>
            </w:r>
            <w:r w:rsidDel="00000000" w:rsidR="00000000" w:rsidRPr="00000000">
              <w:rPr>
                <w:rtl w:val="0"/>
              </w:rPr>
            </w:r>
          </w:p>
        </w:tc>
        <w:tc>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Việc lập</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kế hoạch đầu tư công,</w:t>
            </w:r>
            <w:r w:rsidDel="00000000" w:rsidR="00000000" w:rsidRPr="00000000">
              <w:rPr>
                <w:rFonts w:ascii="Times New Roman" w:cs="Times New Roman" w:eastAsia="Times New Roman" w:hAnsi="Times New Roman"/>
                <w:color w:val="000000"/>
                <w:sz w:val="24"/>
                <w:szCs w:val="24"/>
                <w:rtl w:val="0"/>
              </w:rPr>
              <w:t xml:space="preserve"> dự toán ngân sách nhà nước để cấp bù lãi suất được thực hiện theo quy định của Luật Đầu tư công, Luật Ngân sách nhà nước, quy định tại Nghị định này và các văn bản pháp luật có liên quan.</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2. Ngân hàng Nhà nước Việt Nam (sau đây gọi là Ngân hàng Nhà nước) tổng hợp nhu cầu cấp bù lãi suất của các ngân hàng thương mại thực hiện chính sách tín dụng ưu đãi của nhà nước trong kế hoạch đầu tư công nguồn ngân sách nhà nước trung hạn và hằng năm, lập báo cáo và gửi Bộ Tài chính để tổng hợp, báo cáo cấp có thẩm quyền.   </w:t>
            </w: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Căn cứ quyết định của Thủ tướng Chính phủ về giao vốn ngân sách nhà nước hằng năm cho Ngân hàng Nhà nước, Ngân hàng Nhà nước thực hiện phân bổ và thông báo hạn mức cấp bù lãi suất cho các ngân hàng thương mại trước ngày 31/12 hằng năm; gửi Bộ Tài chính và Kho bạc Nhà nước để thực hiện.</w:t>
            </w:r>
          </w:p>
          <w:p w:rsidR="00000000" w:rsidDel="00000000" w:rsidP="00000000" w:rsidRDefault="00000000" w:rsidRPr="00000000" w14:paraId="00000021">
            <w:pPr>
              <w:jc w:val="both"/>
              <w:rPr>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Ngân hàng Nhà nước mở tài khoản tại Kho bạc Nhà nước để tiếp nhận vốn ngân sách nhà nước cấp bù lãi suất cho các ngân hàng thương mại. Việc mở tài khoản để thanh toán thực hiện theo quy định của Chính phủ về thủ tục hành chính thuộc lĩnh vực Kho bạc Nhà nước và của Bộ Tài chính về hướng dẫn đăng ký và sử dụng tài khoản tại Kho bạc Nhà nước</w:t>
            </w:r>
            <w:r w:rsidDel="00000000" w:rsidR="00000000" w:rsidRPr="00000000">
              <w:rPr>
                <w:rtl w:val="0"/>
              </w:rPr>
            </w:r>
          </w:p>
        </w:tc>
        <w:tc>
          <w:tcPr/>
          <w:p w:rsidR="00000000" w:rsidDel="00000000" w:rsidP="00000000" w:rsidRDefault="00000000" w:rsidRPr="00000000" w14:paraId="00000022">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 quy định pháp luật về đầu tư công và ngân sách nhà nước, cụ thể:</w:t>
            </w:r>
          </w:p>
          <w:p w:rsidR="00000000" w:rsidDel="00000000" w:rsidP="00000000" w:rsidRDefault="00000000" w:rsidRPr="00000000" w14:paraId="00000023">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Điều 39 Nghị định số 85/2025/NĐ-CP ngày 08/4/2025: </w:t>
            </w:r>
            <w:r w:rsidDel="00000000" w:rsidR="00000000" w:rsidRPr="00000000">
              <w:rPr>
                <w:rFonts w:ascii="Times New Roman" w:cs="Times New Roman" w:eastAsia="Times New Roman" w:hAnsi="Times New Roman"/>
                <w:sz w:val="24"/>
                <w:szCs w:val="24"/>
                <w:rtl w:val="0"/>
              </w:rPr>
              <w:t xml:space="preserve">Ngân hàng Nhà nước Việt Nam tổng hợp nhu cầu cấp bù lãi suất của các </w:t>
            </w:r>
            <w:r w:rsidDel="00000000" w:rsidR="00000000" w:rsidRPr="00000000">
              <w:rPr>
                <w:rFonts w:ascii="Times New Roman" w:cs="Times New Roman" w:eastAsia="Times New Roman" w:hAnsi="Times New Roman"/>
                <w:color w:val="000000"/>
                <w:sz w:val="24"/>
                <w:szCs w:val="24"/>
                <w:rtl w:val="0"/>
              </w:rPr>
              <w:t xml:space="preserve">ngân hàng thương mại thực hiện chính sách tín dụng ưu đãi của nhà nước trong kế hoạch đầu tư công trung hạn và hằng năm.</w:t>
            </w:r>
            <w:r w:rsidDel="00000000" w:rsidR="00000000" w:rsidRPr="00000000">
              <w:rPr>
                <w:rtl w:val="0"/>
              </w:rPr>
            </w:r>
          </w:p>
          <w:p w:rsidR="00000000" w:rsidDel="00000000" w:rsidP="00000000" w:rsidRDefault="00000000" w:rsidRPr="00000000" w14:paraId="00000024">
            <w:pPr>
              <w:ind w:firstLine="31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Điều 59, 60 của Luật Đầu tư công quy định trình tự lập, phê duyệt, giao kế hoạch đầu tư công trung hạn và hằng năm vốn NSNN.</w:t>
            </w:r>
          </w:p>
          <w:p w:rsidR="00000000" w:rsidDel="00000000" w:rsidP="00000000" w:rsidRDefault="00000000" w:rsidRPr="00000000" w14:paraId="00000025">
            <w:pPr>
              <w:ind w:firstLine="31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Khoản 6 Điều 60 Luật Đầu tư công: Trước ngày 31/12 hằng năm, các Bộ, cơ quan trung ương và địa phương phân bổ chi tiết mức vốn kế hoạch đầu tư vốn NSTW năm sau, …, gửi phương án phân bổ chi tiết cho Bộ Tài chính để tổng hợp, báo cáo Chính phủ và theo dõi thực hiện. </w:t>
            </w:r>
          </w:p>
          <w:p w:rsidR="00000000" w:rsidDel="00000000" w:rsidP="00000000" w:rsidRDefault="00000000" w:rsidRPr="00000000" w14:paraId="00000026">
            <w:pPr>
              <w:ind w:firstLine="31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Điểm a Khoản 1 Điều 69 Luật Đầu tư công: Bộ, cơ quan trung ương… có trách nhiệm: Thông báo hoặc quyết định giao kế hoạch đầu tư công cho các cơ quan, đơn vị sử dụng vốn đầu tư công.</w:t>
            </w:r>
          </w:p>
          <w:p w:rsidR="00000000" w:rsidDel="00000000" w:rsidP="00000000" w:rsidRDefault="00000000" w:rsidRPr="00000000" w14:paraId="00000027">
            <w:pPr>
              <w:ind w:firstLine="31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Khoản 2 Điều 48 </w:t>
            </w:r>
            <w:r w:rsidDel="00000000" w:rsidR="00000000" w:rsidRPr="00000000">
              <w:rPr>
                <w:rFonts w:ascii="Times New Roman" w:cs="Times New Roman" w:eastAsia="Times New Roman" w:hAnsi="Times New Roman"/>
                <w:color w:val="000000"/>
                <w:sz w:val="24"/>
                <w:szCs w:val="24"/>
                <w:rtl w:val="0"/>
              </w:rPr>
              <w:t xml:space="preserve">Nghị định số 85/2025/NĐ-CP ngày 08/4/2025: Bộ Tài chính thực hiện rà soát báo cáo phân bổ kế hoạch đầu tư vốn NSNN của bộ, cơ quan trung ương và địa phương…</w:t>
            </w:r>
          </w:p>
        </w:tc>
      </w:tr>
      <w:tr>
        <w:trPr>
          <w:cantSplit w:val="0"/>
          <w:trHeight w:val="70" w:hRule="atLeast"/>
          <w:tblHeader w:val="0"/>
        </w:trPr>
        <w:tc>
          <w:tcPr/>
          <w:p w:rsidR="00000000" w:rsidDel="00000000" w:rsidP="00000000" w:rsidRDefault="00000000" w:rsidRPr="00000000" w14:paraId="00000028">
            <w:pPr>
              <w:tabs>
                <w:tab w:val="left" w:leader="none" w:pos="143"/>
              </w:tabs>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hiện thanh toán vốn ngân sách nhà nước để cấp bù lãi suất </w:t>
            </w:r>
            <w:r w:rsidDel="00000000" w:rsidR="00000000" w:rsidRPr="00000000">
              <w:rPr>
                <w:rFonts w:ascii="Times New Roman" w:cs="Times New Roman" w:eastAsia="Times New Roman" w:hAnsi="Times New Roman"/>
                <w:b w:val="1"/>
                <w:sz w:val="24"/>
                <w:szCs w:val="24"/>
                <w:rtl w:val="0"/>
              </w:rPr>
              <w:t xml:space="preserve">(Điều 5)</w:t>
            </w:r>
            <w:r w:rsidDel="00000000" w:rsidR="00000000" w:rsidRPr="00000000">
              <w:rPr>
                <w:rtl w:val="0"/>
              </w:rPr>
            </w:r>
          </w:p>
        </w:tc>
        <w:tc>
          <w:tcPr/>
          <w:p w:rsidR="00000000" w:rsidDel="00000000" w:rsidP="00000000" w:rsidRDefault="00000000" w:rsidRPr="00000000" w14:paraId="0000002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Trong phạm vi hạn mức cấp bù được thông báo trong năm, trước ngày 10 của tháng đầu tiên hằng quý, ngân hàng thương mại gửi Ngân hàng Nhà nước trực tiếp, qua dịch vụ bưu chính và các phương thức khác theo quy định của pháp luật hồ sơ đề nghị thanh toán số tiền ngân hàng thương mại đã hỗ trợ lãi suất cho khách hàng của quý trước liền kề, bao gồm:</w:t>
            </w:r>
          </w:p>
          <w:p w:rsidR="00000000" w:rsidDel="00000000" w:rsidP="00000000" w:rsidRDefault="00000000" w:rsidRPr="00000000" w14:paraId="0000002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Văn bản đề nghị thanh toán số tiền cấp bù lãi suất, trong đó ghi rõ số tiền ngân hàng thương mại đã cấp bù lãi suất cho khách hàng trong quý trước liền kề, số tiền đề nghị thanh toán bằng số tiền ngân hàng thương mại đã hỗ trợ lãi suất cho khách hàng, tài khoản nhận tiền của ngân hàng thương mại;</w:t>
            </w:r>
          </w:p>
          <w:p w:rsidR="00000000" w:rsidDel="00000000" w:rsidP="00000000" w:rsidRDefault="00000000" w:rsidRPr="00000000" w14:paraId="0000002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Báo cáo về tình hình thực hiện hỗ trợ lãi suất đối với khách hàng của ngân hàng thương mại theo </w:t>
            </w:r>
            <w:bookmarkStart w:colFirst="0" w:colLast="0" w:name="bookmark=id.7yikcw7mn2vi" w:id="2"/>
            <w:bookmarkEnd w:id="2"/>
            <w:r w:rsidDel="00000000" w:rsidR="00000000" w:rsidRPr="00000000">
              <w:rPr>
                <w:rFonts w:ascii="Times New Roman" w:cs="Times New Roman" w:eastAsia="Times New Roman" w:hAnsi="Times New Roman"/>
                <w:color w:val="000000"/>
                <w:sz w:val="24"/>
                <w:szCs w:val="24"/>
                <w:rtl w:val="0"/>
              </w:rPr>
              <w:t xml:space="preserve">Mẫu số 01 tại Phụ lục ban hành kèm theo Nghị định này;</w:t>
            </w:r>
          </w:p>
          <w:p w:rsidR="00000000" w:rsidDel="00000000" w:rsidP="00000000" w:rsidRDefault="00000000" w:rsidRPr="00000000" w14:paraId="0000002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Bảng kê chứng từ chứng minh khách hàng đã được hỗ trợ lãi suất trong quý theo </w:t>
            </w:r>
            <w:bookmarkStart w:colFirst="0" w:colLast="0" w:name="bookmark=id.ciars5j7pet" w:id="3"/>
            <w:bookmarkEnd w:id="3"/>
            <w:r w:rsidDel="00000000" w:rsidR="00000000" w:rsidRPr="00000000">
              <w:rPr>
                <w:rFonts w:ascii="Times New Roman" w:cs="Times New Roman" w:eastAsia="Times New Roman" w:hAnsi="Times New Roman"/>
                <w:color w:val="000000"/>
                <w:sz w:val="24"/>
                <w:szCs w:val="24"/>
                <w:rtl w:val="0"/>
              </w:rPr>
              <w:t xml:space="preserve">Mẫu số 02 tại Phụ lục ban hành kèm theo Nghị định này.</w:t>
            </w:r>
          </w:p>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Ngân hàng thương mại chịu trách nhiệm về tính hợp lệ, chính xác của hồ sơ, số liệu đề nghị thanh toán số tiền cấp bù lãi suất theo quy định của pháp luật.</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Sau khi nhận được hồ sơ đề nghị thanh toán số tiền đã cấp bù lãi suất của ngân hàng thương mại, Ngân hàng Nhà nước kiểm tra hồ sơ, số tiền đề nghị thanh toán của ngân hàng thương mại và lập đề nghị thanh toán gửi Kho bạc Nhà nước để thanh toán cho ngân hàng thương mại.</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Căn cứ đề nghị thanh toán của Ngân hàng Nhà nước theo Mẫu số 03 tại Phụ lục ban hành kèm theo Nghị định này, Giấy rút dự toán, thông báo hạn mức cấp bù lãi suất cho các ngân hàng thương mại, Kho bạc Nhà nước thực hiện chi ngân sách nhà nước theo đề nghị của Ngân hàng Nhà nước. Ngân hàng Nhà nước chịu trách nhiệm toàn diện về hồ sơ đề nghị thanh toán.</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Tổng số tiền thanh toán cho ngân hàng thương mại theo quy định tại khoản 3 Điều này trong năm ngân sách không vượt quá hạn mức cấp bù lãi suất đã thông báo trong năm.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Trong quá trình triển khai, Ngân hàng Nhà nước xem xét điều chỉnh hạn mức cấp bù lãi suất giữa các ngân hàng thương mại khi cần thiết. Thời gian điều chỉnh hạn mức theo quy định của Luật Đầu tư công, Luật Ngân sách nhà nước.</w:t>
            </w:r>
          </w:p>
          <w:p w:rsidR="00000000" w:rsidDel="00000000" w:rsidP="00000000" w:rsidRDefault="00000000" w:rsidRPr="00000000" w14:paraId="00000032">
            <w:pPr>
              <w:jc w:val="both"/>
              <w:rPr>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6. Trường hợp số tiền cấp bù lãi suất trong năm thực tế phát sinh nhỏ hơn số dự toán được bố trí, phần chênh lệch bố trí dự toán thừa thực hiện theo quy định của Luật Ngân sách nhà nước, Luật Đầu tư công, Nghị định này và các văn bản hướng dẫn, sửa đổi, bổ sung, thay thế (nếu có).</w:t>
            </w:r>
            <w:r w:rsidDel="00000000" w:rsidR="00000000" w:rsidRPr="00000000">
              <w:rPr>
                <w:rtl w:val="0"/>
              </w:rPr>
            </w:r>
          </w:p>
        </w:tc>
        <w:tc>
          <w:tcPr/>
          <w:p w:rsidR="00000000" w:rsidDel="00000000" w:rsidP="00000000" w:rsidRDefault="00000000" w:rsidRPr="00000000" w14:paraId="0000003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Khoản 2 Điều 68 Luật Đầu tư công: Căn cứ quyết định giao kế hoạch của cấp có thẩm quyền, Bộ, cơ quan trung ương, các cơ quan, đơn vị sử dụng vốn đầu tư công quyết định các giải pháp tổ chức điều hành kế hoạch đầu tư công thuộc nguồn vốn do cấp mình quản lý.</w:t>
            </w:r>
          </w:p>
          <w:p w:rsidR="00000000" w:rsidDel="00000000" w:rsidP="00000000" w:rsidRDefault="00000000" w:rsidRPr="00000000" w14:paraId="00000034">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Theo quy định tại điểm a khoản 5 Điều 71 Luật Đầu tư công, người đứng đầu Bộ, cơ quan trung ương có thẩm quyền và trách nhiệm điều chỉnh kế hoạch đầu tư công hằng năm vốn NSTW giữa các dự án thuộc danh mục kế hoạch đầu tư công trung hạn đã được cấp có thẩm quyền quyết định nhưng không vượt quá tổng mức vốn đã được cấp có thẩm quyền giao kế hoạch.</w:t>
            </w:r>
          </w:p>
          <w:p w:rsidR="00000000" w:rsidDel="00000000" w:rsidP="00000000" w:rsidRDefault="00000000" w:rsidRPr="00000000" w14:paraId="0000003B">
            <w:pPr>
              <w:ind w:firstLine="31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Thời gian điều chỉnh kế hoạch đầu tư vốn NSNN hằng năm giữa các dự án trong nội bộ của bộ, cơ quan trung ương và địa phương trước ngày 15 tháng 11 năm kế hoạch (khoản 3 Điều 50 Nghị định số 85/2025/NĐ-CP ngày 08/4/2025).</w:t>
            </w:r>
          </w:p>
          <w:p w:rsidR="00000000" w:rsidDel="00000000" w:rsidP="00000000" w:rsidRDefault="00000000" w:rsidRPr="00000000" w14:paraId="0000003C">
            <w:pPr>
              <w:ind w:firstLine="31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Thời gian điều chỉnh dự toán ngân sách đã giao cho các đơn vị sử dụng ngân sách hoàn thành trước ngày 15 tháng 12 năm hiện hành; việc điều chỉnh kế hoạch đầu tư công thực hiện theo quy định của Luật Đầu tư công (khoản 3 Điều 55 Luật Ngân sách nhà nước).</w:t>
            </w:r>
          </w:p>
          <w:p w:rsidR="00000000" w:rsidDel="00000000" w:rsidP="00000000" w:rsidRDefault="00000000" w:rsidRPr="00000000" w14:paraId="0000003D">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ind w:firstLine="31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4A">
            <w:pPr>
              <w:tabs>
                <w:tab w:val="left" w:leader="none" w:pos="143"/>
              </w:tabs>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Quyết toán vốn ngân sách nhà nước để cấp bù lãi suất của các ngân hàng thương mại theo năm ngân sách (quyết toán theo niên độ) </w:t>
            </w:r>
            <w:r w:rsidDel="00000000" w:rsidR="00000000" w:rsidRPr="00000000">
              <w:rPr>
                <w:rFonts w:ascii="Times New Roman" w:cs="Times New Roman" w:eastAsia="Times New Roman" w:hAnsi="Times New Roman"/>
                <w:b w:val="1"/>
                <w:sz w:val="24"/>
                <w:szCs w:val="24"/>
                <w:rtl w:val="0"/>
              </w:rPr>
              <w:t xml:space="preserve">(Điều 6)</w:t>
            </w:r>
            <w:r w:rsidDel="00000000" w:rsidR="00000000" w:rsidRPr="00000000">
              <w:rPr>
                <w:rtl w:val="0"/>
              </w:rPr>
            </w:r>
          </w:p>
        </w:tc>
        <w:tc>
          <w:tcPr/>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Việc lập báo cáo quyết toán vốn ngân sách nhà nước để cấp bù lãi suất của các ngân hàng thương mại theo năm ngân sách (quyết toán theo niên độ) phải bảo đảm các yêu cầu quy định tại Điều 67 Luật Ngân sách nhà nước và văn bản hướng dẫn.</w:t>
            </w:r>
          </w:p>
          <w:p w:rsidR="00000000" w:rsidDel="00000000" w:rsidP="00000000" w:rsidRDefault="00000000" w:rsidRPr="00000000" w14:paraId="0000004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Ngân hàng thương mại có trách nhiệm lập báo cáo quyết toán cấp bù lãi suất hằng năm và lập hồ sơ quyết toán cấp bù lãi suất, trong đó các khoản vay được cấp bù lãi suất trong hồ sơ quyết toán phải đảm bảo đúng đối tượng, đáp ứng đầy đủ điều kiện được cấp bù lãi suất theo quy định của pháp luật, xác định chính xác số tiền cấp bù lãi suất cho từng khách hàng và tổng hợp chung của cả ngân hàng, số tiền cấp bù lãi suất cho khách hàng có đầy đủ chứng từ hợp pháp.</w:t>
            </w:r>
          </w:p>
          <w:p w:rsidR="00000000" w:rsidDel="00000000" w:rsidP="00000000" w:rsidRDefault="00000000" w:rsidRPr="00000000" w14:paraId="0000004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Số tiền cấp bù lãi suất quyết toán được xác định như sau:</w:t>
            </w:r>
          </w:p>
          <w:p w:rsidR="00000000" w:rsidDel="00000000" w:rsidP="00000000" w:rsidRDefault="00000000" w:rsidRPr="00000000" w14:paraId="0000004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Số tiền cấp bù lãi suất thực tế thanh toán cho một khoản giải ngân được tính theo công thức:</w:t>
            </w:r>
          </w:p>
          <w:p w:rsidR="00000000" w:rsidDel="00000000" w:rsidP="00000000" w:rsidRDefault="00000000" w:rsidRPr="00000000" w14:paraId="0000004F">
            <w:pPr>
              <w:jc w:val="both"/>
              <w:rPr>
                <w:rFonts w:ascii="Times New Roman" w:cs="Times New Roman" w:eastAsia="Times New Roman" w:hAnsi="Times New Roman"/>
                <w:color w:val="000000"/>
                <w:sz w:val="24"/>
                <w:szCs w:val="24"/>
              </w:rPr>
            </w:pPr>
            <w:sdt>
              <w:sdtPr>
                <w:id w:val="1534225800"/>
                <w:tag w:val="goog_rdk_0"/>
              </w:sdtPr>
              <w:sdtContent>
                <w:r w:rsidDel="00000000" w:rsidR="00000000" w:rsidRPr="00000000">
                  <w:rPr>
                    <w:rFonts w:ascii="Caudex" w:cs="Caudex" w:eastAsia="Caudex" w:hAnsi="Caudex"/>
                    <w:color w:val="000000"/>
                    <w:sz w:val="24"/>
                    <w:szCs w:val="24"/>
                    <w:rtl w:val="0"/>
                  </w:rPr>
                  <w:t xml:space="preserve">I = Mức lãi suất hỗ trợ (%) x ∑(D</w:t>
                </w:r>
              </w:sdtContent>
            </w:sdt>
            <w:r w:rsidDel="00000000" w:rsidR="00000000" w:rsidRPr="00000000">
              <w:rPr>
                <w:rFonts w:ascii="Times New Roman" w:cs="Times New Roman" w:eastAsia="Times New Roman" w:hAnsi="Times New Roman"/>
                <w:color w:val="000000"/>
                <w:sz w:val="24"/>
                <w:szCs w:val="24"/>
                <w:vertAlign w:val="subscript"/>
                <w:rtl w:val="0"/>
              </w:rPr>
              <w:t xml:space="preserve">i</w:t>
            </w:r>
            <w:r w:rsidDel="00000000" w:rsidR="00000000" w:rsidRPr="00000000">
              <w:rPr>
                <w:rFonts w:ascii="Times New Roman" w:cs="Times New Roman" w:eastAsia="Times New Roman" w:hAnsi="Times New Roman"/>
                <w:color w:val="000000"/>
                <w:sz w:val="24"/>
                <w:szCs w:val="24"/>
                <w:rtl w:val="0"/>
              </w:rPr>
              <w:t xml:space="preserve">xT</w:t>
            </w:r>
            <w:r w:rsidDel="00000000" w:rsidR="00000000" w:rsidRPr="00000000">
              <w:rPr>
                <w:rFonts w:ascii="Times New Roman" w:cs="Times New Roman" w:eastAsia="Times New Roman" w:hAnsi="Times New Roman"/>
                <w:color w:val="000000"/>
                <w:sz w:val="24"/>
                <w:szCs w:val="24"/>
                <w:vertAlign w:val="subscript"/>
                <w:rtl w:val="0"/>
              </w:rPr>
              <w:t xml:space="preserve">i</w:t>
            </w:r>
            <w:r w:rsidDel="00000000" w:rsidR="00000000" w:rsidRPr="00000000">
              <w:rPr>
                <w:rFonts w:ascii="Times New Roman" w:cs="Times New Roman" w:eastAsia="Times New Roman" w:hAnsi="Times New Roman"/>
                <w:color w:val="000000"/>
                <w:sz w:val="24"/>
                <w:szCs w:val="24"/>
                <w:rtl w:val="0"/>
              </w:rPr>
              <w:t xml:space="preserve">)/365</w:t>
            </w:r>
          </w:p>
          <w:p w:rsidR="00000000" w:rsidDel="00000000" w:rsidP="00000000" w:rsidRDefault="00000000" w:rsidRPr="00000000" w14:paraId="0000005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Trong đó: </w:t>
            </w:r>
          </w:p>
          <w:p w:rsidR="00000000" w:rsidDel="00000000" w:rsidP="00000000" w:rsidRDefault="00000000" w:rsidRPr="00000000" w14:paraId="0000005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 là số tiền cấp bù lãi suất thực tế thanh toán cho khoản giải ngân;</w:t>
            </w:r>
          </w:p>
          <w:p w:rsidR="00000000" w:rsidDel="00000000" w:rsidP="00000000" w:rsidRDefault="00000000" w:rsidRPr="00000000" w14:paraId="00000052">
            <w:pPr>
              <w:jc w:val="both"/>
              <w:rPr>
                <w:rFonts w:ascii="Times New Roman" w:cs="Times New Roman" w:eastAsia="Times New Roman" w:hAnsi="Times New Roman"/>
                <w:color w:val="000000"/>
                <w:sz w:val="24"/>
                <w:szCs w:val="24"/>
              </w:rPr>
            </w:pPr>
            <w:sdt>
              <w:sdtPr>
                <w:id w:val="124106422"/>
                <w:tag w:val="goog_rdk_1"/>
              </w:sdtPr>
              <w:sdtContent>
                <w:r w:rsidDel="00000000" w:rsidR="00000000" w:rsidRPr="00000000">
                  <w:rPr>
                    <w:rFonts w:ascii="Gungsuh" w:cs="Gungsuh" w:eastAsia="Gungsuh" w:hAnsi="Gungsuh"/>
                    <w:color w:val="000000"/>
                    <w:sz w:val="24"/>
                    <w:szCs w:val="24"/>
                    <w:rtl w:val="0"/>
                  </w:rPr>
                  <w:t xml:space="preserve">+ ∑(D</w:t>
                </w:r>
              </w:sdtContent>
            </w:sdt>
            <w:r w:rsidDel="00000000" w:rsidR="00000000" w:rsidRPr="00000000">
              <w:rPr>
                <w:rFonts w:ascii="Times New Roman" w:cs="Times New Roman" w:eastAsia="Times New Roman" w:hAnsi="Times New Roman"/>
                <w:color w:val="000000"/>
                <w:sz w:val="24"/>
                <w:szCs w:val="24"/>
                <w:vertAlign w:val="subscript"/>
                <w:rtl w:val="0"/>
              </w:rPr>
              <w:t xml:space="preserve">i</w:t>
            </w:r>
            <w:r w:rsidDel="00000000" w:rsidR="00000000" w:rsidRPr="00000000">
              <w:rPr>
                <w:rFonts w:ascii="Times New Roman" w:cs="Times New Roman" w:eastAsia="Times New Roman" w:hAnsi="Times New Roman"/>
                <w:color w:val="000000"/>
                <w:sz w:val="24"/>
                <w:szCs w:val="24"/>
                <w:rtl w:val="0"/>
              </w:rPr>
              <w:t xml:space="preserve">xT</w:t>
            </w:r>
            <w:r w:rsidDel="00000000" w:rsidR="00000000" w:rsidRPr="00000000">
              <w:rPr>
                <w:rFonts w:ascii="Times New Roman" w:cs="Times New Roman" w:eastAsia="Times New Roman" w:hAnsi="Times New Roman"/>
                <w:color w:val="000000"/>
                <w:sz w:val="24"/>
                <w:szCs w:val="24"/>
                <w:vertAlign w:val="subscript"/>
                <w:rtl w:val="0"/>
              </w:rPr>
              <w:t xml:space="preserve">i</w:t>
            </w:r>
            <w:r w:rsidDel="00000000" w:rsidR="00000000" w:rsidRPr="00000000">
              <w:rPr>
                <w:rFonts w:ascii="Times New Roman" w:cs="Times New Roman" w:eastAsia="Times New Roman" w:hAnsi="Times New Roman"/>
                <w:color w:val="000000"/>
                <w:sz w:val="24"/>
                <w:szCs w:val="24"/>
                <w:rtl w:val="0"/>
              </w:rPr>
              <w:t xml:space="preserve">) là tổng các tích số giữa số dư nợ với số ngày dư nợ thực tế được cấp bù lãi suất của khoản giải ngân.</w:t>
            </w:r>
          </w:p>
          <w:p w:rsidR="00000000" w:rsidDel="00000000" w:rsidP="00000000" w:rsidRDefault="00000000" w:rsidRPr="00000000" w14:paraId="0000005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Số tiền cấp bù lãi suất thực tế thanh toán cho một khoản vay là tổng số tiền lãi thực tế thanh toán cho tất cả các khoản giải ngân của khoản vay đó.</w:t>
            </w:r>
          </w:p>
          <w:p w:rsidR="00000000" w:rsidDel="00000000" w:rsidP="00000000" w:rsidRDefault="00000000" w:rsidRPr="00000000" w14:paraId="0000005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Số tiền cấp bù lãi suất thực tế đề nghị ngân sách nhà nước thanh toán là tổng số tiền lãi thực tế thanh toán cho tất cả các khoản vay thuộc đối tượng được cấp bù lãi suất.</w:t>
            </w:r>
          </w:p>
          <w:p w:rsidR="00000000" w:rsidDel="00000000" w:rsidP="00000000" w:rsidRDefault="00000000" w:rsidRPr="00000000" w14:paraId="0000005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Ngân hàng thương mại chịu trách nhiệm về tính hợp lệ và chính xác của hồ sơ, số liệu quyết toán cấp bù lãi suất</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Ngân hàng Nhà nước kiểm tra hồ sơ quyết toán vốn ngân sách nhà nước để cấp bù lãi suất theo năm ngân sách của từng ngân hàng thương mại và thực hiện xét duyệt quyết toán theo quy định tại Khoản 2 Điều 69 Luật Ngân sách nhà nước, ra thông báo xét duyệt quyết toán vốn ngân sách nhà nước để cấp bù lãi suất của các ngân hàng thương mại theo năm ngân sách theo Mẫu số 04 ban hành kèm theo Nghị định này. </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Ngân hàng Nhà nước tổng hợp báo cáo quyết toán vốn ngân sách nhà nước để cấp bù lãi suất theo năm ngân sách gửi Bộ Tài chính theo Mẫu số 05.</w:t>
            </w:r>
          </w:p>
          <w:p w:rsidR="00000000" w:rsidDel="00000000" w:rsidP="00000000" w:rsidRDefault="00000000" w:rsidRPr="00000000" w14:paraId="00000058">
            <w:pPr>
              <w:jc w:val="both"/>
              <w:rPr>
                <w:color w:val="000000"/>
                <w:sz w:val="28"/>
                <w:szCs w:val="28"/>
              </w:rPr>
            </w:pPr>
            <w:r w:rsidDel="00000000" w:rsidR="00000000" w:rsidRPr="00000000">
              <w:rPr>
                <w:rFonts w:ascii="Times New Roman" w:cs="Times New Roman" w:eastAsia="Times New Roman" w:hAnsi="Times New Roman"/>
                <w:sz w:val="24"/>
                <w:szCs w:val="24"/>
                <w:rtl w:val="0"/>
              </w:rPr>
              <w:t xml:space="preserve">5. Bộ Tài chính kiểm tra báo cáo quyết toán vốn ngân sách nhà nước để cấp bù lãi suất theo năm ngân sách của Ngân hàng Nhà nước về tính đầy đủ, khớp đúng giữa các số liệu quyết toán với xác nhận của Kho bạc nhà nước</w:t>
            </w:r>
            <w:r w:rsidDel="00000000" w:rsidR="00000000" w:rsidRPr="00000000">
              <w:rPr>
                <w:rtl w:val="0"/>
              </w:rPr>
            </w:r>
          </w:p>
        </w:tc>
        <w:tc>
          <w:tcPr/>
          <w:p w:rsidR="00000000" w:rsidDel="00000000" w:rsidP="00000000" w:rsidRDefault="00000000" w:rsidRPr="00000000" w14:paraId="00000059">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67 Luật NSNN quy định về yêu cầu quyết toán NSNN.</w:t>
            </w:r>
          </w:p>
          <w:p w:rsidR="00000000" w:rsidDel="00000000" w:rsidP="00000000" w:rsidRDefault="00000000" w:rsidRPr="00000000" w14:paraId="0000005A">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68 Luật NSNN quy định về lập quyết toán NSNN của đơn vị sử dụng ngân sách và chủ đầu tư: Đơn vị được giao dự toán lập quyết toán chi ngân sách nhà nước của đơn vị mình gửi đơn vị dự toán cấp trên trực tiếp hoặc đơn vị giao dự toán. Trường hợp đơn vị sử dụng ngân sách đồng thời là đơn vị dự toán cấp I thì lập quyết toán chi NSNN gửi cơ quan tài chính cùng cấp (khoản 1). </w:t>
            </w:r>
          </w:p>
          <w:p w:rsidR="00000000" w:rsidDel="00000000" w:rsidP="00000000" w:rsidRDefault="00000000" w:rsidRPr="00000000" w14:paraId="0000005B">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69 Luật NSNN quy định về xét duyệt quyết toán NSNN năm.</w:t>
            </w:r>
          </w:p>
          <w:p w:rsidR="00000000" w:rsidDel="00000000" w:rsidP="00000000" w:rsidRDefault="00000000" w:rsidRPr="00000000" w14:paraId="0000005C">
            <w:pPr>
              <w:ind w:firstLine="319"/>
              <w:jc w:val="both"/>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5D">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Xử lý thu hồi số tiền đã cấp bù lãi suất </w:t>
            </w:r>
            <w:r w:rsidDel="00000000" w:rsidR="00000000" w:rsidRPr="00000000">
              <w:rPr>
                <w:rFonts w:ascii="Times New Roman" w:cs="Times New Roman" w:eastAsia="Times New Roman" w:hAnsi="Times New Roman"/>
                <w:b w:val="1"/>
                <w:sz w:val="24"/>
                <w:szCs w:val="24"/>
                <w:rtl w:val="0"/>
              </w:rPr>
              <w:t xml:space="preserve">(Điều 7)</w:t>
            </w:r>
            <w:r w:rsidDel="00000000" w:rsidR="00000000" w:rsidRPr="00000000">
              <w:rPr>
                <w:rtl w:val="0"/>
              </w:rPr>
            </w:r>
          </w:p>
          <w:p w:rsidR="00000000" w:rsidDel="00000000" w:rsidP="00000000" w:rsidRDefault="00000000" w:rsidRPr="00000000" w14:paraId="0000005E">
            <w:pPr>
              <w:tabs>
                <w:tab w:val="left" w:leader="none" w:pos="143"/>
              </w:tabs>
              <w:ind w:firstLine="284"/>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Trong quá trình thực hiện, trường hợp phát hiện khoản vay của khách hàng được xác định không thuộc đối tượng, sử dụng vốn vay sai mục đích hoặc không đáp ứng điều kiện được cấp bù lãi suất, ngân hàng thương mại thu hồi toàn bộ số tiền ngân hàng thương mại đã cấp bù lãi suất.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Trường hợp thu hồi số tiền đã cấp bù lãi suất cho khách hàng trong thời gian chính sách cấp bù lãi suất còn hiệu lực, số tiền thu hồi được bù trừ vào số tiền ngân sách nhà nước thanh toán cho ngân hàng. Trường hợp chính sách hỗ trợ lãi suất hết hiệu lực và ngân sách nhà nước đã thanh toán thì phải hoàn trả ngân sách ngân sách nhà nước.</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Ngân hàng thương mại thực hiện hoàn trả ngân sách nhà nước theo quy định của Luật Ngân sách nhà nước và gửi văn bản cho Ngân hàng Nhà nước, Bộ Tài chính về việc thu hồi và hoàn trả ngân sách nhà nước để theo dõi.</w:t>
            </w:r>
          </w:p>
        </w:tc>
        <w:tc>
          <w:tcPr/>
          <w:p w:rsidR="00000000" w:rsidDel="00000000" w:rsidP="00000000" w:rsidRDefault="00000000" w:rsidRPr="00000000" w14:paraId="00000062">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75 Luật NSNN quy định về xử lý các khoản thu, chi NSNN không đúng quy định sau khi quyết toán NSNN được phê chuẩn.</w:t>
            </w:r>
          </w:p>
          <w:p w:rsidR="00000000" w:rsidDel="00000000" w:rsidP="00000000" w:rsidRDefault="00000000" w:rsidRPr="00000000" w14:paraId="00000063">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Khoản 8 Điều 67 Luật NSNN: Những khoản chi NSNN không đúng với quy định của pháp luật phải được thu hồi đầy đủ, kịp thời cho ngân sách; các khoản nộp trả ngân sách cấp trên phải nộp trả kịp thời.</w:t>
            </w:r>
          </w:p>
          <w:p w:rsidR="00000000" w:rsidDel="00000000" w:rsidP="00000000" w:rsidRDefault="00000000" w:rsidRPr="00000000" w14:paraId="00000064">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 định tại dự thảo Nghị định phù hợp với quy định pháp luật về ngân sách nhà nước.</w:t>
            </w:r>
          </w:p>
          <w:p w:rsidR="00000000" w:rsidDel="00000000" w:rsidP="00000000" w:rsidRDefault="00000000" w:rsidRPr="00000000" w14:paraId="00000065">
            <w:pPr>
              <w:ind w:firstLine="319"/>
              <w:jc w:val="both"/>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66">
            <w:pPr>
              <w:spacing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Tổ chức thực hiện</w:t>
            </w:r>
            <w:r w:rsidDel="00000000" w:rsidR="00000000" w:rsidRPr="00000000">
              <w:rPr>
                <w:rFonts w:ascii="Times New Roman" w:cs="Times New Roman" w:eastAsia="Times New Roman" w:hAnsi="Times New Roman"/>
                <w:b w:val="1"/>
                <w:sz w:val="24"/>
                <w:szCs w:val="24"/>
                <w:rtl w:val="0"/>
              </w:rPr>
              <w:t xml:space="preserve">     (Điều 8)</w:t>
            </w:r>
          </w:p>
          <w:p w:rsidR="00000000" w:rsidDel="00000000" w:rsidP="00000000" w:rsidRDefault="00000000" w:rsidRPr="00000000" w14:paraId="00000067">
            <w:pPr>
              <w:tabs>
                <w:tab w:val="left" w:leader="none" w:pos="143"/>
              </w:tabs>
              <w:ind w:firstLine="284"/>
              <w:jc w:val="both"/>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068">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Trách nhiệm của Bộ Tài chính</w:t>
            </w:r>
          </w:p>
          <w:p w:rsidR="00000000" w:rsidDel="00000000" w:rsidP="00000000" w:rsidRDefault="00000000" w:rsidRPr="00000000" w14:paraId="00000069">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Tổng hợp, trình cấp có thẩm quyền bố trí nguồn kinh phí cấp bù lãi suất để thực hiện các chính sách tín dụng ưu đãi của nhà nước để thanh toán cho các ngân hàng thương mại theo quy định của pháp luật.</w:t>
            </w:r>
          </w:p>
          <w:p w:rsidR="00000000" w:rsidDel="00000000" w:rsidP="00000000" w:rsidRDefault="00000000" w:rsidRPr="00000000" w14:paraId="0000006A">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Kiểm tra, báo cáo tổng hợp quyết toán cấp bù lãi suất hằng năm của Ngân hàng Nhà nước theo quy định tại Luật Ngân sách nhà nước và quy định tại Nghị định này. </w:t>
            </w:r>
          </w:p>
          <w:bookmarkStart w:colFirst="0" w:colLast="0" w:name="bookmark=id.iiyvvhvi040l" w:id="4"/>
          <w:bookmarkEnd w:id="4"/>
          <w:p w:rsidR="00000000" w:rsidDel="00000000" w:rsidP="00000000" w:rsidRDefault="00000000" w:rsidRPr="00000000" w14:paraId="0000006B">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Trách nhiệm của Ngân hàng Nhà nước </w:t>
            </w:r>
          </w:p>
          <w:p w:rsidR="00000000" w:rsidDel="00000000" w:rsidP="00000000" w:rsidRDefault="00000000" w:rsidRPr="00000000" w14:paraId="0000006C">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Tổng hợp kế hoạch cấp bù lãi suất, phân bổ và thông báo hạn mức cấp bù lãi suất cho các ngân hàng thương mại, điều chỉnh kế hoạch ngân sách nhà nước để cấp bù lãi suất cho các ngân hàng thương mại (nếu có).</w:t>
            </w:r>
          </w:p>
          <w:p w:rsidR="00000000" w:rsidDel="00000000" w:rsidP="00000000" w:rsidRDefault="00000000" w:rsidRPr="00000000" w14:paraId="0000006D">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Tổng hợp báo cáo quyết toán cấp bù lãi suất hằng năm của các ngân hàng thương mại; ra thông báo xét duyệt quyết toán cấp bù lãi suất hằng năm của các ngân hàng thương mại; báo cáo kết quả thực hiện cấp bù lãi suất cả chương trình theo quy định của pháp luật, trong đó bao gồm cả tình hình sử dụng nguồn vốn cấp bù lãi suất, báo cáo cấp có thẩm quyền.</w:t>
            </w:r>
          </w:p>
          <w:p w:rsidR="00000000" w:rsidDel="00000000" w:rsidP="00000000" w:rsidRDefault="00000000" w:rsidRPr="00000000" w14:paraId="0000006E">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Theo dõi, kiểm tra, đánh giá việc thực hiện thanh toán vốn ngân sách nhà nước để cấp bù lãi suất cho các ngân hàng thương mại.</w:t>
            </w:r>
          </w:p>
          <w:p w:rsidR="00000000" w:rsidDel="00000000" w:rsidP="00000000" w:rsidRDefault="00000000" w:rsidRPr="00000000" w14:paraId="0000006F">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Trách nhiệm của ngân hàng thương mại</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Chịu trách nhiệm về việc cho vay, xác định đối tượng khách hàng vay đáp ứng điều kiện được cấp bù lãi suất theo quy định của pháp luật, thực hiện thanh toán, quyết toán cấp bù lãi suất theo quy định tại Nghị định này.</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Báo cáo đầy đủ, kịp thời cho Ngân hàng Nhà nước, Bộ Tài chính và chịu trách nhiệm về tính hợp lệ, chính xác của hồ sơ, số liệu đề nghị thanh toán, quyết toán cấp bù lãi suất theo quy định tại Nghị định này.</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Cung cấp cho các cơ quan có thẩm quyền các tài liệu liên quan đến việc cấp bù lãi suất khi được yêu cầu (bản chính hoặc bản sao do ngân hàng thương mại đóng dấu sao y).</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Thu hồi số tiền đã cấp bù lãi suất đối với khoản vay của khách hàng được xác định không thuộc đối tượng, sử dụng vốn vay sai mục đích hoặc không đáp ứng điều kiện được cấp bù lãi suất theo quy định của pháp luật để hoàn trả ngân sách nhà nước.</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Trách nhiệm của khách hàng</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Có đề nghị cấp bù lãi suất; cung cấp các thông tin, tài liệu, chứng từ cần thiết theo đề nghị của ngân hàng thương mại trong quá trình cấp bù lãi suất; quyết toán cấp bù lãi suất; chịu trách nhiệm về tính chính xác, trung thực, đầy đủ của thông tin, tài liệu, chứng từ cung cấp cho ngân hàng thương mại.</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Sử dụng vốn vay đúng mục đích được cấp bù lãi suất theo thỏa thuận với ngân hàng thương mại.</w:t>
            </w:r>
          </w:p>
          <w:p w:rsidR="00000000" w:rsidDel="00000000" w:rsidP="00000000" w:rsidRDefault="00000000" w:rsidRPr="00000000" w14:paraId="00000077">
            <w:pPr>
              <w:jc w:val="both"/>
              <w:rPr>
                <w:color w:val="000000"/>
                <w:sz w:val="28"/>
                <w:szCs w:val="28"/>
              </w:rPr>
            </w:pPr>
            <w:r w:rsidDel="00000000" w:rsidR="00000000" w:rsidRPr="00000000">
              <w:rPr>
                <w:rFonts w:ascii="Times New Roman" w:cs="Times New Roman" w:eastAsia="Times New Roman" w:hAnsi="Times New Roman"/>
                <w:sz w:val="24"/>
                <w:szCs w:val="24"/>
                <w:rtl w:val="0"/>
              </w:rPr>
              <w:t xml:space="preserve">c) Hoàn trả số tiền đã được cấp bù lãi suất của khoản vay được xác định không thuộc đối tượng, sử dụng vốn vay sai mục đích hoặc không đáp ứng điều kiện được cấp bù lãi suất theo quy định của pháp luật. Trường hợp khách hàng không hoàn trả số tiền đã được cấp bù lãi suất phải chịu hoàn toàn trách nhiệm trước pháp luật.</w:t>
            </w:r>
            <w:r w:rsidDel="00000000" w:rsidR="00000000" w:rsidRPr="00000000">
              <w:rPr>
                <w:rtl w:val="0"/>
              </w:rPr>
            </w:r>
          </w:p>
        </w:tc>
        <w:tc>
          <w:tcPr/>
          <w:p w:rsidR="00000000" w:rsidDel="00000000" w:rsidP="00000000" w:rsidRDefault="00000000" w:rsidRPr="00000000" w14:paraId="00000078">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 định trách nhiệm của Bộ Tài chính, NHNN, các NHTM, khách hàng phù hợp với quy định pháp luật về ngân sách nhà nước, đầu tư công và tình hình thực tiễn.</w:t>
            </w:r>
          </w:p>
          <w:p w:rsidR="00000000" w:rsidDel="00000000" w:rsidP="00000000" w:rsidRDefault="00000000" w:rsidRPr="00000000" w14:paraId="00000079">
            <w:pPr>
              <w:ind w:firstLine="319"/>
              <w:jc w:val="both"/>
              <w:rPr>
                <w:rFonts w:ascii="Times New Roman" w:cs="Times New Roman" w:eastAsia="Times New Roman" w:hAnsi="Times New Roman"/>
                <w:sz w:val="24"/>
                <w:szCs w:val="24"/>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7A">
            <w:pPr>
              <w:spacing w:before="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Điều khoản chuyển tiếp</w:t>
            </w:r>
            <w:r w:rsidDel="00000000" w:rsidR="00000000" w:rsidRPr="00000000">
              <w:rPr>
                <w:rFonts w:ascii="Times New Roman" w:cs="Times New Roman" w:eastAsia="Times New Roman" w:hAnsi="Times New Roman"/>
                <w:b w:val="1"/>
                <w:sz w:val="24"/>
                <w:szCs w:val="24"/>
                <w:rtl w:val="0"/>
              </w:rPr>
              <w:t xml:space="preserve"> (Điều 9)</w:t>
            </w:r>
          </w:p>
          <w:p w:rsidR="00000000" w:rsidDel="00000000" w:rsidP="00000000" w:rsidRDefault="00000000" w:rsidRPr="00000000" w14:paraId="0000007B">
            <w:pPr>
              <w:tabs>
                <w:tab w:val="left" w:leader="none" w:pos="143"/>
              </w:tabs>
              <w:ind w:firstLine="284"/>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Đối với các hồ sơ đề nghị thanh toán, quyết toán cấp bù lãi suất thông qua các ngân hàng thương mại gửi Bộ Tài chính trước ngày Nghị định này có hiệu lực thi hành, việc thanh toán, quyết toán cấp bù lãi suất được tiếp tục thực hiện theo các văn bản quy phạm pháp luật hướng dẫn về thanh toán, quyết toán cấp bù lãi suất ban hành trước Nghị định này.</w:t>
            </w:r>
          </w:p>
          <w:p w:rsidR="00000000" w:rsidDel="00000000" w:rsidP="00000000" w:rsidRDefault="00000000" w:rsidRPr="00000000" w14:paraId="0000007D">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Đối với các hồ sơ đề nghị thanh toán, quyết toán, xử lý thu hồi số tiền đã cấp bù lãi suất do thực hiện chính sách tín dụng ưu đãi của nhà nước (trừ Chương trình hỗ trợ lãi suất từ ngân sách nhà nước đối với khoản vay của doanh nghiệp, hợp tác xã, hộ kinh doanh theo Nghị định số 31/2022/NĐ-CP ngày 22/5/2022 của Chính phủ), kể từ ngày Nghị định này có hiệu lực thi hành thì thực hiện theo quy định tại Nghị định này.</w:t>
            </w:r>
          </w:p>
          <w:p w:rsidR="00000000" w:rsidDel="00000000" w:rsidP="00000000" w:rsidRDefault="00000000" w:rsidRPr="00000000" w14:paraId="0000007E">
            <w:pPr>
              <w:tabs>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Đối với các chính sách tín dụng ưu đãi của nhà nước có cấp bù lãi suất qua các ngân hàng thương mại được ban hành trước ngày Nghị định này có hiệu lực thi hành, các khoản cho vay bị quá hạn một phần dư nợ gốc thì phần dư nợ gốc không bị quá hạn theo Hợp đồng tín dụng ký kết giữa ngân hàng và khách hàng tiếp tục được hưởng hỗ trợ lãi suất theo quy định của chính sách tín dụng ưu đãi của Nhà nước.</w:t>
            </w:r>
          </w:p>
        </w:tc>
        <w:tc>
          <w:tcPr/>
          <w:p w:rsidR="00000000" w:rsidDel="00000000" w:rsidP="00000000" w:rsidRDefault="00000000" w:rsidRPr="00000000" w14:paraId="0000007F">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Dự thảo Nghị định có quy định về điều khoản chuyển tiếp để tránh khoảng trống pháp lý, theo đó, đối với hồ sơ đề nghị quyết toán của các ngân hàng thương mại thực hiện các chính sách tín dụng nhà nước trước thời điểm Nghị định có hiệu lực thi hành thì tiếp tục thực hiện thanh toán, quyết toán cấp bù lãi suất, hỗ trợ lãi suất theo quy định pháp luật hiện hành</w:t>
            </w:r>
          </w:p>
          <w:p w:rsidR="00000000" w:rsidDel="00000000" w:rsidP="00000000" w:rsidRDefault="00000000" w:rsidRPr="00000000" w14:paraId="00000080">
            <w:pPr>
              <w:ind w:firstLine="31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Quy định về việc các khoản cho vay bị quá hạn một phần dư nợ gốc thì phần dư nợ gốc không bị quá hạn theo Hợp đồng tín dụng ký kết giữa ngân hàng và khách hàng tiếp tục được hưởng hỗ trợ lãi suất tại các chương trình tín dụng được ban hành trước thời điểm Nghị định có hiệu lực thi hành (Chương trình hỗ trợ giảm nghèo nhanh và bền vững đối với 61 huyện nghèo theo Nghị quyết số </w:t>
            </w:r>
            <w:hyperlink r:id="rId7">
              <w:r w:rsidDel="00000000" w:rsidR="00000000" w:rsidRPr="00000000">
                <w:rPr>
                  <w:rFonts w:ascii="Times New Roman" w:cs="Times New Roman" w:eastAsia="Times New Roman" w:hAnsi="Times New Roman"/>
                  <w:sz w:val="24"/>
                  <w:szCs w:val="24"/>
                  <w:rtl w:val="0"/>
                </w:rPr>
                <w:t xml:space="preserve">30a/2008/NQ-CP</w:t>
              </w:r>
            </w:hyperlink>
            <w:r w:rsidDel="00000000" w:rsidR="00000000" w:rsidRPr="00000000">
              <w:rPr>
                <w:rFonts w:ascii="Times New Roman" w:cs="Times New Roman" w:eastAsia="Times New Roman" w:hAnsi="Times New Roman"/>
                <w:sz w:val="24"/>
                <w:szCs w:val="24"/>
                <w:rtl w:val="0"/>
              </w:rPr>
              <w:t xml:space="preserve"> ngày 27/12/2008 của Chính phủ; Chương trình hỗ trợ giảm tổn thất trong nông nghiệp theo Quyết định số 63/2010/QĐ-TTg ngày 15/10/2010, Quyết định số 65/2011/QĐ-TTg ngày 02/12/2011, Quyết định số 68/2013/QĐ-TTg ngày 14/11/2013 của Thủ tướng Chính phủ; Chương trình cho vay nâng cấp, đóng mới tàu cá theo Nghị định số 67/2014/NĐ-CP ngày 07/7/2014 của Chính phủ về một số chính sách phát triển thủy sản; Chương trình hỗ trợ các huyện nghèo tại Nghị quyết số 30a/2008/NQ-CP ngày 27/12/2008 của Chính phủ)</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81">
            <w:pPr>
              <w:spacing w:before="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Hiệu lực thi hành </w:t>
            </w:r>
            <w:r w:rsidDel="00000000" w:rsidR="00000000" w:rsidRPr="00000000">
              <w:rPr>
                <w:rFonts w:ascii="Times New Roman" w:cs="Times New Roman" w:eastAsia="Times New Roman" w:hAnsi="Times New Roman"/>
                <w:b w:val="1"/>
                <w:sz w:val="24"/>
                <w:szCs w:val="24"/>
                <w:rtl w:val="0"/>
              </w:rPr>
              <w:t xml:space="preserve">(Điều 10)</w:t>
            </w:r>
          </w:p>
          <w:p w:rsidR="00000000" w:rsidDel="00000000" w:rsidP="00000000" w:rsidRDefault="00000000" w:rsidRPr="00000000" w14:paraId="00000082">
            <w:pPr>
              <w:tabs>
                <w:tab w:val="left" w:leader="none" w:pos="143"/>
              </w:tabs>
              <w:ind w:firstLine="284"/>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Nghị định này có hiệu lực thi hành kể từ ngày … tháng…năm 2026. </w:t>
            </w:r>
          </w:p>
          <w:p w:rsidR="00000000" w:rsidDel="00000000" w:rsidP="00000000" w:rsidRDefault="00000000" w:rsidRPr="00000000" w14:paraId="0000008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2. Các Bộ trưởng, Thủ trưởng cơ quan ngang bộ, Thủ trưởng cơ quan thuộc Chính phủ, Chủ tịch Ủy ban nhân dân các tỉnh, thành phố trực thuộc trung ương, các ngân hàng thương mại, ngân hàng chính sách và các tổ chức, cá nhân có liên quan chịu trách nhiệm thi hành Nghị định này</w:t>
            </w:r>
            <w:r w:rsidDel="00000000" w:rsidR="00000000" w:rsidRPr="00000000">
              <w:rPr>
                <w:rtl w:val="0"/>
              </w:rPr>
            </w:r>
          </w:p>
        </w:tc>
        <w:tc>
          <w:tcPr/>
          <w:p w:rsidR="00000000" w:rsidDel="00000000" w:rsidP="00000000" w:rsidRDefault="00000000" w:rsidRPr="00000000" w14:paraId="00000085">
            <w:pPr>
              <w:ind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 quy định tại Luật Ban hành văn bản quy phạm pháp luật và Nghị định hướng dẫn.</w:t>
            </w:r>
          </w:p>
        </w:tc>
      </w:tr>
    </w:tbl>
    <w:p w:rsidR="00000000" w:rsidDel="00000000" w:rsidP="00000000" w:rsidRDefault="00000000" w:rsidRPr="00000000" w14:paraId="0000008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6" w:w="16838" w:orient="landscape"/>
      <w:pgMar w:bottom="851" w:top="1247" w:left="1134" w:right="726" w:header="425"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40" w:lineRule="auto"/>
      <w:ind w:firstLine="187"/>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line="240" w:lineRule="auto"/>
      <w:ind w:firstLine="187"/>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Rule="auto"/>
    </w:pPr>
    <w:rPr>
      <w:rFonts w:ascii="Calibri" w:cs="Calibri" w:eastAsia="Calibri" w:hAnsi="Calibri"/>
      <w:b w:val="1"/>
      <w:sz w:val="24"/>
      <w:szCs w:val="24"/>
    </w:rPr>
  </w:style>
  <w:style w:type="paragraph" w:styleId="Heading5">
    <w:name w:val="heading 5"/>
    <w:basedOn w:val="Normal"/>
    <w:next w:val="Normal"/>
    <w:pPr>
      <w:keepNext w:val="1"/>
      <w:keepLines w:val="1"/>
      <w:spacing w:after="40" w:before="220" w:lineRule="auto"/>
    </w:pPr>
    <w:rPr>
      <w:rFonts w:ascii="Calibri" w:cs="Calibri" w:eastAsia="Calibri" w:hAnsi="Calibri"/>
      <w:b w:val="1"/>
    </w:rPr>
  </w:style>
  <w:style w:type="paragraph" w:styleId="Heading6">
    <w:name w:val="heading 6"/>
    <w:basedOn w:val="Normal"/>
    <w:next w:val="Normal"/>
    <w:pPr>
      <w:keepNext w:val="1"/>
      <w:keepLines w:val="1"/>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TextChar" w:customStyle="1">
    <w:name w:val="Footnote Text Char"/>
    <w:aliases w:val="Footnote Text Char Char Char Char Char Char,Footnote Text Char Char Char Char Char Char Ch Char Char,Footnote Text Char Char Char Char Char Char Ch Char Char Char Char,ARM footnote Text Char,Footnote Text Char1 Char, Cha Char,ft Char"/>
    <w:basedOn w:val="DefaultParagraphFont"/>
    <w:link w:val="FootnoteText"/>
    <w:qFormat w:val="1"/>
    <w:rsid w:val="00C20E9F"/>
    <w:rPr>
      <w:rFonts w:ascii="Times New Roman" w:cs="Times New Roman" w:eastAsia="Times New Roman" w:hAnsi="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t,fn"/>
    <w:basedOn w:val="Normal"/>
    <w:link w:val="FootnoteTextChar"/>
    <w:qFormat w:val="1"/>
    <w:rsid w:val="00C20E9F"/>
    <w:pPr>
      <w:spacing w:after="0" w:line="240" w:lineRule="auto"/>
    </w:pPr>
    <w:rPr>
      <w:rFonts w:ascii="Times New Roman" w:cs="Times New Roman" w:eastAsia="Times New Roman" w:hAnsi="Times New Roman"/>
      <w:sz w:val="20"/>
      <w:szCs w:val="20"/>
    </w:rPr>
  </w:style>
  <w:style w:type="character" w:styleId="HeaderChar" w:customStyle="1">
    <w:name w:val="Header Char"/>
    <w:basedOn w:val="DefaultParagraphFont"/>
    <w:link w:val="Header"/>
    <w:uiPriority w:val="99"/>
    <w:rsid w:val="00C20E9F"/>
    <w:rPr>
      <w:rFonts w:ascii="Arial" w:cs="Times New Roman" w:eastAsia="Arial" w:hAnsi="Arial"/>
    </w:rPr>
  </w:style>
  <w:style w:type="paragraph" w:styleId="Header">
    <w:name w:val="header"/>
    <w:basedOn w:val="Normal"/>
    <w:link w:val="HeaderChar"/>
    <w:uiPriority w:val="99"/>
    <w:unhideWhenUsed w:val="1"/>
    <w:rsid w:val="00C20E9F"/>
    <w:pPr>
      <w:tabs>
        <w:tab w:val="center" w:pos="4513"/>
        <w:tab w:val="right" w:pos="9026"/>
      </w:tabs>
    </w:pPr>
    <w:rPr>
      <w:rFonts w:ascii="Arial" w:cs="Times New Roman" w:eastAsia="Arial" w:hAnsi="Arial"/>
    </w:rPr>
  </w:style>
  <w:style w:type="character" w:styleId="FooterChar" w:customStyle="1">
    <w:name w:val="Footer Char"/>
    <w:basedOn w:val="DefaultParagraphFont"/>
    <w:link w:val="Footer"/>
    <w:uiPriority w:val="99"/>
    <w:rsid w:val="00C20E9F"/>
    <w:rPr>
      <w:rFonts w:ascii="Arial" w:cs="Times New Roman" w:eastAsia="Arial" w:hAnsi="Arial"/>
    </w:rPr>
  </w:style>
  <w:style w:type="paragraph" w:styleId="Footer">
    <w:name w:val="footer"/>
    <w:basedOn w:val="Normal"/>
    <w:link w:val="FooterChar"/>
    <w:uiPriority w:val="99"/>
    <w:unhideWhenUsed w:val="1"/>
    <w:rsid w:val="00C20E9F"/>
    <w:pPr>
      <w:tabs>
        <w:tab w:val="center" w:pos="4513"/>
        <w:tab w:val="right" w:pos="9026"/>
      </w:tabs>
    </w:pPr>
    <w:rPr>
      <w:rFonts w:ascii="Arial" w:cs="Times New Roman" w:eastAsia="Arial" w:hAnsi="Arial"/>
    </w:rPr>
  </w:style>
  <w:style w:type="paragraph" w:styleId="NormalWeb">
    <w:name w:val="Normal (Web)"/>
    <w:basedOn w:val="Normal"/>
    <w:link w:val="NormalWebChar"/>
    <w:uiPriority w:val="99"/>
    <w:unhideWhenUsed w:val="1"/>
    <w:rsid w:val="00C20E9F"/>
    <w:pPr>
      <w:spacing w:after="100" w:afterAutospacing="1" w:before="100" w:beforeAutospacing="1" w:line="240" w:lineRule="auto"/>
    </w:pPr>
    <w:rPr>
      <w:rFonts w:ascii="Times New Roman" w:cs="Times New Roman" w:eastAsia="Times New Roman" w:hAnsi="Times New Roman"/>
      <w:sz w:val="24"/>
      <w:szCs w:val="24"/>
      <w:lang w:eastAsia="ko-KR"/>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qFormat w:val="1"/>
    <w:rsid w:val="00C20E9F"/>
    <w:rPr>
      <w:vertAlign w:val="superscript"/>
    </w:rPr>
  </w:style>
  <w:style w:type="paragraph" w:styleId="ListParagraph">
    <w:name w:val="List Paragraph"/>
    <w:basedOn w:val="Normal"/>
    <w:uiPriority w:val="34"/>
    <w:qFormat w:val="1"/>
    <w:rsid w:val="00A637ED"/>
    <w:pPr>
      <w:ind w:left="720"/>
      <w:contextualSpacing w:val="1"/>
    </w:pPr>
  </w:style>
  <w:style w:type="character" w:styleId="Hyperlink">
    <w:name w:val="Hyperlink"/>
    <w:basedOn w:val="DefaultParagraphFont"/>
    <w:uiPriority w:val="99"/>
    <w:unhideWhenUsed w:val="1"/>
    <w:rsid w:val="00D20872"/>
    <w:rPr>
      <w:color w:val="0000ff" w:themeColor="hyperlink"/>
      <w:u w:val="single"/>
    </w:rPr>
  </w:style>
  <w:style w:type="character" w:styleId="Heading1Char" w:customStyle="1">
    <w:name w:val="Heading 1 Char"/>
    <w:basedOn w:val="DefaultParagraphFont"/>
    <w:link w:val="Heading1"/>
    <w:rsid w:val="00C51431"/>
    <w:rPr>
      <w:rFonts w:ascii="Times New Roman" w:cs="Calibri" w:eastAsia="Calibri" w:hAnsi="Times New Roman"/>
      <w:b w:val="1"/>
      <w:noProof w:val="1"/>
      <w:sz w:val="24"/>
      <w:szCs w:val="48"/>
      <w:lang w:val="en-US"/>
    </w:rPr>
  </w:style>
  <w:style w:type="character" w:styleId="Heading2Char" w:customStyle="1">
    <w:name w:val="Heading 2 Char"/>
    <w:basedOn w:val="DefaultParagraphFont"/>
    <w:link w:val="Heading2"/>
    <w:rsid w:val="00C51431"/>
    <w:rPr>
      <w:rFonts w:ascii="Times New Roman" w:cs="Calibri" w:eastAsia="Calibri" w:hAnsi="Times New Roman"/>
      <w:b w:val="1"/>
      <w:noProof w:val="1"/>
      <w:sz w:val="24"/>
      <w:szCs w:val="36"/>
      <w:lang w:val="en-US"/>
    </w:rPr>
  </w:style>
  <w:style w:type="character" w:styleId="Heading3Char" w:customStyle="1">
    <w:name w:val="Heading 3 Char"/>
    <w:basedOn w:val="DefaultParagraphFont"/>
    <w:link w:val="Heading3"/>
    <w:rsid w:val="002859E7"/>
    <w:rPr>
      <w:rFonts w:ascii="Calibri" w:cs="Calibri" w:eastAsia="Calibri" w:hAnsi="Calibri"/>
      <w:b w:val="1"/>
      <w:sz w:val="28"/>
      <w:szCs w:val="28"/>
    </w:rPr>
  </w:style>
  <w:style w:type="character" w:styleId="Heading4Char" w:customStyle="1">
    <w:name w:val="Heading 4 Char"/>
    <w:basedOn w:val="DefaultParagraphFont"/>
    <w:link w:val="Heading4"/>
    <w:rsid w:val="002859E7"/>
    <w:rPr>
      <w:rFonts w:ascii="Calibri" w:cs="Calibri" w:eastAsia="Calibri" w:hAnsi="Calibri"/>
      <w:b w:val="1"/>
      <w:sz w:val="24"/>
      <w:szCs w:val="24"/>
    </w:rPr>
  </w:style>
  <w:style w:type="character" w:styleId="Heading5Char" w:customStyle="1">
    <w:name w:val="Heading 5 Char"/>
    <w:basedOn w:val="DefaultParagraphFont"/>
    <w:link w:val="Heading5"/>
    <w:rsid w:val="002859E7"/>
    <w:rPr>
      <w:rFonts w:ascii="Calibri" w:cs="Calibri" w:eastAsia="Calibri" w:hAnsi="Calibri"/>
      <w:b w:val="1"/>
    </w:rPr>
  </w:style>
  <w:style w:type="character" w:styleId="Heading6Char" w:customStyle="1">
    <w:name w:val="Heading 6 Char"/>
    <w:basedOn w:val="DefaultParagraphFont"/>
    <w:link w:val="Heading6"/>
    <w:rsid w:val="002859E7"/>
    <w:rPr>
      <w:rFonts w:ascii="Calibri" w:cs="Calibri" w:eastAsia="Calibri" w:hAnsi="Calibri"/>
      <w:b w:val="1"/>
      <w:sz w:val="20"/>
      <w:szCs w:val="20"/>
    </w:rPr>
  </w:style>
  <w:style w:type="character" w:styleId="TitleChar" w:customStyle="1">
    <w:name w:val="Title Char"/>
    <w:basedOn w:val="DefaultParagraphFont"/>
    <w:link w:val="Title"/>
    <w:rsid w:val="002859E7"/>
    <w:rPr>
      <w:rFonts w:ascii="Calibri" w:cs="Calibri" w:eastAsia="Calibri" w:hAnsi="Calibri"/>
      <w:b w:val="1"/>
      <w:sz w:val="72"/>
      <w:szCs w:val="72"/>
    </w:rPr>
  </w:style>
  <w:style w:type="character" w:styleId="HeaderChar1" w:customStyle="1">
    <w:name w:val="Header Char1"/>
    <w:basedOn w:val="DefaultParagraphFont"/>
    <w:uiPriority w:val="99"/>
    <w:semiHidden w:val="1"/>
    <w:rsid w:val="002859E7"/>
    <w:rPr>
      <w:rFonts w:ascii="Calibri" w:cs="Calibri" w:eastAsia="Calibri" w:hAnsi="Calibri"/>
    </w:rPr>
  </w:style>
  <w:style w:type="character" w:styleId="FooterChar1" w:customStyle="1">
    <w:name w:val="Footer Char1"/>
    <w:basedOn w:val="DefaultParagraphFont"/>
    <w:uiPriority w:val="99"/>
    <w:semiHidden w:val="1"/>
    <w:rsid w:val="002859E7"/>
    <w:rPr>
      <w:rFonts w:ascii="Calibri" w:cs="Calibri" w:eastAsia="Calibri" w:hAnsi="Calibri"/>
    </w:rPr>
  </w:style>
  <w:style w:type="character" w:styleId="BalloonTextChar" w:customStyle="1">
    <w:name w:val="Balloon Text Char"/>
    <w:basedOn w:val="DefaultParagraphFont"/>
    <w:link w:val="BalloonText"/>
    <w:uiPriority w:val="99"/>
    <w:semiHidden w:val="1"/>
    <w:rsid w:val="002859E7"/>
    <w:rPr>
      <w:rFonts w:ascii="Tahoma" w:cs="Tahoma" w:eastAsia="Calibri" w:hAnsi="Tahoma"/>
      <w:sz w:val="16"/>
      <w:szCs w:val="16"/>
    </w:rPr>
  </w:style>
  <w:style w:type="paragraph" w:styleId="BalloonText">
    <w:name w:val="Balloon Text"/>
    <w:basedOn w:val="Normal"/>
    <w:link w:val="BalloonTextChar"/>
    <w:uiPriority w:val="99"/>
    <w:semiHidden w:val="1"/>
    <w:unhideWhenUsed w:val="1"/>
    <w:rsid w:val="002859E7"/>
    <w:pPr>
      <w:spacing w:after="0" w:line="240" w:lineRule="auto"/>
    </w:pPr>
    <w:rPr>
      <w:rFonts w:ascii="Tahoma" w:cs="Tahoma" w:eastAsia="Calibri" w:hAnsi="Tahoma"/>
      <w:sz w:val="16"/>
      <w:szCs w:val="16"/>
    </w:rPr>
  </w:style>
  <w:style w:type="character" w:styleId="BalloonTextChar1" w:customStyle="1">
    <w:name w:val="Balloon Text Char1"/>
    <w:basedOn w:val="DefaultParagraphFont"/>
    <w:uiPriority w:val="99"/>
    <w:semiHidden w:val="1"/>
    <w:rsid w:val="002859E7"/>
    <w:rPr>
      <w:rFonts w:ascii="Tahoma" w:cs="Tahoma" w:hAnsi="Tahoma"/>
      <w:sz w:val="16"/>
      <w:szCs w:val="16"/>
    </w:rPr>
  </w:style>
  <w:style w:type="character" w:styleId="SubtitleChar" w:customStyle="1">
    <w:name w:val="Subtitle Char"/>
    <w:basedOn w:val="DefaultParagraphFont"/>
    <w:link w:val="Subtitle"/>
    <w:rsid w:val="002859E7"/>
    <w:rPr>
      <w:rFonts w:ascii="Georgia" w:cs="Georgia" w:eastAsia="Georgia" w:hAnsi="Georgia"/>
      <w:i w:val="1"/>
      <w:color w:val="666666"/>
      <w:sz w:val="48"/>
      <w:szCs w:val="48"/>
    </w:rPr>
  </w:style>
  <w:style w:type="paragraph" w:styleId="CommentText">
    <w:name w:val="annotation text"/>
    <w:basedOn w:val="Normal"/>
    <w:link w:val="CommentTextChar"/>
    <w:uiPriority w:val="99"/>
    <w:unhideWhenUsed w:val="1"/>
    <w:rsid w:val="002859E7"/>
    <w:pPr>
      <w:spacing w:line="240" w:lineRule="auto"/>
    </w:pPr>
    <w:rPr>
      <w:rFonts w:ascii="Calibri" w:cs="Calibri" w:eastAsia="Calibri" w:hAnsi="Calibri"/>
      <w:sz w:val="20"/>
      <w:szCs w:val="20"/>
    </w:rPr>
  </w:style>
  <w:style w:type="character" w:styleId="CommentTextChar" w:customStyle="1">
    <w:name w:val="Comment Text Char"/>
    <w:basedOn w:val="DefaultParagraphFont"/>
    <w:link w:val="CommentText"/>
    <w:uiPriority w:val="99"/>
    <w:rsid w:val="002859E7"/>
    <w:rPr>
      <w:rFonts w:ascii="Calibri" w:cs="Calibri" w:eastAsia="Calibri" w:hAnsi="Calibri"/>
      <w:sz w:val="20"/>
      <w:szCs w:val="20"/>
    </w:rPr>
  </w:style>
  <w:style w:type="character" w:styleId="CommentTextChar1" w:customStyle="1">
    <w:name w:val="Comment Text Char1"/>
    <w:locked w:val="1"/>
    <w:rsid w:val="002859E7"/>
    <w:rPr>
      <w:rFonts w:ascii=".VnTime" w:cs="Times New Roman" w:eastAsia="Times New Roman" w:hAnsi=".VnTime"/>
      <w:sz w:val="20"/>
      <w:szCs w:val="20"/>
      <w:lang w:val="en-US"/>
    </w:rPr>
  </w:style>
  <w:style w:type="character" w:styleId="Strong">
    <w:name w:val="Strong"/>
    <w:uiPriority w:val="22"/>
    <w:qFormat w:val="1"/>
    <w:rsid w:val="002859E7"/>
    <w:rPr>
      <w:b w:val="1"/>
      <w:bCs w:val="1"/>
    </w:rPr>
  </w:style>
  <w:style w:type="character" w:styleId="CommentSubjectChar" w:customStyle="1">
    <w:name w:val="Comment Subject Char"/>
    <w:basedOn w:val="CommentTextChar"/>
    <w:link w:val="CommentSubject"/>
    <w:uiPriority w:val="99"/>
    <w:semiHidden w:val="1"/>
    <w:rsid w:val="002859E7"/>
    <w:rPr>
      <w:rFonts w:ascii="Calibri" w:cs="Calibri" w:eastAsia="Calibri" w:hAnsi="Calibri"/>
      <w:b w:val="1"/>
      <w:bCs w:val="1"/>
      <w:sz w:val="20"/>
      <w:szCs w:val="20"/>
    </w:rPr>
  </w:style>
  <w:style w:type="paragraph" w:styleId="CommentSubject">
    <w:name w:val="annotation subject"/>
    <w:basedOn w:val="CommentText"/>
    <w:next w:val="CommentText"/>
    <w:link w:val="CommentSubjectChar"/>
    <w:uiPriority w:val="99"/>
    <w:semiHidden w:val="1"/>
    <w:unhideWhenUsed w:val="1"/>
    <w:rsid w:val="002859E7"/>
    <w:rPr>
      <w:b w:val="1"/>
      <w:bCs w:val="1"/>
    </w:rPr>
  </w:style>
  <w:style w:type="character" w:styleId="CommentSubjectChar1" w:customStyle="1">
    <w:name w:val="Comment Subject Char1"/>
    <w:basedOn w:val="CommentTextChar"/>
    <w:uiPriority w:val="99"/>
    <w:semiHidden w:val="1"/>
    <w:rsid w:val="002859E7"/>
    <w:rPr>
      <w:rFonts w:ascii="Calibri" w:cs="Calibri" w:eastAsia="Calibri" w:hAnsi="Calibri"/>
      <w:b w:val="1"/>
      <w:bCs w:val="1"/>
      <w:sz w:val="20"/>
      <w:szCs w:val="20"/>
    </w:rPr>
  </w:style>
  <w:style w:type="paragraph" w:styleId="BVIfnrCarCar" w:customStyle="1">
    <w:name w:val="BVI fnr Car Car"/>
    <w:aliases w:val="BVI fnr Car,BVI fnr Car Car Car Car Char"/>
    <w:basedOn w:val="Normal"/>
    <w:link w:val="FootnoteReference"/>
    <w:uiPriority w:val="99"/>
    <w:rsid w:val="001F384A"/>
    <w:pPr>
      <w:spacing w:after="160" w:line="240" w:lineRule="exact"/>
    </w:pPr>
    <w:rPr>
      <w:vertAlign w:val="superscript"/>
    </w:rPr>
  </w:style>
  <w:style w:type="paragraph" w:styleId="Revision">
    <w:name w:val="Revision"/>
    <w:hidden w:val="1"/>
    <w:uiPriority w:val="99"/>
    <w:semiHidden w:val="1"/>
    <w:rsid w:val="002805F7"/>
    <w:pPr>
      <w:spacing w:after="0" w:line="240" w:lineRule="auto"/>
    </w:pPr>
  </w:style>
  <w:style w:type="character" w:styleId="CommentReference">
    <w:name w:val="annotation reference"/>
    <w:basedOn w:val="DefaultParagraphFont"/>
    <w:uiPriority w:val="99"/>
    <w:unhideWhenUsed w:val="1"/>
    <w:rsid w:val="008F5DB1"/>
    <w:rPr>
      <w:sz w:val="16"/>
      <w:szCs w:val="16"/>
    </w:rPr>
  </w:style>
  <w:style w:type="table" w:styleId="TableGrid">
    <w:name w:val="Table Grid"/>
    <w:basedOn w:val="TableNormal"/>
    <w:uiPriority w:val="59"/>
    <w:rsid w:val="00BF4FA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UnresolvedMention1" w:customStyle="1">
    <w:name w:val="Unresolved Mention1"/>
    <w:basedOn w:val="DefaultParagraphFont"/>
    <w:uiPriority w:val="99"/>
    <w:semiHidden w:val="1"/>
    <w:unhideWhenUsed w:val="1"/>
    <w:rsid w:val="00A43991"/>
    <w:rPr>
      <w:color w:val="605e5c"/>
      <w:shd w:color="auto" w:fill="e1dfdd" w:val="clear"/>
    </w:rPr>
  </w:style>
  <w:style w:type="character" w:styleId="NormalWebChar" w:customStyle="1">
    <w:name w:val="Normal (Web) Char"/>
    <w:link w:val="NormalWeb"/>
    <w:locked w:val="1"/>
    <w:rsid w:val="00852AD4"/>
    <w:rPr>
      <w:rFonts w:ascii="Times New Roman" w:cs="Times New Roman" w:eastAsia="Times New Roman" w:hAnsi="Times New Roman"/>
      <w:noProof w:val="1"/>
      <w:sz w:val="24"/>
      <w:szCs w:val="24"/>
      <w:lang w:eastAsia="ko-KR" w:val="en-US"/>
    </w:rPr>
  </w:style>
  <w:style w:type="character" w:styleId="apple-converted-space" w:customStyle="1">
    <w:name w:val="apple-converted-space"/>
    <w:rsid w:val="00CF2BD0"/>
  </w:style>
  <w:style w:type="character" w:styleId="UnresolvedMention2" w:customStyle="1">
    <w:name w:val="Unresolved Mention2"/>
    <w:basedOn w:val="DefaultParagraphFont"/>
    <w:uiPriority w:val="99"/>
    <w:semiHidden w:val="1"/>
    <w:unhideWhenUsed w:val="1"/>
    <w:rsid w:val="0090377C"/>
    <w:rPr>
      <w:color w:val="605e5c"/>
      <w:shd w:color="auto" w:fill="e1dfdd" w:val="clear"/>
    </w:rPr>
  </w:style>
  <w:style w:type="paragraph" w:styleId="CharChar1CharCharCharChar1CharCharCharCharCharCharCharChar" w:customStyle="1">
    <w:name w:val="Char Char1 Char Char Char Char1 Char Char Char Char Char Char Char Char"/>
    <w:aliases w:val="Char Char1 Char Char Char Char1 Char Char Char Char Char Char Char Char Char Char Char Char"/>
    <w:basedOn w:val="Normal"/>
    <w:next w:val="Normal"/>
    <w:qFormat w:val="1"/>
    <w:rsid w:val="00777920"/>
    <w:pPr>
      <w:spacing w:after="160" w:line="240" w:lineRule="exact"/>
    </w:pPr>
    <w:rPr>
      <w:rFonts w:ascii="Arial" w:cs="Times New Roman" w:eastAsia="Arial" w:hAnsi="Arial"/>
      <w:noProof w:val="0"/>
      <w:sz w:val="20"/>
      <w:szCs w:val="20"/>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huvienphapluat.vn/van-ban/Van-hoa-Xa-hoi/Nghi-quyet-30a-2008-NQ-CP-chuong-trinh-ho-tro-giam-ngheo-nhanh-va-ben-vung-doi-voi-61-huyen-ngheo-83914.aspx"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LNQX9iufljbSogILO8ZrxugJA==">CgMxLjAaJAoBMBIfCh0IB0IZCg9UaW1lcyBOZXcgUm9tYW4SBkNhdWRleBolCgExEiAKHggHQhoKD1RpbWVzIE5ldyBSb21hbhIHR3VuZ3N1aDIOaC4zd2dzaTBvd3JyMzIyD2lkLjgxcTE3M25kdmtmdzIPaWQuN3lpa2N3N21uMnZpMg5pZC5jaWFyczVqN3BldDIPaWQuaWl5dnZodmkwNDBsOAByITFpNktsS0tUTmFTQV9DdjhzOHM2OUFKVmF6S1hybF8yVg==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2025-11-04T07:07:00Z</dcterms:created>
  <dc:creator>Phan Ha Anh</dc:creator>
</cp:coreProperties>
</file>