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85" w:type="dxa"/>
          <w:right w:w="85" w:type="dxa"/>
        </w:tblCellMar>
        <w:tblLook w:val="04A0" w:firstRow="1" w:lastRow="0" w:firstColumn="1" w:lastColumn="0" w:noHBand="0" w:noVBand="1"/>
      </w:tblPr>
      <w:tblGrid>
        <w:gridCol w:w="3260"/>
        <w:gridCol w:w="5812"/>
      </w:tblGrid>
      <w:tr w:rsidR="0020031F" w:rsidRPr="0020031F" w14:paraId="7DF9E965" w14:textId="77777777" w:rsidTr="0020031F">
        <w:trPr>
          <w:cantSplit/>
          <w:trHeight w:val="993"/>
        </w:trPr>
        <w:tc>
          <w:tcPr>
            <w:tcW w:w="1797" w:type="pct"/>
            <w:hideMark/>
          </w:tcPr>
          <w:p w14:paraId="40EF021B" w14:textId="022393C4" w:rsidR="00A35527" w:rsidRPr="0020031F" w:rsidRDefault="00A35527" w:rsidP="0020031F">
            <w:pPr>
              <w:spacing w:after="0" w:line="240" w:lineRule="auto"/>
              <w:ind w:firstLine="0"/>
              <w:jc w:val="center"/>
              <w:rPr>
                <w:b/>
                <w:bCs/>
                <w:sz w:val="24"/>
                <w:szCs w:val="24"/>
              </w:rPr>
            </w:pPr>
            <w:r w:rsidRPr="0020031F">
              <w:rPr>
                <w:sz w:val="16"/>
                <w:szCs w:val="16"/>
              </w:rPr>
              <w:br w:type="page"/>
            </w:r>
            <w:r w:rsidRPr="0020031F">
              <w:br w:type="page"/>
            </w:r>
            <w:r w:rsidRPr="0020031F">
              <w:br w:type="page"/>
            </w:r>
            <w:r w:rsidR="00415433">
              <w:rPr>
                <w:b/>
                <w:bCs/>
                <w:sz w:val="26"/>
                <w:szCs w:val="24"/>
              </w:rPr>
              <w:t>BỘ NỘI VỤ</w:t>
            </w:r>
          </w:p>
          <w:p w14:paraId="2C3093A9" w14:textId="77777777" w:rsidR="00A35527" w:rsidRPr="0020031F" w:rsidRDefault="00A35527" w:rsidP="005D01E8">
            <w:pPr>
              <w:spacing w:after="0" w:line="240" w:lineRule="auto"/>
              <w:ind w:firstLine="0"/>
              <w:jc w:val="center"/>
              <w:rPr>
                <w:b/>
                <w:bCs/>
                <w:sz w:val="26"/>
                <w:szCs w:val="26"/>
              </w:rPr>
            </w:pPr>
            <w:r w:rsidRPr="0020031F">
              <w:rPr>
                <w:noProof/>
                <w:sz w:val="24"/>
                <w:szCs w:val="24"/>
                <w:lang w:eastAsia="zh-CN"/>
              </w:rPr>
              <mc:AlternateContent>
                <mc:Choice Requires="wps">
                  <w:drawing>
                    <wp:anchor distT="4294967295" distB="4294967295" distL="114300" distR="114300" simplePos="0" relativeHeight="251664384" behindDoc="0" locked="0" layoutInCell="1" allowOverlap="1" wp14:anchorId="516C9736" wp14:editId="359F5D7E">
                      <wp:simplePos x="0" y="0"/>
                      <wp:positionH relativeFrom="column">
                        <wp:posOffset>742315</wp:posOffset>
                      </wp:positionH>
                      <wp:positionV relativeFrom="paragraph">
                        <wp:posOffset>47625</wp:posOffset>
                      </wp:positionV>
                      <wp:extent cx="535305" cy="0"/>
                      <wp:effectExtent l="0" t="0" r="361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1B0973"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3.75pt" to="100.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FIHAIAADU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"/>
                  </w:pict>
                </mc:Fallback>
              </mc:AlternateContent>
            </w:r>
          </w:p>
        </w:tc>
        <w:tc>
          <w:tcPr>
            <w:tcW w:w="3203" w:type="pct"/>
            <w:hideMark/>
          </w:tcPr>
          <w:p w14:paraId="5E9D89AB" w14:textId="77777777" w:rsidR="00A35527" w:rsidRPr="0020031F" w:rsidRDefault="00A35527" w:rsidP="0020031F">
            <w:pPr>
              <w:spacing w:after="0" w:line="240" w:lineRule="auto"/>
              <w:ind w:firstLine="0"/>
              <w:jc w:val="center"/>
              <w:rPr>
                <w:b/>
                <w:bCs/>
                <w:sz w:val="24"/>
                <w:szCs w:val="24"/>
              </w:rPr>
            </w:pPr>
            <w:r w:rsidRPr="0020031F">
              <w:rPr>
                <w:b/>
                <w:bCs/>
                <w:sz w:val="24"/>
                <w:szCs w:val="24"/>
              </w:rPr>
              <w:t>CỘNG HOÀ XÃ HỘI CHỦ NGHĨA VIỆT NAM</w:t>
            </w:r>
          </w:p>
          <w:p w14:paraId="5CB745B4" w14:textId="77777777" w:rsidR="00A35527" w:rsidRPr="0020031F" w:rsidRDefault="00A35527" w:rsidP="005D01E8">
            <w:pPr>
              <w:spacing w:after="0" w:line="240" w:lineRule="auto"/>
              <w:ind w:firstLine="0"/>
              <w:jc w:val="center"/>
              <w:rPr>
                <w:b/>
                <w:bCs/>
                <w:sz w:val="26"/>
                <w:szCs w:val="26"/>
              </w:rPr>
            </w:pPr>
            <w:r w:rsidRPr="0020031F">
              <w:rPr>
                <w:noProof/>
                <w:sz w:val="26"/>
                <w:szCs w:val="24"/>
                <w:lang w:eastAsia="zh-CN"/>
              </w:rPr>
              <mc:AlternateContent>
                <mc:Choice Requires="wps">
                  <w:drawing>
                    <wp:anchor distT="4294967295" distB="4294967295" distL="114300" distR="114300" simplePos="0" relativeHeight="251665408" behindDoc="0" locked="0" layoutInCell="1" allowOverlap="1" wp14:anchorId="52AA5A3E" wp14:editId="3D8FDB15">
                      <wp:simplePos x="0" y="0"/>
                      <wp:positionH relativeFrom="column">
                        <wp:posOffset>721360</wp:posOffset>
                      </wp:positionH>
                      <wp:positionV relativeFrom="paragraph">
                        <wp:posOffset>233680</wp:posOffset>
                      </wp:positionV>
                      <wp:extent cx="21488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24355" id="Straight Connector 7"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18.4pt" to="22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C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"/>
                  </w:pict>
                </mc:Fallback>
              </mc:AlternateContent>
            </w:r>
            <w:r w:rsidRPr="0020031F">
              <w:rPr>
                <w:b/>
                <w:bCs/>
                <w:szCs w:val="26"/>
              </w:rPr>
              <w:t>Độc lập - Tự do - Hạnh phúc</w:t>
            </w:r>
          </w:p>
        </w:tc>
      </w:tr>
      <w:tr w:rsidR="0020031F" w:rsidRPr="0020031F" w14:paraId="4A9246B0" w14:textId="77777777" w:rsidTr="0020031F">
        <w:trPr>
          <w:cantSplit/>
          <w:trHeight w:val="211"/>
        </w:trPr>
        <w:tc>
          <w:tcPr>
            <w:tcW w:w="1797" w:type="pct"/>
            <w:hideMark/>
          </w:tcPr>
          <w:p w14:paraId="777BD42E" w14:textId="29E8787B" w:rsidR="00A35527" w:rsidRPr="0020031F" w:rsidRDefault="00A35527" w:rsidP="0020031F">
            <w:pPr>
              <w:keepNext/>
              <w:autoSpaceDE w:val="0"/>
              <w:autoSpaceDN w:val="0"/>
              <w:spacing w:after="0" w:line="240" w:lineRule="auto"/>
              <w:ind w:firstLine="0"/>
              <w:jc w:val="center"/>
              <w:outlineLvl w:val="4"/>
              <w:rPr>
                <w:sz w:val="26"/>
                <w:szCs w:val="26"/>
              </w:rPr>
            </w:pPr>
            <w:r w:rsidRPr="0020031F">
              <w:rPr>
                <w:szCs w:val="26"/>
              </w:rPr>
              <w:t>Số:</w:t>
            </w:r>
            <w:r w:rsidR="004A0102" w:rsidRPr="0020031F">
              <w:rPr>
                <w:szCs w:val="26"/>
              </w:rPr>
              <w:t xml:space="preserve">  </w:t>
            </w:r>
            <w:r w:rsidR="00FA41E9" w:rsidRPr="0020031F">
              <w:rPr>
                <w:szCs w:val="26"/>
              </w:rPr>
              <w:t xml:space="preserve">   </w:t>
            </w:r>
            <w:r w:rsidR="004A0102" w:rsidRPr="0020031F">
              <w:rPr>
                <w:szCs w:val="26"/>
              </w:rPr>
              <w:t xml:space="preserve">    </w:t>
            </w:r>
            <w:r w:rsidRPr="0020031F">
              <w:rPr>
                <w:szCs w:val="26"/>
              </w:rPr>
              <w:t>/TTr-</w:t>
            </w:r>
            <w:r w:rsidR="00D876D8">
              <w:rPr>
                <w:szCs w:val="26"/>
              </w:rPr>
              <w:t>BNV</w:t>
            </w:r>
          </w:p>
        </w:tc>
        <w:tc>
          <w:tcPr>
            <w:tcW w:w="3203" w:type="pct"/>
            <w:hideMark/>
          </w:tcPr>
          <w:p w14:paraId="6487D8BA" w14:textId="299D053F" w:rsidR="00A35527" w:rsidRPr="0020031F" w:rsidRDefault="00A35527" w:rsidP="0020031F">
            <w:pPr>
              <w:spacing w:after="0" w:line="240" w:lineRule="auto"/>
              <w:ind w:firstLine="0"/>
              <w:jc w:val="center"/>
              <w:rPr>
                <w:i/>
                <w:iCs/>
              </w:rPr>
            </w:pPr>
            <w:r w:rsidRPr="0020031F">
              <w:rPr>
                <w:i/>
                <w:iCs/>
              </w:rPr>
              <w:t>Hà Nội, ngày</w:t>
            </w:r>
            <w:r w:rsidR="004A0102" w:rsidRPr="0020031F">
              <w:rPr>
                <w:i/>
                <w:iCs/>
              </w:rPr>
              <w:t xml:space="preserve">      </w:t>
            </w:r>
            <w:r w:rsidR="009E3332" w:rsidRPr="0020031F">
              <w:rPr>
                <w:i/>
                <w:iCs/>
              </w:rPr>
              <w:t xml:space="preserve"> </w:t>
            </w:r>
            <w:r w:rsidR="00CE1B33" w:rsidRPr="0020031F">
              <w:rPr>
                <w:i/>
                <w:iCs/>
              </w:rPr>
              <w:t xml:space="preserve">tháng </w:t>
            </w:r>
            <w:r w:rsidR="00672548">
              <w:rPr>
                <w:i/>
                <w:iCs/>
              </w:rPr>
              <w:t>11</w:t>
            </w:r>
            <w:r w:rsidR="00CE1B33" w:rsidRPr="0020031F">
              <w:rPr>
                <w:i/>
                <w:iCs/>
              </w:rPr>
              <w:t xml:space="preserve"> </w:t>
            </w:r>
            <w:r w:rsidRPr="0020031F">
              <w:rPr>
                <w:i/>
                <w:iCs/>
              </w:rPr>
              <w:t>năm 202</w:t>
            </w:r>
            <w:r w:rsidR="00672548">
              <w:rPr>
                <w:i/>
                <w:iCs/>
              </w:rPr>
              <w:t>5</w:t>
            </w:r>
          </w:p>
        </w:tc>
      </w:tr>
    </w:tbl>
    <w:p w14:paraId="71F7BF9D" w14:textId="4486A7EA" w:rsidR="00CD5E98" w:rsidRPr="0020031F" w:rsidRDefault="00A97587" w:rsidP="0020031F">
      <w:pPr>
        <w:spacing w:after="0" w:line="240" w:lineRule="auto"/>
        <w:ind w:firstLine="0"/>
        <w:jc w:val="center"/>
        <w:rPr>
          <w:rFonts w:eastAsia="MS Mincho"/>
          <w:b/>
          <w:sz w:val="24"/>
          <w:lang w:eastAsia="ja-JP"/>
        </w:rPr>
      </w:pPr>
      <w:r>
        <w:rPr>
          <w:noProof/>
          <w:lang w:eastAsia="zh-CN"/>
        </w:rPr>
        <mc:AlternateContent>
          <mc:Choice Requires="wps">
            <w:drawing>
              <wp:anchor distT="0" distB="0" distL="114300" distR="114300" simplePos="0" relativeHeight="251667456" behindDoc="0" locked="0" layoutInCell="1" allowOverlap="1" wp14:anchorId="5869FE34" wp14:editId="4159420A">
                <wp:simplePos x="0" y="0"/>
                <wp:positionH relativeFrom="margin">
                  <wp:align>left</wp:align>
                </wp:positionH>
                <wp:positionV relativeFrom="paragraph">
                  <wp:posOffset>102235</wp:posOffset>
                </wp:positionV>
                <wp:extent cx="1257300" cy="409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2573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E88CC" w14:textId="77777777" w:rsidR="0099559E" w:rsidRPr="002B58B9" w:rsidRDefault="0099559E" w:rsidP="0099559E">
                            <w:pPr>
                              <w:spacing w:before="60" w:after="60" w:line="240" w:lineRule="auto"/>
                              <w:ind w:firstLine="0"/>
                              <w:jc w:val="center"/>
                              <w:rPr>
                                <w:b/>
                              </w:rPr>
                            </w:pPr>
                            <w:r w:rsidRPr="002B58B9">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69FE34" id="_x0000_t202" coordsize="21600,21600" o:spt="202" path="m,l,21600r21600,l21600,xe">
                <v:stroke joinstyle="miter"/>
                <v:path gradientshapeok="t" o:connecttype="rect"/>
              </v:shapetype>
              <v:shape id="Text Box 2" o:spid="_x0000_s1026" type="#_x0000_t202" style="position:absolute;left:0;text-align:left;margin-left:0;margin-top:8.05pt;width:99pt;height:32.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" fillcolor="white [3201]" strokeweight=".5pt">
                <v:textbox>
                  <w:txbxContent>
                    <w:p w14:paraId="3E0E88CC" w14:textId="77777777" w:rsidR="0099559E" w:rsidRPr="002B58B9" w:rsidRDefault="0099559E" w:rsidP="0099559E">
                      <w:pPr>
                        <w:spacing w:before="60" w:after="60" w:line="240" w:lineRule="auto"/>
                        <w:ind w:firstLine="0"/>
                        <w:jc w:val="center"/>
                        <w:rPr>
                          <w:b/>
                        </w:rPr>
                      </w:pPr>
                      <w:r w:rsidRPr="002B58B9">
                        <w:rPr>
                          <w:b/>
                        </w:rPr>
                        <w:t>DỰ THẢO</w:t>
                      </w:r>
                    </w:p>
                  </w:txbxContent>
                </v:textbox>
                <w10:wrap anchorx="margin"/>
              </v:shape>
            </w:pict>
          </mc:Fallback>
        </mc:AlternateContent>
      </w:r>
    </w:p>
    <w:p w14:paraId="487ECD2A" w14:textId="121180CB" w:rsidR="00CD5E98" w:rsidRPr="0020031F" w:rsidRDefault="00CD5E98" w:rsidP="0020031F">
      <w:pPr>
        <w:spacing w:after="0" w:line="240" w:lineRule="auto"/>
        <w:ind w:firstLine="0"/>
        <w:jc w:val="center"/>
        <w:rPr>
          <w:rFonts w:eastAsia="MS Mincho"/>
          <w:b/>
          <w:sz w:val="24"/>
          <w:lang w:eastAsia="ja-JP"/>
        </w:rPr>
      </w:pPr>
    </w:p>
    <w:p w14:paraId="68AEB616" w14:textId="3026DC69" w:rsidR="002928E9" w:rsidRPr="0020031F" w:rsidRDefault="002928E9" w:rsidP="0020031F">
      <w:pPr>
        <w:spacing w:after="0" w:line="240" w:lineRule="auto"/>
        <w:ind w:firstLine="0"/>
        <w:jc w:val="center"/>
        <w:rPr>
          <w:rFonts w:eastAsia="MS Mincho"/>
          <w:b/>
          <w:lang w:eastAsia="ja-JP"/>
        </w:rPr>
      </w:pPr>
      <w:r w:rsidRPr="0020031F">
        <w:rPr>
          <w:rFonts w:eastAsia="MS Mincho"/>
          <w:b/>
          <w:lang w:eastAsia="ja-JP"/>
        </w:rPr>
        <w:t>TỜ TRÌNH</w:t>
      </w:r>
    </w:p>
    <w:p w14:paraId="4FD6343C" w14:textId="42FDD6DB" w:rsidR="002928E9" w:rsidRPr="0020031F" w:rsidRDefault="00023128" w:rsidP="005D01E8">
      <w:pPr>
        <w:spacing w:after="0" w:line="240" w:lineRule="auto"/>
        <w:ind w:firstLine="0"/>
        <w:jc w:val="center"/>
        <w:rPr>
          <w:b/>
          <w:lang w:val="vi-VN"/>
        </w:rPr>
      </w:pPr>
      <w:r w:rsidRPr="0020031F">
        <w:rPr>
          <w:rFonts w:eastAsia="MS Mincho"/>
          <w:b/>
          <w:lang w:eastAsia="ja-JP"/>
        </w:rPr>
        <w:t>Dự án</w:t>
      </w:r>
      <w:r w:rsidR="004A0102" w:rsidRPr="0020031F">
        <w:rPr>
          <w:rFonts w:eastAsia="MS Mincho"/>
          <w:b/>
          <w:lang w:eastAsia="ja-JP"/>
        </w:rPr>
        <w:t xml:space="preserve"> Luật sửa đổi, bổ sung một số điều của Luật Bảo hiểm xã hội</w:t>
      </w:r>
    </w:p>
    <w:p w14:paraId="679ED137" w14:textId="06EB52A1" w:rsidR="002928E9" w:rsidRPr="0020031F" w:rsidRDefault="00D65E65" w:rsidP="0020031F">
      <w:pPr>
        <w:spacing w:after="0" w:line="240" w:lineRule="auto"/>
        <w:ind w:firstLine="0"/>
        <w:jc w:val="center"/>
        <w:rPr>
          <w:rFonts w:eastAsia="MS Mincho"/>
          <w:sz w:val="24"/>
          <w:lang w:val="vi-VN" w:eastAsia="ja-JP"/>
        </w:rPr>
      </w:pPr>
      <w:r w:rsidRPr="0020031F">
        <w:rPr>
          <w:rFonts w:eastAsia="MS Mincho"/>
          <w:noProof/>
          <w:lang w:eastAsia="zh-CN"/>
        </w:rPr>
        <mc:AlternateContent>
          <mc:Choice Requires="wps">
            <w:drawing>
              <wp:anchor distT="0" distB="0" distL="114300" distR="114300" simplePos="0" relativeHeight="251661312" behindDoc="0" locked="0" layoutInCell="1" allowOverlap="1" wp14:anchorId="5B2A9D1C" wp14:editId="4844B360">
                <wp:simplePos x="0" y="0"/>
                <wp:positionH relativeFrom="column">
                  <wp:posOffset>2186305</wp:posOffset>
                </wp:positionH>
                <wp:positionV relativeFrom="paragraph">
                  <wp:posOffset>76835</wp:posOffset>
                </wp:positionV>
                <wp:extent cx="1411605" cy="0"/>
                <wp:effectExtent l="0" t="0" r="361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EE32AC" id="_x0000_t32" coordsize="21600,21600" o:spt="32" o:oned="t" path="m,l21600,21600e" filled="f">
                <v:path arrowok="t" fillok="f" o:connecttype="none"/>
                <o:lock v:ext="edit" shapetype="t"/>
              </v:shapetype>
              <v:shape id="Straight Arrow Connector 1" o:spid="_x0000_s1026" type="#_x0000_t32" style="position:absolute;margin-left:172.15pt;margin-top:6.05pt;width:11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CkJQIAAEo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"/>
            </w:pict>
          </mc:Fallback>
        </mc:AlternateContent>
      </w:r>
    </w:p>
    <w:p w14:paraId="4391AA16" w14:textId="77777777" w:rsidR="00CD5E98" w:rsidRPr="0020031F" w:rsidRDefault="00CD5E98" w:rsidP="0020031F">
      <w:pPr>
        <w:spacing w:after="0" w:line="240" w:lineRule="auto"/>
        <w:ind w:firstLine="0"/>
        <w:jc w:val="center"/>
        <w:rPr>
          <w:rFonts w:eastAsia="MS Mincho"/>
          <w:sz w:val="24"/>
          <w:lang w:val="vi-VN" w:eastAsia="ja-JP"/>
        </w:rPr>
      </w:pPr>
    </w:p>
    <w:p w14:paraId="52CD08A4" w14:textId="637C2D81" w:rsidR="002928E9" w:rsidRPr="005E3885" w:rsidRDefault="002928E9" w:rsidP="0020031F">
      <w:pPr>
        <w:spacing w:after="0" w:line="240" w:lineRule="auto"/>
        <w:ind w:firstLine="0"/>
        <w:jc w:val="center"/>
        <w:rPr>
          <w:rFonts w:eastAsia="MS Mincho"/>
          <w:lang w:val="vi-VN" w:eastAsia="ja-JP"/>
        </w:rPr>
      </w:pPr>
      <w:r w:rsidRPr="0020031F">
        <w:rPr>
          <w:rFonts w:eastAsia="MS Mincho"/>
          <w:lang w:val="vi-VN" w:eastAsia="ja-JP"/>
        </w:rPr>
        <w:t xml:space="preserve">Kính gửi: </w:t>
      </w:r>
      <w:r w:rsidR="00415433" w:rsidRPr="000B6543">
        <w:rPr>
          <w:rFonts w:eastAsia="MS Mincho"/>
          <w:lang w:val="vi-VN" w:eastAsia="ja-JP"/>
        </w:rPr>
        <w:t>Chính phủ</w:t>
      </w:r>
    </w:p>
    <w:p w14:paraId="7A2FC396" w14:textId="77777777" w:rsidR="00292E67" w:rsidRPr="0020031F" w:rsidRDefault="00292E67" w:rsidP="0020031F">
      <w:pPr>
        <w:spacing w:after="0" w:line="240" w:lineRule="auto"/>
        <w:ind w:firstLine="0"/>
        <w:jc w:val="center"/>
        <w:rPr>
          <w:rFonts w:eastAsia="MS Mincho"/>
          <w:sz w:val="24"/>
          <w:lang w:val="vi-VN" w:eastAsia="ja-JP"/>
        </w:rPr>
      </w:pPr>
    </w:p>
    <w:p w14:paraId="4636E210" w14:textId="77777777" w:rsidR="00CD5E98" w:rsidRPr="0020031F" w:rsidRDefault="00CD5E98" w:rsidP="0020031F">
      <w:pPr>
        <w:spacing w:after="0" w:line="240" w:lineRule="auto"/>
        <w:ind w:firstLine="0"/>
        <w:jc w:val="center"/>
        <w:rPr>
          <w:rFonts w:eastAsia="MS Mincho"/>
          <w:sz w:val="24"/>
          <w:lang w:val="vi-VN" w:eastAsia="ja-JP"/>
        </w:rPr>
      </w:pPr>
    </w:p>
    <w:p w14:paraId="6011782E" w14:textId="693A945F" w:rsidR="00274FFD" w:rsidRPr="0020031F" w:rsidRDefault="00274FFD" w:rsidP="0020031F">
      <w:pPr>
        <w:rPr>
          <w:lang w:val="vi-VN"/>
        </w:rPr>
      </w:pPr>
      <w:r w:rsidRPr="0020031F">
        <w:rPr>
          <w:lang w:val="vi-VN"/>
        </w:rPr>
        <w:t>Thực hiện</w:t>
      </w:r>
      <w:r w:rsidR="007D58C5" w:rsidRPr="0020031F">
        <w:rPr>
          <w:lang w:val="vi-VN"/>
        </w:rPr>
        <w:t xml:space="preserve"> quy định của</w:t>
      </w:r>
      <w:r w:rsidRPr="0020031F">
        <w:rPr>
          <w:lang w:val="vi-VN"/>
        </w:rPr>
        <w:t xml:space="preserve"> </w:t>
      </w:r>
      <w:r w:rsidR="007D58C5" w:rsidRPr="0020031F">
        <w:rPr>
          <w:lang w:val="af-ZA"/>
        </w:rPr>
        <w:t>Luật Ban hành văn bản quy phạm pháp luật,</w:t>
      </w:r>
      <w:r w:rsidRPr="0020031F">
        <w:rPr>
          <w:lang w:val="af-ZA"/>
        </w:rPr>
        <w:t xml:space="preserve"> </w:t>
      </w:r>
      <w:r w:rsidR="00415433">
        <w:rPr>
          <w:lang w:val="af-ZA"/>
        </w:rPr>
        <w:t xml:space="preserve">Bộ Nội vụ </w:t>
      </w:r>
      <w:r w:rsidR="007D58C5" w:rsidRPr="0020031F">
        <w:rPr>
          <w:lang w:val="af-ZA"/>
        </w:rPr>
        <w:t xml:space="preserve">kính trình </w:t>
      </w:r>
      <w:r w:rsidR="00415433">
        <w:rPr>
          <w:lang w:val="af-ZA"/>
        </w:rPr>
        <w:t>Chính phủ</w:t>
      </w:r>
      <w:r w:rsidRPr="0020031F">
        <w:rPr>
          <w:lang w:val="af-ZA"/>
        </w:rPr>
        <w:t xml:space="preserve"> dự </w:t>
      </w:r>
      <w:r w:rsidR="007D58C5" w:rsidRPr="0020031F">
        <w:rPr>
          <w:lang w:val="af-ZA"/>
        </w:rPr>
        <w:t xml:space="preserve">án </w:t>
      </w:r>
      <w:r w:rsidR="00292E67" w:rsidRPr="0020031F">
        <w:rPr>
          <w:rFonts w:eastAsia="MS Mincho"/>
          <w:lang w:val="vi-VN" w:eastAsia="ja-JP"/>
        </w:rPr>
        <w:t>Luật sửa đổi, bổ sung một số điều của Luật Bảo hiểm xã hội</w:t>
      </w:r>
      <w:r w:rsidR="007D58C5" w:rsidRPr="0020031F">
        <w:rPr>
          <w:rFonts w:eastAsia="MS Mincho"/>
          <w:lang w:val="vi-VN" w:eastAsia="ja-JP"/>
        </w:rPr>
        <w:t xml:space="preserve"> số 41/2024/QH15</w:t>
      </w:r>
      <w:r w:rsidR="00292E67" w:rsidRPr="0020031F">
        <w:rPr>
          <w:lang w:val="vi-VN"/>
        </w:rPr>
        <w:t xml:space="preserve"> </w:t>
      </w:r>
      <w:r w:rsidRPr="0020031F">
        <w:rPr>
          <w:lang w:val="af-ZA"/>
        </w:rPr>
        <w:t xml:space="preserve">như sau: </w:t>
      </w:r>
    </w:p>
    <w:p w14:paraId="7B4E7D2A" w14:textId="6E7DD342" w:rsidR="00A23FC5" w:rsidRPr="000B6543" w:rsidRDefault="002928E9" w:rsidP="0020031F">
      <w:pPr>
        <w:pStyle w:val="Heading1"/>
        <w:rPr>
          <w:sz w:val="24"/>
          <w:szCs w:val="24"/>
          <w:lang w:val="vi-VN"/>
        </w:rPr>
      </w:pPr>
      <w:r w:rsidRPr="000B6543">
        <w:rPr>
          <w:sz w:val="24"/>
          <w:szCs w:val="24"/>
          <w:lang w:val="vi-VN"/>
        </w:rPr>
        <w:t xml:space="preserve">I. </w:t>
      </w:r>
      <w:r w:rsidR="00073BCC" w:rsidRPr="000B6543">
        <w:rPr>
          <w:sz w:val="24"/>
          <w:szCs w:val="24"/>
          <w:lang w:val="vi-VN"/>
        </w:rPr>
        <w:t xml:space="preserve">SỰ CẦN THIẾT </w:t>
      </w:r>
      <w:r w:rsidR="00CD5E98" w:rsidRPr="000B6543">
        <w:rPr>
          <w:sz w:val="24"/>
          <w:szCs w:val="24"/>
          <w:lang w:val="vi-VN"/>
        </w:rPr>
        <w:t>BAN HÀNH</w:t>
      </w:r>
      <w:r w:rsidR="00F10DFD" w:rsidRPr="000B6543">
        <w:rPr>
          <w:sz w:val="24"/>
          <w:szCs w:val="24"/>
          <w:lang w:val="vi-VN"/>
        </w:rPr>
        <w:t xml:space="preserve"> DỰ ÁN LUẬT</w:t>
      </w:r>
    </w:p>
    <w:p w14:paraId="20D6A809" w14:textId="0645CD67" w:rsidR="00E46502" w:rsidRPr="0020031F" w:rsidRDefault="00F2465F" w:rsidP="0020031F">
      <w:pPr>
        <w:pStyle w:val="Heading2"/>
        <w:rPr>
          <w:lang w:val="af-ZA"/>
        </w:rPr>
      </w:pPr>
      <w:r w:rsidRPr="0020031F">
        <w:rPr>
          <w:lang w:val="af-ZA"/>
        </w:rPr>
        <w:t>1. Cơ sở chính trị, pháp lý</w:t>
      </w:r>
    </w:p>
    <w:p w14:paraId="7EF14394" w14:textId="5E817250" w:rsidR="009C06F1" w:rsidRPr="0020031F" w:rsidRDefault="009C06F1" w:rsidP="0020031F">
      <w:pPr>
        <w:pStyle w:val="Heading3"/>
        <w:rPr>
          <w:color w:val="auto"/>
          <w:lang w:val="af-ZA"/>
        </w:rPr>
      </w:pPr>
      <w:r w:rsidRPr="0020031F">
        <w:rPr>
          <w:color w:val="auto"/>
          <w:lang w:val="af-ZA"/>
        </w:rPr>
        <w:t>a) Cơ sở chính trị</w:t>
      </w:r>
    </w:p>
    <w:p w14:paraId="3EE5966D" w14:textId="7E164B41" w:rsidR="00742A88" w:rsidRPr="0020031F" w:rsidRDefault="00742A88" w:rsidP="0020031F">
      <w:pPr>
        <w:rPr>
          <w:lang w:val="af-ZA"/>
        </w:rPr>
      </w:pPr>
      <w:r w:rsidRPr="0020031F">
        <w:rPr>
          <w:lang w:val="af-ZA"/>
        </w:rPr>
        <w:t>Trong thời gian vừa qua, Ban Chấp hành Trung ương Đảng</w:t>
      </w:r>
      <w:r w:rsidR="008370F6" w:rsidRPr="0020031F">
        <w:rPr>
          <w:lang w:val="af-ZA"/>
        </w:rPr>
        <w:t>, Bộ Chính trị, Ban Bí thư</w:t>
      </w:r>
      <w:r w:rsidRPr="0020031F">
        <w:rPr>
          <w:lang w:val="af-ZA"/>
        </w:rPr>
        <w:t xml:space="preserve"> đã ban hành nhiều </w:t>
      </w:r>
      <w:r w:rsidR="008370F6" w:rsidRPr="0020031F">
        <w:rPr>
          <w:lang w:val="af-ZA"/>
        </w:rPr>
        <w:t xml:space="preserve">nghị </w:t>
      </w:r>
      <w:r w:rsidRPr="0020031F">
        <w:rPr>
          <w:lang w:val="af-ZA"/>
        </w:rPr>
        <w:t>quyết</w:t>
      </w:r>
      <w:r w:rsidR="008370F6" w:rsidRPr="0020031F">
        <w:rPr>
          <w:lang w:val="af-ZA"/>
        </w:rPr>
        <w:t>, kết luận</w:t>
      </w:r>
      <w:r w:rsidRPr="0020031F">
        <w:rPr>
          <w:lang w:val="af-ZA"/>
        </w:rPr>
        <w:t xml:space="preserve"> liên quan đến việc sắp xếp tổ chức bộ máy của hệ thống chính trị</w:t>
      </w:r>
      <w:r w:rsidR="008370F6" w:rsidRPr="0020031F">
        <w:rPr>
          <w:lang w:val="af-ZA"/>
        </w:rPr>
        <w:t xml:space="preserve"> và sắp xếp tổ chức chính quyền địa phương 2 cấp</w:t>
      </w:r>
      <w:r w:rsidRPr="0020031F">
        <w:rPr>
          <w:lang w:val="af-ZA"/>
        </w:rPr>
        <w:t>, cụ thể:</w:t>
      </w:r>
    </w:p>
    <w:p w14:paraId="68F4E387" w14:textId="2E52E40B" w:rsidR="00D85C4A" w:rsidRPr="0020031F" w:rsidRDefault="00292E67" w:rsidP="0020031F">
      <w:pPr>
        <w:rPr>
          <w:lang w:val="af-ZA"/>
        </w:rPr>
      </w:pPr>
      <w:r w:rsidRPr="0020031F">
        <w:rPr>
          <w:lang w:val="af-ZA"/>
        </w:rPr>
        <w:t>- Kết luận số 121-KLTW ngày 14</w:t>
      </w:r>
      <w:r w:rsidR="002000E4" w:rsidRPr="0020031F">
        <w:rPr>
          <w:lang w:val="af-ZA"/>
        </w:rPr>
        <w:t xml:space="preserve"> tháng </w:t>
      </w:r>
      <w:r w:rsidRPr="0020031F">
        <w:rPr>
          <w:lang w:val="af-ZA"/>
        </w:rPr>
        <w:t>01</w:t>
      </w:r>
      <w:r w:rsidR="002000E4" w:rsidRPr="0020031F">
        <w:rPr>
          <w:lang w:val="af-ZA"/>
        </w:rPr>
        <w:t xml:space="preserve"> năm </w:t>
      </w:r>
      <w:r w:rsidRPr="0020031F">
        <w:rPr>
          <w:lang w:val="af-ZA"/>
        </w:rPr>
        <w:t>2025 của Ban Chấp hành Trương ương Đảng khóa XIII về tổng kết thực hiện Nghị quyết số 18-NQ/TW ngày 25</w:t>
      </w:r>
      <w:r w:rsidR="002000E4" w:rsidRPr="0020031F">
        <w:rPr>
          <w:lang w:val="af-ZA"/>
        </w:rPr>
        <w:t xml:space="preserve"> tháng </w:t>
      </w:r>
      <w:r w:rsidRPr="0020031F">
        <w:rPr>
          <w:lang w:val="af-ZA"/>
        </w:rPr>
        <w:t>10</w:t>
      </w:r>
      <w:r w:rsidR="002000E4" w:rsidRPr="0020031F">
        <w:rPr>
          <w:lang w:val="af-ZA"/>
        </w:rPr>
        <w:t xml:space="preserve"> năm </w:t>
      </w:r>
      <w:r w:rsidRPr="0020031F">
        <w:rPr>
          <w:lang w:val="af-ZA"/>
        </w:rPr>
        <w:t xml:space="preserve">2017 của Ban Chấp hành </w:t>
      </w:r>
      <w:r w:rsidR="008370F6" w:rsidRPr="0020031F">
        <w:rPr>
          <w:lang w:val="af-ZA"/>
        </w:rPr>
        <w:t xml:space="preserve">Trung </w:t>
      </w:r>
      <w:r w:rsidRPr="0020031F">
        <w:rPr>
          <w:lang w:val="af-ZA"/>
        </w:rPr>
        <w:t xml:space="preserve">ương khóa XII một số vấn đề về tiếp tục đổi mới, sắp xếp tổ chức bộ máy của hệ thống chính trị tinh gọn, hoạt động hiệu lực hiệu quả, theo đó Bộ Lao động </w:t>
      </w:r>
      <w:r w:rsidR="002000E4" w:rsidRPr="0020031F">
        <w:rPr>
          <w:lang w:val="af-ZA"/>
        </w:rPr>
        <w:t xml:space="preserve">- </w:t>
      </w:r>
      <w:r w:rsidRPr="0020031F">
        <w:rPr>
          <w:lang w:val="af-ZA"/>
        </w:rPr>
        <w:t>Thương binh và Xã hội và Bộ Nội vụ hợp nhất thành Bộ Nội vụ; Bảo hiểm xã hội Việt Nam</w:t>
      </w:r>
      <w:r w:rsidR="008370F6" w:rsidRPr="0020031F">
        <w:rPr>
          <w:lang w:val="af-ZA"/>
        </w:rPr>
        <w:t xml:space="preserve"> trở thành cơ quan trực thuộc Bộ Tài chính</w:t>
      </w:r>
      <w:r w:rsidRPr="0020031F">
        <w:rPr>
          <w:lang w:val="af-ZA"/>
        </w:rPr>
        <w:t xml:space="preserve">. </w:t>
      </w:r>
    </w:p>
    <w:p w14:paraId="43200AD5" w14:textId="56DF7437" w:rsidR="00292E67" w:rsidRPr="0020031F" w:rsidRDefault="00292E67" w:rsidP="0020031F">
      <w:pPr>
        <w:rPr>
          <w:i/>
          <w:shd w:val="clear" w:color="auto" w:fill="FFFFFF"/>
          <w:lang w:val="af-ZA"/>
        </w:rPr>
      </w:pPr>
      <w:r w:rsidRPr="0020031F">
        <w:rPr>
          <w:i/>
          <w:shd w:val="clear" w:color="auto" w:fill="FFFFFF"/>
          <w:lang w:val="af-ZA"/>
        </w:rPr>
        <w:t xml:space="preserve">- </w:t>
      </w:r>
      <w:r w:rsidRPr="0020031F">
        <w:rPr>
          <w:shd w:val="clear" w:color="auto" w:fill="FFFFFF"/>
          <w:lang w:val="af-ZA"/>
        </w:rPr>
        <w:t>Kết luận số 134-KL/TW ngày 28</w:t>
      </w:r>
      <w:r w:rsidR="002000E4" w:rsidRPr="0020031F">
        <w:rPr>
          <w:shd w:val="clear" w:color="auto" w:fill="FFFFFF"/>
          <w:lang w:val="af-ZA"/>
        </w:rPr>
        <w:t xml:space="preserve"> tháng </w:t>
      </w:r>
      <w:r w:rsidRPr="0020031F">
        <w:rPr>
          <w:shd w:val="clear" w:color="auto" w:fill="FFFFFF"/>
          <w:lang w:val="af-ZA"/>
        </w:rPr>
        <w:t>3</w:t>
      </w:r>
      <w:r w:rsidR="002000E4" w:rsidRPr="0020031F">
        <w:rPr>
          <w:shd w:val="clear" w:color="auto" w:fill="FFFFFF"/>
          <w:lang w:val="af-ZA"/>
        </w:rPr>
        <w:t xml:space="preserve"> năm </w:t>
      </w:r>
      <w:r w:rsidRPr="0020031F">
        <w:rPr>
          <w:shd w:val="clear" w:color="auto" w:fill="FFFFFF"/>
          <w:lang w:val="af-ZA"/>
        </w:rPr>
        <w:t>2025 của Bộ Chính trị, Ban Bí thư về Đề án sắp xếp hệ thống cơ quan thanh tra tinh, gọn, hiệu năng, hiệu lực, hiệu quả</w:t>
      </w:r>
      <w:r w:rsidR="003065F9" w:rsidRPr="0020031F">
        <w:rPr>
          <w:shd w:val="clear" w:color="auto" w:fill="FFFFFF"/>
          <w:lang w:val="af-ZA"/>
        </w:rPr>
        <w:t xml:space="preserve"> đã đồng </w:t>
      </w:r>
      <w:r w:rsidRPr="0020031F">
        <w:rPr>
          <w:shd w:val="clear" w:color="auto" w:fill="FFFFFF"/>
          <w:lang w:val="af-ZA"/>
        </w:rPr>
        <w:t>ý chủ trương sắp xếp, tinh gọn tổ chức bộ máy hệ thống cơ quan thanh tra theo hai cấp ở Trung ương và địa phương</w:t>
      </w:r>
      <w:r w:rsidR="003065F9" w:rsidRPr="0020031F">
        <w:rPr>
          <w:shd w:val="clear" w:color="auto" w:fill="FFFFFF"/>
          <w:lang w:val="af-ZA"/>
        </w:rPr>
        <w:t>; t</w:t>
      </w:r>
      <w:r w:rsidRPr="0020031F">
        <w:rPr>
          <w:shd w:val="clear" w:color="auto" w:fill="FFFFFF"/>
          <w:lang w:val="af-ZA"/>
        </w:rPr>
        <w:t>rong đó ở Trung ương</w:t>
      </w:r>
      <w:r w:rsidR="003065F9" w:rsidRPr="0020031F">
        <w:rPr>
          <w:shd w:val="clear" w:color="auto" w:fill="FFFFFF"/>
          <w:lang w:val="af-ZA"/>
        </w:rPr>
        <w:t>:</w:t>
      </w:r>
      <w:r w:rsidRPr="0020031F">
        <w:rPr>
          <w:shd w:val="clear" w:color="auto" w:fill="FFFFFF"/>
          <w:lang w:val="af-ZA"/>
        </w:rPr>
        <w:t xml:space="preserve"> kết thúc hoạt động của Thanh tra các </w:t>
      </w:r>
      <w:r w:rsidR="003065F9" w:rsidRPr="0020031F">
        <w:rPr>
          <w:shd w:val="clear" w:color="auto" w:fill="FFFFFF"/>
          <w:lang w:val="af-ZA"/>
        </w:rPr>
        <w:t xml:space="preserve">bộ </w:t>
      </w:r>
      <w:r w:rsidRPr="0020031F">
        <w:rPr>
          <w:shd w:val="clear" w:color="auto" w:fill="FFFFFF"/>
          <w:lang w:val="af-ZA"/>
        </w:rPr>
        <w:t xml:space="preserve">để sắp xếp lại thành các </w:t>
      </w:r>
      <w:r w:rsidR="002000E4" w:rsidRPr="0020031F">
        <w:rPr>
          <w:shd w:val="clear" w:color="auto" w:fill="FFFFFF"/>
          <w:lang w:val="af-ZA"/>
        </w:rPr>
        <w:t xml:space="preserve">cục </w:t>
      </w:r>
      <w:r w:rsidRPr="0020031F">
        <w:rPr>
          <w:shd w:val="clear" w:color="auto" w:fill="FFFFFF"/>
          <w:lang w:val="af-ZA"/>
        </w:rPr>
        <w:t>thanh tra</w:t>
      </w:r>
      <w:r w:rsidR="002000E4" w:rsidRPr="0020031F">
        <w:rPr>
          <w:shd w:val="clear" w:color="auto" w:fill="FFFFFF"/>
          <w:lang w:val="af-ZA"/>
        </w:rPr>
        <w:t>, giải quyết khiếu nại, tố cáo, phòng, chống tham nhũng, lãng phí, tiêu cực theo lĩnh vực thuộc Thanh tra Chính phủ</w:t>
      </w:r>
      <w:r w:rsidRPr="0020031F">
        <w:rPr>
          <w:shd w:val="clear" w:color="auto" w:fill="FFFFFF"/>
          <w:lang w:val="af-ZA"/>
        </w:rPr>
        <w:t>… Bảo hiểm xã hội Việt Nam và các cơ quan được giao thực hiện chức năng thanh tra chuyên ngành: không tổ chức thanh tra chuyên ngành mà thực hiện chức năng kiểm tra chuyên ngành và các chức năng khác theo quy định của pháp luật.</w:t>
      </w:r>
    </w:p>
    <w:p w14:paraId="5168E110" w14:textId="50CDF100" w:rsidR="005E4964" w:rsidRPr="0020031F" w:rsidRDefault="005E4964" w:rsidP="0020031F">
      <w:pPr>
        <w:rPr>
          <w:lang w:val="af-ZA"/>
        </w:rPr>
      </w:pPr>
      <w:r w:rsidRPr="0020031F">
        <w:rPr>
          <w:i/>
          <w:shd w:val="clear" w:color="auto" w:fill="FFFFFF"/>
          <w:lang w:val="af-ZA"/>
        </w:rPr>
        <w:lastRenderedPageBreak/>
        <w:t xml:space="preserve">- </w:t>
      </w:r>
      <w:r w:rsidRPr="0020031F">
        <w:rPr>
          <w:lang w:val="af-ZA"/>
        </w:rPr>
        <w:t>Nghị quyết số 60-NQ/TW ngày 12</w:t>
      </w:r>
      <w:r w:rsidR="00500469" w:rsidRPr="0020031F">
        <w:rPr>
          <w:lang w:val="af-ZA"/>
        </w:rPr>
        <w:t xml:space="preserve"> tháng </w:t>
      </w:r>
      <w:r w:rsidRPr="0020031F">
        <w:rPr>
          <w:lang w:val="af-ZA"/>
        </w:rPr>
        <w:t>4</w:t>
      </w:r>
      <w:r w:rsidR="00500469" w:rsidRPr="0020031F">
        <w:rPr>
          <w:lang w:val="af-ZA"/>
        </w:rPr>
        <w:t xml:space="preserve"> năm </w:t>
      </w:r>
      <w:r w:rsidRPr="0020031F">
        <w:rPr>
          <w:lang w:val="af-ZA"/>
        </w:rPr>
        <w:t>2025 của Hội nghị lần thứ 11 Ban Chấp hành Trung ương Đảng khóa XII</w:t>
      </w:r>
      <w:r w:rsidR="00D13B06" w:rsidRPr="0020031F">
        <w:rPr>
          <w:lang w:val="af-ZA"/>
        </w:rPr>
        <w:t>I</w:t>
      </w:r>
      <w:r w:rsidRPr="0020031F">
        <w:rPr>
          <w:lang w:val="af-ZA"/>
        </w:rPr>
        <w:t xml:space="preserve"> thống nhất chủ trương: </w:t>
      </w:r>
      <w:r w:rsidRPr="0020031F">
        <w:rPr>
          <w:shd w:val="clear" w:color="auto" w:fill="FFFFFF"/>
          <w:lang w:val="af-ZA"/>
        </w:rPr>
        <w:t xml:space="preserve">(i) tổ chức chính quyền địa phương 2 cấp: Cấp tỉnh (tỉnh, thành phố trực thuộc Trung ương), cấp xã (xã, phường, đặc khu trực thuộc tỉnh, thành phố); (ii) </w:t>
      </w:r>
      <w:r w:rsidRPr="0020031F">
        <w:rPr>
          <w:lang w:val="af-ZA"/>
        </w:rPr>
        <w:t>Đồng ý chủ trương sắp xếp, tinh gọn hợp nhất cơ quan Mặt trận Tổ quốc Việt Nam, các tổ chức chính trị - xã hội, các hội quần chúng do Đảng, Nhà nước; (iii) Thống nhất chủ trương kết thúc hoạt động của công đoàn viên chức, công đoàn lực lượng vũ trang; giảm mức đóng góp công đoàn phí của đoàn viên công đoàn.</w:t>
      </w:r>
    </w:p>
    <w:p w14:paraId="64516CA1" w14:textId="13F39A32" w:rsidR="00C80BE0" w:rsidRPr="0020031F" w:rsidRDefault="00C80BE0" w:rsidP="0020031F">
      <w:pPr>
        <w:rPr>
          <w:lang w:val="af-ZA"/>
        </w:rPr>
      </w:pPr>
      <w:r w:rsidRPr="0020031F">
        <w:rPr>
          <w:lang w:val="af-ZA"/>
        </w:rPr>
        <w:t xml:space="preserve">Trên cơ sở các nghị quyết, kết luận về sắp xếp tổ chức bộ máy của hệ thống chính trị và sắp xếp tổ chức chính quyền địa phương </w:t>
      </w:r>
      <w:r w:rsidR="00E8418E" w:rsidRPr="0020031F">
        <w:rPr>
          <w:lang w:val="af-ZA"/>
        </w:rPr>
        <w:t>2 cấp</w:t>
      </w:r>
      <w:r w:rsidRPr="0020031F">
        <w:rPr>
          <w:lang w:val="af-ZA"/>
        </w:rPr>
        <w:t xml:space="preserve"> nêu trên, Bộ Chính trị, Ban Bí thư ban hành một số chủ trương, chỉ đạo, định hướng về việc nghiên cứu, đề xuất sửa đổi, bổ sung các quy định của pháp luật của Nhà nước để làm cơ sở pháp lý</w:t>
      </w:r>
      <w:r w:rsidR="0079254C" w:rsidRPr="0020031F">
        <w:rPr>
          <w:lang w:val="af-ZA"/>
        </w:rPr>
        <w:t xml:space="preserve"> cho quá trình triển khai</w:t>
      </w:r>
      <w:r w:rsidRPr="0020031F">
        <w:rPr>
          <w:lang w:val="af-ZA"/>
        </w:rPr>
        <w:t xml:space="preserve"> triển khai:</w:t>
      </w:r>
    </w:p>
    <w:p w14:paraId="112B50C5" w14:textId="77777777" w:rsidR="00C80BE0" w:rsidRPr="0020031F" w:rsidRDefault="00C80BE0" w:rsidP="0020031F">
      <w:pPr>
        <w:rPr>
          <w:lang w:val="af-ZA"/>
        </w:rPr>
      </w:pPr>
      <w:r w:rsidRPr="0020031F">
        <w:rPr>
          <w:lang w:val="af-ZA"/>
        </w:rPr>
        <w:t xml:space="preserve">- Kết luận số 126-KL/TW ngày 14 tháng 02 năm 2025 của Bộ Chính trị, Ban Bí thư về một số nội dung, nhiệm vụ tiếp tục sắp xếp, tinh gọn tổ chức bộ máy của hệ thống chính trị năm 2025 đã đề ra chủ trương: </w:t>
      </w:r>
      <w:r w:rsidRPr="0020031F">
        <w:rPr>
          <w:i/>
          <w:lang w:val="af-ZA"/>
        </w:rPr>
        <w:t>“Giao Đảng uỷ Quốc hội, Đảng uỷ Chính phủ, Đảng uỷ Mặt trận Tổ quốc, các đoàn thể Trung ương, các ban đảng Trung ương, cấp uỷ, tổ chức đảng các cấp tiếp tục khẩn trương nghiên cứu, đề xuất sửa đổi, bổ sung các quy định của Đảng, pháp luật của Nhà nước, cơ chế, chính sách liên quan để có cơ sở pháp lý triển khai hoàn thiện mô hình tổng thể của hệ thống chính trị trong thời gian tới, bảo đảm đồng bộ trong quá trình thực hiện tinh gọn tổ chức bộ máy.”</w:t>
      </w:r>
    </w:p>
    <w:p w14:paraId="4B8A7AC3" w14:textId="45C65255" w:rsidR="00500469" w:rsidRPr="0020031F" w:rsidRDefault="00500469" w:rsidP="0020031F">
      <w:pPr>
        <w:pStyle w:val="Heading3"/>
        <w:rPr>
          <w:color w:val="auto"/>
          <w:lang w:val="af-ZA"/>
        </w:rPr>
      </w:pPr>
      <w:r w:rsidRPr="0020031F">
        <w:rPr>
          <w:color w:val="auto"/>
          <w:lang w:val="af-ZA"/>
        </w:rPr>
        <w:t>b) Cơ sở pháp lý</w:t>
      </w:r>
    </w:p>
    <w:p w14:paraId="1CB41A01" w14:textId="4DE13FC4" w:rsidR="004A185D" w:rsidRPr="0020031F" w:rsidRDefault="00073EDE" w:rsidP="0020031F">
      <w:pPr>
        <w:rPr>
          <w:lang w:val="af-ZA"/>
        </w:rPr>
      </w:pPr>
      <w:r w:rsidRPr="0020031F">
        <w:rPr>
          <w:lang w:val="af-ZA"/>
        </w:rPr>
        <w:t xml:space="preserve">- </w:t>
      </w:r>
      <w:bookmarkStart w:id="0" w:name="_Hlk213848245"/>
      <w:r w:rsidR="008F5309" w:rsidRPr="0020031F">
        <w:rPr>
          <w:lang w:val="af-ZA"/>
        </w:rPr>
        <w:t xml:space="preserve">Ngày 19 tháng 02 năm 2025, Quốc hội ban hành Nghị quyết số 190/2025/QH15 quy định về xử lý một số vấn đề liên quan đến sắp xếp tổ chức bộ máy Nhà nước, </w:t>
      </w:r>
      <w:r w:rsidRPr="0020031F">
        <w:rPr>
          <w:lang w:val="af-ZA"/>
        </w:rPr>
        <w:t>là những vấn đề phát sinh trong quá trình sắp xếp tổ chức bộ máy nhà nước có nội dung khác hoặc chưa được quy định trong các văn bản quy phạm pháp luật (trừ Hiến pháp), văn bản hành chính và các hình thức văn bản khác đang còn hiệu lực tại thời điểm thực hiện sắp xếp tổ chức bộ máy nhà nước.</w:t>
      </w:r>
      <w:bookmarkEnd w:id="0"/>
    </w:p>
    <w:p w14:paraId="3AE9649D" w14:textId="12A5F369" w:rsidR="00073EDE" w:rsidRPr="0020031F" w:rsidRDefault="00073EDE" w:rsidP="0020031F">
      <w:pPr>
        <w:rPr>
          <w:lang w:val="af-ZA"/>
        </w:rPr>
      </w:pPr>
      <w:r w:rsidRPr="0020031F">
        <w:rPr>
          <w:lang w:val="af-ZA"/>
        </w:rPr>
        <w:t xml:space="preserve">Theo quy định tại khoản 2 Điều 11 Nghị quyết thì “Cơ quan, người có thẩm quyền phải ban hành văn bản quy phạm pháp luật theo thầm quyền hoặc trình cấp có thẩm quyền ban hành văn bản quy phạm pháp luật theo trình tự, thủ tục rút gọn để xử lý các văn bản chịu sự tác động do sắp xếp tổ chức bộ máy nhà nước, </w:t>
      </w:r>
      <w:r w:rsidRPr="0020031F">
        <w:rPr>
          <w:b/>
          <w:i/>
          <w:lang w:val="af-ZA"/>
        </w:rPr>
        <w:t>bảo đảm hoàn thành trước ngày 01 tháng 3 năm 2027</w:t>
      </w:r>
      <w:r w:rsidRPr="0020031F">
        <w:rPr>
          <w:lang w:val="af-ZA"/>
        </w:rPr>
        <w:t>.”</w:t>
      </w:r>
    </w:p>
    <w:p w14:paraId="44564971" w14:textId="5758E88A" w:rsidR="004A185D" w:rsidRPr="0020031F" w:rsidRDefault="00073EDE" w:rsidP="0020031F">
      <w:pPr>
        <w:rPr>
          <w:lang w:val="af-ZA"/>
        </w:rPr>
      </w:pPr>
      <w:r w:rsidRPr="0020031F">
        <w:rPr>
          <w:lang w:val="af-ZA"/>
        </w:rPr>
        <w:t xml:space="preserve">- Ngày </w:t>
      </w:r>
      <w:r w:rsidR="008B4C1D" w:rsidRPr="0020031F">
        <w:rPr>
          <w:lang w:val="af-ZA"/>
        </w:rPr>
        <w:t>26 tháng 9 năm 2025, Ủy ban Thường vụ Quốc hội ban hành Nghị quyết số 105/2025/UBTVQH15 về Chương trình lập pháp năm 2026, trong đó quy định sẽ trình Quốc hội xem xét, thông qua tại Kỳ họp thứ nhất, Quốc hội khóa XVI (tháng 4 năm 2026) đối với Luật sửa đổi, bổ sung một số điều của Luật Bảo hiểm xã hội (tiến độ trình Ủy ban Thường vụ Quốc hội là tháng 01-02 năm 2026</w:t>
      </w:r>
      <w:r w:rsidR="0059191D">
        <w:rPr>
          <w:lang w:val="af-ZA"/>
        </w:rPr>
        <w:t>)</w:t>
      </w:r>
      <w:r w:rsidR="008B4C1D" w:rsidRPr="0020031F">
        <w:rPr>
          <w:lang w:val="af-ZA"/>
        </w:rPr>
        <w:t>.</w:t>
      </w:r>
    </w:p>
    <w:p w14:paraId="3D4C4CEB" w14:textId="347FDFDE" w:rsidR="004A185D" w:rsidRPr="0020031F" w:rsidRDefault="00C2063A" w:rsidP="0020031F">
      <w:pPr>
        <w:rPr>
          <w:lang w:val="af-ZA"/>
        </w:rPr>
      </w:pPr>
      <w:r w:rsidRPr="0020031F">
        <w:rPr>
          <w:lang w:val="af-ZA"/>
        </w:rPr>
        <w:lastRenderedPageBreak/>
        <w:t>- Ngày 24 tháng 10 năm 2025, Thủ tướng Chính phủ ban hành Quyết định số 2352/QĐ-TTg phân công cơ quan chủ trì soạn thảo và thời hạn trình các dự án luật, pháp lệnh, nghị quyết trong Chương trình lập pháp năm 2026, trong đó giao Bộ Nội vụ chủ trì soạn thảo Luật sửa đổi, bổ sung một số điều của Luật Bảo hiểm xã hội, thời hạn trình Chính phủ là tháng 12 năm 202</w:t>
      </w:r>
      <w:r w:rsidR="008A50E4" w:rsidRPr="0020031F">
        <w:rPr>
          <w:lang w:val="af-ZA"/>
        </w:rPr>
        <w:t>5</w:t>
      </w:r>
      <w:r w:rsidRPr="0020031F">
        <w:rPr>
          <w:lang w:val="af-ZA"/>
        </w:rPr>
        <w:t>.</w:t>
      </w:r>
    </w:p>
    <w:p w14:paraId="7530DA0A" w14:textId="77777777" w:rsidR="00883A3D" w:rsidRPr="0020031F" w:rsidRDefault="009E46AD" w:rsidP="0020031F">
      <w:pPr>
        <w:pStyle w:val="Heading2"/>
        <w:rPr>
          <w:lang w:val="af-ZA"/>
        </w:rPr>
      </w:pPr>
      <w:r w:rsidRPr="0020031F">
        <w:rPr>
          <w:lang w:val="vi-VN"/>
        </w:rPr>
        <w:t>2. Cơ sở thực t</w:t>
      </w:r>
      <w:r w:rsidRPr="0020031F">
        <w:rPr>
          <w:lang w:val="af-ZA"/>
        </w:rPr>
        <w:t>iễn</w:t>
      </w:r>
    </w:p>
    <w:p w14:paraId="639CE782" w14:textId="6E13D916" w:rsidR="004A185D" w:rsidRPr="0020031F" w:rsidRDefault="004A185D">
      <w:pPr>
        <w:rPr>
          <w:lang w:val="af-ZA"/>
        </w:rPr>
      </w:pPr>
      <w:r w:rsidRPr="0020031F">
        <w:rPr>
          <w:lang w:val="af-ZA"/>
        </w:rPr>
        <w:t xml:space="preserve">Sau khi Ban Chấp hành Trung ương, Bộ Chính trị, Ban Bí thư thông qua các quan điểm, chủ trương về sắp xếp tổ chức bộ máy của hệ thống chính trị và tổ chức chính quyền địa phương </w:t>
      </w:r>
      <w:r w:rsidR="00E8418E" w:rsidRPr="0020031F">
        <w:rPr>
          <w:lang w:val="af-ZA"/>
        </w:rPr>
        <w:t>2 cấp</w:t>
      </w:r>
      <w:r w:rsidR="00136619" w:rsidRPr="0020031F">
        <w:rPr>
          <w:lang w:val="af-ZA"/>
        </w:rPr>
        <w:t xml:space="preserve"> (nên tại điểm a khoản 1 Mục này), chức năng, nhiệm vụ, quyền hạn, cơ cấu tổ chức của các cơ quan quản lý nhà nước và tổ chức thực hiện chính sách bảo hiểm xã hội đã có nhiều thay đổi, cụ thể:</w:t>
      </w:r>
    </w:p>
    <w:p w14:paraId="156A4038" w14:textId="77777777" w:rsidR="004A185D" w:rsidRPr="0020031F" w:rsidRDefault="004A185D" w:rsidP="004A185D">
      <w:pPr>
        <w:rPr>
          <w:lang w:val="af-ZA"/>
        </w:rPr>
      </w:pPr>
      <w:r w:rsidRPr="0020031F">
        <w:rPr>
          <w:lang w:val="af-ZA"/>
        </w:rPr>
        <w:t>- Ngày 18 tháng 02 năm 2025, Quốc hội thông qua Nghị quyết số 176/2025/QH15 về cơ cấu tổ chức của Chính phủ nhiệm kỳ Quốc hội khóa XV thay thế Nghị quyết số 08/2021/QH15 ngày 23 tháng 7 năm 2021 của Quốc hội về cơ cấu tổ chức của Chính phủ nhiệm kỳ Quốc hội khóa XV; theo đó, Bộ Lao động - Thương binh và Xã hội không còn trong cơ cấu tổ chức của Chính phủ kể từ ngày 01 tháng 3 năm 2025.</w:t>
      </w:r>
    </w:p>
    <w:p w14:paraId="282E690E" w14:textId="77777777" w:rsidR="004A185D" w:rsidRPr="0020031F" w:rsidRDefault="004A185D" w:rsidP="004A185D">
      <w:pPr>
        <w:rPr>
          <w:lang w:val="af-ZA"/>
        </w:rPr>
      </w:pPr>
      <w:r w:rsidRPr="0020031F">
        <w:rPr>
          <w:lang w:val="af-ZA"/>
        </w:rPr>
        <w:t>Trong tháng 02 năm 2025, Chính phủ ban hành các Nghị định quy định chức năng, nhiệm vụ, quyền hạn và cơ cấu tổ chức của các bộ, cơ quan ngang bộ, trong đó:</w:t>
      </w:r>
    </w:p>
    <w:p w14:paraId="17810738" w14:textId="77777777" w:rsidR="004A185D" w:rsidRPr="0020031F" w:rsidRDefault="004A185D" w:rsidP="004A185D">
      <w:pPr>
        <w:rPr>
          <w:lang w:val="af-ZA"/>
        </w:rPr>
      </w:pPr>
      <w:r w:rsidRPr="0020031F">
        <w:rPr>
          <w:lang w:val="af-ZA"/>
        </w:rPr>
        <w:t>+ Nghị định số 25/2025/NĐ-CP ngày 21 tháng 02 năm 2025 của Chính phủ quy định chức năng, nhiệm vụ, quyền hạn và cơ cấu tổ chức của Bộ Nội vụ trong đó quy định Bộ Nội vụ có chức năng, nhiệm vụ: (i) giúp Chính phủ thống nhất quản lý về bảo hiểm xã hội, (ii) nghiên cứu, tham mưu cấp có thẩm quyền thực hiện cải cách chính sách bảo hiểm xã hội. Nghị định này có hiệu lực kể từ ngày 01 tháng 3 năm 2025 và thay thế Nghị định số 62/2022/NĐ-CP ngày 12 tháng 9 năm 2022 của Chính phủ quy định chức năng, nhiệm vụ, quyền hạn và cơ cấu tổ chức của Bộ Lao động - Thương binh và Xã hội; Nghị định số 63/2022/NĐ-CP ngày 12 tháng 9 năm 2022 của Chính phủ quy định chức năng, nhiệm vụ, quyền hạn và cơ cấu tổ chức của Bộ Nội vụ.</w:t>
      </w:r>
    </w:p>
    <w:p w14:paraId="4BFEAD9C" w14:textId="0EE4F151" w:rsidR="004A185D" w:rsidRPr="0020031F" w:rsidRDefault="004A185D" w:rsidP="004A185D">
      <w:pPr>
        <w:rPr>
          <w:lang w:val="af-ZA"/>
        </w:rPr>
      </w:pPr>
      <w:r w:rsidRPr="0020031F">
        <w:rPr>
          <w:lang w:val="af-ZA"/>
        </w:rPr>
        <w:t xml:space="preserve">+ Nghị định số 29/2025/NĐ-CP ngày 24 tháng 02 năm 2025 của Chính phủ quy định chức năng, nhiệm vụ, quyền hạn và cơ cấu tổ chức của Bộ Tài chính </w:t>
      </w:r>
      <w:r w:rsidR="00157549">
        <w:rPr>
          <w:lang w:val="af-ZA"/>
        </w:rPr>
        <w:t xml:space="preserve">(đã được sửa đổi, bổ sung bởi Nghị định số 166/2025/NĐ-CP) </w:t>
      </w:r>
      <w:r w:rsidRPr="0020031F">
        <w:rPr>
          <w:lang w:val="af-ZA"/>
        </w:rPr>
        <w:t>quy định Bảo hiểm xã hội Việt Nam là đơn vị đặc thù thuộc Bộ Tài chính; đồng thời bãi bỏ Nghị định số 89/2020/NĐ-CP ngày 04</w:t>
      </w:r>
      <w:r w:rsidR="003878ED" w:rsidRPr="0020031F">
        <w:rPr>
          <w:lang w:val="af-ZA"/>
        </w:rPr>
        <w:t xml:space="preserve"> tháng</w:t>
      </w:r>
      <w:r w:rsidR="001A5BF5" w:rsidRPr="0020031F">
        <w:rPr>
          <w:lang w:val="af-ZA"/>
        </w:rPr>
        <w:t xml:space="preserve"> </w:t>
      </w:r>
      <w:r w:rsidRPr="0020031F">
        <w:rPr>
          <w:lang w:val="af-ZA"/>
        </w:rPr>
        <w:t>8</w:t>
      </w:r>
      <w:r w:rsidR="003878ED" w:rsidRPr="0020031F">
        <w:rPr>
          <w:lang w:val="af-ZA"/>
        </w:rPr>
        <w:t xml:space="preserve"> năm </w:t>
      </w:r>
      <w:r w:rsidRPr="0020031F">
        <w:rPr>
          <w:lang w:val="af-ZA"/>
        </w:rPr>
        <w:t>2020 của Chính phủ quy định chức năng, nhiệm vụ, quyền hạn và cơ cấu tổ chức của Bảo hiểm xã hội Việt Nam.</w:t>
      </w:r>
    </w:p>
    <w:p w14:paraId="04571158" w14:textId="77777777" w:rsidR="004A185D" w:rsidRPr="0020031F" w:rsidRDefault="004A185D" w:rsidP="004A185D">
      <w:pPr>
        <w:rPr>
          <w:lang w:val="af-ZA"/>
        </w:rPr>
      </w:pPr>
      <w:r w:rsidRPr="0020031F">
        <w:rPr>
          <w:lang w:val="af-ZA"/>
        </w:rPr>
        <w:t xml:space="preserve">+ Nghị định số 109/2025/NĐ-CP ngày 20 tháng 5 năm 2025 của Chính phủ quy định chức năng, nhiệm vụ, quyền hạn và cơ cấu tổ chức của Thanh tra Chính </w:t>
      </w:r>
      <w:r w:rsidRPr="0020031F">
        <w:rPr>
          <w:lang w:val="af-ZA"/>
        </w:rPr>
        <w:lastRenderedPageBreak/>
        <w:t>phủ, trong đó quy định: Bãi bỏ cụm từ “Thanh tra,” tại khoản 30 Điều 2; bãi bỏ khoản 11 tại Điều 3 của Nghị định số 25/2025/NĐ-CP ngày 21 tháng 02 năm 2025 của Chính phủ quy định chức năng, nhiệm vụ, quyền hạn và cơ cấu tổ chức của Bộ Nội vụ; bãi bỏ cụm từ “, thanh tra” tại điểm g khoản 7, điểm b, điểm c, điểm d khoản 14 Điều 2; sửa đổi cụm từ “Thanh tra” thành “Kiểm tra” tại điểm d khoản 22 Điều 2; bãi bỏ cụm từ “Thanh tra,” tại khoản 28 Điều 2; bãi bỏ khoản 11 Điều 3 của Nghị định số 29/2025/NĐ-CP ngày 24 tháng 02 năm 2025 của Chính phủ quy định chức năng, nhiệm vụ, quyền hạn và cơ cấu tổ chức của Bộ Tài chính.</w:t>
      </w:r>
    </w:p>
    <w:p w14:paraId="1B40FE04" w14:textId="075AF541" w:rsidR="004A185D" w:rsidRPr="0020031F" w:rsidRDefault="004A185D" w:rsidP="004A185D">
      <w:pPr>
        <w:rPr>
          <w:lang w:val="af-ZA"/>
        </w:rPr>
      </w:pPr>
      <w:r w:rsidRPr="0020031F">
        <w:rPr>
          <w:lang w:val="af-ZA"/>
        </w:rPr>
        <w:t xml:space="preserve">- Điều 9 Hiến pháp nước Cộng hòa xã hội chủ nghĩa Việt Nam được sửa đổi, bổ sung tại khoản 1 Điều 1 Nghị quyết số 203/2025/QH15 ngày 16 tháng 6 năm 2025 của Quốc hội sửa đổi bổ sung một số điều của Hiến pháp nước Cộng hòa xã hội chủ nghĩ Việt Nam theo đó Công đoàn là tổ chức Chính trị xã hội trực thuộc </w:t>
      </w:r>
      <w:r w:rsidR="00BF07AD">
        <w:rPr>
          <w:lang w:val="af-ZA"/>
        </w:rPr>
        <w:t>M</w:t>
      </w:r>
      <w:r w:rsidRPr="0020031F">
        <w:rPr>
          <w:lang w:val="af-ZA"/>
        </w:rPr>
        <w:t>ặt trận Tổ Quốc Việt Nam.</w:t>
      </w:r>
    </w:p>
    <w:p w14:paraId="275D96E7" w14:textId="477F71F0" w:rsidR="004A185D" w:rsidRPr="0020031F" w:rsidRDefault="004A185D" w:rsidP="004A185D">
      <w:pPr>
        <w:rPr>
          <w:lang w:val="af-ZA"/>
        </w:rPr>
      </w:pPr>
      <w:r w:rsidRPr="0020031F">
        <w:rPr>
          <w:shd w:val="clear" w:color="auto" w:fill="FFFFFF"/>
          <w:lang w:val="af-ZA"/>
        </w:rPr>
        <w:t xml:space="preserve">- </w:t>
      </w:r>
      <w:r w:rsidRPr="0020031F">
        <w:rPr>
          <w:lang w:val="af-ZA"/>
        </w:rPr>
        <w:t xml:space="preserve">Luật Chính quyền địa phương số 72/2025/QH15 được Quốc hội thông qua ngày 16 tháng 6 năm 2025 trong đó quy định đơn vị hành chính của nước Cộng hòa xã hội chủ nghĩa Việt Nam được tổ chức thành </w:t>
      </w:r>
      <w:r w:rsidR="00E8418E" w:rsidRPr="0020031F">
        <w:rPr>
          <w:lang w:val="af-ZA"/>
        </w:rPr>
        <w:t>2 cấp</w:t>
      </w:r>
      <w:r w:rsidRPr="0020031F">
        <w:rPr>
          <w:lang w:val="af-ZA"/>
        </w:rPr>
        <w:t>, gồm có: a) Tỉnh, thành phố trực thuộc trung ương và Xã, phường, đặc khu trực thuộc cấp tỉnh.</w:t>
      </w:r>
    </w:p>
    <w:p w14:paraId="4C72DF47" w14:textId="77777777" w:rsidR="004A185D" w:rsidRPr="0020031F" w:rsidRDefault="004A185D" w:rsidP="004A185D">
      <w:pPr>
        <w:rPr>
          <w:lang w:val="af-ZA"/>
        </w:rPr>
      </w:pPr>
      <w:r w:rsidRPr="0020031F">
        <w:rPr>
          <w:lang w:val="af-ZA"/>
        </w:rPr>
        <w:t>- Luật Thanh tra số 84/2025/QH15 được Quốc hội thông qua ngày 25 tháng 6 năm 2025 quy định hệ thống cơ quan thanh tra bao gồm: (i) Thanh tra Chính phủ; (ii) Thanh tra tỉnh, thành phố (sau đây gọi chung là Thanh tra tỉnh); (iii) Cơ quan thanh tra trong Quân đội nhân dân, Công an nhân dân, Ngân hàng Nhà nước Việt Nam, bao gồm Thanh tra Bộ Quốc phòng, Thanh tra Bộ Công an, Thanh tra Ngân hàng Nhà nước và các cơ quan thanh tra khác trong Quân đội nhân dân, Công an nhân dân, Ngân hàng Nhà nước Việt Nam theo quy định của Chính phủ; (iv) Thanh tra Cơ yếu; cơ quan thanh tra được thành lập theo điều ước quốc tế mà nước Cộng hòa xã hội chủ nghĩa Việt Nam là thành viên (sau đây gọi là Thanh tra được thành lập theo điều ước quốc tế); (v) Tổ chức và hoạt động cụ thể của cơ quan thanh tra quy định tại khoản 3 và khoản 4 Điều này do Chính phủ quy định.</w:t>
      </w:r>
    </w:p>
    <w:p w14:paraId="6DEC8BF2" w14:textId="77777777" w:rsidR="004A185D" w:rsidRPr="0020031F" w:rsidRDefault="004A185D" w:rsidP="004A185D">
      <w:pPr>
        <w:rPr>
          <w:lang w:val="af-ZA"/>
        </w:rPr>
      </w:pPr>
      <w:r w:rsidRPr="0020031F">
        <w:rPr>
          <w:lang w:val="af-ZA"/>
        </w:rPr>
        <w:t>Theo Luật Thanh tra số 84/2025/QH15 thì không còn quy định về “thanh tra chuyên ngành”; đồng thời có quy định mới về hoạt động kiểm tra chuyên ngành của các cơ quan quản lý nhà nước và giao Chính phủ Chính phủ quy định về hoạt động kiểm tra chuyên ngành của các cơ quan quản lý nhà nước.</w:t>
      </w:r>
    </w:p>
    <w:p w14:paraId="26C1A4FF" w14:textId="4EA66DD9" w:rsidR="004A185D" w:rsidRDefault="004A185D" w:rsidP="004A185D">
      <w:pPr>
        <w:rPr>
          <w:lang w:val="af-ZA"/>
        </w:rPr>
      </w:pPr>
      <w:r w:rsidRPr="0020031F">
        <w:rPr>
          <w:lang w:val="af-ZA"/>
        </w:rPr>
        <w:t>Ngày 05 tháng 8 năm 2025, Chính phủ ban hành Nghị định số 217/2025/NĐ-CP về hoạt động kiểm tra chuyên ngành, trong đó quy định: Bộ trưởng, Thủ trưởng cơ quan ngang bộ có thẩm quyền kiểm tra chuyên ngành thuộc phạm vi quản lý nhà nước; Chủ tịch Ủy ban nhân dân các cấp có thẩm quyền kiểm tra chuyên ngành đối với tổ chức, cá nhân thuộc phạm vi quản lý nhà nước của Ủy ban nhân dân cùng cấp.</w:t>
      </w:r>
    </w:p>
    <w:p w14:paraId="61D0EA1B" w14:textId="1E25B51B" w:rsidR="00303F44" w:rsidRPr="00A63E72" w:rsidRDefault="00303F44" w:rsidP="004A185D">
      <w:pPr>
        <w:rPr>
          <w:lang w:val="af-ZA"/>
        </w:rPr>
      </w:pPr>
      <w:r w:rsidRPr="00A63E72">
        <w:rPr>
          <w:lang w:val="af-ZA"/>
        </w:rPr>
        <w:lastRenderedPageBreak/>
        <w:t>- Nghị định số 42/2025/NĐ-CP ngày 27</w:t>
      </w:r>
      <w:r w:rsidR="00A63E72">
        <w:rPr>
          <w:lang w:val="af-ZA"/>
        </w:rPr>
        <w:t xml:space="preserve"> tháng </w:t>
      </w:r>
      <w:r w:rsidRPr="00A63E72">
        <w:rPr>
          <w:lang w:val="af-ZA"/>
        </w:rPr>
        <w:t>02</w:t>
      </w:r>
      <w:r w:rsidR="00A63E72">
        <w:rPr>
          <w:lang w:val="af-ZA"/>
        </w:rPr>
        <w:t xml:space="preserve"> năm </w:t>
      </w:r>
      <w:r w:rsidRPr="00A63E72">
        <w:rPr>
          <w:lang w:val="af-ZA"/>
        </w:rPr>
        <w:t>2025 của Chính phủ quy định chức năng, nhiệm vụ, quyền hạn và cơ cấu tổ chức của Bộ Y tế quy định: Bộ Y tế t</w:t>
      </w:r>
      <w:r w:rsidRPr="000B6543">
        <w:rPr>
          <w:color w:val="000000"/>
          <w:shd w:val="clear" w:color="auto" w:fill="FFFFFF"/>
          <w:lang w:val="af-ZA"/>
        </w:rPr>
        <w:t>hực hiện chức năng quản lý nhà nước về phòng, chống tệ nạn xã hội (trừ nhiệm vụ cai nghiện ma túy và quản lý sau cai nghiện ma túy)</w:t>
      </w:r>
      <w:r w:rsidR="00A63E72" w:rsidRPr="000B6543">
        <w:rPr>
          <w:color w:val="000000"/>
          <w:shd w:val="clear" w:color="auto" w:fill="FFFFFF"/>
          <w:lang w:val="af-ZA"/>
        </w:rPr>
        <w:t>,</w:t>
      </w:r>
      <w:r w:rsidRPr="000B6543">
        <w:rPr>
          <w:color w:val="000000"/>
          <w:shd w:val="clear" w:color="auto" w:fill="FFFFFF"/>
          <w:lang w:val="af-ZA"/>
        </w:rPr>
        <w:t xml:space="preserve"> bảo trợ xã hội</w:t>
      </w:r>
      <w:r w:rsidR="00A63E72" w:rsidRPr="000B6543">
        <w:rPr>
          <w:color w:val="000000"/>
          <w:shd w:val="clear" w:color="auto" w:fill="FFFFFF"/>
          <w:lang w:val="af-ZA"/>
        </w:rPr>
        <w:t xml:space="preserve"> với các nhiệm vụ, quyền hạn cụ thể</w:t>
      </w:r>
      <w:r w:rsidRPr="000B6543">
        <w:rPr>
          <w:color w:val="000000"/>
          <w:shd w:val="clear" w:color="auto" w:fill="FFFFFF"/>
          <w:lang w:val="af-ZA"/>
        </w:rPr>
        <w:t xml:space="preserve">: </w:t>
      </w:r>
      <w:r w:rsidR="00A63E72" w:rsidRPr="000B6543">
        <w:rPr>
          <w:color w:val="000000"/>
          <w:shd w:val="clear" w:color="auto" w:fill="FFFFFF"/>
          <w:lang w:val="af-ZA"/>
        </w:rPr>
        <w:t xml:space="preserve">(i) </w:t>
      </w:r>
      <w:r w:rsidRPr="000B6543">
        <w:rPr>
          <w:color w:val="000000"/>
          <w:shd w:val="clear" w:color="auto" w:fill="FFFFFF"/>
          <w:lang w:val="af-ZA"/>
        </w:rPr>
        <w:t>Xây dựng, ban hành hoặc trình cấp có thẩm quyền ban hành văn bản quy phạm pháp luật, chính sách, chương trình, kế hoạch về trợ cấp hưu trí xã hội và</w:t>
      </w:r>
      <w:r w:rsidR="00A63E72" w:rsidRPr="000B6543">
        <w:rPr>
          <w:color w:val="000000"/>
          <w:shd w:val="clear" w:color="auto" w:fill="FFFFFF"/>
          <w:lang w:val="af-ZA"/>
        </w:rPr>
        <w:t xml:space="preserve"> (ii) </w:t>
      </w:r>
      <w:r w:rsidRPr="000B6543">
        <w:rPr>
          <w:color w:val="000000"/>
          <w:shd w:val="clear" w:color="auto" w:fill="FFFFFF"/>
          <w:lang w:val="af-ZA"/>
        </w:rPr>
        <w:t>chỉ đạo, hướng dẫn, tổ chức thực hiện chính sách, pháp luật về trợ cấp hưu trí xã hội</w:t>
      </w:r>
      <w:r w:rsidR="00A63E72" w:rsidRPr="000B6543">
        <w:rPr>
          <w:color w:val="000000"/>
          <w:shd w:val="clear" w:color="auto" w:fill="FFFFFF"/>
          <w:lang w:val="af-ZA"/>
        </w:rPr>
        <w:t>.</w:t>
      </w:r>
    </w:p>
    <w:p w14:paraId="6DE39BA2" w14:textId="2B43EA30" w:rsidR="004A185D" w:rsidRPr="0020031F" w:rsidRDefault="004A185D" w:rsidP="004A185D">
      <w:pPr>
        <w:rPr>
          <w:lang w:val="af-ZA"/>
        </w:rPr>
      </w:pPr>
      <w:r w:rsidRPr="00A63E72">
        <w:rPr>
          <w:lang w:val="af-ZA"/>
        </w:rPr>
        <w:t>Do đó, để đảm bảo tính thống nhất đồng bộ với hệ thống pháp luật khác liên quan đến việc sắp xếp tổ chức bộ máy</w:t>
      </w:r>
      <w:r w:rsidRPr="0020031F">
        <w:rPr>
          <w:lang w:val="af-ZA"/>
        </w:rPr>
        <w:t xml:space="preserve"> của hệ thống chính trị và tổ chức chính quyền địa phương </w:t>
      </w:r>
      <w:r w:rsidR="00E8418E" w:rsidRPr="0020031F">
        <w:rPr>
          <w:lang w:val="af-ZA"/>
        </w:rPr>
        <w:t>2 cấp</w:t>
      </w:r>
      <w:r w:rsidRPr="0020031F">
        <w:rPr>
          <w:lang w:val="af-ZA"/>
        </w:rPr>
        <w:t>, tạo cơ cở pháp lý trong việc thực hiện nhiệm vụ liên quan đến quản lý nhà nước</w:t>
      </w:r>
      <w:r w:rsidR="008336BE" w:rsidRPr="0020031F">
        <w:rPr>
          <w:lang w:val="af-ZA"/>
        </w:rPr>
        <w:t xml:space="preserve"> và tổ chúc thực hiện chế độ, chính sách</w:t>
      </w:r>
      <w:r w:rsidRPr="0020031F">
        <w:rPr>
          <w:lang w:val="af-ZA"/>
        </w:rPr>
        <w:t xml:space="preserve"> </w:t>
      </w:r>
      <w:r w:rsidR="008336BE" w:rsidRPr="0020031F">
        <w:rPr>
          <w:lang w:val="af-ZA"/>
        </w:rPr>
        <w:t>b</w:t>
      </w:r>
      <w:r w:rsidRPr="0020031F">
        <w:rPr>
          <w:lang w:val="af-ZA"/>
        </w:rPr>
        <w:t>ảo hiểm xã hội thì cần thiết phải sửa đổi</w:t>
      </w:r>
      <w:r w:rsidR="008336BE" w:rsidRPr="0020031F">
        <w:rPr>
          <w:lang w:val="af-ZA"/>
        </w:rPr>
        <w:t>, bổ sung</w:t>
      </w:r>
      <w:r w:rsidRPr="0020031F">
        <w:rPr>
          <w:lang w:val="af-ZA"/>
        </w:rPr>
        <w:t xml:space="preserve"> Luật Bảo hiểm xã hội số 41/2025/QH15.</w:t>
      </w:r>
    </w:p>
    <w:p w14:paraId="75FDB7C4" w14:textId="69D5F37C" w:rsidR="00F10DFD" w:rsidRPr="000B6543" w:rsidRDefault="00F10DFD" w:rsidP="0020031F">
      <w:pPr>
        <w:pStyle w:val="Heading1"/>
        <w:rPr>
          <w:sz w:val="24"/>
          <w:szCs w:val="24"/>
          <w:lang w:val="af-ZA"/>
        </w:rPr>
      </w:pPr>
      <w:r w:rsidRPr="000B6543">
        <w:rPr>
          <w:sz w:val="24"/>
          <w:szCs w:val="24"/>
          <w:lang w:val="af-ZA"/>
        </w:rPr>
        <w:t>II. MỤC ĐÍCH BAN HÀNH, QUAN ĐIỂM XÂY DỰNG DỰ ÁN LUẬT</w:t>
      </w:r>
    </w:p>
    <w:p w14:paraId="217FD576" w14:textId="223F3C28" w:rsidR="00F10DFD" w:rsidRPr="0020031F" w:rsidRDefault="005A2F32" w:rsidP="0020031F">
      <w:pPr>
        <w:pStyle w:val="Heading2"/>
        <w:rPr>
          <w:lang w:val="af-ZA"/>
        </w:rPr>
      </w:pPr>
      <w:r w:rsidRPr="0020031F">
        <w:rPr>
          <w:lang w:val="af-ZA"/>
        </w:rPr>
        <w:t>1. Mục đích ban hành</w:t>
      </w:r>
    </w:p>
    <w:p w14:paraId="430DD18D" w14:textId="42D184DE" w:rsidR="003878ED" w:rsidRPr="0020031F" w:rsidRDefault="009218C8" w:rsidP="0020031F">
      <w:pPr>
        <w:rPr>
          <w:lang w:val="af-ZA"/>
        </w:rPr>
      </w:pPr>
      <w:r w:rsidRPr="0020031F">
        <w:rPr>
          <w:lang w:val="af-ZA"/>
        </w:rPr>
        <w:t>S</w:t>
      </w:r>
      <w:r w:rsidR="003878ED" w:rsidRPr="0020031F">
        <w:rPr>
          <w:lang w:val="vi-VN"/>
        </w:rPr>
        <w:t>ửa đổi</w:t>
      </w:r>
      <w:r w:rsidRPr="0020031F">
        <w:rPr>
          <w:lang w:val="af-ZA"/>
        </w:rPr>
        <w:t>, bổ sung</w:t>
      </w:r>
      <w:r w:rsidR="003878ED" w:rsidRPr="0020031F">
        <w:rPr>
          <w:lang w:val="vi-VN"/>
        </w:rPr>
        <w:t xml:space="preserve"> các quy định về </w:t>
      </w:r>
      <w:r w:rsidR="00152BD7" w:rsidRPr="0020031F">
        <w:rPr>
          <w:lang w:val="af-ZA"/>
        </w:rPr>
        <w:t xml:space="preserve">vị trí, </w:t>
      </w:r>
      <w:r w:rsidR="003878ED" w:rsidRPr="0020031F">
        <w:rPr>
          <w:lang w:val="vi-VN"/>
        </w:rPr>
        <w:t xml:space="preserve">trách nhiệm, quyền </w:t>
      </w:r>
      <w:r w:rsidR="00152BD7" w:rsidRPr="0020031F">
        <w:rPr>
          <w:lang w:val="vi-VN"/>
        </w:rPr>
        <w:t>hạn của cơ quan bảo hiểm xã hội;</w:t>
      </w:r>
      <w:r w:rsidR="00152BD7" w:rsidRPr="0020031F">
        <w:rPr>
          <w:lang w:val="af-ZA"/>
        </w:rPr>
        <w:t xml:space="preserve"> về trách nhiệm, quyền hạn</w:t>
      </w:r>
      <w:r w:rsidR="003878ED" w:rsidRPr="0020031F">
        <w:rPr>
          <w:lang w:val="vi-VN"/>
        </w:rPr>
        <w:t xml:space="preserve"> của Mặt trậ</w:t>
      </w:r>
      <w:r w:rsidR="00152BD7" w:rsidRPr="0020031F">
        <w:rPr>
          <w:lang w:val="vi-VN"/>
        </w:rPr>
        <w:t>n Tổ quốc Việt Nam và công đoàn; v</w:t>
      </w:r>
      <w:r w:rsidR="00152BD7" w:rsidRPr="0020031F">
        <w:rPr>
          <w:lang w:val="af-ZA"/>
        </w:rPr>
        <w:t>ề</w:t>
      </w:r>
      <w:r w:rsidR="003878ED" w:rsidRPr="0020031F">
        <w:rPr>
          <w:lang w:val="vi-VN"/>
        </w:rPr>
        <w:t xml:space="preserve"> quản lý nhà nước về bảo hiểm xã hội của các các </w:t>
      </w:r>
      <w:r w:rsidR="00152BD7" w:rsidRPr="0020031F">
        <w:rPr>
          <w:lang w:val="af-ZA"/>
        </w:rPr>
        <w:t>b</w:t>
      </w:r>
      <w:r w:rsidR="003878ED" w:rsidRPr="0020031F">
        <w:rPr>
          <w:lang w:val="vi-VN"/>
        </w:rPr>
        <w:t>ộ, ngành, địa phương sau khi thực hiện sắp xếp tổ chức bộ máy</w:t>
      </w:r>
      <w:r w:rsidR="00152BD7" w:rsidRPr="0020031F">
        <w:rPr>
          <w:lang w:val="af-ZA"/>
        </w:rPr>
        <w:t>;</w:t>
      </w:r>
      <w:r w:rsidR="003878ED" w:rsidRPr="0020031F">
        <w:rPr>
          <w:lang w:val="vi-VN"/>
        </w:rPr>
        <w:t xml:space="preserve"> về tên gọi của các </w:t>
      </w:r>
      <w:r w:rsidR="00152BD7" w:rsidRPr="0020031F">
        <w:rPr>
          <w:lang w:val="af-ZA"/>
        </w:rPr>
        <w:t>b</w:t>
      </w:r>
      <w:r w:rsidR="003878ED" w:rsidRPr="0020031F">
        <w:rPr>
          <w:lang w:val="vi-VN"/>
        </w:rPr>
        <w:t>ộ, ngành, cơ quan sau khi sắp xếp tổ chức bộ máy để đảm bảo sự đồng bộ với các quy định mới tại Hiến pháp, Luật Chính quyền địa phương, Luật Thanh tra.</w:t>
      </w:r>
    </w:p>
    <w:p w14:paraId="6EF38439" w14:textId="7F0B8B56" w:rsidR="005A2F32" w:rsidRPr="0020031F" w:rsidRDefault="005A2F32" w:rsidP="0020031F">
      <w:pPr>
        <w:pStyle w:val="Heading2"/>
        <w:rPr>
          <w:lang w:val="af-ZA"/>
        </w:rPr>
      </w:pPr>
      <w:r w:rsidRPr="0020031F">
        <w:rPr>
          <w:lang w:val="af-ZA"/>
        </w:rPr>
        <w:t>2. Quan điểm xây dựng Dự án Luật</w:t>
      </w:r>
    </w:p>
    <w:p w14:paraId="4D6584E7" w14:textId="6BF5638E" w:rsidR="00287976" w:rsidRPr="0020031F" w:rsidRDefault="00287976" w:rsidP="00287976">
      <w:pPr>
        <w:rPr>
          <w:lang w:val="af-ZA"/>
        </w:rPr>
      </w:pPr>
      <w:r w:rsidRPr="0020031F">
        <w:rPr>
          <w:lang w:val="af-ZA"/>
        </w:rPr>
        <w:t xml:space="preserve">- Đảm bảo phù hợp với định hướng tổng kết thực hiện Nghị quyết số 18-NQ/TW ngày 25 tháng 10 năm 2017 của Ban Chấp hành Trung ương khóa XII một số vấn đề về tiếp tục đổi mới, sắp xếp tổ chức bộ máy của hệ thống chính trị tinh gọn, hoạt động hiệu lực hiệu quả và các nghị quyết, kết luận của Ban Chấp hành Trung ương, Bộ Chính trị, Ban Bí thư về </w:t>
      </w:r>
      <w:r w:rsidR="00E8418E" w:rsidRPr="0020031F">
        <w:rPr>
          <w:lang w:val="af-ZA"/>
        </w:rPr>
        <w:t>sắp xếp tổ chức</w:t>
      </w:r>
      <w:r w:rsidRPr="0020031F">
        <w:rPr>
          <w:lang w:val="af-ZA"/>
        </w:rPr>
        <w:t xml:space="preserve"> bộ máy </w:t>
      </w:r>
      <w:r w:rsidR="00E8418E" w:rsidRPr="0020031F">
        <w:rPr>
          <w:lang w:val="af-ZA"/>
        </w:rPr>
        <w:t xml:space="preserve">của </w:t>
      </w:r>
      <w:r w:rsidRPr="0020031F">
        <w:rPr>
          <w:lang w:val="af-ZA"/>
        </w:rPr>
        <w:t xml:space="preserve">hệ thống chính trị và </w:t>
      </w:r>
      <w:r w:rsidR="00E8418E" w:rsidRPr="0020031F">
        <w:rPr>
          <w:lang w:val="af-ZA"/>
        </w:rPr>
        <w:t xml:space="preserve">xây dựng </w:t>
      </w:r>
      <w:r w:rsidRPr="0020031F">
        <w:rPr>
          <w:lang w:val="af-ZA"/>
        </w:rPr>
        <w:t xml:space="preserve">chính quyền địa phương </w:t>
      </w:r>
      <w:r w:rsidR="00E8418E" w:rsidRPr="0020031F">
        <w:rPr>
          <w:lang w:val="af-ZA"/>
        </w:rPr>
        <w:t>2 cấp</w:t>
      </w:r>
      <w:r w:rsidRPr="0020031F">
        <w:rPr>
          <w:lang w:val="af-ZA"/>
        </w:rPr>
        <w:t xml:space="preserve"> trong thời gian tới.</w:t>
      </w:r>
    </w:p>
    <w:p w14:paraId="14EB8E1A" w14:textId="4E6DEE8A" w:rsidR="00287976" w:rsidRPr="0020031F" w:rsidRDefault="00287976" w:rsidP="00287976">
      <w:pPr>
        <w:rPr>
          <w:lang w:val="af-ZA"/>
        </w:rPr>
      </w:pPr>
      <w:r w:rsidRPr="0020031F">
        <w:rPr>
          <w:lang w:val="af-ZA"/>
        </w:rPr>
        <w:t xml:space="preserve">- Tập trung sửa đổi, bổ sung một số điều liên quan đến tổ chức thực hiện bảo hiểm xã hội, quản lý nhà nước về bảo hiểm xã hội bảo đảm thống nhất, tránh mâu thuẫn, chồng chéo trong quá trình triển khai thực hiện và phù hợp với việc vận hành mô hình chính quyền địa phương chỉ còn cấp tỉnh và cấp xã. </w:t>
      </w:r>
    </w:p>
    <w:p w14:paraId="5561512A" w14:textId="683C1E28" w:rsidR="003878ED" w:rsidRPr="0020031F" w:rsidRDefault="003878ED">
      <w:pPr>
        <w:rPr>
          <w:lang w:val="af-ZA"/>
        </w:rPr>
      </w:pPr>
      <w:r w:rsidRPr="0020031F">
        <w:rPr>
          <w:lang w:val="af-ZA"/>
        </w:rPr>
        <w:t xml:space="preserve">- </w:t>
      </w:r>
      <w:r w:rsidR="00E8418E" w:rsidRPr="0020031F">
        <w:rPr>
          <w:lang w:val="af-ZA"/>
        </w:rPr>
        <w:t>Chưa sửa đổi, bổ sung các quy định không liên quan trực tiếp đến quá trình sắp xếp tổ chức bộ máy của hệ thống chính trị và xây dựng chính quyền địa phương 2 cấp trong thời gian qua do Luật Bảo hiểm xã hội số 41/2024/QH15 mới có hiệu lực thi hành từ ngày 01/7/2025</w:t>
      </w:r>
      <w:r w:rsidRPr="0020031F">
        <w:rPr>
          <w:lang w:val="af-ZA"/>
        </w:rPr>
        <w:t>.</w:t>
      </w:r>
    </w:p>
    <w:p w14:paraId="4298F897" w14:textId="3F14D26E" w:rsidR="00C604FD" w:rsidRPr="000B6543" w:rsidRDefault="00C604FD" w:rsidP="0020031F">
      <w:pPr>
        <w:pStyle w:val="Heading1"/>
        <w:rPr>
          <w:sz w:val="24"/>
          <w:szCs w:val="24"/>
          <w:lang w:val="af-ZA"/>
        </w:rPr>
      </w:pPr>
      <w:r w:rsidRPr="000B6543">
        <w:rPr>
          <w:sz w:val="24"/>
          <w:szCs w:val="24"/>
          <w:lang w:val="vi-VN"/>
        </w:rPr>
        <w:lastRenderedPageBreak/>
        <w:t>I</w:t>
      </w:r>
      <w:r w:rsidR="00050029" w:rsidRPr="000B6543">
        <w:rPr>
          <w:sz w:val="24"/>
          <w:szCs w:val="24"/>
          <w:lang w:val="af-ZA"/>
        </w:rPr>
        <w:t>I</w:t>
      </w:r>
      <w:r w:rsidRPr="000B6543">
        <w:rPr>
          <w:sz w:val="24"/>
          <w:szCs w:val="24"/>
          <w:lang w:val="vi-VN"/>
        </w:rPr>
        <w:t>I. QUÁ TRÌNH XÂY DỰNG</w:t>
      </w:r>
      <w:r w:rsidR="00552AE6" w:rsidRPr="000B6543">
        <w:rPr>
          <w:sz w:val="24"/>
          <w:szCs w:val="24"/>
          <w:lang w:val="af-ZA"/>
        </w:rPr>
        <w:t xml:space="preserve"> DỰ ÁN LUẬT</w:t>
      </w:r>
    </w:p>
    <w:p w14:paraId="41BF34A0" w14:textId="65BCF728" w:rsidR="00BF3F04" w:rsidRPr="0020031F" w:rsidRDefault="00BF3F04" w:rsidP="0020031F">
      <w:pPr>
        <w:rPr>
          <w:i/>
          <w:lang w:val="vi-VN"/>
        </w:rPr>
      </w:pPr>
      <w:r w:rsidRPr="0020031F">
        <w:rPr>
          <w:lang w:val="vi-VN"/>
        </w:rPr>
        <w:t xml:space="preserve">Căn cứ </w:t>
      </w:r>
      <w:r w:rsidR="00B8164F" w:rsidRPr="0020031F">
        <w:rPr>
          <w:lang w:val="vi-VN"/>
        </w:rPr>
        <w:t xml:space="preserve">Luật Ban hành văn bản quy phạm pháp luật năm 2025,  căn cứ </w:t>
      </w:r>
      <w:r w:rsidRPr="0020031F">
        <w:rPr>
          <w:lang w:val="vi-VN"/>
        </w:rPr>
        <w:t>Nghị quyết số 105/2026/UBTVQH15</w:t>
      </w:r>
      <w:r w:rsidR="00C75BEA" w:rsidRPr="0020031F">
        <w:rPr>
          <w:lang w:val="vi-VN"/>
        </w:rPr>
        <w:t xml:space="preserve"> ngày 2</w:t>
      </w:r>
      <w:r w:rsidR="00C43E9F" w:rsidRPr="0020031F">
        <w:rPr>
          <w:lang w:val="vi-VN"/>
        </w:rPr>
        <w:t xml:space="preserve">6 tháng </w:t>
      </w:r>
      <w:r w:rsidR="00C75BEA" w:rsidRPr="0020031F">
        <w:rPr>
          <w:lang w:val="vi-VN"/>
        </w:rPr>
        <w:t>9</w:t>
      </w:r>
      <w:r w:rsidR="00C43E9F" w:rsidRPr="0020031F">
        <w:rPr>
          <w:lang w:val="vi-VN"/>
        </w:rPr>
        <w:t xml:space="preserve"> năm </w:t>
      </w:r>
      <w:r w:rsidR="00C75BEA" w:rsidRPr="0020031F">
        <w:rPr>
          <w:lang w:val="vi-VN"/>
        </w:rPr>
        <w:t>2025</w:t>
      </w:r>
      <w:r w:rsidRPr="0020031F">
        <w:rPr>
          <w:lang w:val="vi-VN"/>
        </w:rPr>
        <w:t xml:space="preserve"> của Ủy ban Thường vụ Quốc hội khóa XV</w:t>
      </w:r>
      <w:r w:rsidR="00C75BEA" w:rsidRPr="0020031F">
        <w:rPr>
          <w:lang w:val="vi-VN"/>
        </w:rPr>
        <w:t xml:space="preserve"> về</w:t>
      </w:r>
      <w:r w:rsidRPr="0020031F">
        <w:rPr>
          <w:lang w:val="vi-VN"/>
        </w:rPr>
        <w:t xml:space="preserve"> </w:t>
      </w:r>
      <w:r w:rsidR="00AA4287" w:rsidRPr="0020031F">
        <w:rPr>
          <w:lang w:val="vi-VN"/>
        </w:rPr>
        <w:t>Chương trình lập pháp năm 2026</w:t>
      </w:r>
      <w:r w:rsidR="00C43E9F" w:rsidRPr="0020031F">
        <w:rPr>
          <w:lang w:val="vi-VN"/>
        </w:rPr>
        <w:t xml:space="preserve"> và Quyết định số 2352/QĐ-TTg ngày 24 tháng 10 năm 2025 của Thủ tướng Chính phủ phân công cơ quan chủ trì soạn thảo và thời hạn trình các dự án luật, pháp lệnh, nghị quyết trong Chương trình lập pháp năm 2026</w:t>
      </w:r>
      <w:r w:rsidR="00AA4287" w:rsidRPr="0020031F">
        <w:rPr>
          <w:lang w:val="vi-VN"/>
        </w:rPr>
        <w:t xml:space="preserve"> </w:t>
      </w:r>
      <w:r w:rsidR="004B596C" w:rsidRPr="0020031F">
        <w:rPr>
          <w:lang w:val="vi-VN"/>
        </w:rPr>
        <w:t xml:space="preserve">Bộ Nội vụ đã </w:t>
      </w:r>
      <w:bookmarkStart w:id="1" w:name="_Hlk213849100"/>
      <w:r w:rsidR="004B596C" w:rsidRPr="0020031F">
        <w:rPr>
          <w:lang w:val="vi-VN"/>
        </w:rPr>
        <w:t>tiến hành các bước để xây dựng dự thảo Luật sửa đổi, bổ sung một số điều của L</w:t>
      </w:r>
      <w:r w:rsidR="00605C55" w:rsidRPr="0020031F">
        <w:rPr>
          <w:lang w:val="vi-VN"/>
        </w:rPr>
        <w:t xml:space="preserve">uật </w:t>
      </w:r>
      <w:r w:rsidR="00081D75" w:rsidRPr="0020031F">
        <w:rPr>
          <w:lang w:val="vi-VN"/>
        </w:rPr>
        <w:t xml:space="preserve">Bảo hiểm xã hội </w:t>
      </w:r>
      <w:r w:rsidR="00C43E9F" w:rsidRPr="0020031F">
        <w:rPr>
          <w:lang w:val="vi-VN"/>
        </w:rPr>
        <w:t>số 41/2024/QH15</w:t>
      </w:r>
      <w:r w:rsidR="00081D75" w:rsidRPr="0020031F">
        <w:rPr>
          <w:lang w:val="vi-VN"/>
        </w:rPr>
        <w:t>:</w:t>
      </w:r>
    </w:p>
    <w:p w14:paraId="01859EFD" w14:textId="226DDFF6" w:rsidR="00C604FD" w:rsidRPr="0020031F" w:rsidRDefault="00081D75" w:rsidP="0020031F">
      <w:pPr>
        <w:rPr>
          <w:lang w:val="vi-VN"/>
        </w:rPr>
      </w:pPr>
      <w:bookmarkStart w:id="2" w:name="_Hlk193121637"/>
      <w:r w:rsidRPr="0020031F">
        <w:rPr>
          <w:lang w:val="vi-VN"/>
        </w:rPr>
        <w:t>1.  Ngày 12</w:t>
      </w:r>
      <w:r w:rsidR="00631261" w:rsidRPr="0020031F">
        <w:rPr>
          <w:lang w:val="vi-VN"/>
        </w:rPr>
        <w:t xml:space="preserve"> tháng </w:t>
      </w:r>
      <w:r w:rsidRPr="0020031F">
        <w:rPr>
          <w:lang w:val="vi-VN"/>
        </w:rPr>
        <w:t>9</w:t>
      </w:r>
      <w:r w:rsidR="00631261" w:rsidRPr="0020031F">
        <w:rPr>
          <w:lang w:val="vi-VN"/>
        </w:rPr>
        <w:t xml:space="preserve"> năm </w:t>
      </w:r>
      <w:r w:rsidRPr="0020031F">
        <w:rPr>
          <w:lang w:val="vi-VN"/>
        </w:rPr>
        <w:t xml:space="preserve">2025, Bộ </w:t>
      </w:r>
      <w:r w:rsidR="00631261" w:rsidRPr="0020031F">
        <w:rPr>
          <w:lang w:val="vi-VN"/>
        </w:rPr>
        <w:t xml:space="preserve">Nội vụ </w:t>
      </w:r>
      <w:r w:rsidRPr="0020031F">
        <w:rPr>
          <w:lang w:val="vi-VN"/>
        </w:rPr>
        <w:t xml:space="preserve">có công </w:t>
      </w:r>
      <w:r w:rsidR="00F433D8" w:rsidRPr="0020031F">
        <w:rPr>
          <w:lang w:val="vi-VN"/>
        </w:rPr>
        <w:t>v</w:t>
      </w:r>
      <w:r w:rsidRPr="0020031F">
        <w:rPr>
          <w:lang w:val="vi-VN"/>
        </w:rPr>
        <w:t>ăn số 7790/BNV-CTL&amp;BHXH gửi các Bộ, ngành</w:t>
      </w:r>
      <w:r w:rsidR="005406CA" w:rsidRPr="0020031F">
        <w:rPr>
          <w:lang w:val="vi-VN"/>
        </w:rPr>
        <w:t>,</w:t>
      </w:r>
      <w:r w:rsidRPr="0020031F">
        <w:rPr>
          <w:lang w:val="vi-VN"/>
        </w:rPr>
        <w:t xml:space="preserve"> địa phương đề nghị </w:t>
      </w:r>
      <w:r w:rsidR="002E7242" w:rsidRPr="0020031F">
        <w:rPr>
          <w:lang w:val="vi-VN"/>
        </w:rPr>
        <w:t>các cơ quan rà soát, đề xuất sửa đổi, bổ sung Luật Bảo hiểm xã hội.</w:t>
      </w:r>
    </w:p>
    <w:bookmarkEnd w:id="1"/>
    <w:p w14:paraId="05016ED0" w14:textId="7F42EE48" w:rsidR="00B838FD" w:rsidRPr="0020031F" w:rsidRDefault="00B8164F" w:rsidP="0020031F">
      <w:pPr>
        <w:rPr>
          <w:lang w:val="vi-VN"/>
        </w:rPr>
      </w:pPr>
      <w:r w:rsidRPr="0020031F">
        <w:rPr>
          <w:lang w:val="vi-VN"/>
        </w:rPr>
        <w:t>2</w:t>
      </w:r>
      <w:r w:rsidR="00D9201B" w:rsidRPr="0020031F">
        <w:rPr>
          <w:lang w:val="vi-VN"/>
        </w:rPr>
        <w:t xml:space="preserve">. </w:t>
      </w:r>
      <w:r w:rsidR="00B838FD" w:rsidRPr="0020031F">
        <w:rPr>
          <w:lang w:val="vi-VN"/>
        </w:rPr>
        <w:t>Tháng</w:t>
      </w:r>
      <w:r w:rsidR="00156B3A" w:rsidRPr="000B6543">
        <w:rPr>
          <w:lang w:val="vi-VN"/>
        </w:rPr>
        <w:t>….</w:t>
      </w:r>
      <w:r w:rsidR="00B838FD" w:rsidRPr="0020031F">
        <w:rPr>
          <w:lang w:val="vi-VN"/>
        </w:rPr>
        <w:t xml:space="preserve"> năm 2025, tổ chức lấy ý kiến các Đoàn đại biểu Quốc hội, đối tượng chịu sự tác động trực tiếp của dự án luật, pháp lệnh, nghị quyết; lấy ý kiến Bộ, cơ quan ngang Bộ đối với những nội dung của dự án liên quan đến chức năng quản lý ngành, lĩnh vực của Bộ, cơ quan ngang Bộ và cơ quan, tổ chức, cá nhân khác có liên quan; lấy ý kiến phản biện xã hội của Mặt trận Tổ quốc Việt Nam và đăng tải hồ sơ dự án </w:t>
      </w:r>
      <w:r w:rsidR="00E86C1F" w:rsidRPr="0020031F">
        <w:rPr>
          <w:lang w:val="vi-VN"/>
        </w:rPr>
        <w:t xml:space="preserve">Luật </w:t>
      </w:r>
      <w:r w:rsidR="00B838FD" w:rsidRPr="0020031F">
        <w:rPr>
          <w:lang w:val="vi-VN"/>
        </w:rPr>
        <w:t xml:space="preserve">trên </w:t>
      </w:r>
      <w:r w:rsidR="00E86C1F" w:rsidRPr="0020031F">
        <w:rPr>
          <w:lang w:val="vi-VN"/>
        </w:rPr>
        <w:t>C</w:t>
      </w:r>
      <w:r w:rsidR="00B838FD" w:rsidRPr="0020031F">
        <w:rPr>
          <w:lang w:val="vi-VN"/>
        </w:rPr>
        <w:t xml:space="preserve">ổng </w:t>
      </w:r>
      <w:r w:rsidR="00EC642A" w:rsidRPr="0020031F">
        <w:rPr>
          <w:lang w:val="vi-VN"/>
        </w:rPr>
        <w:t>T</w:t>
      </w:r>
      <w:r w:rsidR="00B838FD" w:rsidRPr="0020031F">
        <w:rPr>
          <w:lang w:val="vi-VN"/>
        </w:rPr>
        <w:t xml:space="preserve">hông tin điện tử </w:t>
      </w:r>
      <w:r w:rsidR="00E86C1F" w:rsidRPr="0020031F">
        <w:rPr>
          <w:lang w:val="vi-VN"/>
        </w:rPr>
        <w:t>Bộ Nội vụ</w:t>
      </w:r>
      <w:r w:rsidR="00B838FD" w:rsidRPr="0020031F">
        <w:rPr>
          <w:lang w:val="vi-VN"/>
        </w:rPr>
        <w:t xml:space="preserve"> và Cổng Pháp luật quốc gia</w:t>
      </w:r>
      <w:r w:rsidR="00287431" w:rsidRPr="0020031F">
        <w:rPr>
          <w:lang w:val="vi-VN"/>
        </w:rPr>
        <w:t>.</w:t>
      </w:r>
    </w:p>
    <w:p w14:paraId="6AE07580" w14:textId="3C9C4704" w:rsidR="00C604FD" w:rsidRPr="0020031F" w:rsidRDefault="00B8164F" w:rsidP="0020031F">
      <w:pPr>
        <w:rPr>
          <w:lang w:val="vi-VN"/>
        </w:rPr>
      </w:pPr>
      <w:r w:rsidRPr="0020031F">
        <w:rPr>
          <w:lang w:val="vi-VN"/>
        </w:rPr>
        <w:t>3</w:t>
      </w:r>
      <w:r w:rsidR="00F433D8" w:rsidRPr="0020031F">
        <w:rPr>
          <w:lang w:val="vi-VN"/>
        </w:rPr>
        <w:t>. G</w:t>
      </w:r>
      <w:r w:rsidR="00C604FD" w:rsidRPr="0020031F">
        <w:rPr>
          <w:lang w:val="vi-VN"/>
        </w:rPr>
        <w:t>ửi Bộ Tư pháp đề nghị thẩm địn</w:t>
      </w:r>
      <w:r w:rsidR="00D9201B" w:rsidRPr="0020031F">
        <w:rPr>
          <w:lang w:val="vi-VN"/>
        </w:rPr>
        <w:t xml:space="preserve">h hồ sơ </w:t>
      </w:r>
      <w:r w:rsidR="00F433D8" w:rsidRPr="0020031F">
        <w:rPr>
          <w:lang w:val="vi-VN"/>
        </w:rPr>
        <w:t xml:space="preserve">dự án </w:t>
      </w:r>
      <w:r w:rsidR="00D9201B" w:rsidRPr="0020031F">
        <w:rPr>
          <w:lang w:val="vi-VN"/>
        </w:rPr>
        <w:t>Luật</w:t>
      </w:r>
      <w:r w:rsidR="00C604FD" w:rsidRPr="0020031F">
        <w:rPr>
          <w:lang w:val="vi-VN"/>
        </w:rPr>
        <w:t>.</w:t>
      </w:r>
    </w:p>
    <w:p w14:paraId="4BB06648" w14:textId="6328CDB8" w:rsidR="00552AE6" w:rsidRPr="0020031F" w:rsidRDefault="00B8164F" w:rsidP="0020031F">
      <w:pPr>
        <w:rPr>
          <w:lang w:val="vi-VN"/>
        </w:rPr>
      </w:pPr>
      <w:r w:rsidRPr="0020031F">
        <w:rPr>
          <w:lang w:val="vi-VN"/>
        </w:rPr>
        <w:t>4</w:t>
      </w:r>
      <w:r w:rsidR="00C604FD" w:rsidRPr="0020031F">
        <w:rPr>
          <w:lang w:val="vi-VN"/>
        </w:rPr>
        <w:t xml:space="preserve">. </w:t>
      </w:r>
      <w:r w:rsidR="00F433D8" w:rsidRPr="0020031F">
        <w:rPr>
          <w:lang w:val="vi-VN"/>
        </w:rPr>
        <w:t>Tiếp thu ý kiến thẩm định của Bộ Tư pháp, chỉnh lý, hoàn thiện hồ sơ dự án Luật</w:t>
      </w:r>
      <w:r w:rsidR="00552AE6" w:rsidRPr="0020031F">
        <w:rPr>
          <w:lang w:val="vi-VN"/>
        </w:rPr>
        <w:t>,</w:t>
      </w:r>
      <w:r w:rsidR="00F433D8" w:rsidRPr="0020031F">
        <w:rPr>
          <w:lang w:val="vi-VN"/>
        </w:rPr>
        <w:t xml:space="preserve"> báo cáo Chính phủ.</w:t>
      </w:r>
      <w:bookmarkEnd w:id="2"/>
    </w:p>
    <w:p w14:paraId="37B944B3" w14:textId="35678C5D" w:rsidR="00B31F9C" w:rsidRPr="000B6543" w:rsidRDefault="00552AE6" w:rsidP="0020031F">
      <w:pPr>
        <w:pStyle w:val="Heading1"/>
        <w:rPr>
          <w:sz w:val="24"/>
          <w:szCs w:val="24"/>
          <w:lang w:val="fr-FR"/>
        </w:rPr>
      </w:pPr>
      <w:r w:rsidRPr="000B6543">
        <w:rPr>
          <w:sz w:val="24"/>
          <w:szCs w:val="24"/>
          <w:lang w:val="vi-VN"/>
        </w:rPr>
        <w:t>I</w:t>
      </w:r>
      <w:r w:rsidR="0026076B" w:rsidRPr="000B6543">
        <w:rPr>
          <w:sz w:val="24"/>
          <w:szCs w:val="24"/>
          <w:lang w:val="fr-FR"/>
        </w:rPr>
        <w:t>V</w:t>
      </w:r>
      <w:r w:rsidR="002928E9" w:rsidRPr="000B6543">
        <w:rPr>
          <w:sz w:val="24"/>
          <w:szCs w:val="24"/>
          <w:lang w:val="fr-FR"/>
        </w:rPr>
        <w:t>.</w:t>
      </w:r>
      <w:r w:rsidR="006067BC" w:rsidRPr="000B6543">
        <w:rPr>
          <w:sz w:val="24"/>
          <w:szCs w:val="24"/>
          <w:lang w:val="fr-FR"/>
        </w:rPr>
        <w:t xml:space="preserve"> </w:t>
      </w:r>
      <w:r w:rsidR="002928E9" w:rsidRPr="000B6543">
        <w:rPr>
          <w:sz w:val="24"/>
          <w:szCs w:val="24"/>
          <w:lang w:val="fr-FR"/>
        </w:rPr>
        <w:t>BỐ CỤC VÀ NỘI DUNG CƠ BẢN CỦA</w:t>
      </w:r>
      <w:r w:rsidRPr="000B6543">
        <w:rPr>
          <w:sz w:val="24"/>
          <w:szCs w:val="24"/>
          <w:lang w:val="fr-FR"/>
        </w:rPr>
        <w:t xml:space="preserve"> DỰ THẢO</w:t>
      </w:r>
      <w:r w:rsidR="002928E9" w:rsidRPr="000B6543">
        <w:rPr>
          <w:sz w:val="24"/>
          <w:szCs w:val="24"/>
          <w:lang w:val="fr-FR"/>
        </w:rPr>
        <w:t xml:space="preserve"> </w:t>
      </w:r>
      <w:r w:rsidR="00B63D32" w:rsidRPr="000B6543">
        <w:rPr>
          <w:sz w:val="24"/>
          <w:szCs w:val="24"/>
          <w:lang w:val="fr-FR"/>
        </w:rPr>
        <w:t>LUẬT</w:t>
      </w:r>
    </w:p>
    <w:p w14:paraId="7427D64B" w14:textId="5A7AE438" w:rsidR="00552AE6" w:rsidRPr="0020031F" w:rsidRDefault="00552AE6" w:rsidP="00552AE6">
      <w:pPr>
        <w:pStyle w:val="Heading2"/>
        <w:rPr>
          <w:lang w:val="vi-VN"/>
        </w:rPr>
      </w:pPr>
      <w:r w:rsidRPr="0020031F">
        <w:rPr>
          <w:lang w:val="fr-FR"/>
        </w:rPr>
        <w:t>1</w:t>
      </w:r>
      <w:r w:rsidRPr="0020031F">
        <w:rPr>
          <w:lang w:val="vi-VN"/>
        </w:rPr>
        <w:t>. Phạm vi điều chỉnh và đối tượng áp dụng</w:t>
      </w:r>
    </w:p>
    <w:p w14:paraId="3754E439" w14:textId="31EC4EB8" w:rsidR="00552AE6" w:rsidRPr="0020031F" w:rsidRDefault="00552AE6" w:rsidP="0020031F">
      <w:pPr>
        <w:rPr>
          <w:lang w:val="vi-VN"/>
        </w:rPr>
      </w:pPr>
      <w:r w:rsidRPr="0020031F">
        <w:rPr>
          <w:lang w:val="vi-VN"/>
        </w:rPr>
        <w:t>Dự thảo Luật không sửa đổi, bổ sung Điều 1</w:t>
      </w:r>
      <w:r w:rsidR="000A27DA" w:rsidRPr="0020031F">
        <w:rPr>
          <w:lang w:val="vi-VN"/>
        </w:rPr>
        <w:t>, Điều 2 Luật Bảo hiểm xã hội số 41/2024/QH15 về Phạm vi điều chỉnh, đối tượng áp dụng.</w:t>
      </w:r>
    </w:p>
    <w:p w14:paraId="11160A6F" w14:textId="01C98A94" w:rsidR="00073BCC" w:rsidRPr="0020031F" w:rsidRDefault="007229A0" w:rsidP="0020031F">
      <w:pPr>
        <w:pStyle w:val="Heading2"/>
        <w:rPr>
          <w:lang w:val="fr-FR"/>
        </w:rPr>
      </w:pPr>
      <w:r w:rsidRPr="0020031F">
        <w:rPr>
          <w:lang w:val="fr-FR"/>
        </w:rPr>
        <w:t>2</w:t>
      </w:r>
      <w:r w:rsidR="001A4190" w:rsidRPr="0020031F">
        <w:rPr>
          <w:lang w:val="fr-FR"/>
        </w:rPr>
        <w:t xml:space="preserve">. Bố cục của </w:t>
      </w:r>
      <w:r w:rsidR="00613B69" w:rsidRPr="0020031F">
        <w:rPr>
          <w:lang w:val="fr-FR"/>
        </w:rPr>
        <w:t>Luật</w:t>
      </w:r>
    </w:p>
    <w:p w14:paraId="26FDFD98" w14:textId="0C4845DF" w:rsidR="00B63D32" w:rsidRPr="0020031F" w:rsidRDefault="006067BC" w:rsidP="0020031F">
      <w:pPr>
        <w:rPr>
          <w:lang w:val="fr-FR"/>
        </w:rPr>
      </w:pPr>
      <w:bookmarkStart w:id="3" w:name="_Hlk193121650"/>
      <w:r w:rsidRPr="0020031F">
        <w:rPr>
          <w:lang w:val="fr-FR"/>
        </w:rPr>
        <w:t>Nghị định</w:t>
      </w:r>
      <w:r w:rsidR="00465409" w:rsidRPr="0020031F">
        <w:rPr>
          <w:lang w:val="fr-FR"/>
        </w:rPr>
        <w:t xml:space="preserve"> được kết cấu gồm</w:t>
      </w:r>
      <w:r w:rsidR="00B63D32" w:rsidRPr="0020031F">
        <w:rPr>
          <w:lang w:val="fr-FR"/>
        </w:rPr>
        <w:t xml:space="preserve"> 02 điều, trong đó Điều 1 quy định các điều khoản sửa đổi, bổ sung, bãi bỏ; Điều 2 quy định về hiệu lực thi hành của Luật.</w:t>
      </w:r>
    </w:p>
    <w:bookmarkEnd w:id="3"/>
    <w:p w14:paraId="74386F9E" w14:textId="123A45E9" w:rsidR="002928E9" w:rsidRPr="0020031F" w:rsidRDefault="004D6D7B" w:rsidP="0020031F">
      <w:pPr>
        <w:pStyle w:val="Heading2"/>
        <w:rPr>
          <w:lang w:val="fr-FR"/>
        </w:rPr>
      </w:pPr>
      <w:r w:rsidRPr="0020031F">
        <w:rPr>
          <w:lang w:val="fr-FR"/>
        </w:rPr>
        <w:t>3</w:t>
      </w:r>
      <w:r w:rsidR="009B7192" w:rsidRPr="0020031F">
        <w:rPr>
          <w:lang w:val="fr-FR"/>
        </w:rPr>
        <w:t xml:space="preserve">. Nội dung cơ bản của </w:t>
      </w:r>
      <w:r w:rsidR="00C32F40" w:rsidRPr="0020031F">
        <w:rPr>
          <w:lang w:val="fr-FR"/>
        </w:rPr>
        <w:t>Luật</w:t>
      </w:r>
    </w:p>
    <w:p w14:paraId="4826BF43" w14:textId="01152A6C" w:rsidR="005E3885" w:rsidRPr="000B6543" w:rsidRDefault="000B6543" w:rsidP="0020031F">
      <w:pPr>
        <w:rPr>
          <w:i/>
          <w:lang w:val="fr-FR"/>
        </w:rPr>
      </w:pPr>
      <w:bookmarkStart w:id="4" w:name="_Hlk193121697"/>
      <w:r w:rsidRPr="000B6543">
        <w:rPr>
          <w:i/>
          <w:lang w:val="fr-FR"/>
        </w:rPr>
        <w:t xml:space="preserve">a) </w:t>
      </w:r>
      <w:r w:rsidR="005E3885" w:rsidRPr="000B6543">
        <w:rPr>
          <w:i/>
          <w:lang w:val="fr-FR"/>
        </w:rPr>
        <w:t>Nội dung quy định tại Điều 1</w:t>
      </w:r>
    </w:p>
    <w:p w14:paraId="2D0790E2" w14:textId="37E0DA62" w:rsidR="00710CD8" w:rsidRPr="0020031F" w:rsidRDefault="00C32F40" w:rsidP="0020031F">
      <w:pPr>
        <w:rPr>
          <w:lang w:val="fr-FR"/>
        </w:rPr>
      </w:pPr>
      <w:r w:rsidRPr="0020031F">
        <w:rPr>
          <w:lang w:val="fr-FR"/>
        </w:rPr>
        <w:t>Luật</w:t>
      </w:r>
      <w:r w:rsidR="002928E9" w:rsidRPr="0020031F">
        <w:rPr>
          <w:lang w:val="fr-FR"/>
        </w:rPr>
        <w:t xml:space="preserve"> </w:t>
      </w:r>
      <w:r w:rsidR="0026076B" w:rsidRPr="0020031F">
        <w:rPr>
          <w:lang w:val="fr-FR"/>
        </w:rPr>
        <w:t>bao gồm các nội dung cơ bản</w:t>
      </w:r>
      <w:r w:rsidR="002928E9" w:rsidRPr="0020031F">
        <w:rPr>
          <w:lang w:val="fr-FR"/>
        </w:rPr>
        <w:t xml:space="preserve"> như sau:</w:t>
      </w:r>
      <w:r w:rsidR="00F62CD9" w:rsidRPr="0020031F">
        <w:rPr>
          <w:lang w:val="fr-FR"/>
        </w:rPr>
        <w:t xml:space="preserve"> </w:t>
      </w:r>
    </w:p>
    <w:p w14:paraId="35C3AC3B" w14:textId="5B5B254B" w:rsidR="002E2274" w:rsidRPr="0020031F" w:rsidRDefault="00C32F40" w:rsidP="0020031F">
      <w:pPr>
        <w:rPr>
          <w:lang w:val="fr-FR"/>
        </w:rPr>
      </w:pPr>
      <w:r w:rsidRPr="0020031F">
        <w:rPr>
          <w:lang w:val="fr-FR"/>
        </w:rPr>
        <w:t xml:space="preserve">- </w:t>
      </w:r>
      <w:r w:rsidR="00710CD8" w:rsidRPr="0020031F">
        <w:rPr>
          <w:lang w:val="fr-FR"/>
        </w:rPr>
        <w:t xml:space="preserve">Để </w:t>
      </w:r>
      <w:r w:rsidR="00710CD8" w:rsidRPr="0020031F">
        <w:rPr>
          <w:shd w:val="clear" w:color="auto" w:fill="FFFFFF"/>
          <w:lang w:val="fr-FR"/>
        </w:rPr>
        <w:t xml:space="preserve">phù hợp với </w:t>
      </w:r>
      <w:r w:rsidR="00710CD8" w:rsidRPr="0020031F">
        <w:rPr>
          <w:lang w:val="fr-FR"/>
        </w:rPr>
        <w:t xml:space="preserve">Điều 9 Hiến pháp nước Cộng hòa xã hội chủ nghĩa Việt Nam được sửa đổi, bổ sung tại khoản 1 Điều 1 Nghị quyết số 203/2025/QH15 ngày 16/6/2025 của Quốc hội và </w:t>
      </w:r>
      <w:r w:rsidR="009B4E25" w:rsidRPr="0020031F">
        <w:rPr>
          <w:rFonts w:eastAsia="Arial Unicode MS"/>
          <w:lang w:val="fr-FR" w:eastAsia="zh-CN" w:bidi="hi-IN"/>
        </w:rPr>
        <w:t>k</w:t>
      </w:r>
      <w:r w:rsidR="00710CD8" w:rsidRPr="0020031F">
        <w:rPr>
          <w:rFonts w:eastAsia="Arial Unicode MS"/>
          <w:lang w:val="fr-FR" w:eastAsia="zh-CN" w:bidi="hi-IN"/>
        </w:rPr>
        <w:t>hoản 3 Điều 1 Luật sửa đổi, b</w:t>
      </w:r>
      <w:r w:rsidR="00710CD8" w:rsidRPr="0020031F">
        <w:rPr>
          <w:shd w:val="clear" w:color="auto" w:fill="FFFFFF"/>
          <w:lang w:val="fr-FR"/>
        </w:rPr>
        <w:t>ổ</w:t>
      </w:r>
      <w:r w:rsidR="00710CD8" w:rsidRPr="0020031F">
        <w:rPr>
          <w:caps/>
          <w:shd w:val="clear" w:color="auto" w:fill="FFFFFF"/>
          <w:lang w:val="fr-FR"/>
        </w:rPr>
        <w:t xml:space="preserve"> </w:t>
      </w:r>
      <w:r w:rsidR="00710CD8" w:rsidRPr="0020031F">
        <w:rPr>
          <w:shd w:val="clear" w:color="auto" w:fill="FFFFFF"/>
          <w:lang w:val="fr-FR"/>
        </w:rPr>
        <w:t xml:space="preserve">sung một số điều của Luật Mặt trận Tổ quốc Việt Nam, Luật Công đoàn, Luật Thanh niên và </w:t>
      </w:r>
      <w:r w:rsidR="00710CD8" w:rsidRPr="0020031F">
        <w:rPr>
          <w:shd w:val="clear" w:color="auto" w:fill="FFFFFF"/>
          <w:lang w:val="fr-FR"/>
        </w:rPr>
        <w:lastRenderedPageBreak/>
        <w:t xml:space="preserve">Luật Thực hiện dân chủ ở cơ sở số 97/2025/QH15 về thành viên của Mặt trận Tổ quốc Việt Nam, </w:t>
      </w:r>
      <w:r w:rsidRPr="0020031F">
        <w:rPr>
          <w:lang w:val="fr-FR"/>
        </w:rPr>
        <w:t xml:space="preserve">Điều 14 </w:t>
      </w:r>
      <w:r w:rsidR="00710CD8" w:rsidRPr="0020031F">
        <w:rPr>
          <w:lang w:val="fr-FR"/>
        </w:rPr>
        <w:t xml:space="preserve">đã sửa đổi, bổ sung những nội dung </w:t>
      </w:r>
      <w:r w:rsidRPr="0020031F">
        <w:rPr>
          <w:lang w:val="fr-FR"/>
        </w:rPr>
        <w:t>sau: (i) Bỏ cụm từ “</w:t>
      </w:r>
      <w:r w:rsidRPr="0020031F">
        <w:rPr>
          <w:i/>
          <w:lang w:val="fr-FR"/>
        </w:rPr>
        <w:t>công đoàn”</w:t>
      </w:r>
      <w:r w:rsidRPr="0020031F">
        <w:rPr>
          <w:lang w:val="fr-FR"/>
        </w:rPr>
        <w:t xml:space="preserve"> tại tiêu đề của Điều 14;  (ii) Sửa cụm từ “</w:t>
      </w:r>
      <w:r w:rsidRPr="0020031F">
        <w:rPr>
          <w:i/>
          <w:lang w:val="fr-FR"/>
        </w:rPr>
        <w:t>tổ chức thành viên của Mặt trận”</w:t>
      </w:r>
      <w:r w:rsidRPr="0020031F">
        <w:rPr>
          <w:lang w:val="fr-FR"/>
        </w:rPr>
        <w:t xml:space="preserve"> tại tiêu đề của Điều 14 và khoản 2 thành “</w:t>
      </w:r>
      <w:r w:rsidRPr="0020031F">
        <w:rPr>
          <w:i/>
          <w:lang w:val="fr-FR"/>
        </w:rPr>
        <w:t>tổ chức chính trị - xã hội trực thuộc Mặt trận</w:t>
      </w:r>
      <w:r w:rsidRPr="0020031F">
        <w:rPr>
          <w:lang w:val="fr-FR"/>
        </w:rPr>
        <w:t>”; (iii) đưa nội dung về quyền và trách nhiệm của Mặt trận Tổ quốc Việt Nam tại khoản 2 lên thành khoản 1 để thể hiện vai trò của Mặt trận Tổ quốc Việt Nam đầu tiên, sau đó mới đến vai trò của công đoàn; (iv) rà soát lại quyền và trách nhiệm của Mặt trận Tổ quốc và Công đoàn Việt Nam nhằm đảm bảo quyền, trách nhiệm của Công đoàn tại khoản 2 tránh trung lặp với quyền và trách nhiệm của Mặt trận Tổ quốc Việt Nam đã được quy định tại khoản 01.</w:t>
      </w:r>
    </w:p>
    <w:p w14:paraId="67EFFEFC" w14:textId="7AAF27BD" w:rsidR="004641EB" w:rsidRPr="0020031F" w:rsidRDefault="00C32F40" w:rsidP="0020031F">
      <w:pPr>
        <w:rPr>
          <w:lang w:val="fr-FR"/>
        </w:rPr>
      </w:pPr>
      <w:r w:rsidRPr="0020031F">
        <w:rPr>
          <w:lang w:val="fr-FR"/>
        </w:rPr>
        <w:t xml:space="preserve">- </w:t>
      </w:r>
      <w:r w:rsidR="002E2274" w:rsidRPr="0020031F">
        <w:rPr>
          <w:lang w:val="fr-FR"/>
        </w:rPr>
        <w:t xml:space="preserve">Để phù hợp với cơ cấu tổ chức của Chính phủ theo Nghị quyết số 176/2025/QH15 và đảm bảo tính ổn định khi tiếp tục rà soát sắp xếp tổ chức bộ máy nhà nước thì tại </w:t>
      </w:r>
      <w:r w:rsidRPr="0020031F">
        <w:rPr>
          <w:lang w:val="fr-FR"/>
        </w:rPr>
        <w:t xml:space="preserve">Điều 16 </w:t>
      </w:r>
      <w:r w:rsidR="002E2274" w:rsidRPr="0020031F">
        <w:rPr>
          <w:lang w:val="fr-FR"/>
        </w:rPr>
        <w:t xml:space="preserve">sửa đổi, bổ sung </w:t>
      </w:r>
      <w:r w:rsidR="00F62CD9" w:rsidRPr="0020031F">
        <w:rPr>
          <w:lang w:val="fr-FR"/>
        </w:rPr>
        <w:t xml:space="preserve">theo hướng chỉ quy định chức năng của cơ quan bảo hiểm xã hội </w:t>
      </w:r>
      <w:r w:rsidRPr="0020031F">
        <w:rPr>
          <w:lang w:val="fr-FR"/>
        </w:rPr>
        <w:t xml:space="preserve">như sau: </w:t>
      </w:r>
      <w:r w:rsidR="00F62CD9" w:rsidRPr="0020031F">
        <w:rPr>
          <w:lang w:val="fr-FR"/>
        </w:rPr>
        <w:t>“</w:t>
      </w:r>
      <w:r w:rsidR="00F62CD9" w:rsidRPr="0020031F">
        <w:rPr>
          <w:i/>
          <w:lang w:val="vi-VN"/>
        </w:rPr>
        <w:t>Cơ quan bảo hiểm xã hội có chức năng thực hiện chế độ, chính sách bảo hiểm xã hội; quản lý và sử dụng các quỹ bảo hiểm xã hội, quỹ bảo hiểm thất nghiệp, quỹ bảo hiểm y tế</w:t>
      </w:r>
      <w:r w:rsidR="00F62CD9" w:rsidRPr="0020031F">
        <w:rPr>
          <w:lang w:val="fr-FR"/>
        </w:rPr>
        <w:t>”</w:t>
      </w:r>
      <w:r w:rsidR="002110D1" w:rsidRPr="0020031F">
        <w:rPr>
          <w:lang w:val="fr-FR"/>
        </w:rPr>
        <w:t xml:space="preserve">. </w:t>
      </w:r>
    </w:p>
    <w:p w14:paraId="60DF29C4" w14:textId="77777777" w:rsidR="007E1745" w:rsidRPr="0020031F" w:rsidRDefault="002110D1" w:rsidP="0020031F">
      <w:pPr>
        <w:rPr>
          <w:lang w:val="vi-VN"/>
        </w:rPr>
      </w:pPr>
      <w:r w:rsidRPr="0020031F">
        <w:rPr>
          <w:lang w:val="fr-FR"/>
        </w:rPr>
        <w:t xml:space="preserve">- </w:t>
      </w:r>
      <w:r w:rsidR="00A469BA" w:rsidRPr="0020031F">
        <w:rPr>
          <w:lang w:val="fr-FR"/>
        </w:rPr>
        <w:t xml:space="preserve">Sửa đổi khoản 2 Điều 19 về đại điện các Bộ, ngành tham gia Hội đồng quản lý bảo hiểm xã hội như sau : </w:t>
      </w:r>
      <w:r w:rsidR="00A469BA" w:rsidRPr="0020031F">
        <w:rPr>
          <w:i/>
          <w:lang w:val="vi-VN"/>
        </w:rPr>
        <w:t>“</w:t>
      </w:r>
      <w:r w:rsidR="00A469BA" w:rsidRPr="0020031F">
        <w:rPr>
          <w:i/>
          <w:shd w:val="clear" w:color="auto" w:fill="FFFFFF"/>
          <w:lang w:val="vi-VN"/>
        </w:rPr>
        <w:t>2. Hội đồng quản lý bảo hiểm xã hội gồm đại diện Tổng Liên đoàn Lao động Việt Nam, tổ chức đại diện người sử dụng lao động ở trung ương, Bộ Tài chính, Bộ Nội vụ,</w:t>
      </w:r>
      <w:r w:rsidR="00245C27" w:rsidRPr="0020031F">
        <w:rPr>
          <w:i/>
          <w:shd w:val="clear" w:color="auto" w:fill="FFFFFF"/>
          <w:lang w:val="vi-VN"/>
        </w:rPr>
        <w:t xml:space="preserve"> Bộ Y tế</w:t>
      </w:r>
      <w:r w:rsidR="00A469BA" w:rsidRPr="0020031F">
        <w:rPr>
          <w:i/>
          <w:strike/>
          <w:shd w:val="clear" w:color="auto" w:fill="FFFFFF"/>
          <w:lang w:val="vi-VN"/>
        </w:rPr>
        <w:t>,</w:t>
      </w:r>
      <w:r w:rsidR="00A469BA" w:rsidRPr="0020031F">
        <w:rPr>
          <w:i/>
          <w:shd w:val="clear" w:color="auto" w:fill="FFFFFF"/>
          <w:lang w:val="vi-VN"/>
        </w:rPr>
        <w:t xml:space="preserve"> Bộ Công an, Bộ Quốc phòng, Ngân hàng nhà nước Việt Nam, </w:t>
      </w:r>
      <w:r w:rsidR="00A469BA" w:rsidRPr="0020031F">
        <w:rPr>
          <w:b/>
          <w:i/>
          <w:shd w:val="clear" w:color="auto" w:fill="FFFFFF"/>
          <w:lang w:val="vi-VN"/>
        </w:rPr>
        <w:t>cơ quan bảo hiểm xã hội</w:t>
      </w:r>
      <w:r w:rsidR="00A469BA" w:rsidRPr="0020031F">
        <w:rPr>
          <w:i/>
          <w:shd w:val="clear" w:color="auto" w:fill="FFFFFF"/>
          <w:lang w:val="vi-VN"/>
        </w:rPr>
        <w:t xml:space="preserve"> và tổ chức, cá nhân khác có liên quan.”</w:t>
      </w:r>
      <w:r w:rsidR="00245C27" w:rsidRPr="0020031F">
        <w:rPr>
          <w:i/>
          <w:shd w:val="clear" w:color="auto" w:fill="FFFFFF"/>
          <w:lang w:val="vi-VN"/>
        </w:rPr>
        <w:t xml:space="preserve"> </w:t>
      </w:r>
      <w:r w:rsidR="00245C27" w:rsidRPr="0020031F">
        <w:rPr>
          <w:shd w:val="clear" w:color="auto" w:fill="FFFFFF"/>
          <w:lang w:val="vi-VN"/>
        </w:rPr>
        <w:t>để phù hợp với cơ cấu tổ chức của Chính phủ theo quy định tại Nghị quyết số 176/2025/QH15</w:t>
      </w:r>
    </w:p>
    <w:p w14:paraId="3777D2A3" w14:textId="6098B33D" w:rsidR="007E1745" w:rsidRPr="0020031F" w:rsidRDefault="00245C27" w:rsidP="0020031F">
      <w:pPr>
        <w:rPr>
          <w:lang w:val="vi-VN"/>
        </w:rPr>
      </w:pPr>
      <w:r w:rsidRPr="0020031F">
        <w:rPr>
          <w:lang w:val="vi-VN"/>
        </w:rPr>
        <w:t xml:space="preserve">- </w:t>
      </w:r>
      <w:r w:rsidR="007E1745" w:rsidRPr="0020031F">
        <w:rPr>
          <w:rFonts w:eastAsia="Arial Unicode MS"/>
          <w:lang w:val="vi-VN" w:eastAsia="zh-CN" w:bidi="hi-IN"/>
        </w:rPr>
        <w:t xml:space="preserve">Luật Bảo hiểm xã hội năm 2024 có quy định về điều kiện về thời gian đóng BHXH để hưởng chế độ hưu trí (lương hưu) đối với người lao động; theo đó, thời gian đóng BHXH của người lao động </w:t>
      </w:r>
      <w:r w:rsidR="007E1745" w:rsidRPr="0020031F">
        <w:rPr>
          <w:lang w:val="vi-VN"/>
        </w:rPr>
        <w:t xml:space="preserve">nghỉ từ ngày 01/7/2025 (ngày Luật BHXH số 41/2024/QH15 có hiệu lực) </w:t>
      </w:r>
      <w:r w:rsidR="007E1745" w:rsidRPr="0020031F">
        <w:rPr>
          <w:rFonts w:eastAsia="Arial Unicode MS"/>
          <w:lang w:val="vi-VN" w:eastAsia="zh-CN" w:bidi="hi-IN"/>
        </w:rPr>
        <w:t xml:space="preserve">bao gồm thời gian đóng BHXH khi làm </w:t>
      </w:r>
      <w:r w:rsidR="007E1745" w:rsidRPr="0020031F">
        <w:rPr>
          <w:lang w:val="vi-VN"/>
        </w:rPr>
        <w:t xml:space="preserve">nghề, công việc nặng nhọc, độc hại, nguy hiểm hoặc đặc biệt nặng nhọc, độc hại, nguy hiểm cả trước và sau ngày 01/3/2025. Quy định về Danh mục nghề, công việc đặc biệt nặng nhọc, độc hại, nguy hiểm trước ngày 01/3/2025 do Bộ trưởng Bộ Lao động </w:t>
      </w:r>
      <w:r w:rsidR="004E4588" w:rsidRPr="0020031F">
        <w:rPr>
          <w:lang w:val="vi-VN"/>
        </w:rPr>
        <w:t>-</w:t>
      </w:r>
      <w:r w:rsidR="007E1745" w:rsidRPr="0020031F">
        <w:rPr>
          <w:lang w:val="vi-VN"/>
        </w:rPr>
        <w:t xml:space="preserve"> Thương binh và Xã hội ban hành, từ sau ngày 01/3/2025 do Bộ trưởng Bộ Nội vụ ban hành.</w:t>
      </w:r>
    </w:p>
    <w:p w14:paraId="380DFBF5" w14:textId="14EBE6DB" w:rsidR="00847F11" w:rsidRPr="0020031F" w:rsidRDefault="007E1745" w:rsidP="0020031F">
      <w:pPr>
        <w:rPr>
          <w:lang w:val="vi-VN"/>
        </w:rPr>
      </w:pPr>
      <w:r w:rsidRPr="0020031F">
        <w:rPr>
          <w:lang w:val="vi-VN"/>
        </w:rPr>
        <w:t xml:space="preserve">Do vậy, </w:t>
      </w:r>
      <w:r w:rsidR="00847F11" w:rsidRPr="0020031F">
        <w:rPr>
          <w:lang w:val="vi-VN"/>
        </w:rPr>
        <w:t xml:space="preserve">tại dự thảo Luật </w:t>
      </w:r>
      <w:r w:rsidRPr="0020031F">
        <w:rPr>
          <w:lang w:val="vi-VN"/>
        </w:rPr>
        <w:t>s</w:t>
      </w:r>
      <w:r w:rsidR="00AF47D8" w:rsidRPr="0020031F">
        <w:rPr>
          <w:lang w:val="vi-VN"/>
        </w:rPr>
        <w:t xml:space="preserve">ửa đổi, bổ sung khoản 7 Điều 33, điểm b khoản 1 Điều 43, điểm b khoản 1 </w:t>
      </w:r>
      <w:r w:rsidR="00D8517C" w:rsidRPr="000B6543">
        <w:rPr>
          <w:lang w:val="vi-VN"/>
        </w:rPr>
        <w:t xml:space="preserve">và </w:t>
      </w:r>
      <w:r w:rsidR="00D8517C">
        <w:rPr>
          <w:lang w:val="vi-VN"/>
        </w:rPr>
        <w:t>điể</w:t>
      </w:r>
      <w:r w:rsidR="00D8517C" w:rsidRPr="000B6543">
        <w:rPr>
          <w:lang w:val="vi-VN"/>
        </w:rPr>
        <w:t>m b kh</w:t>
      </w:r>
      <w:r w:rsidR="00D8517C">
        <w:rPr>
          <w:lang w:val="vi-VN"/>
        </w:rPr>
        <w:t>oản</w:t>
      </w:r>
      <w:r w:rsidR="00D8517C" w:rsidRPr="000B6543">
        <w:rPr>
          <w:lang w:val="vi-VN"/>
        </w:rPr>
        <w:t xml:space="preserve"> 2 </w:t>
      </w:r>
      <w:r w:rsidR="00AF47D8" w:rsidRPr="0020031F">
        <w:rPr>
          <w:lang w:val="vi-VN"/>
        </w:rPr>
        <w:t xml:space="preserve">Điều 64, điểm c khoản 1 </w:t>
      </w:r>
      <w:r w:rsidR="00BA5E4F" w:rsidRPr="000B6543">
        <w:rPr>
          <w:lang w:val="vi-VN"/>
        </w:rPr>
        <w:t>và</w:t>
      </w:r>
      <w:r w:rsidR="00AF47D8" w:rsidRPr="0020031F">
        <w:rPr>
          <w:lang w:val="vi-VN"/>
        </w:rPr>
        <w:t xml:space="preserve"> điểm b khoản 2 Điều 65 </w:t>
      </w:r>
      <w:r w:rsidR="00AE4F25" w:rsidRPr="0020031F">
        <w:rPr>
          <w:lang w:val="vi-VN"/>
        </w:rPr>
        <w:t xml:space="preserve">theo hướng: người lao động </w:t>
      </w:r>
      <w:r w:rsidR="00AF47D8" w:rsidRPr="0020031F">
        <w:rPr>
          <w:lang w:val="vi-VN"/>
        </w:rPr>
        <w:t xml:space="preserve">làm nghề, công việc đặc biệt nặng nhọc, độc hại, nguy hiểm thuộc danh mục nghề, công việc đặc biệt nặng nhọc, độc hại, nguy hiểm do </w:t>
      </w:r>
      <w:r w:rsidR="005B7813" w:rsidRPr="000B6543">
        <w:rPr>
          <w:lang w:val="vi-VN"/>
        </w:rPr>
        <w:t xml:space="preserve">Bộ trưởng Bộ Nội vụ </w:t>
      </w:r>
      <w:r w:rsidR="00AE4F25" w:rsidRPr="0020031F">
        <w:rPr>
          <w:lang w:val="vi-VN"/>
        </w:rPr>
        <w:t>ban hành.</w:t>
      </w:r>
    </w:p>
    <w:p w14:paraId="378563FE" w14:textId="2B891CE4" w:rsidR="00832927" w:rsidRPr="0020031F" w:rsidRDefault="00AE4F25" w:rsidP="0020031F">
      <w:pPr>
        <w:rPr>
          <w:lang w:val="vi-VN"/>
        </w:rPr>
      </w:pPr>
      <w:r w:rsidRPr="0020031F">
        <w:rPr>
          <w:lang w:val="vi-VN"/>
        </w:rPr>
        <w:t xml:space="preserve">- </w:t>
      </w:r>
      <w:r w:rsidR="00847F11" w:rsidRPr="0020031F">
        <w:rPr>
          <w:lang w:val="vi-VN"/>
        </w:rPr>
        <w:t>D</w:t>
      </w:r>
      <w:r w:rsidR="00832927" w:rsidRPr="0020031F">
        <w:rPr>
          <w:lang w:val="vi-VN"/>
        </w:rPr>
        <w:t>ự thảo Luật q</w:t>
      </w:r>
      <w:r w:rsidR="00FE5ECE" w:rsidRPr="0020031F">
        <w:rPr>
          <w:lang w:val="vi-VN"/>
        </w:rPr>
        <w:t xml:space="preserve">uy định về thời gian nghỉ dưỡng sức, phục hồi sức khỏe cho người lao động đối với trường hợp không có công đoàn cơ sở tại khoản 2 </w:t>
      </w:r>
      <w:r w:rsidR="00FE5ECE" w:rsidRPr="0020031F">
        <w:rPr>
          <w:lang w:val="vi-VN"/>
        </w:rPr>
        <w:lastRenderedPageBreak/>
        <w:t xml:space="preserve">Điều 46 và khoản 02 Điều 60 theo hướng: </w:t>
      </w:r>
      <w:r w:rsidR="00FE5ECE" w:rsidRPr="0020031F">
        <w:rPr>
          <w:shd w:val="clear" w:color="auto" w:fill="FFFFFF"/>
          <w:lang w:val="vi-VN"/>
        </w:rPr>
        <w:t xml:space="preserve">trường hợp đơn vị sử dụng lao động </w:t>
      </w:r>
      <w:r w:rsidR="00FE5ECE" w:rsidRPr="0020031F">
        <w:rPr>
          <w:i/>
          <w:iCs/>
          <w:shd w:val="clear" w:color="auto" w:fill="FFFFFF"/>
          <w:lang w:val="vi-VN"/>
        </w:rPr>
        <w:t>không có</w:t>
      </w:r>
      <w:r w:rsidR="00FE5ECE" w:rsidRPr="0020031F">
        <w:rPr>
          <w:shd w:val="clear" w:color="auto" w:fill="FFFFFF"/>
          <w:lang w:val="vi-VN"/>
        </w:rPr>
        <w:t xml:space="preserve"> công đoàn cơ sở thì do n</w:t>
      </w:r>
      <w:r w:rsidR="00847F11" w:rsidRPr="0020031F">
        <w:rPr>
          <w:shd w:val="clear" w:color="auto" w:fill="FFFFFF"/>
          <w:lang w:val="vi-VN"/>
        </w:rPr>
        <w:t>gười sử dụng lao động quyết định</w:t>
      </w:r>
      <w:r w:rsidR="00FE5ECE" w:rsidRPr="0020031F">
        <w:rPr>
          <w:shd w:val="clear" w:color="auto" w:fill="FFFFFF"/>
          <w:lang w:val="vi-VN"/>
        </w:rPr>
        <w:t>.</w:t>
      </w:r>
    </w:p>
    <w:p w14:paraId="5448B33A" w14:textId="39041AFA" w:rsidR="00E25ACA" w:rsidRPr="0020031F" w:rsidRDefault="00832927" w:rsidP="0020031F">
      <w:pPr>
        <w:rPr>
          <w:shd w:val="clear" w:color="auto" w:fill="FFFFFF"/>
          <w:lang w:val="vi-VN"/>
        </w:rPr>
      </w:pPr>
      <w:r w:rsidRPr="0020031F">
        <w:rPr>
          <w:lang w:val="vi-VN"/>
        </w:rPr>
        <w:t xml:space="preserve">Luật Bảo hiểm xã hội </w:t>
      </w:r>
      <w:r w:rsidR="008D7679" w:rsidRPr="0020031F">
        <w:rPr>
          <w:lang w:val="vi-VN"/>
        </w:rPr>
        <w:t>số 41/202</w:t>
      </w:r>
      <w:r w:rsidR="006E2D8C" w:rsidRPr="0020031F">
        <w:rPr>
          <w:lang w:val="vi-VN"/>
        </w:rPr>
        <w:t>4</w:t>
      </w:r>
      <w:r w:rsidR="008D7679" w:rsidRPr="0020031F">
        <w:rPr>
          <w:lang w:val="vi-VN"/>
        </w:rPr>
        <w:t xml:space="preserve">/QH15 </w:t>
      </w:r>
      <w:r w:rsidRPr="0020031F">
        <w:rPr>
          <w:lang w:val="vi-VN"/>
        </w:rPr>
        <w:t xml:space="preserve">đang quy định trách nhiệm quản lý nhà nước về BHXH của các Bộ, ngành: Bộ Lao động </w:t>
      </w:r>
      <w:r w:rsidR="004E4588" w:rsidRPr="0020031F">
        <w:rPr>
          <w:lang w:val="vi-VN"/>
        </w:rPr>
        <w:t>-</w:t>
      </w:r>
      <w:r w:rsidRPr="0020031F">
        <w:rPr>
          <w:lang w:val="vi-VN"/>
        </w:rPr>
        <w:t xml:space="preserve"> Thương binh và Xã hội (nay là Bộ Nội vụ); Bộ Tài chính, Uỷ ban nhân dân các cấp; Bảo hiểm xã hội Việt Nam và thể hiện tại Điều 134, 136</w:t>
      </w:r>
      <w:r w:rsidR="005C42AE" w:rsidRPr="000B6543">
        <w:rPr>
          <w:lang w:val="vi-VN"/>
        </w:rPr>
        <w:t>,</w:t>
      </w:r>
      <w:r w:rsidRPr="0020031F">
        <w:rPr>
          <w:lang w:val="vi-VN"/>
        </w:rPr>
        <w:t xml:space="preserve"> Điều 137</w:t>
      </w:r>
      <w:r w:rsidR="005C42AE" w:rsidRPr="000B6543">
        <w:rPr>
          <w:lang w:val="vi-VN"/>
        </w:rPr>
        <w:t xml:space="preserve"> và Điều 138</w:t>
      </w:r>
      <w:r w:rsidRPr="0020031F">
        <w:rPr>
          <w:lang w:val="vi-VN"/>
        </w:rPr>
        <w:t>. Tuy nhiên, sau khi sắp xếp tổ chức bộ máy thì trách nhiệm của các Bộ, ngành liên quan đến quản lý nhà nước về BHXH có sự thay đổi, do vậy, dự thảo Luật đã sửa đổi, bổ sung để phù hợp với</w:t>
      </w:r>
      <w:r w:rsidR="00E25ACA" w:rsidRPr="0020031F">
        <w:rPr>
          <w:lang w:val="vi-VN"/>
        </w:rPr>
        <w:t xml:space="preserve"> chức năng, nhiệm vụ của các Bộ ngành liên quan đến BHXH của các Bộ ngành sau khi sắp xếp như sau: </w:t>
      </w:r>
    </w:p>
    <w:p w14:paraId="06B6166C" w14:textId="77777777" w:rsidR="00E25ACA" w:rsidRPr="0020031F" w:rsidRDefault="00533A3E" w:rsidP="0020031F">
      <w:pPr>
        <w:rPr>
          <w:shd w:val="clear" w:color="auto" w:fill="FFFFFF"/>
          <w:lang w:val="vi-VN"/>
        </w:rPr>
      </w:pPr>
      <w:r w:rsidRPr="0020031F">
        <w:rPr>
          <w:lang w:val="vi-VN"/>
        </w:rPr>
        <w:t xml:space="preserve">- Bổ sung trách nhiệm về quản lý nhà nước về BHXH của Bộ Y tế vào khoản 2 Điều 134: </w:t>
      </w:r>
      <w:bookmarkStart w:id="5" w:name="_Hlk209517397"/>
      <w:r w:rsidRPr="0020031F">
        <w:rPr>
          <w:b/>
          <w:i/>
          <w:lang w:val="vi-VN"/>
        </w:rPr>
        <w:t>Bộ Y tế là cơ quan giúp Chính phủ thực hiện quản lý nhà nước về trợ cấp hưu trí xã hội</w:t>
      </w:r>
      <w:bookmarkEnd w:id="5"/>
      <w:r w:rsidRPr="0020031F">
        <w:rPr>
          <w:b/>
          <w:i/>
          <w:lang w:val="vi-VN"/>
        </w:rPr>
        <w:t>;</w:t>
      </w:r>
    </w:p>
    <w:p w14:paraId="5AF8D864" w14:textId="77777777" w:rsidR="00E25ACA" w:rsidRPr="0020031F" w:rsidRDefault="00533A3E" w:rsidP="0020031F">
      <w:pPr>
        <w:rPr>
          <w:shd w:val="clear" w:color="auto" w:fill="FFFFFF"/>
          <w:lang w:val="vi-VN"/>
        </w:rPr>
      </w:pPr>
      <w:r w:rsidRPr="0020031F">
        <w:rPr>
          <w:lang w:val="vi-VN"/>
        </w:rPr>
        <w:t>- Sửa đổi khoản 3 Điều 134 như sau</w:t>
      </w:r>
      <w:r w:rsidRPr="0020031F">
        <w:rPr>
          <w:i/>
          <w:lang w:val="vi-VN"/>
        </w:rPr>
        <w:t xml:space="preserve">: </w:t>
      </w:r>
      <w:r w:rsidRPr="0020031F">
        <w:rPr>
          <w:shd w:val="clear" w:color="auto" w:fill="FFFFFF"/>
          <w:lang w:val="vi-VN"/>
        </w:rPr>
        <w:t xml:space="preserve">Bộ, cơ quan ngang Bộ, trong phạm vi nhiệm vụ, quyền hạn của mình, có trách nhiệm thực hiện và phối hợp với Bộ Lao động - Thương binh và Xã hội, Bộ Tài chính, </w:t>
      </w:r>
      <w:r w:rsidRPr="0020031F">
        <w:rPr>
          <w:b/>
          <w:i/>
          <w:shd w:val="clear" w:color="auto" w:fill="FFFFFF"/>
          <w:lang w:val="vi-VN"/>
        </w:rPr>
        <w:t>Bộ Y tế</w:t>
      </w:r>
      <w:r w:rsidRPr="0020031F">
        <w:rPr>
          <w:shd w:val="clear" w:color="auto" w:fill="FFFFFF"/>
          <w:lang w:val="vi-VN"/>
        </w:rPr>
        <w:t xml:space="preserve"> trong thực hiện quản lý nhà nước về bảo hiểm xã hội.</w:t>
      </w:r>
    </w:p>
    <w:p w14:paraId="261EFC61" w14:textId="5B41AF33" w:rsidR="00E25ACA" w:rsidRPr="0020031F" w:rsidRDefault="00533A3E" w:rsidP="0020031F">
      <w:pPr>
        <w:rPr>
          <w:shd w:val="clear" w:color="auto" w:fill="FFFFFF"/>
          <w:lang w:val="vi-VN"/>
        </w:rPr>
      </w:pPr>
      <w:r w:rsidRPr="0020031F">
        <w:rPr>
          <w:lang w:val="vi-VN"/>
        </w:rPr>
        <w:t xml:space="preserve">- Bỏ các quy định về trách nhiệm về quản lý nhà nước về trợ cấp hưu trí xã hội của Bộ Lao động </w:t>
      </w:r>
      <w:r w:rsidR="004E4588" w:rsidRPr="0020031F">
        <w:rPr>
          <w:lang w:val="vi-VN"/>
        </w:rPr>
        <w:t>-</w:t>
      </w:r>
      <w:r w:rsidRPr="0020031F">
        <w:rPr>
          <w:lang w:val="vi-VN"/>
        </w:rPr>
        <w:t xml:space="preserve"> Thương binh và Xã hội (nay là Bộ Nội vụ) tại Điều 136: (i) X</w:t>
      </w:r>
      <w:r w:rsidRPr="0020031F">
        <w:rPr>
          <w:shd w:val="clear" w:color="auto" w:fill="FFFFFF"/>
          <w:lang w:val="vi-VN"/>
        </w:rPr>
        <w:t>ây dựng, trình cấp có thẩm quyền ban hành hoặc ban hành theo thẩm quyền chính sách, pháp luật về trợ cấp hưu trí xã hội (Khoản 1); (ii) Tuyên truyền, phổ biến, giáo dục pháp luật về trợ cấp hưu trí xã hội (khoản 3); (iii) Chỉ đạo, hướng dẫn tổ chức thực hiện chính sách, pháp luật về trợ cấp hưu trí xã hội (khoản 4); (iv) Kiểm tra, thanh tra, xử lý vi phạm pháp luật, giải quyết khiếu nại, tố cáo về trợ cấp hưu trí xã hội (khoản 5).</w:t>
      </w:r>
    </w:p>
    <w:p w14:paraId="1D5DB562" w14:textId="77777777" w:rsidR="001A04DD" w:rsidRPr="0020031F" w:rsidRDefault="00E25ACA" w:rsidP="0020031F">
      <w:pPr>
        <w:rPr>
          <w:shd w:val="clear" w:color="auto" w:fill="FFFFFF"/>
          <w:lang w:val="vi-VN"/>
        </w:rPr>
      </w:pPr>
      <w:r w:rsidRPr="0020031F">
        <w:rPr>
          <w:shd w:val="clear" w:color="auto" w:fill="FFFFFF"/>
          <w:lang w:val="vi-VN"/>
        </w:rPr>
        <w:t>- Bổ sung Điều 137a</w:t>
      </w:r>
      <w:r w:rsidR="00533A3E" w:rsidRPr="0020031F">
        <w:rPr>
          <w:shd w:val="clear" w:color="auto" w:fill="FFFFFF"/>
          <w:lang w:val="vi-VN"/>
        </w:rPr>
        <w:t xml:space="preserve"> về trách nhiệm của Bộ Y tế trong quản lý nhà</w:t>
      </w:r>
      <w:r w:rsidR="00710CD8" w:rsidRPr="0020031F">
        <w:rPr>
          <w:shd w:val="clear" w:color="auto" w:fill="FFFFFF"/>
          <w:lang w:val="vi-VN"/>
        </w:rPr>
        <w:t xml:space="preserve"> nước về trợ cấp hưu trí xã hội.</w:t>
      </w:r>
    </w:p>
    <w:p w14:paraId="30FE7BFC" w14:textId="4C152F13" w:rsidR="00F52E37" w:rsidRPr="0020031F" w:rsidRDefault="001A04DD" w:rsidP="0020031F">
      <w:pPr>
        <w:rPr>
          <w:shd w:val="clear" w:color="auto" w:fill="FFFFFF"/>
          <w:lang w:val="vi-VN"/>
        </w:rPr>
      </w:pPr>
      <w:r w:rsidRPr="0020031F">
        <w:rPr>
          <w:shd w:val="clear" w:color="auto" w:fill="FFFFFF"/>
          <w:lang w:val="vi-VN"/>
        </w:rPr>
        <w:t>- Đồng thời, để phù hợp với tổ chức chính quyền địa phương hiện nay</w:t>
      </w:r>
      <w:r w:rsidRPr="0020031F">
        <w:rPr>
          <w:lang w:val="vi-VN"/>
        </w:rPr>
        <w:t xml:space="preserve"> theo quy định tại khoản 1 Điều 2 Luật Tổ chức chính quyền địa phương số 72/2025/QH15 (Chính quyền địa phương ở cấp tỉnh và cấp xã là cấp chính quyền địa phương gồm có Hội đồng nhân dân và Ủy ban nhân dân</w:t>
      </w:r>
      <w:r w:rsidR="006E2D8C" w:rsidRPr="0020031F">
        <w:rPr>
          <w:lang w:val="vi-VN"/>
        </w:rPr>
        <w:t>)</w:t>
      </w:r>
      <w:r w:rsidRPr="0020031F">
        <w:rPr>
          <w:lang w:val="vi-VN"/>
        </w:rPr>
        <w:t xml:space="preserve"> và nhằm tăng cường tính hiệu quả trong quản lý nhà nước về bảo hiểm xã hội ở địa phương, tăng cường sự tham gia Hội đồng nhân dân để quyết định những nội dung quan trọng trên địa bàn cấp xã, thì tại dự thảo Luật đã </w:t>
      </w:r>
      <w:r w:rsidR="0055717E" w:rsidRPr="0020031F">
        <w:rPr>
          <w:lang w:val="vi-VN"/>
        </w:rPr>
        <w:t>s</w:t>
      </w:r>
      <w:r w:rsidRPr="0020031F">
        <w:rPr>
          <w:lang w:val="vi-VN"/>
        </w:rPr>
        <w:t xml:space="preserve">ửa đổi khoản 1 Điều 138 theo hướng: </w:t>
      </w:r>
      <w:r w:rsidRPr="0020031F">
        <w:rPr>
          <w:shd w:val="clear" w:color="auto" w:fill="FFFFFF"/>
          <w:lang w:val="vi-VN"/>
        </w:rPr>
        <w:t>Ủy ban nhân dân cùng cấp (trước đây chỉ quy định đối với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w:t>
      </w:r>
      <w:r w:rsidR="0055717E" w:rsidRPr="0020031F">
        <w:rPr>
          <w:shd w:val="clear" w:color="auto" w:fill="FFFFFF"/>
          <w:lang w:val="vi-VN"/>
        </w:rPr>
        <w:t>t buộc trong phạm vi địa phương.</w:t>
      </w:r>
    </w:p>
    <w:p w14:paraId="27762ABC" w14:textId="45D84E4F" w:rsidR="00F52E37" w:rsidRPr="0020031F" w:rsidRDefault="007F0B6D" w:rsidP="0020031F">
      <w:pPr>
        <w:rPr>
          <w:shd w:val="clear" w:color="auto" w:fill="FFFFFF"/>
          <w:lang w:val="vi-VN"/>
        </w:rPr>
      </w:pPr>
      <w:r w:rsidRPr="0020031F">
        <w:rPr>
          <w:shd w:val="clear" w:color="auto" w:fill="FFFFFF"/>
          <w:lang w:val="vi-VN"/>
        </w:rPr>
        <w:lastRenderedPageBreak/>
        <w:t xml:space="preserve">- </w:t>
      </w:r>
      <w:r w:rsidR="00F52E37" w:rsidRPr="0020031F">
        <w:rPr>
          <w:rFonts w:eastAsia="Arial Unicode MS"/>
          <w:lang w:val="vi-VN" w:eastAsia="zh-CN" w:bidi="hi-IN"/>
        </w:rPr>
        <w:t xml:space="preserve">Luật Thanh tra số 84/2025QH15 ngày 29/6/2025, có hiệu lực thi hành từ ngày 01/7/2025 trong đó đã quy định các cơ quan có thẩm quyền thanh tra, theo đó hiện nay không có cơ quan thanh tra tại các Bộ Tài chính, Nội vụ, Y tế. </w:t>
      </w:r>
      <w:r w:rsidR="00F52E37" w:rsidRPr="0020031F">
        <w:rPr>
          <w:lang w:val="vi-VN"/>
        </w:rPr>
        <w:t>Đồng thời, tại</w:t>
      </w:r>
      <w:r w:rsidR="00F52E37" w:rsidRPr="0020031F">
        <w:rPr>
          <w:rFonts w:eastAsia="Arial Unicode MS"/>
          <w:lang w:val="vi-VN" w:eastAsia="zh-CN" w:bidi="hi-IN"/>
        </w:rPr>
        <w:t xml:space="preserve"> </w:t>
      </w:r>
      <w:r w:rsidR="00F52E37" w:rsidRPr="0020031F">
        <w:rPr>
          <w:lang w:val="vi-VN"/>
        </w:rPr>
        <w:t>điểm s khoản 1 Điều 62 đã quy định: “</w:t>
      </w:r>
      <w:r w:rsidR="00F52E37" w:rsidRPr="0020031F">
        <w:rPr>
          <w:i/>
          <w:lang w:val="vi-VN"/>
        </w:rPr>
        <w:t>s)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p>
    <w:p w14:paraId="24CFB73B" w14:textId="15405648" w:rsidR="007F0B6D" w:rsidRPr="0020031F" w:rsidRDefault="00F52E37" w:rsidP="0020031F">
      <w:pPr>
        <w:rPr>
          <w:rFonts w:eastAsia="Arial Unicode MS"/>
          <w:lang w:val="vi-VN" w:eastAsia="zh-CN" w:bidi="hi-IN"/>
        </w:rPr>
      </w:pPr>
      <w:r w:rsidRPr="0020031F">
        <w:rPr>
          <w:rFonts w:eastAsia="Arial Unicode MS"/>
          <w:lang w:val="vi-VN" w:eastAsia="zh-CN" w:bidi="hi-IN"/>
        </w:rPr>
        <w:t xml:space="preserve">Do vậy, tại dự thảo Luật </w:t>
      </w:r>
      <w:r w:rsidR="00A869EB" w:rsidRPr="0020031F">
        <w:rPr>
          <w:rFonts w:eastAsia="Arial Unicode MS"/>
          <w:lang w:val="vi-VN" w:eastAsia="zh-CN" w:bidi="hi-IN"/>
        </w:rPr>
        <w:t>chỉ còn nội dung liên quan đến “kiểm tra” về bảo hiểm xã hội.</w:t>
      </w:r>
    </w:p>
    <w:p w14:paraId="2384DA83" w14:textId="01EB1A5D" w:rsidR="001A04DD" w:rsidRPr="0020031F" w:rsidRDefault="006E2D8C" w:rsidP="0020031F">
      <w:pPr>
        <w:rPr>
          <w:rFonts w:eastAsia="Arial Unicode MS"/>
          <w:lang w:val="vi-VN" w:eastAsia="zh-CN" w:bidi="hi-IN"/>
        </w:rPr>
      </w:pPr>
      <w:r w:rsidRPr="0020031F">
        <w:rPr>
          <w:shd w:val="clear" w:color="auto" w:fill="FFFFFF"/>
          <w:lang w:val="vi-VN"/>
        </w:rPr>
        <w:t xml:space="preserve">- </w:t>
      </w:r>
      <w:r w:rsidR="005C6B6B" w:rsidRPr="0020031F">
        <w:rPr>
          <w:shd w:val="clear" w:color="auto" w:fill="FFFFFF"/>
          <w:lang w:val="vi-VN"/>
        </w:rPr>
        <w:t>Đồng thời s</w:t>
      </w:r>
      <w:r w:rsidR="0055717E" w:rsidRPr="0020031F">
        <w:rPr>
          <w:shd w:val="clear" w:color="auto" w:fill="FFFFFF"/>
          <w:lang w:val="vi-VN"/>
        </w:rPr>
        <w:t xml:space="preserve">ửa đổi </w:t>
      </w:r>
      <w:r w:rsidR="0055717E" w:rsidRPr="0020031F">
        <w:rPr>
          <w:rFonts w:eastAsia="Arial Unicode MS"/>
          <w:lang w:val="vi-VN" w:eastAsia="zh-CN" w:bidi="hi-IN"/>
        </w:rPr>
        <w:t xml:space="preserve">tên gọi Bộ Lao động </w:t>
      </w:r>
      <w:r w:rsidR="004E4588" w:rsidRPr="0020031F">
        <w:rPr>
          <w:rFonts w:eastAsia="Arial Unicode MS"/>
          <w:lang w:val="vi-VN" w:eastAsia="zh-CN" w:bidi="hi-IN"/>
        </w:rPr>
        <w:t>-</w:t>
      </w:r>
      <w:r w:rsidR="0055717E" w:rsidRPr="0020031F">
        <w:rPr>
          <w:rFonts w:eastAsia="Arial Unicode MS"/>
          <w:lang w:val="vi-VN" w:eastAsia="zh-CN" w:bidi="hi-IN"/>
        </w:rPr>
        <w:t xml:space="preserve"> Thương binh và Xã hội thành Bộ Nội vụ tại các Điều: điểm b khoản 12 Điều 18, khoản 2 Điều 19, khoản 8 Điều 33, khoản 6 Điều 45, khoản 4 Điều 46, khoản 5 Điều 59, khoản 5 Điều 60, khoản 3 Điều 69, khoản 5 Điều 86, khoản 1 Điều 87, khoản 4 Điều 101, khoản 2 và khoản 3 Điều 134, tên tiêu đề của Điều 136, khoản 3 Điều 137.</w:t>
      </w:r>
    </w:p>
    <w:p w14:paraId="7DD6B6F9" w14:textId="0A746BEA" w:rsidR="00860ACE" w:rsidRPr="000B6543" w:rsidRDefault="00D81884" w:rsidP="00DE34B5">
      <w:pPr>
        <w:rPr>
          <w:color w:val="000000"/>
          <w:shd w:val="clear" w:color="auto" w:fill="FFFFFF"/>
          <w:lang w:val="vi-VN"/>
        </w:rPr>
      </w:pPr>
      <w:r w:rsidRPr="0020031F">
        <w:rPr>
          <w:rFonts w:eastAsia="Arial Unicode MS"/>
          <w:lang w:val="vi-VN" w:eastAsia="zh-CN" w:bidi="hi-IN"/>
        </w:rPr>
        <w:t>- Theo quy định Luật Tổ chức chính quyền địa phương thì t</w:t>
      </w:r>
      <w:r w:rsidRPr="0020031F">
        <w:rPr>
          <w:lang w:val="vi-VN"/>
        </w:rPr>
        <w:t xml:space="preserve">ừ ngày 01/7/2025 thì mô hình chính quyền địa phương gồm 2 cấp (cấp tỉnh, cấp xã); tuy nhiên, </w:t>
      </w:r>
      <w:r w:rsidR="00DE34B5" w:rsidRPr="000B6543">
        <w:rPr>
          <w:lang w:val="vi-VN"/>
        </w:rPr>
        <w:t xml:space="preserve">theo </w:t>
      </w:r>
      <w:r w:rsidR="00DE34B5" w:rsidRPr="00457ACB">
        <w:rPr>
          <w:lang w:val="af-ZA"/>
        </w:rPr>
        <w:t xml:space="preserve">Điều 3 Nghị định số 29/2025/NĐ-CP ngày 24/02/2025 của Chính phủ quy định chức năng, nhiệm vụ, quyền hạn và cơ cấu tổ chức của Bộ Tài chính (được sửa đổi, bổ sung bởi Nghị định số 166/2025/NĐ-CP) </w:t>
      </w:r>
      <w:r w:rsidR="00DE34B5">
        <w:rPr>
          <w:lang w:val="af-ZA"/>
        </w:rPr>
        <w:t>thì</w:t>
      </w:r>
      <w:r w:rsidR="00DE34B5" w:rsidRPr="00457ACB">
        <w:rPr>
          <w:b/>
          <w:bCs/>
          <w:lang w:val="vi-VN"/>
        </w:rPr>
        <w:t xml:space="preserve"> </w:t>
      </w:r>
      <w:r w:rsidR="00DE34B5" w:rsidRPr="00457ACB">
        <w:rPr>
          <w:color w:val="000000"/>
          <w:shd w:val="clear" w:color="auto" w:fill="FFFFFF"/>
          <w:lang w:val="vi-VN"/>
        </w:rPr>
        <w:t>Bảo hiểm xã hội Việt Nam tổ chức và hoạt động theo 03 cấp: cấp trung ương, cấp tỉnh và cấp cơ sở (Bảo hiểm xã hội cơ sở quản lý địa bàn một số xã, phường, đặc khu)</w:t>
      </w:r>
      <w:r w:rsidRPr="0020031F">
        <w:rPr>
          <w:lang w:val="vi-VN"/>
        </w:rPr>
        <w:t>, do đó quy định</w:t>
      </w:r>
      <w:r w:rsidR="00DE34B5" w:rsidRPr="000B6543">
        <w:rPr>
          <w:lang w:val="vi-VN"/>
        </w:rPr>
        <w:t xml:space="preserve">: </w:t>
      </w:r>
      <w:r w:rsidRPr="0020031F">
        <w:rPr>
          <w:lang w:val="vi-VN"/>
        </w:rPr>
        <w:t xml:space="preserve">cơ quan bảo hiểm xã hội báo cáo “Ủy ban nhân dân cùng cấp” </w:t>
      </w:r>
      <w:r w:rsidR="00DE34B5" w:rsidRPr="000B6543">
        <w:rPr>
          <w:lang w:val="vi-VN"/>
        </w:rPr>
        <w:t>(</w:t>
      </w:r>
      <w:r w:rsidR="00DE34B5" w:rsidRPr="00DE34B5">
        <w:rPr>
          <w:lang w:val="vi-VN"/>
        </w:rPr>
        <w:t>đ</w:t>
      </w:r>
      <w:r w:rsidR="00DE34B5" w:rsidRPr="000B6543">
        <w:rPr>
          <w:lang w:val="vi-VN"/>
        </w:rPr>
        <w:t>i</w:t>
      </w:r>
      <w:r w:rsidR="00DE34B5" w:rsidRPr="00DE34B5">
        <w:rPr>
          <w:lang w:val="vi-VN"/>
        </w:rPr>
        <w:t>ểm</w:t>
      </w:r>
      <w:r w:rsidR="00DE34B5" w:rsidRPr="000B6543">
        <w:rPr>
          <w:lang w:val="vi-VN"/>
        </w:rPr>
        <w:t xml:space="preserve"> c khoản 12 </w:t>
      </w:r>
      <w:r w:rsidR="00DE34B5" w:rsidRPr="00DE34B5">
        <w:rPr>
          <w:lang w:val="vi-VN"/>
        </w:rPr>
        <w:t>Điều</w:t>
      </w:r>
      <w:r w:rsidR="00DE34B5" w:rsidRPr="000B6543">
        <w:rPr>
          <w:lang w:val="vi-VN"/>
        </w:rPr>
        <w:t xml:space="preserve"> 18) </w:t>
      </w:r>
      <w:r w:rsidRPr="0020031F">
        <w:rPr>
          <w:lang w:val="vi-VN"/>
        </w:rPr>
        <w:t>là không còn phù hợp</w:t>
      </w:r>
      <w:r w:rsidR="00576F35" w:rsidRPr="000B6543">
        <w:rPr>
          <w:lang w:val="vi-VN"/>
        </w:rPr>
        <w:t xml:space="preserve">. </w:t>
      </w:r>
      <w:r w:rsidRPr="0020031F">
        <w:rPr>
          <w:lang w:val="vi-VN"/>
        </w:rPr>
        <w:t xml:space="preserve">Ngoài ra, </w:t>
      </w:r>
      <w:r w:rsidR="00E02304" w:rsidRPr="0020031F">
        <w:rPr>
          <w:lang w:val="vi-VN"/>
        </w:rPr>
        <w:t xml:space="preserve">theo </w:t>
      </w:r>
      <w:r w:rsidR="00E02304" w:rsidRPr="0020031F">
        <w:rPr>
          <w:rFonts w:eastAsia="Arial Unicode MS"/>
          <w:lang w:val="eu-ES" w:eastAsia="zh-CN" w:bidi="hi-IN"/>
        </w:rPr>
        <w:t>Kế hoạch số 141/KH-BCĐTKNQ18 ngày 06/12/2024 của Ban chỉ đạo về tổng kết việc thực hiện Nghị quyết số 18-NQ/TW định hướng sắp xếp, tinh gọn tổ chức bộ máy của Chính phủ thì Bảo hiểm xã hội Việt Nam không còn là cơ quan thuộc Chính phủ</w:t>
      </w:r>
      <w:r w:rsidR="00701A21" w:rsidRPr="0020031F">
        <w:rPr>
          <w:rFonts w:eastAsia="Arial Unicode MS"/>
          <w:lang w:val="eu-ES" w:eastAsia="zh-CN" w:bidi="hi-IN"/>
        </w:rPr>
        <w:t xml:space="preserve">; do vậy, </w:t>
      </w:r>
      <w:r w:rsidR="007F383B" w:rsidRPr="0020031F">
        <w:rPr>
          <w:rFonts w:eastAsia="Arial Unicode MS"/>
          <w:lang w:val="eu-ES" w:eastAsia="zh-CN" w:bidi="hi-IN"/>
        </w:rPr>
        <w:t>các quy đị</w:t>
      </w:r>
      <w:r w:rsidR="005C6B6B" w:rsidRPr="0020031F">
        <w:rPr>
          <w:rFonts w:eastAsia="Arial Unicode MS"/>
          <w:lang w:val="eu-ES" w:eastAsia="zh-CN" w:bidi="hi-IN"/>
        </w:rPr>
        <w:t xml:space="preserve">nh: </w:t>
      </w:r>
      <w:r w:rsidR="00576F35">
        <w:rPr>
          <w:rFonts w:eastAsia="Arial Unicode MS"/>
          <w:lang w:val="eu-ES" w:eastAsia="zh-CN" w:bidi="hi-IN"/>
        </w:rPr>
        <w:t xml:space="preserve">(i) </w:t>
      </w:r>
      <w:r w:rsidR="007F383B" w:rsidRPr="0020031F">
        <w:rPr>
          <w:rFonts w:eastAsia="Arial Unicode MS"/>
          <w:lang w:val="eu-ES" w:eastAsia="zh-CN" w:bidi="hi-IN"/>
        </w:rPr>
        <w:t>Chính phủ ban hành quy định chức năng, nhiệm vụ, quyền hạn và cơ cấu tổ chức của Bảo hiểm xã hội Việt Nam</w:t>
      </w:r>
      <w:r w:rsidR="0021202F" w:rsidRPr="0020031F">
        <w:rPr>
          <w:rFonts w:eastAsia="Arial Unicode MS"/>
          <w:lang w:val="eu-ES" w:eastAsia="zh-CN" w:bidi="hi-IN"/>
        </w:rPr>
        <w:t xml:space="preserve"> (khoản 2 Điề</w:t>
      </w:r>
      <w:r w:rsidR="00C31632" w:rsidRPr="0020031F">
        <w:rPr>
          <w:rFonts w:eastAsia="Arial Unicode MS"/>
          <w:lang w:val="eu-ES" w:eastAsia="zh-CN" w:bidi="hi-IN"/>
        </w:rPr>
        <w:t xml:space="preserve">u 16), </w:t>
      </w:r>
      <w:r w:rsidR="00DE34B5">
        <w:rPr>
          <w:rFonts w:eastAsia="Arial Unicode MS"/>
          <w:lang w:val="eu-ES" w:eastAsia="zh-CN" w:bidi="hi-IN"/>
        </w:rPr>
        <w:t xml:space="preserve">(ii) </w:t>
      </w:r>
      <w:r w:rsidR="0021202F" w:rsidRPr="0020031F">
        <w:rPr>
          <w:rFonts w:eastAsia="Arial Unicode MS"/>
          <w:lang w:val="eu-ES" w:eastAsia="zh-CN" w:bidi="hi-IN"/>
        </w:rPr>
        <w:t xml:space="preserve">Bộ Nội vụ trình Chính phủ ban hành </w:t>
      </w:r>
      <w:r w:rsidR="00860ACE" w:rsidRPr="0020031F">
        <w:rPr>
          <w:rFonts w:eastAsia="Arial Unicode MS"/>
          <w:lang w:val="eu-ES" w:eastAsia="zh-CN" w:bidi="hi-IN"/>
        </w:rPr>
        <w:t>Nghị định quy định chức năng, nhiệm vụ, quyền hạn và cơ cấu tổ chức của Bảo hiểm xã hội Việt Nam</w:t>
      </w:r>
      <w:bookmarkEnd w:id="4"/>
      <w:r w:rsidR="00860ACE" w:rsidRPr="0020031F">
        <w:rPr>
          <w:lang w:val="vi-VN"/>
        </w:rPr>
        <w:t xml:space="preserve"> (khoản 11 Điều 136) và </w:t>
      </w:r>
      <w:r w:rsidR="00DE34B5" w:rsidRPr="000B6543">
        <w:rPr>
          <w:lang w:val="vi-VN"/>
        </w:rPr>
        <w:t>(i</w:t>
      </w:r>
      <w:r w:rsidR="005542BD" w:rsidRPr="000B6543">
        <w:rPr>
          <w:lang w:val="eu-ES"/>
        </w:rPr>
        <w:t>i</w:t>
      </w:r>
      <w:r w:rsidR="005542BD">
        <w:rPr>
          <w:lang w:val="eu-ES"/>
        </w:rPr>
        <w:t>i</w:t>
      </w:r>
      <w:r w:rsidR="00DE34B5" w:rsidRPr="000B6543">
        <w:rPr>
          <w:lang w:val="vi-VN"/>
        </w:rPr>
        <w:t xml:space="preserve">) </w:t>
      </w:r>
      <w:r w:rsidR="00860ACE" w:rsidRPr="0020031F">
        <w:rPr>
          <w:lang w:val="vi-VN"/>
        </w:rPr>
        <w:t xml:space="preserve">Bảo hiểm xã hội Việt Nam phối hợp với các Bộ, ngành thực hiện các nhiệm vụ quản lý nhà nước về bảo hiểm xã hội (khoản 5 Điều 134) không phù hợp với vị trí pháp lý hiện tại của cơ quan bảo hiểm xã hội. </w:t>
      </w:r>
    </w:p>
    <w:p w14:paraId="7A8E2EC8" w14:textId="2F5CAD9A" w:rsidR="006C197C" w:rsidRDefault="00C31632" w:rsidP="0020031F">
      <w:pPr>
        <w:rPr>
          <w:rFonts w:eastAsia="Arial Unicode MS"/>
          <w:lang w:val="vi-VN" w:eastAsia="zh-CN" w:bidi="hi-IN"/>
        </w:rPr>
      </w:pPr>
      <w:r w:rsidRPr="0020031F">
        <w:rPr>
          <w:rFonts w:eastAsia="Arial Unicode MS"/>
          <w:lang w:val="vi-VN" w:eastAsia="zh-CN" w:bidi="hi-IN"/>
        </w:rPr>
        <w:t xml:space="preserve">Do vậy, tại dự thảo Luật đã bỏ các quy định tại </w:t>
      </w:r>
      <w:r w:rsidRPr="0020031F">
        <w:rPr>
          <w:lang w:val="vi-VN"/>
        </w:rPr>
        <w:t>khoản 2 Điều 16, điểm c khoản 12 và khoản 18 Điều 18, khoản 5 Điều 134</w:t>
      </w:r>
      <w:r w:rsidR="0039084F" w:rsidRPr="000B6543">
        <w:rPr>
          <w:lang w:val="vi-VN"/>
        </w:rPr>
        <w:t xml:space="preserve"> và</w:t>
      </w:r>
      <w:r w:rsidRPr="0020031F">
        <w:rPr>
          <w:lang w:val="vi-VN"/>
        </w:rPr>
        <w:t xml:space="preserve"> khoản 11 Điều 136</w:t>
      </w:r>
      <w:r w:rsidRPr="0020031F">
        <w:rPr>
          <w:rFonts w:eastAsia="Arial Unicode MS"/>
          <w:lang w:val="vi-VN" w:eastAsia="zh-CN" w:bidi="hi-IN"/>
        </w:rPr>
        <w:t>.</w:t>
      </w:r>
    </w:p>
    <w:p w14:paraId="3574284D" w14:textId="4C247BD4" w:rsidR="005E3885" w:rsidRPr="000B6543" w:rsidRDefault="000B6543" w:rsidP="0020031F">
      <w:pPr>
        <w:rPr>
          <w:rFonts w:eastAsia="Arial Unicode MS"/>
          <w:i/>
          <w:lang w:val="vi-VN" w:eastAsia="zh-CN" w:bidi="hi-IN"/>
        </w:rPr>
      </w:pPr>
      <w:r w:rsidRPr="000B6543">
        <w:rPr>
          <w:rFonts w:eastAsia="Arial Unicode MS"/>
          <w:i/>
          <w:lang w:val="vi-VN" w:eastAsia="zh-CN" w:bidi="hi-IN"/>
        </w:rPr>
        <w:t xml:space="preserve">b) </w:t>
      </w:r>
      <w:r w:rsidR="005E3885" w:rsidRPr="000B6543">
        <w:rPr>
          <w:rFonts w:eastAsia="Arial Unicode MS"/>
          <w:i/>
          <w:lang w:val="vi-VN" w:eastAsia="zh-CN" w:bidi="hi-IN"/>
        </w:rPr>
        <w:t>Nội dung quy định tại Điều 2</w:t>
      </w:r>
    </w:p>
    <w:p w14:paraId="1961D703" w14:textId="5B4CFC27" w:rsidR="005E3885" w:rsidRPr="005E3885" w:rsidRDefault="005E3885" w:rsidP="0020031F">
      <w:pPr>
        <w:rPr>
          <w:rFonts w:eastAsia="Arial Unicode MS"/>
          <w:lang w:val="vi-VN" w:eastAsia="zh-CN" w:bidi="hi-IN"/>
        </w:rPr>
      </w:pPr>
      <w:r w:rsidRPr="000B6543">
        <w:rPr>
          <w:rFonts w:eastAsia="Arial Unicode MS"/>
          <w:lang w:val="vi-VN" w:eastAsia="zh-CN" w:bidi="hi-IN"/>
        </w:rPr>
        <w:lastRenderedPageBreak/>
        <w:t>Tại Điều 2 dự kiến hiệu l</w:t>
      </w:r>
      <w:r>
        <w:rPr>
          <w:rFonts w:eastAsia="Arial Unicode MS"/>
          <w:lang w:val="vi-VN" w:eastAsia="zh-CN" w:bidi="hi-IN"/>
        </w:rPr>
        <w:t>ực</w:t>
      </w:r>
      <w:r w:rsidRPr="000B6543">
        <w:rPr>
          <w:rFonts w:eastAsia="Arial Unicode MS"/>
          <w:lang w:val="vi-VN" w:eastAsia="zh-CN" w:bidi="hi-IN"/>
        </w:rPr>
        <w:t xml:space="preserve"> thi hành c</w:t>
      </w:r>
      <w:r w:rsidRPr="005E3885">
        <w:rPr>
          <w:rFonts w:eastAsia="Arial Unicode MS"/>
          <w:lang w:val="vi-VN" w:eastAsia="zh-CN" w:bidi="hi-IN"/>
        </w:rPr>
        <w:t>ủa dự</w:t>
      </w:r>
      <w:r w:rsidRPr="000B6543">
        <w:rPr>
          <w:rFonts w:eastAsia="Arial Unicode MS"/>
          <w:lang w:val="vi-VN" w:eastAsia="zh-CN" w:bidi="hi-IN"/>
        </w:rPr>
        <w:t xml:space="preserve"> thảo Lu</w:t>
      </w:r>
      <w:r w:rsidRPr="005E3885">
        <w:rPr>
          <w:rFonts w:eastAsia="Arial Unicode MS"/>
          <w:lang w:val="vi-VN" w:eastAsia="zh-CN" w:bidi="hi-IN"/>
        </w:rPr>
        <w:t>ật</w:t>
      </w:r>
      <w:r w:rsidRPr="000B6543">
        <w:rPr>
          <w:rFonts w:eastAsia="Arial Unicode MS"/>
          <w:lang w:val="vi-VN" w:eastAsia="zh-CN" w:bidi="hi-IN"/>
        </w:rPr>
        <w:t xml:space="preserve"> t</w:t>
      </w:r>
      <w:r w:rsidRPr="005E3885">
        <w:rPr>
          <w:rFonts w:eastAsia="Arial Unicode MS"/>
          <w:lang w:val="vi-VN" w:eastAsia="zh-CN" w:bidi="hi-IN"/>
        </w:rPr>
        <w:t>ừ</w:t>
      </w:r>
      <w:r w:rsidRPr="000B6543">
        <w:rPr>
          <w:rFonts w:eastAsia="Arial Unicode MS"/>
          <w:lang w:val="vi-VN" w:eastAsia="zh-CN" w:bidi="hi-IN"/>
        </w:rPr>
        <w:t xml:space="preserve"> ngày 01 tháng 6 năm 2026.</w:t>
      </w:r>
    </w:p>
    <w:p w14:paraId="1E0A4E32" w14:textId="08F434E5" w:rsidR="005E3885" w:rsidRPr="000B6543" w:rsidRDefault="005E3885">
      <w:pPr>
        <w:rPr>
          <w:b/>
          <w:lang w:val="vi-VN"/>
        </w:rPr>
      </w:pPr>
      <w:r w:rsidRPr="000B6543">
        <w:rPr>
          <w:rFonts w:eastAsia="Arial Unicode MS"/>
          <w:b/>
          <w:lang w:val="vi-VN"/>
        </w:rPr>
        <w:t>4. Về việc tuân thủ các quy định</w:t>
      </w:r>
      <w:r w:rsidR="00B244E8" w:rsidRPr="000B6543">
        <w:rPr>
          <w:rFonts w:eastAsia="Arial Unicode MS"/>
          <w:b/>
          <w:lang w:val="vi-VN"/>
        </w:rPr>
        <w:t xml:space="preserve"> các quy định tại khoản 2 Điều 6 Nghị định số 78/2025/NĐ-CP ngày 01</w:t>
      </w:r>
      <w:r w:rsidR="00911F20" w:rsidRPr="000B6543">
        <w:rPr>
          <w:rFonts w:eastAsia="Arial Unicode MS"/>
          <w:b/>
          <w:lang w:val="vi-VN"/>
        </w:rPr>
        <w:t xml:space="preserve"> th</w:t>
      </w:r>
      <w:r w:rsidR="00911F20">
        <w:rPr>
          <w:rFonts w:eastAsia="Arial Unicode MS"/>
          <w:b/>
          <w:lang w:val="vi-VN"/>
        </w:rPr>
        <w:t>áng</w:t>
      </w:r>
      <w:r w:rsidR="00911F20" w:rsidRPr="000B6543">
        <w:rPr>
          <w:rFonts w:eastAsia="Arial Unicode MS"/>
          <w:b/>
          <w:lang w:val="vi-VN"/>
        </w:rPr>
        <w:t xml:space="preserve"> </w:t>
      </w:r>
      <w:r w:rsidR="00B244E8" w:rsidRPr="000B6543">
        <w:rPr>
          <w:rFonts w:eastAsia="Arial Unicode MS"/>
          <w:b/>
          <w:lang w:val="vi-VN"/>
        </w:rPr>
        <w:t>4</w:t>
      </w:r>
      <w:r w:rsidR="00911F20" w:rsidRPr="000B6543">
        <w:rPr>
          <w:rFonts w:eastAsia="Arial Unicode MS"/>
          <w:b/>
          <w:lang w:val="vi-VN"/>
        </w:rPr>
        <w:t xml:space="preserve"> năm </w:t>
      </w:r>
      <w:r w:rsidR="00B244E8" w:rsidRPr="000B6543">
        <w:rPr>
          <w:rFonts w:eastAsia="Arial Unicode MS"/>
          <w:b/>
          <w:lang w:val="vi-VN"/>
        </w:rPr>
        <w:t xml:space="preserve">2025 của Chính phủ </w:t>
      </w:r>
      <w:r w:rsidR="00B244E8" w:rsidRPr="000B6543">
        <w:rPr>
          <w:b/>
          <w:lang w:val="vi-VN"/>
        </w:rPr>
        <w:t xml:space="preserve">quy </w:t>
      </w:r>
      <w:r w:rsidR="00B244E8" w:rsidRPr="000B6543">
        <w:rPr>
          <w:rFonts w:hint="eastAsia"/>
          <w:b/>
          <w:lang w:val="vi-VN"/>
        </w:rPr>
        <w:t>đ</w:t>
      </w:r>
      <w:r w:rsidR="00B244E8" w:rsidRPr="000B6543">
        <w:rPr>
          <w:b/>
          <w:lang w:val="vi-VN"/>
        </w:rPr>
        <w:t xml:space="preserve">ịnh chi tiết một số </w:t>
      </w:r>
      <w:r w:rsidR="00B244E8" w:rsidRPr="000B6543">
        <w:rPr>
          <w:rFonts w:hint="eastAsia"/>
          <w:b/>
          <w:lang w:val="vi-VN"/>
        </w:rPr>
        <w:t>đ</w:t>
      </w:r>
      <w:r w:rsidR="00B244E8" w:rsidRPr="000B6543">
        <w:rPr>
          <w:b/>
          <w:lang w:val="vi-VN"/>
        </w:rPr>
        <w:t>iều v</w:t>
      </w:r>
      <w:r w:rsidR="00B244E8" w:rsidRPr="000B6543">
        <w:rPr>
          <w:rFonts w:hint="eastAsia"/>
          <w:b/>
          <w:lang w:val="vi-VN"/>
        </w:rPr>
        <w:t>à</w:t>
      </w:r>
      <w:r w:rsidR="00B244E8" w:rsidRPr="000B6543">
        <w:rPr>
          <w:b/>
          <w:lang w:val="vi-VN"/>
        </w:rPr>
        <w:t xml:space="preserve"> biện ph</w:t>
      </w:r>
      <w:r w:rsidR="00B244E8" w:rsidRPr="000B6543">
        <w:rPr>
          <w:rFonts w:hint="eastAsia"/>
          <w:b/>
          <w:lang w:val="vi-VN"/>
        </w:rPr>
        <w:t>á</w:t>
      </w:r>
      <w:r w:rsidR="00B244E8" w:rsidRPr="000B6543">
        <w:rPr>
          <w:b/>
          <w:lang w:val="vi-VN"/>
        </w:rPr>
        <w:t xml:space="preserve">p </w:t>
      </w:r>
      <w:r w:rsidR="00B244E8" w:rsidRPr="000B6543">
        <w:rPr>
          <w:rFonts w:hint="eastAsia"/>
          <w:b/>
          <w:lang w:val="vi-VN"/>
        </w:rPr>
        <w:t>đ</w:t>
      </w:r>
      <w:r w:rsidR="00B244E8" w:rsidRPr="000B6543">
        <w:rPr>
          <w:b/>
          <w:lang w:val="vi-VN"/>
        </w:rPr>
        <w:t>ể tổ chức, h</w:t>
      </w:r>
      <w:r w:rsidR="00B244E8" w:rsidRPr="000B6543">
        <w:rPr>
          <w:rFonts w:hint="eastAsia"/>
          <w:b/>
          <w:lang w:val="vi-VN"/>
        </w:rPr>
        <w:t>ư</w:t>
      </w:r>
      <w:r w:rsidR="00B244E8" w:rsidRPr="000B6543">
        <w:rPr>
          <w:b/>
          <w:lang w:val="vi-VN"/>
        </w:rPr>
        <w:t>ớng dẫn thi h</w:t>
      </w:r>
      <w:r w:rsidR="00B244E8" w:rsidRPr="000B6543">
        <w:rPr>
          <w:rFonts w:hint="eastAsia"/>
          <w:b/>
          <w:lang w:val="vi-VN"/>
        </w:rPr>
        <w:t>à</w:t>
      </w:r>
      <w:r w:rsidR="00B244E8" w:rsidRPr="000B6543">
        <w:rPr>
          <w:b/>
          <w:lang w:val="vi-VN"/>
        </w:rPr>
        <w:t>nh Luật Ban h</w:t>
      </w:r>
      <w:r w:rsidR="00B244E8" w:rsidRPr="000B6543">
        <w:rPr>
          <w:rFonts w:hint="eastAsia"/>
          <w:b/>
          <w:lang w:val="vi-VN"/>
        </w:rPr>
        <w:t>à</w:t>
      </w:r>
      <w:r w:rsidR="00B244E8" w:rsidRPr="000B6543">
        <w:rPr>
          <w:b/>
          <w:lang w:val="vi-VN"/>
        </w:rPr>
        <w:t>nh v</w:t>
      </w:r>
      <w:r w:rsidR="00B244E8" w:rsidRPr="000B6543">
        <w:rPr>
          <w:rFonts w:hint="eastAsia"/>
          <w:b/>
          <w:lang w:val="vi-VN"/>
        </w:rPr>
        <w:t>ă</w:t>
      </w:r>
      <w:r w:rsidR="00B244E8" w:rsidRPr="000B6543">
        <w:rPr>
          <w:b/>
          <w:lang w:val="vi-VN"/>
        </w:rPr>
        <w:t>n bản quy phạm ph</w:t>
      </w:r>
      <w:r w:rsidR="00B244E8" w:rsidRPr="000B6543">
        <w:rPr>
          <w:rFonts w:hint="eastAsia"/>
          <w:b/>
          <w:lang w:val="vi-VN"/>
        </w:rPr>
        <w:t>á</w:t>
      </w:r>
      <w:r w:rsidR="00B244E8" w:rsidRPr="000B6543">
        <w:rPr>
          <w:b/>
          <w:lang w:val="vi-VN"/>
        </w:rPr>
        <w:t xml:space="preserve">p luật </w:t>
      </w:r>
    </w:p>
    <w:p w14:paraId="05C5BDA6" w14:textId="3152634A" w:rsidR="00B244E8" w:rsidRPr="000B6543" w:rsidRDefault="000B6543" w:rsidP="0020031F">
      <w:pPr>
        <w:rPr>
          <w:rFonts w:eastAsia="Arial Unicode MS"/>
          <w:i/>
          <w:lang w:val="vi-VN" w:eastAsia="zh-CN" w:bidi="hi-IN"/>
        </w:rPr>
      </w:pPr>
      <w:r w:rsidRPr="000B6543">
        <w:rPr>
          <w:rFonts w:eastAsia="Arial Unicode MS"/>
          <w:i/>
          <w:lang w:val="vi-VN" w:eastAsia="zh-CN" w:bidi="hi-IN"/>
        </w:rPr>
        <w:t xml:space="preserve">a) </w:t>
      </w:r>
      <w:r w:rsidR="00631B58" w:rsidRPr="000B6543">
        <w:rPr>
          <w:rFonts w:eastAsia="Arial Unicode MS"/>
          <w:i/>
          <w:lang w:val="vi-VN" w:eastAsia="zh-CN" w:bidi="hi-IN"/>
        </w:rPr>
        <w:t>Về các nội dung sửa đổi, hoàn thiện, nội dung bổ sung, nội dung bãi bỏ</w:t>
      </w:r>
    </w:p>
    <w:p w14:paraId="7BFCE54E" w14:textId="48B8BF7C" w:rsidR="00631B58" w:rsidRPr="000B6543" w:rsidRDefault="000B6543" w:rsidP="00631B58">
      <w:pPr>
        <w:rPr>
          <w:rFonts w:eastAsia="Arial Unicode MS"/>
          <w:lang w:val="vi-VN" w:eastAsia="zh-CN" w:bidi="hi-IN"/>
        </w:rPr>
      </w:pPr>
      <w:r w:rsidRPr="000B6543">
        <w:rPr>
          <w:rFonts w:eastAsia="Arial Unicode MS"/>
          <w:lang w:val="vi-VN" w:eastAsia="zh-CN" w:bidi="hi-IN"/>
        </w:rPr>
        <w:t xml:space="preserve">- </w:t>
      </w:r>
      <w:r w:rsidR="00631B58" w:rsidRPr="000B6543">
        <w:rPr>
          <w:rFonts w:eastAsia="Arial Unicode MS"/>
          <w:lang w:val="vi-VN" w:eastAsia="zh-CN" w:bidi="hi-IN"/>
        </w:rPr>
        <w:t xml:space="preserve">Nội dung sửa đổi, hoàn thiện: tại khoản 1, khoản 2, khoản 3, khoản 4, khoản 5, khoản 6, khoản 7, khoản 8, khoản 9, khoản 10, khoản 11, khoản 12, khoản 13, khoản 14, khoản 15, khoản 16, khoản 17, khoản 18, khoản 19, khoản 20 và khoản </w:t>
      </w:r>
      <w:r w:rsidR="00911F20" w:rsidRPr="000B6543">
        <w:rPr>
          <w:rFonts w:eastAsia="Arial Unicode MS"/>
          <w:lang w:val="vi-VN" w:eastAsia="zh-CN" w:bidi="hi-IN"/>
        </w:rPr>
        <w:t>2</w:t>
      </w:r>
      <w:r w:rsidR="00631B58" w:rsidRPr="000B6543">
        <w:rPr>
          <w:rFonts w:eastAsia="Arial Unicode MS"/>
          <w:lang w:val="vi-VN" w:eastAsia="zh-CN" w:bidi="hi-IN"/>
        </w:rPr>
        <w:t xml:space="preserve">1 Điều 1 dự thảo Luật đã sửa đổi hoàn thiện các quy định tại </w:t>
      </w:r>
      <w:r w:rsidR="005A307D" w:rsidRPr="000B6543">
        <w:rPr>
          <w:rFonts w:eastAsia="Arial Unicode MS"/>
          <w:lang w:val="vi-VN" w:eastAsia="zh-CN" w:bidi="hi-IN"/>
        </w:rPr>
        <w:t xml:space="preserve">Điều </w:t>
      </w:r>
      <w:r w:rsidR="00631B58" w:rsidRPr="000B6543">
        <w:rPr>
          <w:rFonts w:eastAsia="Arial Unicode MS"/>
          <w:lang w:val="vi-VN" w:eastAsia="zh-CN" w:bidi="hi-IN"/>
        </w:rPr>
        <w:t xml:space="preserve">Điều </w:t>
      </w:r>
      <w:r w:rsidR="005A307D" w:rsidRPr="000B6543">
        <w:rPr>
          <w:rFonts w:eastAsia="Arial Unicode MS"/>
          <w:lang w:val="vi-VN" w:eastAsia="zh-CN" w:bidi="hi-IN"/>
        </w:rPr>
        <w:t xml:space="preserve">14, Điều 16, </w:t>
      </w:r>
      <w:r w:rsidR="005A307D">
        <w:rPr>
          <w:lang w:val="vi-VN"/>
        </w:rPr>
        <w:t>khoản 5 Điều 17</w:t>
      </w:r>
      <w:r w:rsidR="005A307D" w:rsidRPr="000B6543">
        <w:rPr>
          <w:rFonts w:eastAsia="Arial Unicode MS"/>
          <w:lang w:val="vi-VN" w:eastAsia="zh-CN" w:bidi="hi-IN"/>
        </w:rPr>
        <w:t xml:space="preserve">, </w:t>
      </w:r>
      <w:r w:rsidR="005A307D" w:rsidRPr="00206288">
        <w:rPr>
          <w:lang w:val="vi-VN"/>
        </w:rPr>
        <w:t xml:space="preserve">khoản 1, khoản 2 và điểm b khoản 12 </w:t>
      </w:r>
      <w:r w:rsidR="005A307D">
        <w:rPr>
          <w:lang w:val="vi-VN"/>
        </w:rPr>
        <w:t>Điều 18</w:t>
      </w:r>
      <w:r w:rsidR="005A307D" w:rsidRPr="000B6543">
        <w:rPr>
          <w:rFonts w:eastAsia="Arial Unicode MS"/>
          <w:lang w:val="vi-VN" w:eastAsia="zh-CN" w:bidi="hi-IN"/>
        </w:rPr>
        <w:t xml:space="preserve">, </w:t>
      </w:r>
      <w:r w:rsidR="005A307D">
        <w:rPr>
          <w:lang w:val="vi-VN"/>
        </w:rPr>
        <w:t>khoản 2 Điều 19</w:t>
      </w:r>
      <w:r w:rsidR="005A307D" w:rsidRPr="000B6543">
        <w:rPr>
          <w:rFonts w:eastAsia="Arial Unicode MS"/>
          <w:lang w:val="vi-VN" w:eastAsia="zh-CN" w:bidi="hi-IN"/>
        </w:rPr>
        <w:t xml:space="preserve">, </w:t>
      </w:r>
      <w:r w:rsidR="003D6F1C">
        <w:rPr>
          <w:lang w:val="vi-VN"/>
        </w:rPr>
        <w:t>khoản 1 Điều 20</w:t>
      </w:r>
      <w:r w:rsidR="005A307D" w:rsidRPr="000B6543">
        <w:rPr>
          <w:rFonts w:eastAsia="Arial Unicode MS"/>
          <w:lang w:val="vi-VN" w:eastAsia="zh-CN" w:bidi="hi-IN"/>
        </w:rPr>
        <w:t xml:space="preserve">, </w:t>
      </w:r>
      <w:r w:rsidR="003D6F1C" w:rsidRPr="00B56D43">
        <w:rPr>
          <w:color w:val="FF0000"/>
          <w:lang w:val="vi-VN"/>
        </w:rPr>
        <w:t>khoản 7 và khoản 8</w:t>
      </w:r>
      <w:r w:rsidR="003D6F1C">
        <w:rPr>
          <w:color w:val="FF0000"/>
          <w:lang w:val="vi-VN"/>
        </w:rPr>
        <w:t xml:space="preserve"> Điều 33</w:t>
      </w:r>
      <w:r w:rsidR="005A307D" w:rsidRPr="000B6543">
        <w:rPr>
          <w:rFonts w:eastAsia="Arial Unicode MS"/>
          <w:lang w:val="vi-VN" w:eastAsia="zh-CN" w:bidi="hi-IN"/>
        </w:rPr>
        <w:t xml:space="preserve">, </w:t>
      </w:r>
      <w:r w:rsidR="0045518D">
        <w:rPr>
          <w:lang w:val="vi-VN"/>
        </w:rPr>
        <w:t>điểm b khoản 1 Điều 43</w:t>
      </w:r>
      <w:r w:rsidR="005A307D" w:rsidRPr="000B6543">
        <w:rPr>
          <w:rFonts w:eastAsia="Arial Unicode MS"/>
          <w:lang w:val="vi-VN" w:eastAsia="zh-CN" w:bidi="hi-IN"/>
        </w:rPr>
        <w:t xml:space="preserve">, </w:t>
      </w:r>
      <w:r w:rsidR="0045518D">
        <w:rPr>
          <w:lang w:val="vi-VN"/>
        </w:rPr>
        <w:t>khoản 6 Điều 45</w:t>
      </w:r>
      <w:r w:rsidR="005A307D" w:rsidRPr="000B6543">
        <w:rPr>
          <w:rFonts w:eastAsia="Arial Unicode MS"/>
          <w:lang w:val="vi-VN" w:eastAsia="zh-CN" w:bidi="hi-IN"/>
        </w:rPr>
        <w:t xml:space="preserve">, </w:t>
      </w:r>
      <w:r w:rsidR="00BF1848" w:rsidRPr="001A3CCC">
        <w:rPr>
          <w:lang w:val="vi-VN"/>
        </w:rPr>
        <w:t xml:space="preserve">khoản 2 và </w:t>
      </w:r>
      <w:r w:rsidR="00BF1848">
        <w:rPr>
          <w:lang w:val="vi-VN"/>
        </w:rPr>
        <w:t>khoản 4 Điều 46</w:t>
      </w:r>
      <w:r w:rsidR="00BF1848" w:rsidRPr="000B6543">
        <w:rPr>
          <w:lang w:val="vi-VN"/>
        </w:rPr>
        <w:t>,</w:t>
      </w:r>
      <w:r w:rsidR="009E5E41" w:rsidRPr="000B6543">
        <w:rPr>
          <w:lang w:val="vi-VN"/>
        </w:rPr>
        <w:t xml:space="preserve"> </w:t>
      </w:r>
      <w:r w:rsidR="009E5E41">
        <w:rPr>
          <w:lang w:val="vi-VN"/>
        </w:rPr>
        <w:t>khoản 5 Điều 59</w:t>
      </w:r>
      <w:r w:rsidR="009E5E41" w:rsidRPr="000B6543">
        <w:rPr>
          <w:lang w:val="vi-VN"/>
        </w:rPr>
        <w:t xml:space="preserve">, </w:t>
      </w:r>
      <w:r w:rsidR="00BF36C3" w:rsidRPr="001A3CCC">
        <w:rPr>
          <w:lang w:val="vi-VN"/>
        </w:rPr>
        <w:t>khoản 2 và</w:t>
      </w:r>
      <w:r w:rsidR="00BF36C3">
        <w:rPr>
          <w:lang w:val="vi-VN"/>
        </w:rPr>
        <w:t xml:space="preserve"> khoản 5 Điều 60</w:t>
      </w:r>
      <w:r w:rsidR="00BF36C3" w:rsidRPr="000B6543">
        <w:rPr>
          <w:lang w:val="vi-VN"/>
        </w:rPr>
        <w:t xml:space="preserve">, </w:t>
      </w:r>
      <w:r w:rsidR="00363D6C" w:rsidRPr="001A3CCC">
        <w:rPr>
          <w:lang w:val="vi-VN"/>
        </w:rPr>
        <w:t>điểm b kh</w:t>
      </w:r>
      <w:r w:rsidR="00363D6C">
        <w:rPr>
          <w:lang w:val="vi-VN"/>
        </w:rPr>
        <w:t>oản 1 và điểm b khoản 2 Điều 64</w:t>
      </w:r>
      <w:r w:rsidR="00363D6C" w:rsidRPr="000B6543">
        <w:rPr>
          <w:lang w:val="vi-VN"/>
        </w:rPr>
        <w:t xml:space="preserve">, </w:t>
      </w:r>
      <w:r w:rsidR="007329D7" w:rsidRPr="001A3CCC">
        <w:rPr>
          <w:lang w:val="vi-VN"/>
        </w:rPr>
        <w:t>điểm c kh</w:t>
      </w:r>
      <w:r w:rsidR="007329D7">
        <w:rPr>
          <w:lang w:val="vi-VN"/>
        </w:rPr>
        <w:t>oản 1 và điểm b khoản 2 Điều 65</w:t>
      </w:r>
      <w:r w:rsidR="007329D7" w:rsidRPr="000B6543">
        <w:rPr>
          <w:lang w:val="vi-VN"/>
        </w:rPr>
        <w:t xml:space="preserve">, </w:t>
      </w:r>
      <w:r w:rsidR="00694525">
        <w:rPr>
          <w:lang w:val="vi-VN"/>
        </w:rPr>
        <w:t>khoản 3 Điều 69</w:t>
      </w:r>
      <w:r w:rsidR="00694525" w:rsidRPr="000B6543">
        <w:rPr>
          <w:lang w:val="vi-VN"/>
        </w:rPr>
        <w:t xml:space="preserve">, </w:t>
      </w:r>
      <w:r w:rsidR="00B51ED3">
        <w:rPr>
          <w:lang w:val="vi-VN"/>
        </w:rPr>
        <w:t>khoản 5 Điều 86</w:t>
      </w:r>
      <w:r w:rsidR="00B51ED3" w:rsidRPr="000B6543">
        <w:rPr>
          <w:lang w:val="vi-VN"/>
        </w:rPr>
        <w:t xml:space="preserve">, </w:t>
      </w:r>
      <w:r w:rsidR="00A340DA" w:rsidRPr="001A3CCC">
        <w:rPr>
          <w:rFonts w:eastAsiaTheme="minorEastAsia"/>
          <w:lang w:val="vi-VN"/>
        </w:rPr>
        <w:t>khoản 1 Điề</w:t>
      </w:r>
      <w:r w:rsidR="00A340DA">
        <w:rPr>
          <w:rFonts w:eastAsiaTheme="minorEastAsia"/>
          <w:lang w:val="vi-VN"/>
        </w:rPr>
        <w:t>u 87</w:t>
      </w:r>
      <w:r w:rsidR="00A340DA" w:rsidRPr="000B6543">
        <w:rPr>
          <w:rFonts w:eastAsiaTheme="minorEastAsia"/>
          <w:lang w:val="vi-VN"/>
        </w:rPr>
        <w:t xml:space="preserve">, </w:t>
      </w:r>
      <w:r w:rsidR="004A7C9F" w:rsidRPr="001A3CCC">
        <w:rPr>
          <w:rFonts w:eastAsiaTheme="minorEastAsia"/>
          <w:lang w:val="vi-VN"/>
        </w:rPr>
        <w:t>khoản 4 Điề</w:t>
      </w:r>
      <w:r w:rsidR="004A7C9F">
        <w:rPr>
          <w:rFonts w:eastAsiaTheme="minorEastAsia"/>
          <w:lang w:val="vi-VN"/>
        </w:rPr>
        <w:t>u 101</w:t>
      </w:r>
      <w:r w:rsidR="004A7C9F" w:rsidRPr="000B6543">
        <w:rPr>
          <w:rFonts w:eastAsiaTheme="minorEastAsia"/>
          <w:lang w:val="vi-VN"/>
        </w:rPr>
        <w:t xml:space="preserve">, </w:t>
      </w:r>
      <w:r w:rsidR="00751C0A" w:rsidRPr="001A3CCC">
        <w:rPr>
          <w:rFonts w:eastAsiaTheme="minorEastAsia"/>
          <w:lang w:val="vi-VN"/>
        </w:rPr>
        <w:t>khoản 2 và khoản 3 Điề</w:t>
      </w:r>
      <w:r w:rsidR="00751C0A">
        <w:rPr>
          <w:rFonts w:eastAsiaTheme="minorEastAsia"/>
          <w:lang w:val="vi-VN"/>
        </w:rPr>
        <w:t>u 134</w:t>
      </w:r>
      <w:r w:rsidR="00751C0A" w:rsidRPr="000B6543">
        <w:rPr>
          <w:rFonts w:eastAsiaTheme="minorEastAsia"/>
          <w:lang w:val="vi-VN"/>
        </w:rPr>
        <w:t xml:space="preserve">, </w:t>
      </w:r>
      <w:r w:rsidR="00302C40" w:rsidRPr="001A3CCC">
        <w:rPr>
          <w:lang w:val="vi-VN"/>
        </w:rPr>
        <w:t xml:space="preserve">khoản 1, khoản 2, khoản 3, khoản 4, khoản 5 và khoản 6 </w:t>
      </w:r>
      <w:r w:rsidR="00302C40">
        <w:rPr>
          <w:lang w:val="vi-VN"/>
        </w:rPr>
        <w:t>Điều 136</w:t>
      </w:r>
      <w:r w:rsidR="00302C40" w:rsidRPr="000B6543">
        <w:rPr>
          <w:lang w:val="vi-VN"/>
        </w:rPr>
        <w:t xml:space="preserve">, </w:t>
      </w:r>
      <w:r w:rsidR="00445C11" w:rsidRPr="001A3CCC">
        <w:rPr>
          <w:lang w:val="vi-VN"/>
        </w:rPr>
        <w:t>khoản 2, khoản 3 và khoản 6 Điều 13</w:t>
      </w:r>
      <w:r w:rsidR="00445C11">
        <w:rPr>
          <w:lang w:val="vi-VN"/>
        </w:rPr>
        <w:t>7</w:t>
      </w:r>
      <w:r w:rsidR="003F101C" w:rsidRPr="000B6543">
        <w:rPr>
          <w:lang w:val="vi-VN"/>
        </w:rPr>
        <w:t xml:space="preserve"> và </w:t>
      </w:r>
      <w:r w:rsidR="003F101C" w:rsidRPr="001A3CCC">
        <w:rPr>
          <w:lang w:val="vi-VN"/>
        </w:rPr>
        <w:t>khoản 1</w:t>
      </w:r>
      <w:r w:rsidR="003F101C" w:rsidRPr="00F9070B">
        <w:rPr>
          <w:lang w:val="vi-VN"/>
        </w:rPr>
        <w:t xml:space="preserve"> và điểm b khoản 2</w:t>
      </w:r>
      <w:r w:rsidR="003F101C">
        <w:rPr>
          <w:lang w:val="vi-VN"/>
        </w:rPr>
        <w:t xml:space="preserve"> Điều 138</w:t>
      </w:r>
      <w:r w:rsidR="005A307D" w:rsidRPr="000B6543">
        <w:rPr>
          <w:rFonts w:eastAsia="Arial Unicode MS"/>
          <w:lang w:val="vi-VN" w:eastAsia="zh-CN" w:bidi="hi-IN"/>
        </w:rPr>
        <w:t xml:space="preserve"> </w:t>
      </w:r>
      <w:r w:rsidR="00911F20" w:rsidRPr="000B6543">
        <w:rPr>
          <w:rFonts w:eastAsia="Arial Unicode MS"/>
          <w:lang w:val="vi-VN" w:eastAsia="zh-CN" w:bidi="hi-IN"/>
        </w:rPr>
        <w:t xml:space="preserve">của </w:t>
      </w:r>
      <w:r w:rsidR="00631B58" w:rsidRPr="000B6543">
        <w:rPr>
          <w:rFonts w:eastAsia="Arial Unicode MS"/>
          <w:lang w:val="vi-VN" w:eastAsia="zh-CN" w:bidi="hi-IN"/>
        </w:rPr>
        <w:t>Luật Bảo hiểm xã hội</w:t>
      </w:r>
      <w:r w:rsidR="00911F20" w:rsidRPr="000B6543">
        <w:rPr>
          <w:rFonts w:eastAsia="Arial Unicode MS"/>
          <w:lang w:val="vi-VN" w:eastAsia="zh-CN" w:bidi="hi-IN"/>
        </w:rPr>
        <w:t xml:space="preserve"> số 41/2024/QH15</w:t>
      </w:r>
      <w:r w:rsidR="00631B58" w:rsidRPr="000B6543">
        <w:rPr>
          <w:rFonts w:eastAsia="Arial Unicode MS"/>
          <w:lang w:val="vi-VN" w:eastAsia="zh-CN" w:bidi="hi-IN"/>
        </w:rPr>
        <w:t>.</w:t>
      </w:r>
    </w:p>
    <w:p w14:paraId="13E9D828" w14:textId="649BEABC" w:rsidR="00631B58" w:rsidRPr="000B6543" w:rsidRDefault="000B6543" w:rsidP="00631B58">
      <w:pPr>
        <w:rPr>
          <w:shd w:val="clear" w:color="auto" w:fill="FFFFFF"/>
          <w:lang w:val="vi-VN"/>
        </w:rPr>
      </w:pPr>
      <w:r w:rsidRPr="000B6543">
        <w:rPr>
          <w:rFonts w:eastAsia="Arial Unicode MS"/>
          <w:lang w:val="vi-VN" w:eastAsia="zh-CN" w:bidi="hi-IN"/>
        </w:rPr>
        <w:t xml:space="preserve">- </w:t>
      </w:r>
      <w:r w:rsidR="00631B58" w:rsidRPr="000B6543">
        <w:rPr>
          <w:rFonts w:eastAsia="Arial Unicode MS"/>
          <w:lang w:val="vi-VN" w:eastAsia="zh-CN" w:bidi="hi-IN"/>
        </w:rPr>
        <w:t xml:space="preserve">Nội dung bổ sung: tại khoản 22 Điều 1 dự thảo </w:t>
      </w:r>
      <w:r w:rsidR="00423C6E" w:rsidRPr="000B6543">
        <w:rPr>
          <w:rFonts w:eastAsia="Arial Unicode MS"/>
          <w:lang w:val="vi-VN" w:eastAsia="zh-CN" w:bidi="hi-IN"/>
        </w:rPr>
        <w:t>L</w:t>
      </w:r>
      <w:r w:rsidR="00631B58" w:rsidRPr="000B6543">
        <w:rPr>
          <w:rFonts w:eastAsia="Arial Unicode MS"/>
          <w:lang w:val="vi-VN" w:eastAsia="zh-CN" w:bidi="hi-IN"/>
        </w:rPr>
        <w:t>uật b</w:t>
      </w:r>
      <w:r w:rsidR="00631B58" w:rsidRPr="00631B58">
        <w:rPr>
          <w:shd w:val="clear" w:color="auto" w:fill="FFFFFF"/>
          <w:lang w:val="vi-VN"/>
        </w:rPr>
        <w:t>ổ sung Điều 137a về trách nhiệm của Bộ Y tế trong quản lý nhà nước về trợ cấp hưu trí xã hội</w:t>
      </w:r>
      <w:r w:rsidR="00631B58" w:rsidRPr="000B6543">
        <w:rPr>
          <w:shd w:val="clear" w:color="auto" w:fill="FFFFFF"/>
          <w:lang w:val="vi-VN"/>
        </w:rPr>
        <w:t>.</w:t>
      </w:r>
    </w:p>
    <w:p w14:paraId="2AF6CB74" w14:textId="389F177D" w:rsidR="00631B58" w:rsidRPr="00423C6E" w:rsidRDefault="000B6543" w:rsidP="00631B58">
      <w:pPr>
        <w:rPr>
          <w:rFonts w:eastAsia="Arial Unicode MS"/>
          <w:lang w:val="vi-VN" w:eastAsia="zh-CN" w:bidi="hi-IN"/>
        </w:rPr>
      </w:pPr>
      <w:r w:rsidRPr="000B6543">
        <w:rPr>
          <w:shd w:val="clear" w:color="auto" w:fill="FFFFFF"/>
          <w:lang w:val="vi-VN"/>
        </w:rPr>
        <w:t xml:space="preserve">- </w:t>
      </w:r>
      <w:r w:rsidR="00631B58" w:rsidRPr="000B6543">
        <w:rPr>
          <w:shd w:val="clear" w:color="auto" w:fill="FFFFFF"/>
          <w:lang w:val="vi-VN"/>
        </w:rPr>
        <w:t>Nội dung bãi bỏ: t</w:t>
      </w:r>
      <w:r w:rsidR="00631B58">
        <w:rPr>
          <w:shd w:val="clear" w:color="auto" w:fill="FFFFFF"/>
          <w:lang w:val="vi-VN"/>
        </w:rPr>
        <w:t>ại</w:t>
      </w:r>
      <w:r w:rsidR="00631B58" w:rsidRPr="000B6543">
        <w:rPr>
          <w:shd w:val="clear" w:color="auto" w:fill="FFFFFF"/>
          <w:lang w:val="vi-VN"/>
        </w:rPr>
        <w:t xml:space="preserve"> kh</w:t>
      </w:r>
      <w:r w:rsidR="00631B58">
        <w:rPr>
          <w:shd w:val="clear" w:color="auto" w:fill="FFFFFF"/>
          <w:lang w:val="vi-VN"/>
        </w:rPr>
        <w:t xml:space="preserve">oản </w:t>
      </w:r>
      <w:r w:rsidR="00631B58" w:rsidRPr="000B6543">
        <w:rPr>
          <w:shd w:val="clear" w:color="auto" w:fill="FFFFFF"/>
          <w:lang w:val="vi-VN"/>
        </w:rPr>
        <w:t>23 Đi</w:t>
      </w:r>
      <w:r w:rsidR="00631B58">
        <w:rPr>
          <w:shd w:val="clear" w:color="auto" w:fill="FFFFFF"/>
          <w:lang w:val="vi-VN"/>
        </w:rPr>
        <w:t>ề</w:t>
      </w:r>
      <w:r w:rsidR="00631B58" w:rsidRPr="000B6543">
        <w:rPr>
          <w:shd w:val="clear" w:color="auto" w:fill="FFFFFF"/>
          <w:lang w:val="vi-VN"/>
        </w:rPr>
        <w:t>u 1 d</w:t>
      </w:r>
      <w:r w:rsidR="00631B58">
        <w:rPr>
          <w:shd w:val="clear" w:color="auto" w:fill="FFFFFF"/>
          <w:lang w:val="vi-VN"/>
        </w:rPr>
        <w:t>ự</w:t>
      </w:r>
      <w:r w:rsidR="00631B58" w:rsidRPr="000B6543">
        <w:rPr>
          <w:shd w:val="clear" w:color="auto" w:fill="FFFFFF"/>
          <w:lang w:val="vi-VN"/>
        </w:rPr>
        <w:t xml:space="preserve"> thảo Lu</w:t>
      </w:r>
      <w:r w:rsidR="00631B58">
        <w:rPr>
          <w:shd w:val="clear" w:color="auto" w:fill="FFFFFF"/>
          <w:lang w:val="vi-VN"/>
        </w:rPr>
        <w:t>ật</w:t>
      </w:r>
      <w:r w:rsidR="00631B58" w:rsidRPr="000B6543">
        <w:rPr>
          <w:shd w:val="clear" w:color="auto" w:fill="FFFFFF"/>
          <w:lang w:val="vi-VN"/>
        </w:rPr>
        <w:t xml:space="preserve"> </w:t>
      </w:r>
      <w:r w:rsidR="00423C6E" w:rsidRPr="000B6543">
        <w:rPr>
          <w:shd w:val="clear" w:color="auto" w:fill="FFFFFF"/>
          <w:lang w:val="vi-VN"/>
        </w:rPr>
        <w:t>b</w:t>
      </w:r>
      <w:r w:rsidR="00423C6E">
        <w:rPr>
          <w:shd w:val="clear" w:color="auto" w:fill="FFFFFF"/>
          <w:lang w:val="vi-VN"/>
        </w:rPr>
        <w:t>ã</w:t>
      </w:r>
      <w:r w:rsidR="00423C6E" w:rsidRPr="000B6543">
        <w:rPr>
          <w:shd w:val="clear" w:color="auto" w:fill="FFFFFF"/>
          <w:lang w:val="vi-VN"/>
        </w:rPr>
        <w:t xml:space="preserve">i </w:t>
      </w:r>
      <w:r w:rsidR="00631B58" w:rsidRPr="0020031F">
        <w:rPr>
          <w:rFonts w:eastAsia="Arial Unicode MS"/>
          <w:lang w:val="vi-VN" w:eastAsia="zh-CN" w:bidi="hi-IN"/>
        </w:rPr>
        <w:t xml:space="preserve">bỏ các quy định tại </w:t>
      </w:r>
      <w:r w:rsidR="00631B58" w:rsidRPr="0020031F">
        <w:rPr>
          <w:lang w:val="vi-VN"/>
        </w:rPr>
        <w:t>khoản 2 Điều 16, điểm c khoản 12 và khoản 18 Điều 18, khoản 5 Điều 134</w:t>
      </w:r>
      <w:r w:rsidR="00631B58" w:rsidRPr="00457ACB">
        <w:rPr>
          <w:lang w:val="vi-VN"/>
        </w:rPr>
        <w:t xml:space="preserve"> và</w:t>
      </w:r>
      <w:r w:rsidR="00631B58" w:rsidRPr="0020031F">
        <w:rPr>
          <w:lang w:val="vi-VN"/>
        </w:rPr>
        <w:t xml:space="preserve"> khoản 11 Điều 136</w:t>
      </w:r>
      <w:r w:rsidR="00423C6E" w:rsidRPr="000B6543">
        <w:rPr>
          <w:rFonts w:eastAsia="Arial Unicode MS"/>
          <w:lang w:val="vi-VN" w:eastAsia="zh-CN" w:bidi="hi-IN"/>
        </w:rPr>
        <w:t xml:space="preserve"> c</w:t>
      </w:r>
      <w:r w:rsidR="00423C6E">
        <w:rPr>
          <w:rFonts w:eastAsia="Arial Unicode MS"/>
          <w:lang w:val="vi-VN" w:eastAsia="zh-CN" w:bidi="hi-IN"/>
        </w:rPr>
        <w:t>ủa</w:t>
      </w:r>
      <w:r w:rsidR="00423C6E" w:rsidRPr="000B6543">
        <w:rPr>
          <w:rFonts w:eastAsia="Arial Unicode MS"/>
          <w:lang w:val="vi-VN" w:eastAsia="zh-CN" w:bidi="hi-IN"/>
        </w:rPr>
        <w:t xml:space="preserve"> Lu</w:t>
      </w:r>
      <w:r w:rsidR="00423C6E">
        <w:rPr>
          <w:rFonts w:eastAsia="Arial Unicode MS"/>
          <w:lang w:val="vi-VN" w:eastAsia="zh-CN" w:bidi="hi-IN"/>
        </w:rPr>
        <w:t>ật</w:t>
      </w:r>
      <w:r w:rsidR="00423C6E" w:rsidRPr="000B6543">
        <w:rPr>
          <w:rFonts w:eastAsia="Arial Unicode MS"/>
          <w:lang w:val="vi-VN" w:eastAsia="zh-CN" w:bidi="hi-IN"/>
        </w:rPr>
        <w:t xml:space="preserve"> B</w:t>
      </w:r>
      <w:r w:rsidR="00423C6E">
        <w:rPr>
          <w:rFonts w:eastAsia="Arial Unicode MS"/>
          <w:lang w:val="vi-VN" w:eastAsia="zh-CN" w:bidi="hi-IN"/>
        </w:rPr>
        <w:t>ả</w:t>
      </w:r>
      <w:r w:rsidR="00423C6E" w:rsidRPr="000B6543">
        <w:rPr>
          <w:rFonts w:eastAsia="Arial Unicode MS"/>
          <w:lang w:val="vi-VN" w:eastAsia="zh-CN" w:bidi="hi-IN"/>
        </w:rPr>
        <w:t>o hi</w:t>
      </w:r>
      <w:r w:rsidR="00423C6E">
        <w:rPr>
          <w:rFonts w:eastAsia="Arial Unicode MS"/>
          <w:lang w:val="vi-VN" w:eastAsia="zh-CN" w:bidi="hi-IN"/>
        </w:rPr>
        <w:t>ể</w:t>
      </w:r>
      <w:r w:rsidR="00423C6E" w:rsidRPr="000B6543">
        <w:rPr>
          <w:rFonts w:eastAsia="Arial Unicode MS"/>
          <w:lang w:val="vi-VN" w:eastAsia="zh-CN" w:bidi="hi-IN"/>
        </w:rPr>
        <w:t>m x</w:t>
      </w:r>
      <w:r w:rsidR="00423C6E">
        <w:rPr>
          <w:rFonts w:eastAsia="Arial Unicode MS"/>
          <w:lang w:val="vi-VN" w:eastAsia="zh-CN" w:bidi="hi-IN"/>
        </w:rPr>
        <w:t>ã</w:t>
      </w:r>
      <w:r w:rsidR="00423C6E" w:rsidRPr="000B6543">
        <w:rPr>
          <w:rFonts w:eastAsia="Arial Unicode MS"/>
          <w:lang w:val="vi-VN" w:eastAsia="zh-CN" w:bidi="hi-IN"/>
        </w:rPr>
        <w:t xml:space="preserve"> h</w:t>
      </w:r>
      <w:r w:rsidR="00423C6E">
        <w:rPr>
          <w:rFonts w:eastAsia="Arial Unicode MS"/>
          <w:lang w:val="vi-VN" w:eastAsia="zh-CN" w:bidi="hi-IN"/>
        </w:rPr>
        <w:t>ội</w:t>
      </w:r>
      <w:r w:rsidR="00423C6E" w:rsidRPr="000B6543">
        <w:rPr>
          <w:rFonts w:eastAsia="Arial Unicode MS"/>
          <w:lang w:val="vi-VN" w:eastAsia="zh-CN" w:bidi="hi-IN"/>
        </w:rPr>
        <w:t xml:space="preserve"> s</w:t>
      </w:r>
      <w:r w:rsidR="00423C6E">
        <w:rPr>
          <w:rFonts w:eastAsia="Arial Unicode MS"/>
          <w:lang w:val="vi-VN" w:eastAsia="zh-CN" w:bidi="hi-IN"/>
        </w:rPr>
        <w:t>ố</w:t>
      </w:r>
      <w:r w:rsidR="00423C6E" w:rsidRPr="000B6543">
        <w:rPr>
          <w:rFonts w:eastAsia="Arial Unicode MS"/>
          <w:lang w:val="vi-VN" w:eastAsia="zh-CN" w:bidi="hi-IN"/>
        </w:rPr>
        <w:t xml:space="preserve"> 41/2024/QH15</w:t>
      </w:r>
    </w:p>
    <w:p w14:paraId="38B18547" w14:textId="486E4E59" w:rsidR="009D312E" w:rsidRPr="000B6543" w:rsidRDefault="000B6543" w:rsidP="00631B58">
      <w:pPr>
        <w:rPr>
          <w:rFonts w:eastAsia="Arial Unicode MS"/>
          <w:i/>
          <w:lang w:val="vi-VN" w:eastAsia="zh-CN" w:bidi="hi-IN"/>
        </w:rPr>
      </w:pPr>
      <w:r w:rsidRPr="000B6543">
        <w:rPr>
          <w:rFonts w:eastAsia="Arial Unicode MS"/>
          <w:i/>
          <w:lang w:val="vi-VN" w:eastAsia="zh-CN" w:bidi="hi-IN"/>
        </w:rPr>
        <w:t>b)</w:t>
      </w:r>
      <w:r w:rsidR="009D312E" w:rsidRPr="000B6543">
        <w:rPr>
          <w:rFonts w:eastAsia="Arial Unicode MS"/>
          <w:i/>
          <w:lang w:val="vi-VN" w:eastAsia="zh-CN" w:bidi="hi-IN"/>
        </w:rPr>
        <w:t xml:space="preserve"> Về nội dung cắt giảm, đơn giản hóa thủ tục hành chính</w:t>
      </w:r>
    </w:p>
    <w:p w14:paraId="4AA995EA" w14:textId="1FFEF08A" w:rsidR="009D312E" w:rsidRDefault="009F56E5" w:rsidP="00631B58">
      <w:pPr>
        <w:rPr>
          <w:rFonts w:eastAsia="Arial Unicode MS"/>
          <w:lang w:val="vi-VN" w:eastAsia="zh-CN" w:bidi="hi-IN"/>
        </w:rPr>
      </w:pPr>
      <w:r w:rsidRPr="000B6543">
        <w:rPr>
          <w:rFonts w:eastAsia="Arial Unicode MS"/>
          <w:lang w:val="vi-VN" w:eastAsia="zh-CN" w:bidi="hi-IN"/>
        </w:rPr>
        <w:t>Dự thảo Luật không làm ph</w:t>
      </w:r>
      <w:r>
        <w:rPr>
          <w:rFonts w:eastAsia="Arial Unicode MS"/>
          <w:lang w:val="vi-VN" w:eastAsia="zh-CN" w:bidi="hi-IN"/>
        </w:rPr>
        <w:t>át</w:t>
      </w:r>
      <w:r w:rsidRPr="000B6543">
        <w:rPr>
          <w:rFonts w:eastAsia="Arial Unicode MS"/>
          <w:lang w:val="vi-VN" w:eastAsia="zh-CN" w:bidi="hi-IN"/>
        </w:rPr>
        <w:t xml:space="preserve"> sinh th</w:t>
      </w:r>
      <w:r>
        <w:rPr>
          <w:rFonts w:eastAsia="Arial Unicode MS"/>
          <w:lang w:val="vi-VN" w:eastAsia="zh-CN" w:bidi="hi-IN"/>
        </w:rPr>
        <w:t>ủ</w:t>
      </w:r>
      <w:r w:rsidRPr="000B6543">
        <w:rPr>
          <w:rFonts w:eastAsia="Arial Unicode MS"/>
          <w:lang w:val="vi-VN" w:eastAsia="zh-CN" w:bidi="hi-IN"/>
        </w:rPr>
        <w:t xml:space="preserve"> </w:t>
      </w:r>
      <w:r>
        <w:rPr>
          <w:rFonts w:eastAsia="Arial Unicode MS"/>
          <w:lang w:val="vi-VN" w:eastAsia="zh-CN" w:bidi="hi-IN"/>
        </w:rPr>
        <w:t>tục</w:t>
      </w:r>
      <w:r w:rsidRPr="000B6543">
        <w:rPr>
          <w:rFonts w:eastAsia="Arial Unicode MS"/>
          <w:lang w:val="vi-VN" w:eastAsia="zh-CN" w:bidi="hi-IN"/>
        </w:rPr>
        <w:t xml:space="preserve"> h</w:t>
      </w:r>
      <w:r>
        <w:rPr>
          <w:rFonts w:eastAsia="Arial Unicode MS"/>
          <w:lang w:val="vi-VN" w:eastAsia="zh-CN" w:bidi="hi-IN"/>
        </w:rPr>
        <w:t>à</w:t>
      </w:r>
      <w:r w:rsidRPr="000B6543">
        <w:rPr>
          <w:rFonts w:eastAsia="Arial Unicode MS"/>
          <w:lang w:val="vi-VN" w:eastAsia="zh-CN" w:bidi="hi-IN"/>
        </w:rPr>
        <w:t>nh ch</w:t>
      </w:r>
      <w:r>
        <w:rPr>
          <w:rFonts w:eastAsia="Arial Unicode MS"/>
          <w:lang w:val="vi-VN" w:eastAsia="zh-CN" w:bidi="hi-IN"/>
        </w:rPr>
        <w:t>í</w:t>
      </w:r>
      <w:r w:rsidRPr="000B6543">
        <w:rPr>
          <w:rFonts w:eastAsia="Arial Unicode MS"/>
          <w:lang w:val="vi-VN" w:eastAsia="zh-CN" w:bidi="hi-IN"/>
        </w:rPr>
        <w:t>nh</w:t>
      </w:r>
    </w:p>
    <w:p w14:paraId="125E997B" w14:textId="6514E7CD" w:rsidR="009F56E5" w:rsidRPr="000B6543" w:rsidRDefault="000B6543" w:rsidP="00631B58">
      <w:pPr>
        <w:rPr>
          <w:rFonts w:eastAsia="Arial Unicode MS"/>
          <w:i/>
          <w:lang w:val="vi-VN" w:eastAsia="zh-CN" w:bidi="hi-IN"/>
        </w:rPr>
      </w:pPr>
      <w:r w:rsidRPr="000B6543">
        <w:rPr>
          <w:rFonts w:eastAsia="Arial Unicode MS"/>
          <w:i/>
          <w:lang w:val="vi-VN" w:eastAsia="zh-CN" w:bidi="hi-IN"/>
        </w:rPr>
        <w:t xml:space="preserve">c) </w:t>
      </w:r>
      <w:r w:rsidR="00701624" w:rsidRPr="000B6543">
        <w:rPr>
          <w:rFonts w:eastAsia="Arial Unicode MS"/>
          <w:i/>
          <w:lang w:val="vi-VN" w:eastAsia="zh-CN" w:bidi="hi-IN"/>
        </w:rPr>
        <w:t>Về phân cấp, phân quyền</w:t>
      </w:r>
    </w:p>
    <w:p w14:paraId="6745ADF4" w14:textId="0626B5DA" w:rsidR="00631B58" w:rsidRPr="00114E56" w:rsidRDefault="00701624">
      <w:pPr>
        <w:rPr>
          <w:rFonts w:eastAsia="Arial Unicode MS"/>
          <w:lang w:val="vi-VN" w:eastAsia="zh-CN" w:bidi="hi-IN"/>
        </w:rPr>
      </w:pPr>
      <w:r w:rsidRPr="000B6543">
        <w:rPr>
          <w:rFonts w:eastAsia="Arial Unicode MS"/>
          <w:lang w:val="vi-VN" w:eastAsia="zh-CN" w:bidi="hi-IN"/>
        </w:rPr>
        <w:t>Dự thảo Luật không có nội dung liên quan đến phân cấp, phân quyền</w:t>
      </w:r>
      <w:r w:rsidR="00E720AD" w:rsidRPr="000B6543">
        <w:rPr>
          <w:rFonts w:eastAsia="Arial Unicode MS"/>
          <w:lang w:val="vi-VN" w:eastAsia="zh-CN" w:bidi="hi-IN"/>
        </w:rPr>
        <w:t>.</w:t>
      </w:r>
    </w:p>
    <w:p w14:paraId="5C408B4D" w14:textId="415B46DD" w:rsidR="00613B69" w:rsidRPr="000B6543" w:rsidRDefault="00613B69" w:rsidP="00631B58">
      <w:pPr>
        <w:rPr>
          <w:b/>
          <w:sz w:val="24"/>
          <w:szCs w:val="24"/>
          <w:lang w:val="vi-VN" w:eastAsia="zh-CN" w:bidi="hi-IN"/>
        </w:rPr>
      </w:pPr>
      <w:r w:rsidRPr="000B6543">
        <w:rPr>
          <w:b/>
          <w:sz w:val="24"/>
          <w:szCs w:val="24"/>
          <w:lang w:val="vi-VN" w:eastAsia="zh-CN" w:bidi="hi-IN"/>
        </w:rPr>
        <w:t>V. NHỮNG NỘI DUNG MỚI SO VỚI DỰ THẢO VĂN BẢN GỬI THẨM ĐỊNH (NẾU CÓ)</w:t>
      </w:r>
    </w:p>
    <w:p w14:paraId="67FD2A72" w14:textId="77777777" w:rsidR="00727C46" w:rsidRPr="0020031F" w:rsidRDefault="00727C46" w:rsidP="0020031F">
      <w:pPr>
        <w:rPr>
          <w:rFonts w:eastAsia="Arial Unicode MS"/>
          <w:lang w:val="vi-VN" w:eastAsia="zh-CN" w:bidi="hi-IN"/>
        </w:rPr>
      </w:pPr>
    </w:p>
    <w:p w14:paraId="0B45A489" w14:textId="66C91E6F" w:rsidR="00B31F9C" w:rsidRPr="000B6543" w:rsidRDefault="00E4749E" w:rsidP="0020031F">
      <w:pPr>
        <w:pStyle w:val="Heading1"/>
        <w:rPr>
          <w:rFonts w:eastAsia="Arial Unicode MS"/>
          <w:sz w:val="24"/>
          <w:szCs w:val="24"/>
          <w:lang w:val="vi-VN" w:eastAsia="zh-CN" w:bidi="hi-IN"/>
        </w:rPr>
      </w:pPr>
      <w:r w:rsidRPr="000B6543">
        <w:rPr>
          <w:sz w:val="24"/>
          <w:szCs w:val="24"/>
          <w:lang w:val="af-ZA"/>
        </w:rPr>
        <w:t>V</w:t>
      </w:r>
      <w:r w:rsidR="00B06C40" w:rsidRPr="000B6543">
        <w:rPr>
          <w:sz w:val="24"/>
          <w:szCs w:val="24"/>
          <w:lang w:val="af-ZA"/>
        </w:rPr>
        <w:t>I</w:t>
      </w:r>
      <w:r w:rsidRPr="000B6543">
        <w:rPr>
          <w:sz w:val="24"/>
          <w:szCs w:val="24"/>
          <w:lang w:val="af-ZA"/>
        </w:rPr>
        <w:t xml:space="preserve">. </w:t>
      </w:r>
      <w:r w:rsidR="005D2D6B" w:rsidRPr="000B6543">
        <w:rPr>
          <w:sz w:val="24"/>
          <w:szCs w:val="24"/>
          <w:lang w:val="eu-ES"/>
        </w:rPr>
        <w:t xml:space="preserve">DỰ KIẾN NGUỒN LỰC, ĐIỀU KIỆN BẢO ĐẢM CHO VIỆC THI HÀNH </w:t>
      </w:r>
      <w:r w:rsidR="00727C46" w:rsidRPr="000B6543">
        <w:rPr>
          <w:sz w:val="24"/>
          <w:szCs w:val="24"/>
          <w:lang w:val="eu-ES"/>
        </w:rPr>
        <w:t>LUẬT VÀ THỜI GIAN</w:t>
      </w:r>
      <w:r w:rsidR="005D2D6B" w:rsidRPr="000B6543">
        <w:rPr>
          <w:sz w:val="24"/>
          <w:szCs w:val="24"/>
          <w:lang w:val="eu-ES"/>
        </w:rPr>
        <w:t xml:space="preserve"> THÔNG QUA</w:t>
      </w:r>
      <w:bookmarkStart w:id="6" w:name="_Hlk193121729"/>
    </w:p>
    <w:p w14:paraId="6DE4BB95" w14:textId="63C72704" w:rsidR="000F2387" w:rsidRPr="0020031F" w:rsidRDefault="000F2387" w:rsidP="0020031F">
      <w:pPr>
        <w:pStyle w:val="Heading2"/>
        <w:rPr>
          <w:lang w:val="eu-ES"/>
        </w:rPr>
      </w:pPr>
      <w:r w:rsidRPr="0020031F">
        <w:rPr>
          <w:lang w:val="eu-ES"/>
        </w:rPr>
        <w:t xml:space="preserve">1. </w:t>
      </w:r>
      <w:r w:rsidR="00BF1A91" w:rsidRPr="0020031F">
        <w:rPr>
          <w:lang w:val="eu-ES"/>
        </w:rPr>
        <w:t>Nguồn kinh phí,</w:t>
      </w:r>
      <w:r w:rsidRPr="0020031F">
        <w:rPr>
          <w:lang w:val="eu-ES"/>
        </w:rPr>
        <w:t xml:space="preserve"> nguồn lực</w:t>
      </w:r>
    </w:p>
    <w:p w14:paraId="6A30AF26" w14:textId="6B58C416" w:rsidR="00073B30" w:rsidRPr="0020031F" w:rsidRDefault="00073B30" w:rsidP="0020031F">
      <w:pPr>
        <w:rPr>
          <w:lang w:val="eu-ES"/>
        </w:rPr>
      </w:pPr>
      <w:r w:rsidRPr="0020031F">
        <w:rPr>
          <w:lang w:val="eu-ES"/>
        </w:rPr>
        <w:t xml:space="preserve">Việc thi hành Luật về cơ bản không làm </w:t>
      </w:r>
      <w:r w:rsidR="00760C97" w:rsidRPr="0020031F">
        <w:rPr>
          <w:lang w:val="eu-ES"/>
        </w:rPr>
        <w:t xml:space="preserve">phát sinh </w:t>
      </w:r>
      <w:r w:rsidR="001A04DD" w:rsidRPr="0020031F">
        <w:rPr>
          <w:lang w:val="eu-ES"/>
        </w:rPr>
        <w:t>các nhu cầu về nguồn lực về nhân lực và tài chính mới để thực hiện.</w:t>
      </w:r>
    </w:p>
    <w:p w14:paraId="155BF6E9" w14:textId="0F590624" w:rsidR="00B31F9C" w:rsidRPr="0020031F" w:rsidRDefault="000F2387" w:rsidP="0020031F">
      <w:pPr>
        <w:pStyle w:val="Heading2"/>
        <w:rPr>
          <w:lang w:val="eu-ES"/>
        </w:rPr>
      </w:pPr>
      <w:r w:rsidRPr="0020031F">
        <w:rPr>
          <w:lang w:val="eu-ES"/>
        </w:rPr>
        <w:lastRenderedPageBreak/>
        <w:t xml:space="preserve">2. </w:t>
      </w:r>
      <w:bookmarkEnd w:id="6"/>
      <w:r w:rsidR="00F141E2" w:rsidRPr="0020031F">
        <w:rPr>
          <w:lang w:val="eu-ES"/>
        </w:rPr>
        <w:t>Thời gian trình Quốc hội thông qua</w:t>
      </w:r>
    </w:p>
    <w:p w14:paraId="3831B670" w14:textId="1144FDD6" w:rsidR="00F141E2" w:rsidRPr="0020031F" w:rsidRDefault="00E16D3A" w:rsidP="0020031F">
      <w:pPr>
        <w:rPr>
          <w:lang w:val="eu-ES"/>
        </w:rPr>
      </w:pPr>
      <w:r w:rsidRPr="0020031F">
        <w:rPr>
          <w:lang w:val="eu-ES"/>
        </w:rPr>
        <w:t>Dự án Luật dự kiến trình Quốc hội cho ý kiến và thông qua tại Kỳ họp thứ nhất Quốc hội khóa XVI (tháng 4/2026).</w:t>
      </w:r>
    </w:p>
    <w:p w14:paraId="5BF53BCE" w14:textId="528200CC" w:rsidR="006C197C" w:rsidRPr="000B6543" w:rsidRDefault="0005755E" w:rsidP="0020031F">
      <w:pPr>
        <w:pStyle w:val="Heading1"/>
        <w:rPr>
          <w:sz w:val="24"/>
          <w:szCs w:val="24"/>
          <w:lang w:val="eu-ES"/>
        </w:rPr>
      </w:pPr>
      <w:r w:rsidRPr="000B6543">
        <w:rPr>
          <w:sz w:val="24"/>
          <w:szCs w:val="24"/>
          <w:lang w:val="eu-ES"/>
        </w:rPr>
        <w:t xml:space="preserve">VII. </w:t>
      </w:r>
      <w:r w:rsidR="00727C46" w:rsidRPr="000B6543">
        <w:rPr>
          <w:sz w:val="24"/>
          <w:szCs w:val="24"/>
          <w:lang w:val="eu-ES"/>
        </w:rPr>
        <w:t xml:space="preserve">NHỮNG </w:t>
      </w:r>
      <w:r w:rsidRPr="000B6543">
        <w:rPr>
          <w:sz w:val="24"/>
          <w:szCs w:val="24"/>
          <w:lang w:val="eu-ES"/>
        </w:rPr>
        <w:t>VẤN ĐỀ XIN Ý KIẾN</w:t>
      </w:r>
    </w:p>
    <w:p w14:paraId="0F298D37" w14:textId="77777777" w:rsidR="003545C2" w:rsidRDefault="003545C2" w:rsidP="0020031F">
      <w:pPr>
        <w:spacing w:line="240" w:lineRule="auto"/>
        <w:rPr>
          <w:lang w:val="eu-ES"/>
        </w:rPr>
      </w:pPr>
    </w:p>
    <w:p w14:paraId="1C5F887E" w14:textId="19167F97" w:rsidR="0079717C" w:rsidRPr="0020031F" w:rsidRDefault="00582837" w:rsidP="0020031F">
      <w:pPr>
        <w:spacing w:line="240" w:lineRule="auto"/>
        <w:rPr>
          <w:lang w:val="eu-ES"/>
        </w:rPr>
      </w:pPr>
      <w:r w:rsidRPr="0020031F">
        <w:rPr>
          <w:lang w:val="eu-ES"/>
        </w:rPr>
        <w:t xml:space="preserve">Trên đây là </w:t>
      </w:r>
      <w:r w:rsidR="00275F52" w:rsidRPr="0020031F">
        <w:rPr>
          <w:lang w:val="eu-ES"/>
        </w:rPr>
        <w:t>Tờ trình về</w:t>
      </w:r>
      <w:r w:rsidRPr="0020031F">
        <w:rPr>
          <w:lang w:val="eu-ES"/>
        </w:rPr>
        <w:t xml:space="preserve"> dự thảo</w:t>
      </w:r>
      <w:r w:rsidR="00C1033F" w:rsidRPr="0020031F">
        <w:rPr>
          <w:lang w:val="eu-ES"/>
        </w:rPr>
        <w:t xml:space="preserve"> Luật sửa đổi, bổ sung một số điều của Luật Bảo hiểm xã hội</w:t>
      </w:r>
      <w:r w:rsidRPr="0020031F">
        <w:rPr>
          <w:b/>
          <w:lang w:val="eu-ES"/>
        </w:rPr>
        <w:t xml:space="preserve">, </w:t>
      </w:r>
      <w:r w:rsidR="009B7192" w:rsidRPr="0020031F">
        <w:rPr>
          <w:lang w:val="eu-ES"/>
        </w:rPr>
        <w:t xml:space="preserve">Bộ </w:t>
      </w:r>
      <w:r w:rsidR="00275F52" w:rsidRPr="0020031F">
        <w:rPr>
          <w:lang w:val="eu-ES"/>
        </w:rPr>
        <w:t>Nội vụ</w:t>
      </w:r>
      <w:r w:rsidR="009B7192" w:rsidRPr="0020031F">
        <w:rPr>
          <w:lang w:val="eu-ES"/>
        </w:rPr>
        <w:t xml:space="preserve"> kính trình Chính phủ</w:t>
      </w:r>
      <w:r w:rsidRPr="0020031F">
        <w:rPr>
          <w:lang w:val="eu-ES"/>
        </w:rPr>
        <w:t xml:space="preserve"> xem xét, quyết định</w:t>
      </w:r>
      <w:r w:rsidR="002928E9" w:rsidRPr="0020031F">
        <w:rPr>
          <w:lang w:val="eu-ES"/>
        </w:rPr>
        <w:t>./.</w:t>
      </w:r>
    </w:p>
    <w:p w14:paraId="18041AC6" w14:textId="3DF2C1CB" w:rsidR="002928E9" w:rsidRPr="0020031F" w:rsidRDefault="0079717C" w:rsidP="0020031F">
      <w:pPr>
        <w:spacing w:line="240" w:lineRule="auto"/>
        <w:rPr>
          <w:bCs/>
          <w:i/>
          <w:spacing w:val="-4"/>
          <w:lang w:val="eu-ES"/>
        </w:rPr>
      </w:pPr>
      <w:r w:rsidRPr="0020031F">
        <w:rPr>
          <w:i/>
          <w:spacing w:val="-4"/>
          <w:kern w:val="28"/>
          <w:lang w:val="eu-ES"/>
        </w:rPr>
        <w:t>H</w:t>
      </w:r>
      <w:r w:rsidR="00582837" w:rsidRPr="0020031F">
        <w:rPr>
          <w:i/>
          <w:spacing w:val="-4"/>
          <w:kern w:val="28"/>
          <w:lang w:val="eu-ES"/>
        </w:rPr>
        <w:t>ồ sơ kèm theo Tờ trình này gồm</w:t>
      </w:r>
      <w:r w:rsidR="002928E9" w:rsidRPr="0020031F">
        <w:rPr>
          <w:i/>
          <w:iCs/>
          <w:spacing w:val="-4"/>
          <w:lang w:val="eu-ES"/>
        </w:rPr>
        <w:t xml:space="preserve">: (1) </w:t>
      </w:r>
      <w:r w:rsidR="00485BCE" w:rsidRPr="0020031F">
        <w:rPr>
          <w:i/>
          <w:iCs/>
          <w:spacing w:val="-4"/>
          <w:lang w:val="eu-ES"/>
        </w:rPr>
        <w:t>Dự t</w:t>
      </w:r>
      <w:r w:rsidR="00C1033F" w:rsidRPr="0020031F">
        <w:rPr>
          <w:i/>
          <w:iCs/>
          <w:spacing w:val="-4"/>
          <w:lang w:val="eu-ES"/>
        </w:rPr>
        <w:t>hảo Luật</w:t>
      </w:r>
      <w:r w:rsidR="00485BCE" w:rsidRPr="0020031F">
        <w:rPr>
          <w:i/>
          <w:iCs/>
          <w:spacing w:val="-4"/>
          <w:lang w:val="eu-ES"/>
        </w:rPr>
        <w:t>; (</w:t>
      </w:r>
      <w:r w:rsidR="009B7192" w:rsidRPr="0020031F">
        <w:rPr>
          <w:i/>
          <w:iCs/>
          <w:spacing w:val="-4"/>
          <w:lang w:val="eu-ES"/>
        </w:rPr>
        <w:t>2</w:t>
      </w:r>
      <w:r w:rsidR="00C1033F" w:rsidRPr="0020031F">
        <w:rPr>
          <w:i/>
          <w:iCs/>
          <w:spacing w:val="-4"/>
          <w:lang w:val="eu-ES"/>
        </w:rPr>
        <w:t xml:space="preserve">); </w:t>
      </w:r>
      <w:r w:rsidR="00C1033F" w:rsidRPr="0020031F">
        <w:rPr>
          <w:i/>
          <w:shd w:val="clear" w:color="auto" w:fill="FFFFFF"/>
          <w:lang w:val="eu-ES"/>
        </w:rPr>
        <w:t>Bản so sánh</w:t>
      </w:r>
      <w:r w:rsidR="00896307">
        <w:rPr>
          <w:i/>
          <w:shd w:val="clear" w:color="auto" w:fill="FFFFFF"/>
          <w:lang w:val="eu-ES"/>
        </w:rPr>
        <w:t>, thuyết minh</w:t>
      </w:r>
      <w:r w:rsidR="00C1033F" w:rsidRPr="0020031F">
        <w:rPr>
          <w:i/>
          <w:shd w:val="clear" w:color="auto" w:fill="FFFFFF"/>
          <w:lang w:val="eu-ES"/>
        </w:rPr>
        <w:t xml:space="preserve"> </w:t>
      </w:r>
      <w:r w:rsidR="00896307">
        <w:rPr>
          <w:i/>
          <w:shd w:val="clear" w:color="auto" w:fill="FFFFFF"/>
          <w:lang w:val="eu-ES"/>
        </w:rPr>
        <w:t xml:space="preserve">nội dung </w:t>
      </w:r>
      <w:r w:rsidR="00C1033F" w:rsidRPr="0020031F">
        <w:rPr>
          <w:i/>
          <w:shd w:val="clear" w:color="auto" w:fill="FFFFFF"/>
          <w:lang w:val="eu-ES"/>
        </w:rPr>
        <w:t xml:space="preserve">dự thảo </w:t>
      </w:r>
      <w:r w:rsidR="00DD42F8" w:rsidRPr="0020031F">
        <w:rPr>
          <w:i/>
          <w:shd w:val="clear" w:color="auto" w:fill="FFFFFF"/>
          <w:lang w:val="eu-ES"/>
        </w:rPr>
        <w:t>Luật</w:t>
      </w:r>
      <w:r w:rsidR="00C1033F" w:rsidRPr="0020031F">
        <w:rPr>
          <w:i/>
          <w:shd w:val="clear" w:color="auto" w:fill="FFFFFF"/>
          <w:lang w:val="eu-ES"/>
        </w:rPr>
        <w:t>;</w:t>
      </w:r>
      <w:r w:rsidR="00C1033F" w:rsidRPr="0020031F">
        <w:rPr>
          <w:bCs/>
          <w:i/>
          <w:spacing w:val="-4"/>
          <w:lang w:val="eu-ES"/>
        </w:rPr>
        <w:t xml:space="preserve"> </w:t>
      </w:r>
      <w:r w:rsidR="00485BCE" w:rsidRPr="0020031F">
        <w:rPr>
          <w:bCs/>
          <w:i/>
          <w:spacing w:val="-4"/>
          <w:lang w:val="eu-ES"/>
        </w:rPr>
        <w:t>(</w:t>
      </w:r>
      <w:r w:rsidR="009B7192" w:rsidRPr="0020031F">
        <w:rPr>
          <w:bCs/>
          <w:i/>
          <w:spacing w:val="-4"/>
          <w:lang w:val="eu-ES"/>
        </w:rPr>
        <w:t>3</w:t>
      </w:r>
      <w:r w:rsidR="00485BCE" w:rsidRPr="0020031F">
        <w:rPr>
          <w:bCs/>
          <w:i/>
          <w:spacing w:val="-4"/>
          <w:lang w:val="eu-ES"/>
        </w:rPr>
        <w:t xml:space="preserve">) </w:t>
      </w:r>
      <w:r w:rsidR="00C63CCD">
        <w:rPr>
          <w:i/>
          <w:shd w:val="clear" w:color="auto" w:fill="FFFFFF"/>
          <w:lang w:val="eu-ES"/>
        </w:rPr>
        <w:t>Báo cáo tổng kết</w:t>
      </w:r>
      <w:r w:rsidR="00C1033F" w:rsidRPr="0020031F">
        <w:rPr>
          <w:i/>
          <w:shd w:val="clear" w:color="auto" w:fill="FFFFFF"/>
          <w:lang w:val="eu-ES"/>
        </w:rPr>
        <w:t xml:space="preserve"> thi hành </w:t>
      </w:r>
      <w:r w:rsidR="00896307">
        <w:rPr>
          <w:i/>
          <w:shd w:val="clear" w:color="auto" w:fill="FFFFFF"/>
          <w:lang w:val="eu-ES"/>
        </w:rPr>
        <w:t>Luật Bảo hiểm xã hội</w:t>
      </w:r>
      <w:r w:rsidR="00C1033F" w:rsidRPr="0020031F">
        <w:rPr>
          <w:i/>
          <w:shd w:val="clear" w:color="auto" w:fill="FFFFFF"/>
          <w:lang w:val="eu-ES"/>
        </w:rPr>
        <w:t>;</w:t>
      </w:r>
      <w:r w:rsidR="00C1033F" w:rsidRPr="0020031F">
        <w:rPr>
          <w:bCs/>
          <w:i/>
          <w:spacing w:val="-4"/>
          <w:lang w:val="eu-ES"/>
        </w:rPr>
        <w:t xml:space="preserve"> </w:t>
      </w:r>
      <w:r w:rsidR="00114E56">
        <w:rPr>
          <w:bCs/>
          <w:i/>
          <w:spacing w:val="-4"/>
          <w:lang w:val="eu-ES"/>
        </w:rPr>
        <w:t xml:space="preserve">(4) Bản rà soát các chủ trương, đường lối, văn bản quy phạm pháp luật, điều ước quốc tế có liên quan đến dự thảo Luật; </w:t>
      </w:r>
      <w:r w:rsidR="00485BCE" w:rsidRPr="0020031F">
        <w:rPr>
          <w:bCs/>
          <w:i/>
          <w:spacing w:val="-4"/>
          <w:lang w:val="eu-ES"/>
        </w:rPr>
        <w:t>(</w:t>
      </w:r>
      <w:r w:rsidR="00114E56">
        <w:rPr>
          <w:bCs/>
          <w:i/>
          <w:spacing w:val="-4"/>
          <w:lang w:val="eu-ES"/>
        </w:rPr>
        <w:t>5</w:t>
      </w:r>
      <w:r w:rsidR="006F598F" w:rsidRPr="0020031F">
        <w:rPr>
          <w:bCs/>
          <w:i/>
          <w:spacing w:val="-4"/>
          <w:lang w:val="eu-ES"/>
        </w:rPr>
        <w:t>)</w:t>
      </w:r>
      <w:r w:rsidR="00485BCE" w:rsidRPr="0020031F">
        <w:rPr>
          <w:bCs/>
          <w:i/>
          <w:spacing w:val="-4"/>
          <w:lang w:val="eu-ES"/>
        </w:rPr>
        <w:t xml:space="preserve"> </w:t>
      </w:r>
      <w:r w:rsidR="00AD22D1" w:rsidRPr="0020031F">
        <w:rPr>
          <w:i/>
          <w:shd w:val="clear" w:color="auto" w:fill="FFFFFF"/>
          <w:lang w:val="eu-ES"/>
        </w:rPr>
        <w:t>Bản tổng hợp ý kiến, tiếp thu, giải trình ý kiến góp ý, phản biện xã hội;</w:t>
      </w:r>
      <w:r w:rsidR="002F16BB" w:rsidRPr="0020031F">
        <w:rPr>
          <w:bCs/>
          <w:i/>
          <w:spacing w:val="-4"/>
          <w:lang w:val="eu-ES"/>
        </w:rPr>
        <w:t xml:space="preserve"> </w:t>
      </w:r>
      <w:r w:rsidR="004B4542" w:rsidRPr="0020031F">
        <w:rPr>
          <w:bCs/>
          <w:i/>
          <w:spacing w:val="-4"/>
          <w:lang w:val="eu-ES"/>
        </w:rPr>
        <w:t>(</w:t>
      </w:r>
      <w:r w:rsidR="00114E56">
        <w:rPr>
          <w:bCs/>
          <w:i/>
          <w:spacing w:val="-4"/>
          <w:lang w:val="eu-ES"/>
        </w:rPr>
        <w:t>6</w:t>
      </w:r>
      <w:r w:rsidR="004B4542" w:rsidRPr="0020031F">
        <w:rPr>
          <w:bCs/>
          <w:i/>
          <w:spacing w:val="-4"/>
          <w:lang w:val="eu-ES"/>
        </w:rPr>
        <w:t>)</w:t>
      </w:r>
      <w:r w:rsidR="00485BCE" w:rsidRPr="0020031F">
        <w:rPr>
          <w:bCs/>
          <w:i/>
          <w:spacing w:val="-4"/>
          <w:lang w:val="eu-ES"/>
        </w:rPr>
        <w:t xml:space="preserve"> Bảng tổng hợp giải trình, tiếp thu ý kiến góp </w:t>
      </w:r>
      <w:r w:rsidR="0078766C" w:rsidRPr="0020031F">
        <w:rPr>
          <w:bCs/>
          <w:i/>
          <w:spacing w:val="-4"/>
          <w:lang w:val="eu-ES"/>
        </w:rPr>
        <w:t>ý</w:t>
      </w:r>
      <w:r w:rsidR="002F16BB" w:rsidRPr="0020031F">
        <w:rPr>
          <w:bCs/>
          <w:i/>
          <w:spacing w:val="-4"/>
          <w:lang w:val="eu-ES"/>
        </w:rPr>
        <w:t>; (</w:t>
      </w:r>
      <w:r w:rsidR="00DD42F8" w:rsidRPr="0020031F">
        <w:rPr>
          <w:bCs/>
          <w:i/>
          <w:spacing w:val="-4"/>
          <w:lang w:val="eu-ES"/>
        </w:rPr>
        <w:t>6</w:t>
      </w:r>
      <w:r w:rsidR="002F16BB" w:rsidRPr="0020031F">
        <w:rPr>
          <w:bCs/>
          <w:i/>
          <w:spacing w:val="-4"/>
          <w:lang w:val="eu-ES"/>
        </w:rPr>
        <w:t>) Bản chụp ý kiến góp ý.</w:t>
      </w:r>
    </w:p>
    <w:p w14:paraId="397F58AB" w14:textId="77777777" w:rsidR="00C44152" w:rsidRPr="0020031F" w:rsidRDefault="00C44152" w:rsidP="0020031F">
      <w:pPr>
        <w:rPr>
          <w:bCs/>
          <w:i/>
          <w:spacing w:val="-4"/>
          <w:lang w:val="eu-ES"/>
        </w:rPr>
      </w:pPr>
    </w:p>
    <w:tbl>
      <w:tblPr>
        <w:tblW w:w="5000" w:type="pct"/>
        <w:tblLook w:val="01E0" w:firstRow="1" w:lastRow="1" w:firstColumn="1" w:lastColumn="1" w:noHBand="0" w:noVBand="0"/>
      </w:tblPr>
      <w:tblGrid>
        <w:gridCol w:w="4962"/>
        <w:gridCol w:w="4110"/>
      </w:tblGrid>
      <w:tr w:rsidR="0020031F" w:rsidRPr="000B6543" w14:paraId="0F7E28D6" w14:textId="77777777" w:rsidTr="00B00193">
        <w:tc>
          <w:tcPr>
            <w:tcW w:w="2735" w:type="pct"/>
          </w:tcPr>
          <w:p w14:paraId="7FD6535F" w14:textId="77777777" w:rsidR="00C44152" w:rsidRPr="0020031F" w:rsidRDefault="00C44152" w:rsidP="00B00193">
            <w:pPr>
              <w:spacing w:after="0" w:line="240" w:lineRule="auto"/>
              <w:ind w:firstLine="0"/>
              <w:jc w:val="left"/>
              <w:rPr>
                <w:b/>
                <w:i/>
                <w:sz w:val="24"/>
                <w:lang w:val="af-ZA"/>
              </w:rPr>
            </w:pPr>
            <w:r w:rsidRPr="0020031F">
              <w:rPr>
                <w:b/>
                <w:i/>
                <w:sz w:val="24"/>
                <w:lang w:val="af-ZA"/>
              </w:rPr>
              <w:t>Nơi nhận:</w:t>
            </w:r>
          </w:p>
          <w:p w14:paraId="5C495BB2" w14:textId="77777777" w:rsidR="00C44152" w:rsidRPr="0020031F" w:rsidRDefault="00C44152" w:rsidP="00B00193">
            <w:pPr>
              <w:spacing w:after="0" w:line="240" w:lineRule="auto"/>
              <w:ind w:firstLine="0"/>
              <w:jc w:val="left"/>
              <w:rPr>
                <w:sz w:val="22"/>
                <w:lang w:val="af-ZA"/>
              </w:rPr>
            </w:pPr>
            <w:r w:rsidRPr="0020031F">
              <w:rPr>
                <w:sz w:val="22"/>
                <w:lang w:val="af-ZA"/>
              </w:rPr>
              <w:t>- Như trên;</w:t>
            </w:r>
          </w:p>
          <w:p w14:paraId="054FA2FE" w14:textId="77777777" w:rsidR="00C44152" w:rsidRPr="0020031F" w:rsidRDefault="00C44152" w:rsidP="00B00193">
            <w:pPr>
              <w:spacing w:after="0" w:line="240" w:lineRule="auto"/>
              <w:ind w:firstLine="0"/>
              <w:jc w:val="left"/>
              <w:rPr>
                <w:sz w:val="22"/>
                <w:lang w:val="af-ZA"/>
              </w:rPr>
            </w:pPr>
            <w:r w:rsidRPr="0020031F">
              <w:rPr>
                <w:sz w:val="22"/>
                <w:lang w:val="af-ZA"/>
              </w:rPr>
              <w:t>- Thủ tướng, các Phó Thủ tướng Chính phủ;</w:t>
            </w:r>
          </w:p>
          <w:p w14:paraId="5C72A07A" w14:textId="125885B7" w:rsidR="00C44152" w:rsidRPr="0020031F" w:rsidRDefault="00C44152" w:rsidP="00B00193">
            <w:pPr>
              <w:spacing w:after="0" w:line="240" w:lineRule="auto"/>
              <w:ind w:firstLine="0"/>
              <w:jc w:val="left"/>
              <w:rPr>
                <w:sz w:val="22"/>
                <w:lang w:val="af-ZA"/>
              </w:rPr>
            </w:pPr>
            <w:r w:rsidRPr="0020031F">
              <w:rPr>
                <w:sz w:val="22"/>
                <w:lang w:val="af-ZA"/>
              </w:rPr>
              <w:t xml:space="preserve">- Văn phòng </w:t>
            </w:r>
            <w:r w:rsidR="00114E56">
              <w:rPr>
                <w:sz w:val="22"/>
                <w:lang w:val="af-ZA"/>
              </w:rPr>
              <w:t>Chính phủ</w:t>
            </w:r>
            <w:r w:rsidRPr="0020031F">
              <w:rPr>
                <w:sz w:val="22"/>
                <w:lang w:val="af-ZA"/>
              </w:rPr>
              <w:t>;</w:t>
            </w:r>
          </w:p>
          <w:p w14:paraId="0C2E7111" w14:textId="6EC4E09A" w:rsidR="00114E56" w:rsidRDefault="00C44152" w:rsidP="00B00193">
            <w:pPr>
              <w:spacing w:after="0" w:line="240" w:lineRule="auto"/>
              <w:ind w:firstLine="0"/>
              <w:jc w:val="left"/>
              <w:rPr>
                <w:sz w:val="22"/>
                <w:lang w:val="af-ZA"/>
              </w:rPr>
            </w:pPr>
            <w:r w:rsidRPr="0020031F">
              <w:rPr>
                <w:sz w:val="22"/>
                <w:lang w:val="af-ZA"/>
              </w:rPr>
              <w:t xml:space="preserve">- </w:t>
            </w:r>
            <w:r w:rsidR="00114E56">
              <w:rPr>
                <w:sz w:val="22"/>
                <w:lang w:val="af-ZA"/>
              </w:rPr>
              <w:t>Bộ Tư pháp</w:t>
            </w:r>
          </w:p>
          <w:p w14:paraId="5CAD8DA5" w14:textId="55B53C13" w:rsidR="00C44152" w:rsidRPr="0020031F" w:rsidRDefault="00C44152" w:rsidP="00B00193">
            <w:pPr>
              <w:spacing w:after="0" w:line="240" w:lineRule="auto"/>
              <w:ind w:firstLine="0"/>
              <w:jc w:val="left"/>
              <w:rPr>
                <w:lang w:val="nl-NL"/>
              </w:rPr>
            </w:pPr>
            <w:r w:rsidRPr="0020031F">
              <w:rPr>
                <w:sz w:val="22"/>
                <w:lang w:val="nl-NL"/>
              </w:rPr>
              <w:t>- Lưu: VT,</w:t>
            </w:r>
            <w:r w:rsidR="00114E56">
              <w:rPr>
                <w:sz w:val="22"/>
                <w:lang w:val="nl-NL"/>
              </w:rPr>
              <w:t xml:space="preserve"> CTL&amp;BHXH</w:t>
            </w:r>
            <w:r w:rsidRPr="0020031F">
              <w:rPr>
                <w:sz w:val="22"/>
                <w:lang w:val="nl-NL"/>
              </w:rPr>
              <w:t>.</w:t>
            </w:r>
            <w:bookmarkStart w:id="7" w:name="_GoBack"/>
            <w:bookmarkEnd w:id="7"/>
          </w:p>
        </w:tc>
        <w:tc>
          <w:tcPr>
            <w:tcW w:w="2265" w:type="pct"/>
          </w:tcPr>
          <w:p w14:paraId="2567448D" w14:textId="2070F5BE" w:rsidR="00C44152" w:rsidRPr="0020031F" w:rsidRDefault="00C44152" w:rsidP="00B00193">
            <w:pPr>
              <w:spacing w:after="0" w:line="240" w:lineRule="auto"/>
              <w:ind w:firstLine="0"/>
              <w:jc w:val="center"/>
              <w:rPr>
                <w:b/>
                <w:lang w:val="nl-NL"/>
              </w:rPr>
            </w:pPr>
          </w:p>
          <w:p w14:paraId="55B30FDC" w14:textId="3F33ED67" w:rsidR="00C44152" w:rsidRPr="0020031F" w:rsidRDefault="00C44152" w:rsidP="000B6543">
            <w:pPr>
              <w:spacing w:after="0" w:line="240" w:lineRule="auto"/>
              <w:ind w:firstLine="0"/>
              <w:jc w:val="center"/>
              <w:rPr>
                <w:b/>
                <w:sz w:val="18"/>
                <w:szCs w:val="26"/>
                <w:lang w:val="nl-NL"/>
              </w:rPr>
            </w:pPr>
            <w:r w:rsidRPr="0020031F">
              <w:rPr>
                <w:b/>
                <w:lang w:val="nl-NL"/>
              </w:rPr>
              <w:t xml:space="preserve">BỘ TRƯỞNG </w:t>
            </w:r>
          </w:p>
          <w:p w14:paraId="51744609" w14:textId="77777777" w:rsidR="00C44152" w:rsidRPr="0020031F" w:rsidRDefault="00C44152" w:rsidP="00B00193">
            <w:pPr>
              <w:widowControl w:val="0"/>
              <w:autoSpaceDE w:val="0"/>
              <w:autoSpaceDN w:val="0"/>
              <w:spacing w:after="0" w:line="240" w:lineRule="auto"/>
              <w:jc w:val="center"/>
              <w:textAlignment w:val="center"/>
              <w:rPr>
                <w:b/>
                <w:sz w:val="24"/>
                <w:szCs w:val="26"/>
                <w:lang w:val="nl-NL"/>
              </w:rPr>
            </w:pPr>
          </w:p>
          <w:p w14:paraId="74AF9C4F" w14:textId="77777777" w:rsidR="00C44152" w:rsidRPr="0020031F" w:rsidRDefault="00C44152" w:rsidP="00B00193">
            <w:pPr>
              <w:widowControl w:val="0"/>
              <w:autoSpaceDE w:val="0"/>
              <w:autoSpaceDN w:val="0"/>
              <w:spacing w:after="0" w:line="240" w:lineRule="auto"/>
              <w:jc w:val="center"/>
              <w:textAlignment w:val="center"/>
              <w:rPr>
                <w:b/>
                <w:sz w:val="96"/>
                <w:szCs w:val="26"/>
                <w:lang w:val="nl-NL"/>
              </w:rPr>
            </w:pPr>
            <w:r w:rsidRPr="0020031F">
              <w:rPr>
                <w:b/>
                <w:sz w:val="24"/>
                <w:szCs w:val="26"/>
                <w:lang w:val="nl-NL"/>
              </w:rPr>
              <w:t xml:space="preserve"> </w:t>
            </w:r>
          </w:p>
          <w:p w14:paraId="100C8920" w14:textId="77777777" w:rsidR="00C44152" w:rsidRPr="0020031F" w:rsidRDefault="00C44152" w:rsidP="00B00193">
            <w:pPr>
              <w:widowControl w:val="0"/>
              <w:autoSpaceDE w:val="0"/>
              <w:autoSpaceDN w:val="0"/>
              <w:spacing w:after="0" w:line="240" w:lineRule="auto"/>
              <w:jc w:val="center"/>
              <w:textAlignment w:val="center"/>
              <w:rPr>
                <w:b/>
                <w:bCs/>
                <w:sz w:val="18"/>
                <w:szCs w:val="26"/>
                <w:lang w:val="nl-NL"/>
              </w:rPr>
            </w:pPr>
          </w:p>
          <w:p w14:paraId="4BF53F01" w14:textId="77777777" w:rsidR="00C44152" w:rsidRPr="0020031F" w:rsidRDefault="00C44152" w:rsidP="00B00193">
            <w:pPr>
              <w:widowControl w:val="0"/>
              <w:autoSpaceDE w:val="0"/>
              <w:autoSpaceDN w:val="0"/>
              <w:spacing w:after="0" w:line="240" w:lineRule="auto"/>
              <w:jc w:val="center"/>
              <w:textAlignment w:val="center"/>
              <w:rPr>
                <w:b/>
                <w:bCs/>
                <w:sz w:val="18"/>
                <w:szCs w:val="26"/>
                <w:lang w:val="nl-NL"/>
              </w:rPr>
            </w:pPr>
          </w:p>
          <w:p w14:paraId="1A7EF3EA" w14:textId="77777777" w:rsidR="00C44152" w:rsidRPr="0020031F" w:rsidRDefault="00C44152" w:rsidP="00B00193">
            <w:pPr>
              <w:widowControl w:val="0"/>
              <w:autoSpaceDE w:val="0"/>
              <w:autoSpaceDN w:val="0"/>
              <w:spacing w:after="0" w:line="240" w:lineRule="auto"/>
              <w:jc w:val="center"/>
              <w:textAlignment w:val="center"/>
              <w:rPr>
                <w:b/>
                <w:bCs/>
                <w:sz w:val="18"/>
                <w:szCs w:val="26"/>
                <w:lang w:val="nl-NL"/>
              </w:rPr>
            </w:pPr>
          </w:p>
          <w:p w14:paraId="136016BA" w14:textId="77777777" w:rsidR="00C44152" w:rsidRPr="0020031F" w:rsidRDefault="00C44152" w:rsidP="00B00193">
            <w:pPr>
              <w:spacing w:after="0" w:line="240" w:lineRule="auto"/>
              <w:ind w:firstLine="0"/>
              <w:jc w:val="center"/>
              <w:rPr>
                <w:b/>
                <w:lang w:val="nl-NL"/>
              </w:rPr>
            </w:pPr>
          </w:p>
          <w:p w14:paraId="68549251" w14:textId="0CB5CC6D" w:rsidR="00C44152" w:rsidRPr="0020031F" w:rsidRDefault="00C44152" w:rsidP="00B00193">
            <w:pPr>
              <w:spacing w:after="0" w:line="240" w:lineRule="auto"/>
              <w:ind w:firstLine="0"/>
              <w:jc w:val="center"/>
              <w:rPr>
                <w:b/>
                <w:lang w:val="nl-NL"/>
              </w:rPr>
            </w:pPr>
            <w:r w:rsidRPr="0020031F">
              <w:rPr>
                <w:b/>
                <w:lang w:val="nl-NL"/>
              </w:rPr>
              <w:t>Đỗ Thanh Bình</w:t>
            </w:r>
          </w:p>
        </w:tc>
      </w:tr>
    </w:tbl>
    <w:p w14:paraId="11D91E50" w14:textId="5A349BF2" w:rsidR="0011034B" w:rsidRPr="0020031F" w:rsidRDefault="0011034B" w:rsidP="0020031F">
      <w:pPr>
        <w:ind w:firstLine="0"/>
        <w:rPr>
          <w:lang w:val="eu-ES"/>
        </w:rPr>
      </w:pPr>
    </w:p>
    <w:sectPr w:rsidR="0011034B" w:rsidRPr="0020031F" w:rsidSect="00465409">
      <w:headerReference w:type="default" r:id="rId7"/>
      <w:footerReference w:type="even" r:id="rId8"/>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4E7BC" w14:textId="77777777" w:rsidR="00437146" w:rsidRDefault="00437146" w:rsidP="002928E9">
      <w:r>
        <w:separator/>
      </w:r>
    </w:p>
  </w:endnote>
  <w:endnote w:type="continuationSeparator" w:id="0">
    <w:p w14:paraId="0BCD7E4C" w14:textId="77777777" w:rsidR="00437146" w:rsidRDefault="00437146" w:rsidP="0029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EFF" w:usb1="F9DFFFFF" w:usb2="0000007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918D" w14:textId="77777777" w:rsidR="00390FC6" w:rsidRDefault="00390FC6" w:rsidP="00E47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6982E" w14:textId="77777777" w:rsidR="00390FC6" w:rsidRDefault="00390F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45A03" w14:textId="77777777" w:rsidR="00437146" w:rsidRDefault="00437146" w:rsidP="002928E9">
      <w:r>
        <w:separator/>
      </w:r>
    </w:p>
  </w:footnote>
  <w:footnote w:type="continuationSeparator" w:id="0">
    <w:p w14:paraId="1B238A57" w14:textId="77777777" w:rsidR="00437146" w:rsidRDefault="00437146" w:rsidP="00292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3271" w14:textId="47E8C185" w:rsidR="00390FC6" w:rsidRDefault="00390FC6" w:rsidP="0020031F">
    <w:pPr>
      <w:pStyle w:val="Header"/>
      <w:spacing w:after="0" w:line="240" w:lineRule="auto"/>
      <w:ind w:firstLine="0"/>
      <w:jc w:val="center"/>
    </w:pPr>
    <w:r>
      <w:fldChar w:fldCharType="begin"/>
    </w:r>
    <w:r>
      <w:instrText xml:space="preserve"> PAGE   \* MERGEFORMAT </w:instrText>
    </w:r>
    <w:r>
      <w:fldChar w:fldCharType="separate"/>
    </w:r>
    <w:r w:rsidR="00445C8B">
      <w:rPr>
        <w:noProof/>
      </w:rPr>
      <w:t>11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4C"/>
    <w:rsid w:val="00002E2A"/>
    <w:rsid w:val="000047AE"/>
    <w:rsid w:val="00015EB7"/>
    <w:rsid w:val="00020093"/>
    <w:rsid w:val="00021EFA"/>
    <w:rsid w:val="00023128"/>
    <w:rsid w:val="000232FB"/>
    <w:rsid w:val="00030A4E"/>
    <w:rsid w:val="00041919"/>
    <w:rsid w:val="00043A97"/>
    <w:rsid w:val="00047226"/>
    <w:rsid w:val="00050029"/>
    <w:rsid w:val="00055658"/>
    <w:rsid w:val="00055BDE"/>
    <w:rsid w:val="0005755E"/>
    <w:rsid w:val="00073B30"/>
    <w:rsid w:val="00073BCC"/>
    <w:rsid w:val="00073EDE"/>
    <w:rsid w:val="00081D75"/>
    <w:rsid w:val="000868A5"/>
    <w:rsid w:val="000906A5"/>
    <w:rsid w:val="00090B78"/>
    <w:rsid w:val="00097EBC"/>
    <w:rsid w:val="000A27DA"/>
    <w:rsid w:val="000A5906"/>
    <w:rsid w:val="000B5817"/>
    <w:rsid w:val="000B6543"/>
    <w:rsid w:val="000B7E43"/>
    <w:rsid w:val="000C3B82"/>
    <w:rsid w:val="000D3A9D"/>
    <w:rsid w:val="000E1922"/>
    <w:rsid w:val="000E2082"/>
    <w:rsid w:val="000E2EEF"/>
    <w:rsid w:val="000F2387"/>
    <w:rsid w:val="000F3625"/>
    <w:rsid w:val="000F3AFF"/>
    <w:rsid w:val="000F60FE"/>
    <w:rsid w:val="00106479"/>
    <w:rsid w:val="00107C86"/>
    <w:rsid w:val="0011034B"/>
    <w:rsid w:val="001103D8"/>
    <w:rsid w:val="00114E56"/>
    <w:rsid w:val="00133FEC"/>
    <w:rsid w:val="00136619"/>
    <w:rsid w:val="001478CD"/>
    <w:rsid w:val="00150599"/>
    <w:rsid w:val="00152BD7"/>
    <w:rsid w:val="00155672"/>
    <w:rsid w:val="00156B3A"/>
    <w:rsid w:val="00157549"/>
    <w:rsid w:val="00171DDC"/>
    <w:rsid w:val="001834B0"/>
    <w:rsid w:val="0018409A"/>
    <w:rsid w:val="00191336"/>
    <w:rsid w:val="001924C6"/>
    <w:rsid w:val="001A0081"/>
    <w:rsid w:val="001A04DD"/>
    <w:rsid w:val="001A4190"/>
    <w:rsid w:val="001A5BF5"/>
    <w:rsid w:val="001A787C"/>
    <w:rsid w:val="001B6E9B"/>
    <w:rsid w:val="001C62B5"/>
    <w:rsid w:val="001D10B2"/>
    <w:rsid w:val="001D34B3"/>
    <w:rsid w:val="001E31FD"/>
    <w:rsid w:val="001F555C"/>
    <w:rsid w:val="002000E4"/>
    <w:rsid w:val="0020031F"/>
    <w:rsid w:val="002110D1"/>
    <w:rsid w:val="0021202F"/>
    <w:rsid w:val="00212BB3"/>
    <w:rsid w:val="0021359D"/>
    <w:rsid w:val="00215371"/>
    <w:rsid w:val="00217429"/>
    <w:rsid w:val="002416DE"/>
    <w:rsid w:val="00242149"/>
    <w:rsid w:val="00244AC6"/>
    <w:rsid w:val="00245C27"/>
    <w:rsid w:val="002461F2"/>
    <w:rsid w:val="00250763"/>
    <w:rsid w:val="002527EC"/>
    <w:rsid w:val="0026076B"/>
    <w:rsid w:val="002644B9"/>
    <w:rsid w:val="00274FFD"/>
    <w:rsid w:val="00275F52"/>
    <w:rsid w:val="00287431"/>
    <w:rsid w:val="00287976"/>
    <w:rsid w:val="002928E9"/>
    <w:rsid w:val="00292E67"/>
    <w:rsid w:val="002A050E"/>
    <w:rsid w:val="002A45B9"/>
    <w:rsid w:val="002B1E7A"/>
    <w:rsid w:val="002B3DF7"/>
    <w:rsid w:val="002C3DA0"/>
    <w:rsid w:val="002C4CEF"/>
    <w:rsid w:val="002C61AC"/>
    <w:rsid w:val="002D56B1"/>
    <w:rsid w:val="002E2274"/>
    <w:rsid w:val="002E7242"/>
    <w:rsid w:val="002F113D"/>
    <w:rsid w:val="002F155F"/>
    <w:rsid w:val="002F16BB"/>
    <w:rsid w:val="00302C40"/>
    <w:rsid w:val="00303F44"/>
    <w:rsid w:val="0030605F"/>
    <w:rsid w:val="003065F9"/>
    <w:rsid w:val="003114ED"/>
    <w:rsid w:val="0031574A"/>
    <w:rsid w:val="003208D8"/>
    <w:rsid w:val="003259B0"/>
    <w:rsid w:val="00334D70"/>
    <w:rsid w:val="00337EA1"/>
    <w:rsid w:val="0034583E"/>
    <w:rsid w:val="003478B9"/>
    <w:rsid w:val="0035281D"/>
    <w:rsid w:val="003545C2"/>
    <w:rsid w:val="003609D6"/>
    <w:rsid w:val="00361B1C"/>
    <w:rsid w:val="00363D6C"/>
    <w:rsid w:val="00364995"/>
    <w:rsid w:val="0037022D"/>
    <w:rsid w:val="00371EFD"/>
    <w:rsid w:val="00373E92"/>
    <w:rsid w:val="00380CE4"/>
    <w:rsid w:val="00385056"/>
    <w:rsid w:val="003878ED"/>
    <w:rsid w:val="0039084F"/>
    <w:rsid w:val="00390FC6"/>
    <w:rsid w:val="00394690"/>
    <w:rsid w:val="003967E3"/>
    <w:rsid w:val="003A7168"/>
    <w:rsid w:val="003B2275"/>
    <w:rsid w:val="003B2324"/>
    <w:rsid w:val="003B7D09"/>
    <w:rsid w:val="003C0B76"/>
    <w:rsid w:val="003C1368"/>
    <w:rsid w:val="003C28B3"/>
    <w:rsid w:val="003C4527"/>
    <w:rsid w:val="003C4E81"/>
    <w:rsid w:val="003D49C1"/>
    <w:rsid w:val="003D516B"/>
    <w:rsid w:val="003D6F1C"/>
    <w:rsid w:val="003E0CA3"/>
    <w:rsid w:val="003E717F"/>
    <w:rsid w:val="003F101C"/>
    <w:rsid w:val="00400AB4"/>
    <w:rsid w:val="00407F60"/>
    <w:rsid w:val="00414FFA"/>
    <w:rsid w:val="00415433"/>
    <w:rsid w:val="00415440"/>
    <w:rsid w:val="004159A4"/>
    <w:rsid w:val="00420719"/>
    <w:rsid w:val="00423080"/>
    <w:rsid w:val="00423C6E"/>
    <w:rsid w:val="00426187"/>
    <w:rsid w:val="004337BD"/>
    <w:rsid w:val="00437146"/>
    <w:rsid w:val="004441F7"/>
    <w:rsid w:val="0044539E"/>
    <w:rsid w:val="004453CE"/>
    <w:rsid w:val="00445C11"/>
    <w:rsid w:val="00445C8B"/>
    <w:rsid w:val="0045518D"/>
    <w:rsid w:val="00456D6B"/>
    <w:rsid w:val="004641EB"/>
    <w:rsid w:val="00465340"/>
    <w:rsid w:val="00465409"/>
    <w:rsid w:val="00476B79"/>
    <w:rsid w:val="00476C98"/>
    <w:rsid w:val="00485BCE"/>
    <w:rsid w:val="00486065"/>
    <w:rsid w:val="004865A2"/>
    <w:rsid w:val="00486DEE"/>
    <w:rsid w:val="004A0102"/>
    <w:rsid w:val="004A185D"/>
    <w:rsid w:val="004A4005"/>
    <w:rsid w:val="004A7C9F"/>
    <w:rsid w:val="004B4542"/>
    <w:rsid w:val="004B596C"/>
    <w:rsid w:val="004C3E2E"/>
    <w:rsid w:val="004D1540"/>
    <w:rsid w:val="004D3B4F"/>
    <w:rsid w:val="004D6D7B"/>
    <w:rsid w:val="004D79D7"/>
    <w:rsid w:val="004E0E65"/>
    <w:rsid w:val="004E1166"/>
    <w:rsid w:val="004E4588"/>
    <w:rsid w:val="00500469"/>
    <w:rsid w:val="00514B5B"/>
    <w:rsid w:val="00523194"/>
    <w:rsid w:val="0052435B"/>
    <w:rsid w:val="005277B5"/>
    <w:rsid w:val="00533A3E"/>
    <w:rsid w:val="00536A6D"/>
    <w:rsid w:val="00536AFC"/>
    <w:rsid w:val="005406CA"/>
    <w:rsid w:val="00545A02"/>
    <w:rsid w:val="00552AE6"/>
    <w:rsid w:val="005542BD"/>
    <w:rsid w:val="0055717E"/>
    <w:rsid w:val="00562480"/>
    <w:rsid w:val="005665E7"/>
    <w:rsid w:val="00576F35"/>
    <w:rsid w:val="00582837"/>
    <w:rsid w:val="0058427A"/>
    <w:rsid w:val="00585489"/>
    <w:rsid w:val="0059191D"/>
    <w:rsid w:val="00591C76"/>
    <w:rsid w:val="005922D0"/>
    <w:rsid w:val="005949EE"/>
    <w:rsid w:val="005973C5"/>
    <w:rsid w:val="005A2F32"/>
    <w:rsid w:val="005A307D"/>
    <w:rsid w:val="005A4A9A"/>
    <w:rsid w:val="005B3447"/>
    <w:rsid w:val="005B3B0C"/>
    <w:rsid w:val="005B4607"/>
    <w:rsid w:val="005B7813"/>
    <w:rsid w:val="005C42AE"/>
    <w:rsid w:val="005C6B6B"/>
    <w:rsid w:val="005D01E8"/>
    <w:rsid w:val="005D2D6B"/>
    <w:rsid w:val="005D4564"/>
    <w:rsid w:val="005D4689"/>
    <w:rsid w:val="005D4E1D"/>
    <w:rsid w:val="005E3885"/>
    <w:rsid w:val="005E4964"/>
    <w:rsid w:val="005E7419"/>
    <w:rsid w:val="00600751"/>
    <w:rsid w:val="00605C55"/>
    <w:rsid w:val="006067BC"/>
    <w:rsid w:val="00612D08"/>
    <w:rsid w:val="00613B69"/>
    <w:rsid w:val="006151A1"/>
    <w:rsid w:val="00625649"/>
    <w:rsid w:val="006273C8"/>
    <w:rsid w:val="00631261"/>
    <w:rsid w:val="00631B58"/>
    <w:rsid w:val="006323A2"/>
    <w:rsid w:val="006339A2"/>
    <w:rsid w:val="00633BFD"/>
    <w:rsid w:val="0063742E"/>
    <w:rsid w:val="00643CF5"/>
    <w:rsid w:val="00645FDA"/>
    <w:rsid w:val="00652276"/>
    <w:rsid w:val="00664788"/>
    <w:rsid w:val="00666BE7"/>
    <w:rsid w:val="006705E5"/>
    <w:rsid w:val="00672548"/>
    <w:rsid w:val="0067269C"/>
    <w:rsid w:val="00673101"/>
    <w:rsid w:val="006803ED"/>
    <w:rsid w:val="006812C0"/>
    <w:rsid w:val="00681DDD"/>
    <w:rsid w:val="00684F55"/>
    <w:rsid w:val="00685E85"/>
    <w:rsid w:val="00694525"/>
    <w:rsid w:val="006A2F3F"/>
    <w:rsid w:val="006A7D7B"/>
    <w:rsid w:val="006C0294"/>
    <w:rsid w:val="006C197C"/>
    <w:rsid w:val="006C2067"/>
    <w:rsid w:val="006C26B5"/>
    <w:rsid w:val="006C6B1A"/>
    <w:rsid w:val="006D03D7"/>
    <w:rsid w:val="006D4DC1"/>
    <w:rsid w:val="006E2D8C"/>
    <w:rsid w:val="006E4101"/>
    <w:rsid w:val="006F598F"/>
    <w:rsid w:val="00701624"/>
    <w:rsid w:val="00701A21"/>
    <w:rsid w:val="00702AFF"/>
    <w:rsid w:val="00710CD8"/>
    <w:rsid w:val="007110B2"/>
    <w:rsid w:val="007155B7"/>
    <w:rsid w:val="007229A0"/>
    <w:rsid w:val="00724A7B"/>
    <w:rsid w:val="00726F34"/>
    <w:rsid w:val="00727C46"/>
    <w:rsid w:val="007329D7"/>
    <w:rsid w:val="007334BC"/>
    <w:rsid w:val="0074195A"/>
    <w:rsid w:val="00742A88"/>
    <w:rsid w:val="007505F2"/>
    <w:rsid w:val="00751C0A"/>
    <w:rsid w:val="00760388"/>
    <w:rsid w:val="00760C97"/>
    <w:rsid w:val="00760D74"/>
    <w:rsid w:val="00761477"/>
    <w:rsid w:val="00766925"/>
    <w:rsid w:val="00770FEB"/>
    <w:rsid w:val="00773E9F"/>
    <w:rsid w:val="00785EDF"/>
    <w:rsid w:val="0078766C"/>
    <w:rsid w:val="0079254C"/>
    <w:rsid w:val="0079637C"/>
    <w:rsid w:val="0079717C"/>
    <w:rsid w:val="007A4E69"/>
    <w:rsid w:val="007A50A0"/>
    <w:rsid w:val="007A7D72"/>
    <w:rsid w:val="007B007B"/>
    <w:rsid w:val="007B6A66"/>
    <w:rsid w:val="007C32BA"/>
    <w:rsid w:val="007C7F03"/>
    <w:rsid w:val="007D40DF"/>
    <w:rsid w:val="007D58C5"/>
    <w:rsid w:val="007E1745"/>
    <w:rsid w:val="007E5A4A"/>
    <w:rsid w:val="007F0B6D"/>
    <w:rsid w:val="007F2FFA"/>
    <w:rsid w:val="007F383B"/>
    <w:rsid w:val="007F40C9"/>
    <w:rsid w:val="007F7297"/>
    <w:rsid w:val="00800DA7"/>
    <w:rsid w:val="0080352D"/>
    <w:rsid w:val="00821893"/>
    <w:rsid w:val="0082403D"/>
    <w:rsid w:val="00832927"/>
    <w:rsid w:val="008336BE"/>
    <w:rsid w:val="008370F6"/>
    <w:rsid w:val="00837A41"/>
    <w:rsid w:val="00841669"/>
    <w:rsid w:val="00847F11"/>
    <w:rsid w:val="008528BA"/>
    <w:rsid w:val="00860ACE"/>
    <w:rsid w:val="00874965"/>
    <w:rsid w:val="00876AE5"/>
    <w:rsid w:val="00883A3D"/>
    <w:rsid w:val="00883A90"/>
    <w:rsid w:val="00886B01"/>
    <w:rsid w:val="00891B4E"/>
    <w:rsid w:val="00893299"/>
    <w:rsid w:val="00896307"/>
    <w:rsid w:val="008A2C67"/>
    <w:rsid w:val="008A2D83"/>
    <w:rsid w:val="008A50E4"/>
    <w:rsid w:val="008A61DA"/>
    <w:rsid w:val="008B4C1D"/>
    <w:rsid w:val="008B4FA7"/>
    <w:rsid w:val="008B62FF"/>
    <w:rsid w:val="008C7140"/>
    <w:rsid w:val="008D7679"/>
    <w:rsid w:val="008E57DB"/>
    <w:rsid w:val="008F17A3"/>
    <w:rsid w:val="008F1DC4"/>
    <w:rsid w:val="008F5309"/>
    <w:rsid w:val="008F5645"/>
    <w:rsid w:val="009038F3"/>
    <w:rsid w:val="00904957"/>
    <w:rsid w:val="00911417"/>
    <w:rsid w:val="00911F20"/>
    <w:rsid w:val="009157FA"/>
    <w:rsid w:val="009218C8"/>
    <w:rsid w:val="0092205F"/>
    <w:rsid w:val="00922B34"/>
    <w:rsid w:val="0093744A"/>
    <w:rsid w:val="00940840"/>
    <w:rsid w:val="0094687D"/>
    <w:rsid w:val="009530F4"/>
    <w:rsid w:val="00953A52"/>
    <w:rsid w:val="00956DD2"/>
    <w:rsid w:val="00962390"/>
    <w:rsid w:val="00970942"/>
    <w:rsid w:val="009760DB"/>
    <w:rsid w:val="00977E20"/>
    <w:rsid w:val="00977EA9"/>
    <w:rsid w:val="00984FFA"/>
    <w:rsid w:val="00993010"/>
    <w:rsid w:val="00993A20"/>
    <w:rsid w:val="0099559E"/>
    <w:rsid w:val="0099656F"/>
    <w:rsid w:val="009A4F6A"/>
    <w:rsid w:val="009B33BC"/>
    <w:rsid w:val="009B4E25"/>
    <w:rsid w:val="009B7192"/>
    <w:rsid w:val="009B7BBD"/>
    <w:rsid w:val="009C06F1"/>
    <w:rsid w:val="009D312E"/>
    <w:rsid w:val="009D46E0"/>
    <w:rsid w:val="009E1288"/>
    <w:rsid w:val="009E3332"/>
    <w:rsid w:val="009E3E50"/>
    <w:rsid w:val="009E46AD"/>
    <w:rsid w:val="009E5E41"/>
    <w:rsid w:val="009E6FEA"/>
    <w:rsid w:val="009F087A"/>
    <w:rsid w:val="009F2410"/>
    <w:rsid w:val="009F3374"/>
    <w:rsid w:val="009F354E"/>
    <w:rsid w:val="009F4017"/>
    <w:rsid w:val="009F56E5"/>
    <w:rsid w:val="00A02679"/>
    <w:rsid w:val="00A07A45"/>
    <w:rsid w:val="00A07E82"/>
    <w:rsid w:val="00A1001D"/>
    <w:rsid w:val="00A14FD6"/>
    <w:rsid w:val="00A20130"/>
    <w:rsid w:val="00A23FC5"/>
    <w:rsid w:val="00A340DA"/>
    <w:rsid w:val="00A35527"/>
    <w:rsid w:val="00A3687D"/>
    <w:rsid w:val="00A37266"/>
    <w:rsid w:val="00A411C7"/>
    <w:rsid w:val="00A4485B"/>
    <w:rsid w:val="00A469BA"/>
    <w:rsid w:val="00A47E74"/>
    <w:rsid w:val="00A627E6"/>
    <w:rsid w:val="00A63E72"/>
    <w:rsid w:val="00A7628C"/>
    <w:rsid w:val="00A869EB"/>
    <w:rsid w:val="00A97587"/>
    <w:rsid w:val="00AA0D68"/>
    <w:rsid w:val="00AA113C"/>
    <w:rsid w:val="00AA4287"/>
    <w:rsid w:val="00AA791C"/>
    <w:rsid w:val="00AB25E0"/>
    <w:rsid w:val="00AC2F3B"/>
    <w:rsid w:val="00AD22D1"/>
    <w:rsid w:val="00AD3D28"/>
    <w:rsid w:val="00AD63EC"/>
    <w:rsid w:val="00AE4F25"/>
    <w:rsid w:val="00AF47D8"/>
    <w:rsid w:val="00B06C40"/>
    <w:rsid w:val="00B06DCA"/>
    <w:rsid w:val="00B1275F"/>
    <w:rsid w:val="00B14691"/>
    <w:rsid w:val="00B244E8"/>
    <w:rsid w:val="00B26B28"/>
    <w:rsid w:val="00B27DF3"/>
    <w:rsid w:val="00B30FAE"/>
    <w:rsid w:val="00B31F9C"/>
    <w:rsid w:val="00B34B7A"/>
    <w:rsid w:val="00B37985"/>
    <w:rsid w:val="00B43826"/>
    <w:rsid w:val="00B43877"/>
    <w:rsid w:val="00B439E5"/>
    <w:rsid w:val="00B43E69"/>
    <w:rsid w:val="00B51ED3"/>
    <w:rsid w:val="00B52E2C"/>
    <w:rsid w:val="00B55061"/>
    <w:rsid w:val="00B6021F"/>
    <w:rsid w:val="00B63D32"/>
    <w:rsid w:val="00B73689"/>
    <w:rsid w:val="00B7435B"/>
    <w:rsid w:val="00B8164F"/>
    <w:rsid w:val="00B82368"/>
    <w:rsid w:val="00B838FD"/>
    <w:rsid w:val="00B84AFA"/>
    <w:rsid w:val="00B86D9A"/>
    <w:rsid w:val="00B87264"/>
    <w:rsid w:val="00B93E05"/>
    <w:rsid w:val="00BA5E4F"/>
    <w:rsid w:val="00BB2194"/>
    <w:rsid w:val="00BB5343"/>
    <w:rsid w:val="00BC0698"/>
    <w:rsid w:val="00BC3D39"/>
    <w:rsid w:val="00BC4909"/>
    <w:rsid w:val="00BF07AD"/>
    <w:rsid w:val="00BF1848"/>
    <w:rsid w:val="00BF1A91"/>
    <w:rsid w:val="00BF36C3"/>
    <w:rsid w:val="00BF3F04"/>
    <w:rsid w:val="00BF4E35"/>
    <w:rsid w:val="00BF66EE"/>
    <w:rsid w:val="00C1033F"/>
    <w:rsid w:val="00C103F5"/>
    <w:rsid w:val="00C11E83"/>
    <w:rsid w:val="00C145D9"/>
    <w:rsid w:val="00C169AD"/>
    <w:rsid w:val="00C2063A"/>
    <w:rsid w:val="00C26A07"/>
    <w:rsid w:val="00C3033E"/>
    <w:rsid w:val="00C314A3"/>
    <w:rsid w:val="00C31632"/>
    <w:rsid w:val="00C32695"/>
    <w:rsid w:val="00C32A6F"/>
    <w:rsid w:val="00C32F40"/>
    <w:rsid w:val="00C36C76"/>
    <w:rsid w:val="00C43E9F"/>
    <w:rsid w:val="00C44152"/>
    <w:rsid w:val="00C47BA6"/>
    <w:rsid w:val="00C5103F"/>
    <w:rsid w:val="00C55B70"/>
    <w:rsid w:val="00C604FD"/>
    <w:rsid w:val="00C63CCD"/>
    <w:rsid w:val="00C65AD7"/>
    <w:rsid w:val="00C75488"/>
    <w:rsid w:val="00C75BEA"/>
    <w:rsid w:val="00C80BE0"/>
    <w:rsid w:val="00C95F16"/>
    <w:rsid w:val="00CA1680"/>
    <w:rsid w:val="00CB411A"/>
    <w:rsid w:val="00CB5BCB"/>
    <w:rsid w:val="00CC1FCA"/>
    <w:rsid w:val="00CC39B5"/>
    <w:rsid w:val="00CC59AF"/>
    <w:rsid w:val="00CD0CB9"/>
    <w:rsid w:val="00CD0FA1"/>
    <w:rsid w:val="00CD3B38"/>
    <w:rsid w:val="00CD5E98"/>
    <w:rsid w:val="00CE17DE"/>
    <w:rsid w:val="00CE1B33"/>
    <w:rsid w:val="00CE295A"/>
    <w:rsid w:val="00CE3EB1"/>
    <w:rsid w:val="00D12481"/>
    <w:rsid w:val="00D13B06"/>
    <w:rsid w:val="00D173B3"/>
    <w:rsid w:val="00D249AE"/>
    <w:rsid w:val="00D31E92"/>
    <w:rsid w:val="00D40C85"/>
    <w:rsid w:val="00D45950"/>
    <w:rsid w:val="00D45D90"/>
    <w:rsid w:val="00D5035F"/>
    <w:rsid w:val="00D51E09"/>
    <w:rsid w:val="00D61D76"/>
    <w:rsid w:val="00D64354"/>
    <w:rsid w:val="00D65E65"/>
    <w:rsid w:val="00D81884"/>
    <w:rsid w:val="00D81A17"/>
    <w:rsid w:val="00D8517C"/>
    <w:rsid w:val="00D85C4A"/>
    <w:rsid w:val="00D876D8"/>
    <w:rsid w:val="00D87883"/>
    <w:rsid w:val="00D9201B"/>
    <w:rsid w:val="00D959BA"/>
    <w:rsid w:val="00D97573"/>
    <w:rsid w:val="00DA5E0D"/>
    <w:rsid w:val="00DC626E"/>
    <w:rsid w:val="00DD23FD"/>
    <w:rsid w:val="00DD2BBC"/>
    <w:rsid w:val="00DD42F8"/>
    <w:rsid w:val="00DE34B5"/>
    <w:rsid w:val="00DE53B9"/>
    <w:rsid w:val="00DE5FA6"/>
    <w:rsid w:val="00DF1C52"/>
    <w:rsid w:val="00DF316A"/>
    <w:rsid w:val="00E02304"/>
    <w:rsid w:val="00E04431"/>
    <w:rsid w:val="00E06DBD"/>
    <w:rsid w:val="00E1678F"/>
    <w:rsid w:val="00E16D3A"/>
    <w:rsid w:val="00E221EC"/>
    <w:rsid w:val="00E23BA6"/>
    <w:rsid w:val="00E249A0"/>
    <w:rsid w:val="00E25ACA"/>
    <w:rsid w:val="00E31D69"/>
    <w:rsid w:val="00E32CAD"/>
    <w:rsid w:val="00E4174A"/>
    <w:rsid w:val="00E42B21"/>
    <w:rsid w:val="00E44A98"/>
    <w:rsid w:val="00E46502"/>
    <w:rsid w:val="00E4749E"/>
    <w:rsid w:val="00E5092B"/>
    <w:rsid w:val="00E53D4C"/>
    <w:rsid w:val="00E720AD"/>
    <w:rsid w:val="00E72DBF"/>
    <w:rsid w:val="00E73B51"/>
    <w:rsid w:val="00E8418E"/>
    <w:rsid w:val="00E86C1F"/>
    <w:rsid w:val="00EA0FB5"/>
    <w:rsid w:val="00EA2674"/>
    <w:rsid w:val="00EA719C"/>
    <w:rsid w:val="00EB0A16"/>
    <w:rsid w:val="00EB5AA9"/>
    <w:rsid w:val="00EB7DDB"/>
    <w:rsid w:val="00EC0D0F"/>
    <w:rsid w:val="00EC642A"/>
    <w:rsid w:val="00EC6BDF"/>
    <w:rsid w:val="00ED231C"/>
    <w:rsid w:val="00ED77C3"/>
    <w:rsid w:val="00EE2C30"/>
    <w:rsid w:val="00F00905"/>
    <w:rsid w:val="00F10DFD"/>
    <w:rsid w:val="00F141E2"/>
    <w:rsid w:val="00F17661"/>
    <w:rsid w:val="00F2465F"/>
    <w:rsid w:val="00F25F81"/>
    <w:rsid w:val="00F27485"/>
    <w:rsid w:val="00F30169"/>
    <w:rsid w:val="00F341DB"/>
    <w:rsid w:val="00F367C0"/>
    <w:rsid w:val="00F40B51"/>
    <w:rsid w:val="00F433D8"/>
    <w:rsid w:val="00F45934"/>
    <w:rsid w:val="00F5248F"/>
    <w:rsid w:val="00F52E37"/>
    <w:rsid w:val="00F538D3"/>
    <w:rsid w:val="00F62C63"/>
    <w:rsid w:val="00F62CD9"/>
    <w:rsid w:val="00F66729"/>
    <w:rsid w:val="00F768D5"/>
    <w:rsid w:val="00F81B97"/>
    <w:rsid w:val="00F863DC"/>
    <w:rsid w:val="00F90F28"/>
    <w:rsid w:val="00F9274A"/>
    <w:rsid w:val="00FA386B"/>
    <w:rsid w:val="00FA39FE"/>
    <w:rsid w:val="00FA41E9"/>
    <w:rsid w:val="00FA4D9D"/>
    <w:rsid w:val="00FB1ED8"/>
    <w:rsid w:val="00FC2CA9"/>
    <w:rsid w:val="00FD7DA8"/>
    <w:rsid w:val="00FE23A6"/>
    <w:rsid w:val="00FE5ECE"/>
    <w:rsid w:val="00FE7339"/>
    <w:rsid w:val="00FF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545A"/>
  <w15:chartTrackingRefBased/>
  <w15:docId w15:val="{30076E4B-4667-4A17-8324-83060A3D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58"/>
    <w:pPr>
      <w:adjustRightInd w:val="0"/>
      <w:snapToGrid w:val="0"/>
      <w:spacing w:after="120" w:line="264" w:lineRule="auto"/>
      <w:ind w:firstLine="720"/>
      <w:jc w:val="both"/>
    </w:pPr>
    <w:rPr>
      <w:rFonts w:eastAsia="Times New Roman" w:cs="Times New Roman"/>
      <w:szCs w:val="28"/>
    </w:rPr>
  </w:style>
  <w:style w:type="paragraph" w:styleId="Heading1">
    <w:name w:val="heading 1"/>
    <w:basedOn w:val="Normal"/>
    <w:next w:val="Normal"/>
    <w:link w:val="Heading1Char"/>
    <w:uiPriority w:val="9"/>
    <w:qFormat/>
    <w:rsid w:val="00CD5E98"/>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10DFD"/>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D01E8"/>
    <w:pPr>
      <w:keepNext/>
      <w:keepLines/>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8E9"/>
    <w:pPr>
      <w:tabs>
        <w:tab w:val="center" w:pos="4680"/>
        <w:tab w:val="right" w:pos="9360"/>
      </w:tabs>
    </w:pPr>
  </w:style>
  <w:style w:type="character" w:customStyle="1" w:styleId="HeaderChar">
    <w:name w:val="Header Char"/>
    <w:basedOn w:val="DefaultParagraphFont"/>
    <w:link w:val="Header"/>
    <w:uiPriority w:val="99"/>
    <w:rsid w:val="002928E9"/>
    <w:rPr>
      <w:rFonts w:eastAsia="Times New Roman" w:cs="Times New Roman"/>
      <w:szCs w:val="28"/>
    </w:rPr>
  </w:style>
  <w:style w:type="paragraph" w:styleId="Footer">
    <w:name w:val="footer"/>
    <w:basedOn w:val="Normal"/>
    <w:link w:val="FooterChar"/>
    <w:uiPriority w:val="99"/>
    <w:unhideWhenUsed/>
    <w:rsid w:val="002928E9"/>
    <w:pPr>
      <w:tabs>
        <w:tab w:val="center" w:pos="4680"/>
        <w:tab w:val="right" w:pos="9360"/>
      </w:tabs>
    </w:pPr>
  </w:style>
  <w:style w:type="character" w:customStyle="1" w:styleId="FooterChar">
    <w:name w:val="Footer Char"/>
    <w:basedOn w:val="DefaultParagraphFont"/>
    <w:link w:val="Footer"/>
    <w:uiPriority w:val="99"/>
    <w:rsid w:val="002928E9"/>
    <w:rPr>
      <w:rFonts w:eastAsia="Times New Roman" w:cs="Times New Roman"/>
      <w:szCs w:val="28"/>
    </w:rPr>
  </w:style>
  <w:style w:type="character" w:styleId="PageNumber">
    <w:name w:val="page number"/>
    <w:basedOn w:val="DefaultParagraphFont"/>
    <w:rsid w:val="002928E9"/>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uiPriority w:val="99"/>
    <w:unhideWhenUsed/>
    <w:qFormat/>
    <w:rsid w:val="002928E9"/>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2928E9"/>
    <w:rPr>
      <w:rFonts w:eastAsia="Times New Roman" w:cs="Times New Roman"/>
      <w:sz w:val="20"/>
      <w:szCs w:val="20"/>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link w:val="Char2"/>
    <w:uiPriority w:val="99"/>
    <w:unhideWhenUsed/>
    <w:qFormat/>
    <w:rsid w:val="002928E9"/>
    <w:rPr>
      <w:vertAlign w:val="superscript"/>
    </w:rPr>
  </w:style>
  <w:style w:type="paragraph" w:styleId="NormalWeb">
    <w:name w:val="Normal (Web)"/>
    <w:basedOn w:val="Normal"/>
    <w:uiPriority w:val="99"/>
    <w:unhideWhenUsed/>
    <w:rsid w:val="002928E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7F4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0C9"/>
    <w:rPr>
      <w:rFonts w:ascii="Segoe UI" w:eastAsia="Times New Roman" w:hAnsi="Segoe UI" w:cs="Segoe UI"/>
      <w:sz w:val="18"/>
      <w:szCs w:val="18"/>
    </w:rPr>
  </w:style>
  <w:style w:type="paragraph" w:customStyle="1" w:styleId="Char2">
    <w:name w:val="Char2"/>
    <w:basedOn w:val="Normal"/>
    <w:link w:val="FootnoteReference"/>
    <w:uiPriority w:val="99"/>
    <w:rsid w:val="00D51E09"/>
    <w:pPr>
      <w:spacing w:after="160" w:line="240" w:lineRule="exact"/>
    </w:pPr>
    <w:rPr>
      <w:rFonts w:eastAsiaTheme="minorHAnsi" w:cstheme="minorBidi"/>
      <w:szCs w:val="22"/>
      <w:vertAlign w:val="superscript"/>
    </w:rPr>
  </w:style>
  <w:style w:type="paragraph" w:styleId="ListParagraph">
    <w:name w:val="List Paragraph"/>
    <w:basedOn w:val="Normal"/>
    <w:uiPriority w:val="34"/>
    <w:qFormat/>
    <w:rsid w:val="00F81B97"/>
    <w:pPr>
      <w:ind w:left="720"/>
      <w:contextualSpacing/>
    </w:pPr>
  </w:style>
  <w:style w:type="paragraph" w:customStyle="1" w:styleId="CharChar4CharCharCharCharCharChar1CharCharCharChar">
    <w:name w:val="Char Char4 Char Char Char Char Char Char1 Char Char Char Char"/>
    <w:basedOn w:val="Normal"/>
    <w:rsid w:val="00C103F5"/>
    <w:pPr>
      <w:spacing w:after="160" w:line="240" w:lineRule="exact"/>
    </w:pPr>
    <w:rPr>
      <w:rFonts w:ascii="Verdana" w:hAnsi="Verdana"/>
      <w:sz w:val="20"/>
      <w:szCs w:val="20"/>
    </w:rPr>
  </w:style>
  <w:style w:type="paragraph" w:styleId="Revision">
    <w:name w:val="Revision"/>
    <w:hidden/>
    <w:uiPriority w:val="99"/>
    <w:semiHidden/>
    <w:rsid w:val="00E46502"/>
    <w:pPr>
      <w:spacing w:after="0" w:line="240" w:lineRule="auto"/>
    </w:pPr>
    <w:rPr>
      <w:rFonts w:eastAsia="Times New Roman" w:cs="Times New Roman"/>
      <w:szCs w:val="28"/>
    </w:rPr>
  </w:style>
  <w:style w:type="character" w:customStyle="1" w:styleId="Heading1Char">
    <w:name w:val="Heading 1 Char"/>
    <w:basedOn w:val="DefaultParagraphFont"/>
    <w:link w:val="Heading1"/>
    <w:uiPriority w:val="9"/>
    <w:rsid w:val="00CD5E98"/>
    <w:rPr>
      <w:rFonts w:eastAsiaTheme="majorEastAsia" w:cstheme="majorBidi"/>
      <w:b/>
      <w:szCs w:val="32"/>
    </w:rPr>
  </w:style>
  <w:style w:type="character" w:customStyle="1" w:styleId="Heading2Char">
    <w:name w:val="Heading 2 Char"/>
    <w:basedOn w:val="DefaultParagraphFont"/>
    <w:link w:val="Heading2"/>
    <w:uiPriority w:val="9"/>
    <w:rsid w:val="00F10DFD"/>
    <w:rPr>
      <w:rFonts w:eastAsiaTheme="majorEastAsia" w:cstheme="majorBidi"/>
      <w:b/>
      <w:szCs w:val="26"/>
    </w:rPr>
  </w:style>
  <w:style w:type="character" w:customStyle="1" w:styleId="Heading3Char">
    <w:name w:val="Heading 3 Char"/>
    <w:basedOn w:val="DefaultParagraphFont"/>
    <w:link w:val="Heading3"/>
    <w:uiPriority w:val="9"/>
    <w:rsid w:val="005D01E8"/>
    <w:rPr>
      <w:rFonts w:eastAsiaTheme="majorEastAsia" w:cstheme="majorBidi"/>
      <w:color w:val="000000" w:themeColor="text1"/>
      <w:szCs w:val="24"/>
    </w:rPr>
  </w:style>
  <w:style w:type="character" w:styleId="Hyperlink">
    <w:name w:val="Hyperlink"/>
    <w:basedOn w:val="DefaultParagraphFont"/>
    <w:uiPriority w:val="99"/>
    <w:unhideWhenUsed/>
    <w:rsid w:val="00D85C4A"/>
    <w:rPr>
      <w:color w:val="0000FF"/>
      <w:u w:val="single"/>
    </w:rPr>
  </w:style>
  <w:style w:type="character" w:styleId="Strong">
    <w:name w:val="Strong"/>
    <w:basedOn w:val="DefaultParagraphFont"/>
    <w:uiPriority w:val="22"/>
    <w:qFormat/>
    <w:rsid w:val="007F0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87186">
      <w:bodyDiv w:val="1"/>
      <w:marLeft w:val="0"/>
      <w:marRight w:val="0"/>
      <w:marTop w:val="0"/>
      <w:marBottom w:val="0"/>
      <w:divBdr>
        <w:top w:val="none" w:sz="0" w:space="0" w:color="auto"/>
        <w:left w:val="none" w:sz="0" w:space="0" w:color="auto"/>
        <w:bottom w:val="none" w:sz="0" w:space="0" w:color="auto"/>
        <w:right w:val="none" w:sz="0" w:space="0" w:color="auto"/>
      </w:divBdr>
    </w:div>
    <w:div w:id="374618327">
      <w:bodyDiv w:val="1"/>
      <w:marLeft w:val="0"/>
      <w:marRight w:val="0"/>
      <w:marTop w:val="0"/>
      <w:marBottom w:val="0"/>
      <w:divBdr>
        <w:top w:val="none" w:sz="0" w:space="0" w:color="auto"/>
        <w:left w:val="none" w:sz="0" w:space="0" w:color="auto"/>
        <w:bottom w:val="none" w:sz="0" w:space="0" w:color="auto"/>
        <w:right w:val="none" w:sz="0" w:space="0" w:color="auto"/>
      </w:divBdr>
    </w:div>
    <w:div w:id="781800689">
      <w:bodyDiv w:val="1"/>
      <w:marLeft w:val="0"/>
      <w:marRight w:val="0"/>
      <w:marTop w:val="0"/>
      <w:marBottom w:val="0"/>
      <w:divBdr>
        <w:top w:val="none" w:sz="0" w:space="0" w:color="auto"/>
        <w:left w:val="none" w:sz="0" w:space="0" w:color="auto"/>
        <w:bottom w:val="none" w:sz="0" w:space="0" w:color="auto"/>
        <w:right w:val="none" w:sz="0" w:space="0" w:color="auto"/>
      </w:divBdr>
    </w:div>
    <w:div w:id="1238902332">
      <w:bodyDiv w:val="1"/>
      <w:marLeft w:val="0"/>
      <w:marRight w:val="0"/>
      <w:marTop w:val="0"/>
      <w:marBottom w:val="0"/>
      <w:divBdr>
        <w:top w:val="none" w:sz="0" w:space="0" w:color="auto"/>
        <w:left w:val="none" w:sz="0" w:space="0" w:color="auto"/>
        <w:bottom w:val="none" w:sz="0" w:space="0" w:color="auto"/>
        <w:right w:val="none" w:sz="0" w:space="0" w:color="auto"/>
      </w:divBdr>
    </w:div>
    <w:div w:id="1604922243">
      <w:bodyDiv w:val="1"/>
      <w:marLeft w:val="0"/>
      <w:marRight w:val="0"/>
      <w:marTop w:val="0"/>
      <w:marBottom w:val="0"/>
      <w:divBdr>
        <w:top w:val="none" w:sz="0" w:space="0" w:color="auto"/>
        <w:left w:val="none" w:sz="0" w:space="0" w:color="auto"/>
        <w:bottom w:val="none" w:sz="0" w:space="0" w:color="auto"/>
        <w:right w:val="none" w:sz="0" w:space="0" w:color="auto"/>
      </w:divBdr>
    </w:div>
    <w:div w:id="1958636769">
      <w:bodyDiv w:val="1"/>
      <w:marLeft w:val="0"/>
      <w:marRight w:val="0"/>
      <w:marTop w:val="0"/>
      <w:marBottom w:val="0"/>
      <w:divBdr>
        <w:top w:val="none" w:sz="0" w:space="0" w:color="auto"/>
        <w:left w:val="none" w:sz="0" w:space="0" w:color="auto"/>
        <w:bottom w:val="none" w:sz="0" w:space="0" w:color="auto"/>
        <w:right w:val="none" w:sz="0" w:space="0" w:color="auto"/>
      </w:divBdr>
    </w:div>
    <w:div w:id="20951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08C02-4CC4-4B6D-8962-90FD3087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3910</Words>
  <Characters>22292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Hai Nam</dc:creator>
  <cp:keywords/>
  <dc:description/>
  <cp:lastModifiedBy>Admin</cp:lastModifiedBy>
  <cp:revision>53</cp:revision>
  <cp:lastPrinted>2025-03-31T07:46:00Z</cp:lastPrinted>
  <dcterms:created xsi:type="dcterms:W3CDTF">2025-11-11T23:56:00Z</dcterms:created>
  <dcterms:modified xsi:type="dcterms:W3CDTF">2025-11-12T17:45:00Z</dcterms:modified>
</cp:coreProperties>
</file>