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20" w:rsidRDefault="004F08A2" w:rsidP="004F08A2">
      <w:pPr>
        <w:spacing w:before="60" w:after="0"/>
        <w:ind w:firstLine="547"/>
        <w:jc w:val="center"/>
        <w:rPr>
          <w:rFonts w:ascii="Times New Roman" w:hAnsi="Times New Roman"/>
          <w:b/>
          <w:bCs/>
          <w:color w:val="000000"/>
          <w:sz w:val="28"/>
          <w:szCs w:val="28"/>
        </w:rPr>
      </w:pPr>
      <w:r w:rsidRPr="00BB7505">
        <w:rPr>
          <w:rFonts w:ascii="Times New Roman" w:hAnsi="Times New Roman"/>
          <w:b/>
          <w:bCs/>
          <w:color w:val="000000"/>
          <w:sz w:val="28"/>
          <w:szCs w:val="28"/>
        </w:rPr>
        <w:t>BẢNG SO SÁNH</w:t>
      </w:r>
      <w:r w:rsidR="00726C20">
        <w:rPr>
          <w:rFonts w:ascii="Times New Roman" w:hAnsi="Times New Roman"/>
          <w:b/>
          <w:bCs/>
          <w:color w:val="000000"/>
          <w:sz w:val="28"/>
          <w:szCs w:val="28"/>
        </w:rPr>
        <w:t xml:space="preserve">, THUYẾT MINH </w:t>
      </w:r>
    </w:p>
    <w:p w:rsidR="003E44CF" w:rsidRDefault="00726C20" w:rsidP="003E44CF">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DỰ THẢO</w:t>
      </w:r>
      <w:r w:rsidR="004F08A2" w:rsidRPr="00BB7505">
        <w:rPr>
          <w:rFonts w:ascii="Times New Roman" w:hAnsi="Times New Roman"/>
          <w:b/>
          <w:bCs/>
          <w:color w:val="000000"/>
          <w:sz w:val="28"/>
          <w:szCs w:val="28"/>
        </w:rPr>
        <w:t xml:space="preserve"> </w:t>
      </w:r>
      <w:r w:rsidR="00381F6E">
        <w:rPr>
          <w:rFonts w:ascii="Times New Roman" w:hAnsi="Times New Roman"/>
          <w:b/>
          <w:bCs/>
          <w:color w:val="000000"/>
          <w:sz w:val="28"/>
          <w:szCs w:val="28"/>
        </w:rPr>
        <w:t>THÔNG TƯ</w:t>
      </w:r>
      <w:r w:rsidR="004F08A2">
        <w:rPr>
          <w:rFonts w:ascii="Times New Roman" w:hAnsi="Times New Roman"/>
          <w:b/>
          <w:bCs/>
          <w:color w:val="000000"/>
          <w:sz w:val="28"/>
          <w:szCs w:val="28"/>
        </w:rPr>
        <w:t xml:space="preserve"> </w:t>
      </w:r>
      <w:r>
        <w:rPr>
          <w:rFonts w:ascii="Times New Roman" w:hAnsi="Times New Roman"/>
          <w:b/>
          <w:bCs/>
          <w:color w:val="000000"/>
          <w:sz w:val="28"/>
          <w:szCs w:val="28"/>
        </w:rPr>
        <w:t xml:space="preserve">BAN HÀNH </w:t>
      </w:r>
      <w:r w:rsidR="003E44CF">
        <w:rPr>
          <w:rFonts w:ascii="Times New Roman" w:hAnsi="Times New Roman"/>
          <w:b/>
          <w:bCs/>
          <w:color w:val="000000"/>
          <w:sz w:val="28"/>
          <w:szCs w:val="28"/>
        </w:rPr>
        <w:t>CHUẨN MỰC ĐẠO ĐỨC NGHỀ NGHIỆP KẾ TOÁN, KIỂM TOÁN</w:t>
      </w:r>
      <w:r>
        <w:rPr>
          <w:rFonts w:ascii="Times New Roman" w:hAnsi="Times New Roman"/>
          <w:b/>
          <w:bCs/>
          <w:color w:val="000000"/>
          <w:sz w:val="28"/>
          <w:szCs w:val="28"/>
        </w:rPr>
        <w:t xml:space="preserve"> VIỆT NAM </w:t>
      </w:r>
      <w:r w:rsidR="004F08A2">
        <w:rPr>
          <w:rFonts w:ascii="Times New Roman" w:hAnsi="Times New Roman"/>
          <w:b/>
          <w:bCs/>
          <w:color w:val="000000"/>
          <w:sz w:val="28"/>
          <w:szCs w:val="28"/>
        </w:rPr>
        <w:t>V</w:t>
      </w:r>
      <w:r>
        <w:rPr>
          <w:rFonts w:ascii="Times New Roman" w:hAnsi="Times New Roman"/>
          <w:b/>
          <w:bCs/>
          <w:color w:val="000000"/>
          <w:sz w:val="28"/>
          <w:szCs w:val="28"/>
        </w:rPr>
        <w:t>À</w:t>
      </w:r>
      <w:r w:rsidR="004F08A2">
        <w:rPr>
          <w:rFonts w:ascii="Times New Roman" w:hAnsi="Times New Roman"/>
          <w:b/>
          <w:bCs/>
          <w:color w:val="000000"/>
          <w:sz w:val="28"/>
          <w:szCs w:val="28"/>
        </w:rPr>
        <w:t xml:space="preserve"> </w:t>
      </w:r>
      <w:r w:rsidR="005D57FE">
        <w:rPr>
          <w:rFonts w:ascii="Times New Roman" w:hAnsi="Times New Roman"/>
          <w:b/>
          <w:bCs/>
          <w:color w:val="000000"/>
          <w:sz w:val="28"/>
          <w:szCs w:val="28"/>
        </w:rPr>
        <w:t xml:space="preserve">THÔNG TƯ </w:t>
      </w:r>
      <w:r>
        <w:rPr>
          <w:rFonts w:ascii="Times New Roman" w:hAnsi="Times New Roman"/>
          <w:b/>
          <w:bCs/>
          <w:color w:val="000000"/>
          <w:sz w:val="28"/>
          <w:szCs w:val="28"/>
        </w:rPr>
        <w:t xml:space="preserve">SỐ </w:t>
      </w:r>
      <w:r w:rsidR="003E44CF">
        <w:rPr>
          <w:rFonts w:ascii="Times New Roman" w:hAnsi="Times New Roman"/>
          <w:b/>
          <w:bCs/>
          <w:color w:val="000000"/>
          <w:sz w:val="28"/>
          <w:szCs w:val="28"/>
        </w:rPr>
        <w:t>70</w:t>
      </w:r>
      <w:r>
        <w:rPr>
          <w:rFonts w:ascii="Times New Roman" w:hAnsi="Times New Roman"/>
          <w:b/>
          <w:bCs/>
          <w:color w:val="000000"/>
          <w:sz w:val="28"/>
          <w:szCs w:val="28"/>
        </w:rPr>
        <w:t>/201</w:t>
      </w:r>
      <w:r w:rsidR="003E44CF">
        <w:rPr>
          <w:rFonts w:ascii="Times New Roman" w:hAnsi="Times New Roman"/>
          <w:b/>
          <w:bCs/>
          <w:color w:val="000000"/>
          <w:sz w:val="28"/>
          <w:szCs w:val="28"/>
        </w:rPr>
        <w:t>5</w:t>
      </w:r>
      <w:r>
        <w:rPr>
          <w:rFonts w:ascii="Times New Roman" w:hAnsi="Times New Roman"/>
          <w:b/>
          <w:bCs/>
          <w:color w:val="000000"/>
          <w:sz w:val="28"/>
          <w:szCs w:val="28"/>
        </w:rPr>
        <w:t>/TT-BTC NGÀY 0</w:t>
      </w:r>
      <w:r w:rsidR="003E44CF">
        <w:rPr>
          <w:rFonts w:ascii="Times New Roman" w:hAnsi="Times New Roman"/>
          <w:b/>
          <w:bCs/>
          <w:color w:val="000000"/>
          <w:sz w:val="28"/>
          <w:szCs w:val="28"/>
        </w:rPr>
        <w:t>8</w:t>
      </w:r>
      <w:r>
        <w:rPr>
          <w:rFonts w:ascii="Times New Roman" w:hAnsi="Times New Roman"/>
          <w:b/>
          <w:bCs/>
          <w:color w:val="000000"/>
          <w:sz w:val="28"/>
          <w:szCs w:val="28"/>
        </w:rPr>
        <w:t>/</w:t>
      </w:r>
      <w:r w:rsidR="003E44CF">
        <w:rPr>
          <w:rFonts w:ascii="Times New Roman" w:hAnsi="Times New Roman"/>
          <w:b/>
          <w:bCs/>
          <w:color w:val="000000"/>
          <w:sz w:val="28"/>
          <w:szCs w:val="28"/>
        </w:rPr>
        <w:t>5</w:t>
      </w:r>
      <w:r>
        <w:rPr>
          <w:rFonts w:ascii="Times New Roman" w:hAnsi="Times New Roman"/>
          <w:b/>
          <w:bCs/>
          <w:color w:val="000000"/>
          <w:sz w:val="28"/>
          <w:szCs w:val="28"/>
        </w:rPr>
        <w:t>/201</w:t>
      </w:r>
      <w:r w:rsidR="003E44CF">
        <w:rPr>
          <w:rFonts w:ascii="Times New Roman" w:hAnsi="Times New Roman"/>
          <w:b/>
          <w:bCs/>
          <w:color w:val="000000"/>
          <w:sz w:val="28"/>
          <w:szCs w:val="28"/>
        </w:rPr>
        <w:t>5</w:t>
      </w:r>
      <w:r>
        <w:rPr>
          <w:rFonts w:ascii="Times New Roman" w:hAnsi="Times New Roman"/>
          <w:b/>
          <w:bCs/>
          <w:color w:val="000000"/>
          <w:sz w:val="28"/>
          <w:szCs w:val="28"/>
        </w:rPr>
        <w:t xml:space="preserve"> BAN HÀNH </w:t>
      </w:r>
    </w:p>
    <w:p w:rsidR="004F08A2" w:rsidRPr="00BB7505" w:rsidRDefault="00726C20" w:rsidP="003E44CF">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CHUẨN MỰC </w:t>
      </w:r>
      <w:r w:rsidR="003E44CF">
        <w:rPr>
          <w:rFonts w:ascii="Times New Roman" w:hAnsi="Times New Roman"/>
          <w:b/>
          <w:bCs/>
          <w:color w:val="000000"/>
          <w:sz w:val="28"/>
          <w:szCs w:val="28"/>
        </w:rPr>
        <w:t xml:space="preserve">ĐẠO ĐỨC KẾ TOÁN, </w:t>
      </w:r>
      <w:r>
        <w:rPr>
          <w:rFonts w:ascii="Times New Roman" w:hAnsi="Times New Roman"/>
          <w:b/>
          <w:bCs/>
          <w:color w:val="000000"/>
          <w:sz w:val="28"/>
          <w:szCs w:val="28"/>
        </w:rPr>
        <w:t>KIỂM TOÁN VIỆT NAM</w:t>
      </w:r>
    </w:p>
    <w:p w:rsidR="004F08A2" w:rsidRDefault="00855394" w:rsidP="004F08A2">
      <w:pPr>
        <w:spacing w:before="60"/>
        <w:ind w:firstLine="567"/>
        <w:jc w:val="both"/>
        <w:rPr>
          <w:rFonts w:ascii="Times New Roman" w:hAnsi="Times New Roman"/>
          <w:bCs/>
          <w:color w:val="000000"/>
          <w:sz w:val="28"/>
          <w:szCs w:val="28"/>
        </w:rPr>
      </w:pPr>
      <w:r>
        <w:rPr>
          <w:rFonts w:ascii="Times New Roman" w:hAnsi="Times New Roman"/>
          <w:bCs/>
          <w:noProof/>
          <w:color w:val="000000"/>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11.7pt;margin-top:.5pt;width:123.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Ind w:w="-572" w:type="dxa"/>
        <w:tblLook w:val="0620"/>
      </w:tblPr>
      <w:tblGrid>
        <w:gridCol w:w="4649"/>
        <w:gridCol w:w="4678"/>
        <w:gridCol w:w="5193"/>
      </w:tblGrid>
      <w:tr w:rsidR="00B36CF1" w:rsidRPr="006E5159" w:rsidTr="00E844A2">
        <w:tc>
          <w:tcPr>
            <w:tcW w:w="4649" w:type="dxa"/>
          </w:tcPr>
          <w:p w:rsidR="00B36CF1" w:rsidRPr="006E5159" w:rsidRDefault="00726C20" w:rsidP="003E44CF">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 </w:t>
            </w:r>
            <w:r w:rsidR="00B81F5E" w:rsidRPr="00B81F5E">
              <w:rPr>
                <w:rFonts w:ascii="Times New Roman" w:hAnsi="Times New Roman" w:cs="Times New Roman"/>
                <w:b/>
                <w:sz w:val="24"/>
                <w:szCs w:val="24"/>
              </w:rPr>
              <w:t xml:space="preserve">Thông tư số </w:t>
            </w:r>
            <w:r w:rsidR="003E44CF">
              <w:rPr>
                <w:rFonts w:ascii="Times New Roman" w:hAnsi="Times New Roman" w:cs="Times New Roman"/>
                <w:b/>
                <w:sz w:val="24"/>
                <w:szCs w:val="24"/>
              </w:rPr>
              <w:t>70/2015</w:t>
            </w:r>
            <w:r w:rsidR="00B81F5E" w:rsidRPr="00B81F5E">
              <w:rPr>
                <w:rFonts w:ascii="Times New Roman" w:hAnsi="Times New Roman" w:cs="Times New Roman"/>
                <w:b/>
                <w:sz w:val="24"/>
                <w:szCs w:val="24"/>
              </w:rPr>
              <w:t>/TT-BTC</w:t>
            </w:r>
            <w:r w:rsidR="005D57FE">
              <w:rPr>
                <w:rFonts w:ascii="Times New Roman" w:hAnsi="Times New Roman" w:cs="Times New Roman"/>
                <w:b/>
                <w:sz w:val="24"/>
                <w:szCs w:val="24"/>
              </w:rPr>
              <w:t xml:space="preserve"> ngày </w:t>
            </w:r>
            <w:r w:rsidR="003E44CF">
              <w:rPr>
                <w:rFonts w:ascii="Times New Roman" w:hAnsi="Times New Roman" w:cs="Times New Roman"/>
                <w:b/>
                <w:sz w:val="24"/>
                <w:szCs w:val="24"/>
              </w:rPr>
              <w:t>08/5/2015</w:t>
            </w:r>
          </w:p>
        </w:tc>
        <w:tc>
          <w:tcPr>
            <w:tcW w:w="4678" w:type="dxa"/>
          </w:tcPr>
          <w:p w:rsidR="00B36CF1" w:rsidRPr="006E5159" w:rsidRDefault="00B36CF1" w:rsidP="00127247">
            <w:pPr>
              <w:spacing w:before="40" w:after="40" w:line="240" w:lineRule="auto"/>
              <w:jc w:val="center"/>
              <w:rPr>
                <w:rFonts w:ascii="Times New Roman" w:hAnsi="Times New Roman" w:cs="Times New Roman"/>
                <w:b/>
                <w:sz w:val="24"/>
                <w:szCs w:val="24"/>
              </w:rPr>
            </w:pPr>
            <w:r w:rsidRPr="006E5159">
              <w:rPr>
                <w:rFonts w:ascii="Times New Roman" w:hAnsi="Times New Roman" w:cs="Times New Roman"/>
                <w:b/>
                <w:sz w:val="24"/>
                <w:szCs w:val="24"/>
              </w:rPr>
              <w:t xml:space="preserve">Dự thảo </w:t>
            </w:r>
            <w:r w:rsidR="00381F6E">
              <w:rPr>
                <w:rFonts w:ascii="Times New Roman" w:hAnsi="Times New Roman" w:cs="Times New Roman"/>
                <w:b/>
                <w:sz w:val="24"/>
                <w:szCs w:val="24"/>
              </w:rPr>
              <w:t>Thông tư</w:t>
            </w:r>
          </w:p>
        </w:tc>
        <w:tc>
          <w:tcPr>
            <w:tcW w:w="5193" w:type="dxa"/>
          </w:tcPr>
          <w:p w:rsidR="00B36CF1" w:rsidRPr="00127247" w:rsidRDefault="00B36CF1" w:rsidP="006E5159">
            <w:pPr>
              <w:spacing w:before="40" w:after="40" w:line="240" w:lineRule="auto"/>
              <w:jc w:val="center"/>
              <w:rPr>
                <w:rFonts w:ascii="Times New Roman" w:hAnsi="Times New Roman" w:cs="Times New Roman"/>
                <w:b/>
                <w:sz w:val="24"/>
                <w:szCs w:val="24"/>
              </w:rPr>
            </w:pPr>
            <w:r w:rsidRPr="00127247">
              <w:rPr>
                <w:rFonts w:ascii="Times New Roman" w:hAnsi="Times New Roman" w:cs="Times New Roman"/>
                <w:b/>
                <w:sz w:val="24"/>
                <w:szCs w:val="24"/>
              </w:rPr>
              <w:t>Thuyết minh</w:t>
            </w:r>
          </w:p>
        </w:tc>
      </w:tr>
      <w:tr w:rsidR="003E44CF" w:rsidRPr="006E5159" w:rsidTr="00E844A2">
        <w:tc>
          <w:tcPr>
            <w:tcW w:w="4649" w:type="dxa"/>
          </w:tcPr>
          <w:p w:rsidR="003E44CF" w:rsidRPr="006E5159" w:rsidRDefault="003E44CF" w:rsidP="000817D1">
            <w:pPr>
              <w:spacing w:before="40" w:after="40" w:line="240" w:lineRule="auto"/>
              <w:jc w:val="both"/>
              <w:rPr>
                <w:rFonts w:ascii="Times New Roman" w:hAnsi="Times New Roman" w:cs="Times New Roman"/>
                <w:sz w:val="24"/>
                <w:szCs w:val="24"/>
              </w:rPr>
            </w:pPr>
            <w:r w:rsidRPr="003E44CF">
              <w:rPr>
                <w:rFonts w:ascii="Times New Roman" w:eastAsia="Times New Roman" w:hAnsi="Times New Roman" w:cs="Times New Roman"/>
                <w:b/>
                <w:bCs/>
                <w:color w:val="000000"/>
                <w:sz w:val="24"/>
                <w:szCs w:val="24"/>
                <w:lang w:eastAsia="vi-VN"/>
              </w:rPr>
              <w:t>Điều 1.</w:t>
            </w:r>
            <w:r w:rsidRPr="003E44CF">
              <w:rPr>
                <w:rFonts w:ascii="Times New Roman" w:eastAsia="Times New Roman" w:hAnsi="Times New Roman" w:cs="Times New Roman"/>
                <w:bCs/>
                <w:color w:val="000000"/>
                <w:sz w:val="24"/>
                <w:szCs w:val="24"/>
                <w:lang w:eastAsia="vi-VN"/>
              </w:rPr>
              <w:t xml:space="preserve"> Ban hành kèm theo Thông tư này chuẩn mực đạo đức nghề nghiệp kế toán, kiểm toán</w:t>
            </w:r>
            <w:r>
              <w:rPr>
                <w:rFonts w:ascii="Times New Roman" w:eastAsia="Times New Roman" w:hAnsi="Times New Roman" w:cs="Times New Roman"/>
                <w:bCs/>
                <w:color w:val="000000"/>
                <w:sz w:val="24"/>
                <w:szCs w:val="24"/>
                <w:lang w:eastAsia="vi-VN"/>
              </w:rPr>
              <w:t>.</w:t>
            </w:r>
          </w:p>
        </w:tc>
        <w:tc>
          <w:tcPr>
            <w:tcW w:w="4678" w:type="dxa"/>
          </w:tcPr>
          <w:p w:rsidR="003E44CF" w:rsidRPr="003E44CF" w:rsidRDefault="003E44CF" w:rsidP="00AA68CD">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3E44CF">
              <w:rPr>
                <w:rFonts w:ascii="Times New Roman" w:eastAsia="Times New Roman" w:hAnsi="Times New Roman" w:cs="Times New Roman"/>
                <w:b/>
                <w:bCs/>
                <w:color w:val="000000"/>
                <w:sz w:val="24"/>
                <w:szCs w:val="24"/>
                <w:lang w:eastAsia="vi-VN"/>
              </w:rPr>
              <w:t>Điều 1.</w:t>
            </w:r>
            <w:r w:rsidRPr="003E44CF">
              <w:rPr>
                <w:rFonts w:ascii="Times New Roman" w:eastAsia="Times New Roman" w:hAnsi="Times New Roman" w:cs="Times New Roman"/>
                <w:bCs/>
                <w:color w:val="000000"/>
                <w:sz w:val="24"/>
                <w:szCs w:val="24"/>
                <w:lang w:eastAsia="vi-VN"/>
              </w:rPr>
              <w:t xml:space="preserve"> Ban hành kèm theo Thông tư này chuẩn mực đạo đức nghề nghiệp kế toán, kiểm toán Việt Nam (bao gồm các yêu cầu về tính độc lập).</w:t>
            </w:r>
          </w:p>
        </w:tc>
        <w:tc>
          <w:tcPr>
            <w:tcW w:w="5193" w:type="dxa"/>
          </w:tcPr>
          <w:p w:rsidR="003E44CF" w:rsidRPr="003E44CF" w:rsidRDefault="003E44CF" w:rsidP="00B02E4A">
            <w:pPr>
              <w:spacing w:before="40" w:after="40" w:line="240" w:lineRule="auto"/>
              <w:rPr>
                <w:rFonts w:ascii="Times New Roman" w:hAnsi="Times New Roman" w:cs="Times New Roman"/>
                <w:bCs/>
                <w:sz w:val="24"/>
                <w:szCs w:val="24"/>
                <w:lang w:val="pt-BR"/>
              </w:rPr>
            </w:pPr>
            <w:r w:rsidRPr="003E44CF">
              <w:rPr>
                <w:rFonts w:ascii="Times New Roman" w:hAnsi="Times New Roman" w:cs="Times New Roman"/>
                <w:bCs/>
                <w:sz w:val="24"/>
                <w:szCs w:val="24"/>
                <w:lang w:val="pt-BR"/>
              </w:rPr>
              <w:t xml:space="preserve">Dự </w:t>
            </w:r>
            <w:r>
              <w:rPr>
                <w:rFonts w:ascii="Times New Roman" w:hAnsi="Times New Roman" w:cs="Times New Roman"/>
                <w:bCs/>
                <w:sz w:val="24"/>
                <w:szCs w:val="24"/>
                <w:lang w:val="pt-BR"/>
              </w:rPr>
              <w:t xml:space="preserve">thảo chuẩn mực đạo đức nghề nghiệp kế toán, kiểm toán Việt Nam được xây dựng tiệm cận chuẩn mực </w:t>
            </w:r>
            <w:r w:rsidR="00B02E4A">
              <w:rPr>
                <w:rFonts w:ascii="Times New Roman" w:hAnsi="Times New Roman" w:cs="Times New Roman"/>
                <w:bCs/>
                <w:sz w:val="24"/>
                <w:szCs w:val="24"/>
                <w:lang w:val="pt-BR"/>
              </w:rPr>
              <w:t>quốc tế nhưng vẫn đảm bảo tuân thủ các quy định pháp luật về kiểm toán độc lập của Việt Nam. Trong đó, yêu cầu về tính độc lập là nội dung được nhấn mạnh xuyên suốt chuẩn mực đạo đức, do đó được đưa vào tên gọi của chuẩn mực.</w:t>
            </w:r>
            <w:r w:rsidRPr="003E44CF">
              <w:rPr>
                <w:rFonts w:ascii="Times New Roman" w:hAnsi="Times New Roman" w:cs="Times New Roman"/>
                <w:sz w:val="24"/>
                <w:szCs w:val="24"/>
              </w:rPr>
              <w:t xml:space="preserve"> </w:t>
            </w:r>
          </w:p>
        </w:tc>
      </w:tr>
      <w:tr w:rsidR="003E44CF" w:rsidRPr="006E5159" w:rsidTr="00E844A2">
        <w:tc>
          <w:tcPr>
            <w:tcW w:w="4649" w:type="dxa"/>
          </w:tcPr>
          <w:p w:rsidR="003E44CF" w:rsidRPr="00381F6E" w:rsidRDefault="003E44CF" w:rsidP="00381F6E">
            <w:pPr>
              <w:spacing w:before="40" w:after="40" w:line="240" w:lineRule="auto"/>
              <w:jc w:val="both"/>
              <w:rPr>
                <w:rFonts w:ascii="Times New Roman" w:hAnsi="Times New Roman" w:cs="Times New Roman"/>
                <w:b/>
                <w:bCs/>
                <w:sz w:val="24"/>
                <w:szCs w:val="24"/>
              </w:rPr>
            </w:pPr>
            <w:bookmarkStart w:id="0" w:name="dieu_2"/>
            <w:r w:rsidRPr="00381F6E">
              <w:rPr>
                <w:rFonts w:ascii="Times New Roman" w:hAnsi="Times New Roman" w:cs="Times New Roman"/>
                <w:b/>
                <w:bCs/>
                <w:sz w:val="24"/>
                <w:szCs w:val="24"/>
              </w:rPr>
              <w:t xml:space="preserve">Điều 2. </w:t>
            </w:r>
            <w:r>
              <w:rPr>
                <w:rFonts w:ascii="Times New Roman" w:hAnsi="Times New Roman" w:cs="Times New Roman"/>
                <w:b/>
                <w:bCs/>
                <w:sz w:val="24"/>
                <w:szCs w:val="24"/>
              </w:rPr>
              <w:t>Phạm vi và đ</w:t>
            </w:r>
            <w:r w:rsidRPr="00381F6E">
              <w:rPr>
                <w:rFonts w:ascii="Times New Roman" w:hAnsi="Times New Roman" w:cs="Times New Roman"/>
                <w:b/>
                <w:bCs/>
                <w:sz w:val="24"/>
                <w:szCs w:val="24"/>
              </w:rPr>
              <w:t>ối tượng áp dụng</w:t>
            </w:r>
            <w:bookmarkEnd w:id="0"/>
          </w:p>
          <w:p w:rsidR="003E44CF" w:rsidRDefault="00B02E4A" w:rsidP="00B02E4A">
            <w:pPr>
              <w:spacing w:before="40" w:after="40" w:line="240" w:lineRule="auto"/>
              <w:jc w:val="both"/>
              <w:rPr>
                <w:rFonts w:ascii="Times New Roman" w:eastAsia="Times New Roman" w:hAnsi="Times New Roman" w:cs="Times New Roman"/>
                <w:bCs/>
                <w:color w:val="000000"/>
                <w:sz w:val="24"/>
                <w:szCs w:val="24"/>
                <w:lang w:eastAsia="vi-VN"/>
              </w:rPr>
            </w:pPr>
            <w:r w:rsidRPr="003E44CF">
              <w:rPr>
                <w:rFonts w:ascii="Times New Roman" w:eastAsia="Times New Roman" w:hAnsi="Times New Roman" w:cs="Times New Roman"/>
                <w:bCs/>
                <w:color w:val="000000"/>
                <w:sz w:val="24"/>
                <w:szCs w:val="24"/>
                <w:lang w:eastAsia="vi-VN"/>
              </w:rPr>
              <w:t xml:space="preserve">Thông tư này áp dụng đối với người có chứng chỉ </w:t>
            </w:r>
            <w:r>
              <w:rPr>
                <w:rFonts w:ascii="Times New Roman" w:eastAsia="Times New Roman" w:hAnsi="Times New Roman" w:cs="Times New Roman"/>
                <w:bCs/>
                <w:color w:val="000000"/>
                <w:sz w:val="24"/>
                <w:szCs w:val="24"/>
                <w:lang w:eastAsia="vi-VN"/>
              </w:rPr>
              <w:t>hành nghề kế toán, người có chứng chỉ</w:t>
            </w:r>
            <w:r w:rsidRPr="003E44CF">
              <w:rPr>
                <w:rFonts w:ascii="Times New Roman" w:eastAsia="Times New Roman" w:hAnsi="Times New Roman" w:cs="Times New Roman"/>
                <w:bCs/>
                <w:color w:val="000000"/>
                <w:sz w:val="24"/>
                <w:szCs w:val="24"/>
                <w:lang w:eastAsia="vi-VN"/>
              </w:rPr>
              <w:t xml:space="preserve"> kiểm toán viên, doanh nghiệp dịch vụ kế toán, doanh nghiệp kiểm toán, chi nhánh doanh nghiệp kiểm toán nước ngoài tại Việt Nam và các đối tượng được quy định cụ thể trong nội dung chuẩn mực</w:t>
            </w:r>
            <w:r>
              <w:rPr>
                <w:rFonts w:ascii="Times New Roman" w:eastAsia="Times New Roman" w:hAnsi="Times New Roman" w:cs="Times New Roman"/>
                <w:bCs/>
                <w:color w:val="000000"/>
                <w:sz w:val="24"/>
                <w:szCs w:val="24"/>
                <w:lang w:eastAsia="vi-VN"/>
              </w:rPr>
              <w:t>, như sau:</w:t>
            </w:r>
          </w:p>
          <w:p w:rsidR="00B02E4A" w:rsidRDefault="00B02E4A" w:rsidP="00B02E4A">
            <w:pPr>
              <w:spacing w:before="40" w:after="4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1. Phần A của Chuẩn mực áp dụng cho doanh nghiệp dịch vụ kế toán, doanh nghiệp kiểm toán, chi nhánh doanh nghiệp kiểm toán nước ngoài tại Việt Nam và người có chứng chỉ hành nghề kế toán, chứng chỉ kiểm toán viên.</w:t>
            </w:r>
          </w:p>
          <w:p w:rsidR="00B02E4A" w:rsidRDefault="00B02E4A" w:rsidP="00B02E4A">
            <w:pPr>
              <w:spacing w:before="40" w:after="4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 xml:space="preserve">2. Phần B của Chuẩn mực áp dụng cho doanh nghiệp dịch vụ kế toán, doanh nghiệp kiểm toán, chi nhánh doanh nghiệp kiểm toán nước ngoài tại Việt Nam và người có chứng chỉ </w:t>
            </w:r>
            <w:r>
              <w:rPr>
                <w:rFonts w:ascii="Times New Roman" w:eastAsia="Times New Roman" w:hAnsi="Times New Roman" w:cs="Times New Roman"/>
                <w:bCs/>
                <w:color w:val="000000"/>
                <w:sz w:val="24"/>
                <w:szCs w:val="24"/>
                <w:lang w:eastAsia="vi-VN"/>
              </w:rPr>
              <w:lastRenderedPageBreak/>
              <w:t>hành nghề kế toán, chứng chỉ kiểm toán viên làm việc trong doanh nghiệp dịch vụ kế toán, doanh nghiệp kiểm toán, chi nhánh doanh nghiệp kiểm toán nước ngoài tại Việt Nam.</w:t>
            </w:r>
          </w:p>
          <w:p w:rsidR="00B02E4A" w:rsidRPr="005D57FE" w:rsidRDefault="00B02E4A" w:rsidP="00B02E4A">
            <w:pPr>
              <w:spacing w:before="40" w:after="40" w:line="240" w:lineRule="auto"/>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lang w:eastAsia="vi-VN"/>
              </w:rPr>
              <w:t>3. Phần C của Chuẩn mực áp dụng cho người có chứng chỉ hành nghề kế toán, chứng chỉ kiểm toán viên làm việc trong doanh nghiệp.</w:t>
            </w:r>
          </w:p>
        </w:tc>
        <w:tc>
          <w:tcPr>
            <w:tcW w:w="4678" w:type="dxa"/>
          </w:tcPr>
          <w:p w:rsidR="003E44CF" w:rsidRPr="003E44CF" w:rsidRDefault="003E44CF" w:rsidP="008F69DD">
            <w:pPr>
              <w:shd w:val="clear" w:color="auto" w:fill="FFFFFF"/>
              <w:spacing w:before="40" w:after="40" w:line="240" w:lineRule="auto"/>
              <w:jc w:val="both"/>
              <w:rPr>
                <w:rFonts w:ascii="Times New Roman" w:eastAsia="Times New Roman" w:hAnsi="Times New Roman" w:cs="Times New Roman"/>
                <w:b/>
                <w:bCs/>
                <w:color w:val="000000"/>
                <w:sz w:val="24"/>
                <w:szCs w:val="24"/>
                <w:lang w:eastAsia="vi-VN"/>
              </w:rPr>
            </w:pPr>
            <w:r w:rsidRPr="003E44CF">
              <w:rPr>
                <w:rFonts w:ascii="Times New Roman" w:eastAsia="Times New Roman" w:hAnsi="Times New Roman" w:cs="Times New Roman"/>
                <w:b/>
                <w:bCs/>
                <w:color w:val="000000"/>
                <w:sz w:val="24"/>
                <w:szCs w:val="24"/>
                <w:lang w:eastAsia="vi-VN"/>
              </w:rPr>
              <w:lastRenderedPageBreak/>
              <w:t>Điều 2. Phạm vi và đối tượng áp dụng</w:t>
            </w:r>
          </w:p>
          <w:p w:rsidR="008F69DD" w:rsidRPr="003E44CF" w:rsidRDefault="003E44CF" w:rsidP="008F69DD">
            <w:pPr>
              <w:shd w:val="clear" w:color="auto" w:fill="FFFFFF"/>
              <w:spacing w:before="40" w:after="40" w:line="240" w:lineRule="auto"/>
              <w:jc w:val="both"/>
              <w:rPr>
                <w:rFonts w:ascii="Times New Roman" w:eastAsia="Times New Roman" w:hAnsi="Times New Roman" w:cs="Times New Roman"/>
                <w:b/>
                <w:bCs/>
                <w:color w:val="000000"/>
                <w:sz w:val="24"/>
                <w:szCs w:val="24"/>
                <w:lang w:eastAsia="vi-VN"/>
              </w:rPr>
            </w:pPr>
            <w:r w:rsidRPr="003E44CF">
              <w:rPr>
                <w:rFonts w:ascii="Times New Roman" w:eastAsia="Times New Roman" w:hAnsi="Times New Roman" w:cs="Times New Roman"/>
                <w:bCs/>
                <w:color w:val="000000"/>
                <w:sz w:val="24"/>
                <w:szCs w:val="24"/>
                <w:lang w:eastAsia="vi-VN"/>
              </w:rPr>
              <w:t>Thông tư này áp dụng đối với người có chứng chỉ kế toán viên, người có chứng chỉ kiểm toán viên, người làm kế toán, doanh nghiệp kinh doanh dịch vụ kế toán, chi nhánh doanh nghiệp kinh doanh dịch vụ kế toán nước ngoài tại Việt Nam, doanh nghiệp kiểm toán, chi nhánh doanh nghiệp kiểm toán nước ngoài tại Việt Nam và các đối tượng được quy định cụ thể trong nội dung chuẩn mực</w:t>
            </w:r>
            <w:r w:rsidR="008F69DD">
              <w:rPr>
                <w:rFonts w:ascii="Times New Roman" w:eastAsia="Times New Roman" w:hAnsi="Times New Roman" w:cs="Times New Roman"/>
                <w:bCs/>
                <w:color w:val="000000"/>
                <w:sz w:val="24"/>
                <w:szCs w:val="24"/>
                <w:lang w:eastAsia="vi-VN"/>
              </w:rPr>
              <w:t>.</w:t>
            </w:r>
          </w:p>
          <w:p w:rsidR="00B02E4A" w:rsidRPr="003E44CF" w:rsidRDefault="00B02E4A" w:rsidP="00AA68CD">
            <w:pPr>
              <w:shd w:val="clear" w:color="auto" w:fill="FFFFFF"/>
              <w:spacing w:before="120" w:after="120" w:line="240" w:lineRule="auto"/>
              <w:jc w:val="both"/>
              <w:rPr>
                <w:rFonts w:ascii="Times New Roman" w:eastAsia="Times New Roman" w:hAnsi="Times New Roman" w:cs="Times New Roman"/>
                <w:b/>
                <w:bCs/>
                <w:color w:val="000000"/>
                <w:sz w:val="24"/>
                <w:szCs w:val="24"/>
                <w:lang w:eastAsia="vi-VN"/>
              </w:rPr>
            </w:pPr>
          </w:p>
        </w:tc>
        <w:tc>
          <w:tcPr>
            <w:tcW w:w="5193" w:type="dxa"/>
          </w:tcPr>
          <w:p w:rsidR="003E44CF" w:rsidRDefault="003E44CF" w:rsidP="008F69DD">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Phạm vi và đối tượng áp dụng </w:t>
            </w:r>
            <w:r w:rsidR="008F69DD">
              <w:rPr>
                <w:rFonts w:ascii="Times New Roman" w:hAnsi="Times New Roman" w:cs="Times New Roman"/>
                <w:sz w:val="24"/>
                <w:szCs w:val="24"/>
                <w:lang w:val="pt-BR"/>
              </w:rPr>
              <w:t>được quy định thêm cho người làm kế toán, người có chứng chỉ kế toán viên (rộng hơn so với người có chứng chỉ hành nghề kế toán), chi nhánh doanh nghiệp kinh doanh dịch vụ kế toán nước ngoài tại Việt Nam</w:t>
            </w:r>
            <w:r>
              <w:rPr>
                <w:rFonts w:ascii="Times New Roman" w:hAnsi="Times New Roman" w:cs="Times New Roman"/>
                <w:sz w:val="24"/>
                <w:szCs w:val="24"/>
                <w:lang w:val="pt-BR"/>
              </w:rPr>
              <w:t>.</w:t>
            </w:r>
            <w:r w:rsidR="008F69DD">
              <w:rPr>
                <w:rFonts w:ascii="Times New Roman" w:hAnsi="Times New Roman" w:cs="Times New Roman"/>
                <w:sz w:val="24"/>
                <w:szCs w:val="24"/>
                <w:lang w:val="pt-BR"/>
              </w:rPr>
              <w:t xml:space="preserve"> Việc quy định này nhằm tăng độ phủ các đối tượng phải tuân thủ, để tăng tính minh bạch và hiệu quả trong công tác kế toán, kiểm toán.</w:t>
            </w:r>
          </w:p>
          <w:p w:rsidR="008F69DD" w:rsidRPr="00127247" w:rsidRDefault="008F69DD" w:rsidP="00AA68CD">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Bên cạnh đó, từng phần của Chuẩn mực </w:t>
            </w:r>
            <w:r w:rsidR="00AA68CD">
              <w:rPr>
                <w:rFonts w:ascii="Times New Roman" w:hAnsi="Times New Roman" w:cs="Times New Roman"/>
                <w:sz w:val="24"/>
                <w:szCs w:val="24"/>
                <w:lang w:val="pt-BR"/>
              </w:rPr>
              <w:t>đã quy định đối tượng áp dụng, do đó không quy định lại đối tượng áp dụng ở từng phần tại Điều 2 Dự thảo Thông tư.</w:t>
            </w:r>
          </w:p>
        </w:tc>
      </w:tr>
      <w:tr w:rsidR="003E44CF" w:rsidRPr="006E5159" w:rsidTr="00E844A2">
        <w:tc>
          <w:tcPr>
            <w:tcW w:w="4649" w:type="dxa"/>
          </w:tcPr>
          <w:p w:rsidR="003E44CF" w:rsidRPr="00A2412B" w:rsidRDefault="003E44CF" w:rsidP="00A2412B">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b/>
                <w:color w:val="000000"/>
                <w:sz w:val="24"/>
                <w:szCs w:val="24"/>
                <w:lang w:eastAsia="vi-VN"/>
              </w:rPr>
              <w:lastRenderedPageBreak/>
              <w:t xml:space="preserve">Điều 3. </w:t>
            </w:r>
            <w:r w:rsidRPr="00A2412B">
              <w:rPr>
                <w:rFonts w:ascii="Times New Roman" w:eastAsia="Times New Roman" w:hAnsi="Times New Roman" w:cs="Times New Roman"/>
                <w:color w:val="000000"/>
                <w:sz w:val="24"/>
                <w:szCs w:val="24"/>
                <w:lang w:eastAsia="vi-VN"/>
              </w:rPr>
              <w:t xml:space="preserve"> Thông tư này có hiệu lực thi hành kể từ ngày 01/01/20</w:t>
            </w:r>
            <w:r>
              <w:rPr>
                <w:rFonts w:ascii="Times New Roman" w:eastAsia="Times New Roman" w:hAnsi="Times New Roman" w:cs="Times New Roman"/>
                <w:color w:val="000000"/>
                <w:sz w:val="24"/>
                <w:szCs w:val="24"/>
                <w:lang w:eastAsia="vi-VN"/>
              </w:rPr>
              <w:t>1</w:t>
            </w:r>
            <w:r w:rsidR="00AA68CD">
              <w:rPr>
                <w:rFonts w:ascii="Times New Roman" w:eastAsia="Times New Roman" w:hAnsi="Times New Roman" w:cs="Times New Roman"/>
                <w:color w:val="000000"/>
                <w:sz w:val="24"/>
                <w:szCs w:val="24"/>
                <w:lang w:eastAsia="vi-VN"/>
              </w:rPr>
              <w:t>6</w:t>
            </w:r>
            <w:r w:rsidRPr="00A2412B">
              <w:rPr>
                <w:rFonts w:ascii="Times New Roman" w:eastAsia="Times New Roman" w:hAnsi="Times New Roman" w:cs="Times New Roman"/>
                <w:color w:val="000000"/>
                <w:sz w:val="24"/>
                <w:szCs w:val="24"/>
                <w:lang w:eastAsia="vi-VN"/>
              </w:rPr>
              <w:t>.</w:t>
            </w:r>
          </w:p>
          <w:p w:rsidR="003E44CF" w:rsidRPr="00A2412B" w:rsidRDefault="00AA68CD" w:rsidP="00A2412B">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3E44CF">
              <w:rPr>
                <w:rFonts w:ascii="Times New Roman" w:eastAsia="Times New Roman" w:hAnsi="Times New Roman" w:cs="Times New Roman"/>
                <w:color w:val="000000"/>
                <w:sz w:val="24"/>
                <w:szCs w:val="24"/>
                <w:lang w:eastAsia="vi-VN"/>
              </w:rPr>
              <w:t xml:space="preserve">Chuẩn mực đạo đức nghề nghiệp kế toán, kiểm toán ban hành theo </w:t>
            </w:r>
            <w:r>
              <w:rPr>
                <w:rFonts w:ascii="Times New Roman" w:eastAsia="Times New Roman" w:hAnsi="Times New Roman" w:cs="Times New Roman"/>
                <w:color w:val="000000"/>
                <w:sz w:val="24"/>
                <w:szCs w:val="24"/>
                <w:lang w:eastAsia="vi-VN"/>
              </w:rPr>
              <w:t>Quyết định số 87/2005/QĐ-BTC ngày 01/12/2005</w:t>
            </w:r>
            <w:r w:rsidRPr="003E44CF">
              <w:rPr>
                <w:rFonts w:ascii="Times New Roman" w:eastAsia="Times New Roman" w:hAnsi="Times New Roman" w:cs="Times New Roman"/>
                <w:color w:val="000000"/>
                <w:sz w:val="24"/>
                <w:szCs w:val="24"/>
                <w:lang w:eastAsia="vi-VN"/>
              </w:rPr>
              <w:t xml:space="preserve"> của Bộ trưởng Bộ Tài chính hết hiệu lực kể từ ngày 01/01/20</w:t>
            </w:r>
            <w:r>
              <w:rPr>
                <w:rFonts w:ascii="Times New Roman" w:eastAsia="Times New Roman" w:hAnsi="Times New Roman" w:cs="Times New Roman"/>
                <w:color w:val="000000"/>
                <w:sz w:val="24"/>
                <w:szCs w:val="24"/>
                <w:lang w:eastAsia="vi-VN"/>
              </w:rPr>
              <w:t>16</w:t>
            </w:r>
            <w:r w:rsidRPr="003E44CF">
              <w:rPr>
                <w:rFonts w:ascii="Times New Roman" w:eastAsia="Times New Roman" w:hAnsi="Times New Roman" w:cs="Times New Roman"/>
                <w:color w:val="000000"/>
                <w:sz w:val="24"/>
                <w:szCs w:val="24"/>
                <w:lang w:eastAsia="vi-VN"/>
              </w:rPr>
              <w:t>.</w:t>
            </w:r>
          </w:p>
          <w:p w:rsidR="003E44CF" w:rsidRPr="00381F6E" w:rsidRDefault="003E44CF" w:rsidP="00A2412B">
            <w:pPr>
              <w:spacing w:before="40" w:after="40" w:line="240" w:lineRule="auto"/>
              <w:jc w:val="both"/>
              <w:rPr>
                <w:rFonts w:ascii="Times New Roman" w:hAnsi="Times New Roman" w:cs="Times New Roman"/>
                <w:b/>
                <w:bCs/>
                <w:sz w:val="24"/>
                <w:szCs w:val="24"/>
              </w:rPr>
            </w:pPr>
          </w:p>
        </w:tc>
        <w:tc>
          <w:tcPr>
            <w:tcW w:w="4678" w:type="dxa"/>
          </w:tcPr>
          <w:p w:rsidR="003E44CF" w:rsidRPr="003E44CF" w:rsidRDefault="003E44CF" w:rsidP="00AA68CD">
            <w:pPr>
              <w:shd w:val="clear" w:color="auto" w:fill="FFFFFF"/>
              <w:spacing w:before="120" w:after="120" w:line="240" w:lineRule="auto"/>
              <w:jc w:val="both"/>
              <w:rPr>
                <w:rFonts w:ascii="Times New Roman" w:eastAsia="Times New Roman" w:hAnsi="Times New Roman" w:cs="Times New Roman"/>
                <w:b/>
                <w:bCs/>
                <w:color w:val="000000"/>
                <w:sz w:val="24"/>
                <w:szCs w:val="24"/>
                <w:lang w:eastAsia="vi-VN"/>
              </w:rPr>
            </w:pPr>
            <w:bookmarkStart w:id="1" w:name="dieu_5"/>
            <w:r w:rsidRPr="003E44CF">
              <w:rPr>
                <w:rFonts w:ascii="Times New Roman" w:eastAsia="Times New Roman" w:hAnsi="Times New Roman" w:cs="Times New Roman"/>
                <w:b/>
                <w:bCs/>
                <w:color w:val="000000"/>
                <w:sz w:val="24"/>
                <w:szCs w:val="24"/>
                <w:lang w:eastAsia="vi-VN"/>
              </w:rPr>
              <w:t xml:space="preserve">Điều 3. </w:t>
            </w:r>
            <w:bookmarkEnd w:id="1"/>
            <w:r w:rsidRPr="003E44CF">
              <w:rPr>
                <w:rFonts w:ascii="Times New Roman" w:eastAsia="Times New Roman" w:hAnsi="Times New Roman" w:cs="Times New Roman"/>
                <w:b/>
                <w:bCs/>
                <w:color w:val="000000"/>
                <w:sz w:val="24"/>
                <w:szCs w:val="24"/>
                <w:lang w:eastAsia="vi-VN"/>
              </w:rPr>
              <w:t>Hiệu lực thi hành và điều khoản chuyển tiếp</w:t>
            </w:r>
          </w:p>
          <w:p w:rsidR="003E44CF" w:rsidRPr="003E44CF" w:rsidRDefault="003E44CF" w:rsidP="00B02E4A">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3E44CF">
              <w:rPr>
                <w:rFonts w:ascii="Times New Roman" w:eastAsia="Times New Roman" w:hAnsi="Times New Roman" w:cs="Times New Roman"/>
                <w:color w:val="000000"/>
                <w:sz w:val="24"/>
                <w:szCs w:val="24"/>
                <w:lang w:eastAsia="vi-VN"/>
              </w:rPr>
              <w:t>1.  Thông tư này có hiệu lực thi hành kể từ ngày 01/01/2027.</w:t>
            </w:r>
          </w:p>
          <w:p w:rsidR="003E44CF" w:rsidRPr="003E44CF" w:rsidRDefault="003E44CF" w:rsidP="00B02E4A">
            <w:pPr>
              <w:shd w:val="clear" w:color="auto" w:fill="FFFFFF"/>
              <w:spacing w:before="120" w:after="120" w:line="240" w:lineRule="auto"/>
              <w:ind w:firstLine="34"/>
              <w:jc w:val="both"/>
              <w:rPr>
                <w:rFonts w:ascii="Times New Roman" w:eastAsia="Times New Roman" w:hAnsi="Times New Roman" w:cs="Times New Roman"/>
                <w:color w:val="000000"/>
                <w:sz w:val="24"/>
                <w:szCs w:val="24"/>
                <w:lang w:eastAsia="vi-VN"/>
              </w:rPr>
            </w:pPr>
            <w:r w:rsidRPr="003E44CF">
              <w:rPr>
                <w:rFonts w:ascii="Times New Roman" w:eastAsia="Times New Roman" w:hAnsi="Times New Roman" w:cs="Times New Roman"/>
                <w:color w:val="000000"/>
                <w:sz w:val="24"/>
                <w:szCs w:val="24"/>
                <w:lang w:eastAsia="vi-VN"/>
              </w:rPr>
              <w:t xml:space="preserve">2. Đối với các cuộc kiểm toán báo cáo tài chính và các công việc kiểm toán khác được thực hiện trước ngày 01/01/2027 mà đến ngày 01/01/2027 trở đi mới phát hành báo cáo kiểm toán thì phải áp dụng chuẩn mực đạo đức nghề nghiệp kế toán, kiểm toán Việt Nam </w:t>
            </w:r>
            <w:r w:rsidRPr="003E44CF">
              <w:rPr>
                <w:rFonts w:ascii="Times New Roman" w:eastAsia="Times New Roman" w:hAnsi="Times New Roman" w:cs="Times New Roman"/>
                <w:bCs/>
                <w:color w:val="000000"/>
                <w:sz w:val="24"/>
                <w:szCs w:val="24"/>
                <w:lang w:eastAsia="vi-VN"/>
              </w:rPr>
              <w:t xml:space="preserve">(bao gồm các yêu cầu về tính độc lập) </w:t>
            </w:r>
            <w:r w:rsidRPr="003E44CF">
              <w:rPr>
                <w:rFonts w:ascii="Times New Roman" w:eastAsia="Times New Roman" w:hAnsi="Times New Roman" w:cs="Times New Roman"/>
                <w:color w:val="000000"/>
                <w:sz w:val="24"/>
                <w:szCs w:val="24"/>
                <w:lang w:eastAsia="vi-VN"/>
              </w:rPr>
              <w:t>ban hành theo Thông tư này.</w:t>
            </w:r>
          </w:p>
          <w:p w:rsidR="003E44CF" w:rsidRPr="003E44CF" w:rsidRDefault="003E44CF" w:rsidP="003E44CF">
            <w:pPr>
              <w:shd w:val="clear" w:color="auto" w:fill="FFFFFF"/>
              <w:spacing w:before="120" w:after="120" w:line="240" w:lineRule="auto"/>
              <w:jc w:val="both"/>
              <w:rPr>
                <w:rFonts w:ascii="Times New Roman" w:eastAsia="Times New Roman" w:hAnsi="Times New Roman" w:cs="Times New Roman"/>
                <w:bCs/>
                <w:color w:val="000000"/>
                <w:sz w:val="24"/>
                <w:szCs w:val="24"/>
                <w:lang w:eastAsia="vi-VN"/>
              </w:rPr>
            </w:pPr>
            <w:r w:rsidRPr="003E44CF">
              <w:rPr>
                <w:rFonts w:ascii="Times New Roman" w:eastAsia="Times New Roman" w:hAnsi="Times New Roman" w:cs="Times New Roman"/>
                <w:color w:val="000000"/>
                <w:sz w:val="24"/>
                <w:szCs w:val="24"/>
                <w:lang w:eastAsia="vi-VN"/>
              </w:rPr>
              <w:t>3. Chuẩn mực đạo đức nghề nghiệp kế toán, kiểm toán ban hành theo Thông tư số 70/2015/TT-BTC ngày 08/5/2015 của Bộ trưởng Bộ Tài chính hết hiệu lực kể từ ngày 01/01/2027.</w:t>
            </w:r>
          </w:p>
        </w:tc>
        <w:tc>
          <w:tcPr>
            <w:tcW w:w="5193" w:type="dxa"/>
          </w:tcPr>
          <w:p w:rsidR="003E44CF" w:rsidRDefault="003E44CF" w:rsidP="00AC459F">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Dự thảo Thông tư ban hành chuẩn mực </w:t>
            </w:r>
            <w:r w:rsidR="00AA68CD">
              <w:rPr>
                <w:rFonts w:ascii="Times New Roman" w:hAnsi="Times New Roman" w:cs="Times New Roman"/>
                <w:sz w:val="24"/>
                <w:szCs w:val="24"/>
                <w:lang w:val="pt-BR"/>
              </w:rPr>
              <w:t xml:space="preserve">đạo đức nghề nghiệp kế toán, </w:t>
            </w:r>
            <w:r>
              <w:rPr>
                <w:rFonts w:ascii="Times New Roman" w:hAnsi="Times New Roman" w:cs="Times New Roman"/>
                <w:sz w:val="24"/>
                <w:szCs w:val="24"/>
                <w:lang w:val="pt-BR"/>
              </w:rPr>
              <w:t>kiểm toán Việt Nam</w:t>
            </w:r>
            <w:r w:rsidR="00AA68CD">
              <w:rPr>
                <w:rFonts w:ascii="Times New Roman" w:hAnsi="Times New Roman" w:cs="Times New Roman"/>
                <w:sz w:val="24"/>
                <w:szCs w:val="24"/>
                <w:lang w:val="pt-BR"/>
              </w:rPr>
              <w:t xml:space="preserve"> (bao gồm các yêu cầu về tính độc lập)</w:t>
            </w:r>
            <w:r>
              <w:rPr>
                <w:rFonts w:ascii="Times New Roman" w:hAnsi="Times New Roman" w:cs="Times New Roman"/>
                <w:sz w:val="24"/>
                <w:szCs w:val="24"/>
                <w:lang w:val="pt-BR"/>
              </w:rPr>
              <w:t xml:space="preserve"> dự kiến được ban hành trong Quý 1 năm 2026 và có hiệu lực thi hành kể từ ngày 01/01/2027. Việc quy định hiệu lực thi hành sau khi ban hành gần 1 năm để các doanh nghiệp kiểm toán có thời gian tìm hiểu những yêu cầu mới của các chuẩn mực, chuẩn bị và đào tạo nguồn lực. Điều này tương tự như khi ban hành Thông tư số 214/2012/TT-BTC ngày 06/12/2012 và có hiệu lực thi hành từ ngày 01/01/2014.</w:t>
            </w:r>
          </w:p>
          <w:p w:rsidR="003E44CF" w:rsidRDefault="00AA68CD" w:rsidP="00001CAA">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Khi Thông tư này có hiệu lực, Chuẩn mực đạo đức kế toán, kiểm toán Việt Nam (bao gồm các yêu cầu về tính độc lập) sẽ thay thế cho Chuẩn mực đạo đức nghề nghiệp kế toán, kiểm toán ban hành theo Thông tư số </w:t>
            </w:r>
            <w:r w:rsidR="00001CAA">
              <w:rPr>
                <w:rFonts w:ascii="Times New Roman" w:hAnsi="Times New Roman" w:cs="Times New Roman"/>
                <w:sz w:val="24"/>
                <w:szCs w:val="24"/>
                <w:lang w:val="pt-BR"/>
              </w:rPr>
              <w:t>70</w:t>
            </w:r>
            <w:r>
              <w:rPr>
                <w:rFonts w:ascii="Times New Roman" w:hAnsi="Times New Roman" w:cs="Times New Roman"/>
                <w:sz w:val="24"/>
                <w:szCs w:val="24"/>
                <w:lang w:val="pt-BR"/>
              </w:rPr>
              <w:t>/201</w:t>
            </w:r>
            <w:r w:rsidR="00001CAA">
              <w:rPr>
                <w:rFonts w:ascii="Times New Roman" w:hAnsi="Times New Roman" w:cs="Times New Roman"/>
                <w:sz w:val="24"/>
                <w:szCs w:val="24"/>
                <w:lang w:val="pt-BR"/>
              </w:rPr>
              <w:t>5</w:t>
            </w:r>
            <w:r>
              <w:rPr>
                <w:rFonts w:ascii="Times New Roman" w:hAnsi="Times New Roman" w:cs="Times New Roman"/>
                <w:sz w:val="24"/>
                <w:szCs w:val="24"/>
                <w:lang w:val="pt-BR"/>
              </w:rPr>
              <w:t>/TT-BTC.</w:t>
            </w:r>
          </w:p>
        </w:tc>
      </w:tr>
      <w:tr w:rsidR="003E44CF" w:rsidRPr="006E5159" w:rsidTr="00E844A2">
        <w:tc>
          <w:tcPr>
            <w:tcW w:w="4649" w:type="dxa"/>
          </w:tcPr>
          <w:p w:rsidR="003E44CF" w:rsidRPr="00F865F0" w:rsidRDefault="003E44CF" w:rsidP="00AA68CD">
            <w:pPr>
              <w:shd w:val="clear" w:color="auto" w:fill="FFFFFF"/>
              <w:spacing w:before="120" w:after="120" w:line="240" w:lineRule="auto"/>
              <w:ind w:firstLine="34"/>
              <w:rPr>
                <w:rFonts w:ascii="Times New Roman" w:eastAsia="Times New Roman" w:hAnsi="Times New Roman" w:cs="Times New Roman"/>
                <w:color w:val="000000"/>
                <w:sz w:val="24"/>
                <w:szCs w:val="24"/>
                <w:lang w:eastAsia="vi-VN"/>
              </w:rPr>
            </w:pPr>
            <w:r w:rsidRPr="00A2412B">
              <w:rPr>
                <w:rFonts w:ascii="Times New Roman" w:eastAsia="Times New Roman" w:hAnsi="Times New Roman" w:cs="Times New Roman"/>
                <w:b/>
                <w:color w:val="000000"/>
                <w:sz w:val="24"/>
                <w:szCs w:val="24"/>
                <w:lang w:eastAsia="vi-VN"/>
              </w:rPr>
              <w:t xml:space="preserve">Điều </w:t>
            </w:r>
            <w:r>
              <w:rPr>
                <w:rFonts w:ascii="Times New Roman" w:eastAsia="Times New Roman" w:hAnsi="Times New Roman" w:cs="Times New Roman"/>
                <w:b/>
                <w:color w:val="000000"/>
                <w:sz w:val="24"/>
                <w:szCs w:val="24"/>
                <w:lang w:eastAsia="vi-VN"/>
              </w:rPr>
              <w:t>4</w:t>
            </w:r>
            <w:r w:rsidRPr="00A2412B">
              <w:rPr>
                <w:rFonts w:ascii="Times New Roman" w:eastAsia="Times New Roman" w:hAnsi="Times New Roman" w:cs="Times New Roman"/>
                <w:b/>
                <w:color w:val="000000"/>
                <w:sz w:val="24"/>
                <w:szCs w:val="24"/>
                <w:lang w:eastAsia="vi-VN"/>
              </w:rPr>
              <w:t xml:space="preserve">. </w:t>
            </w:r>
            <w:r>
              <w:rPr>
                <w:rFonts w:ascii="Times New Roman" w:eastAsia="Times New Roman" w:hAnsi="Times New Roman" w:cs="Times New Roman"/>
                <w:color w:val="000000"/>
                <w:sz w:val="24"/>
                <w:szCs w:val="24"/>
                <w:lang w:eastAsia="vi-VN"/>
              </w:rPr>
              <w:t xml:space="preserve">Vụ trưởng Vụ chế độ kế toán và kiểm toán, </w:t>
            </w:r>
            <w:r w:rsidR="00AA68CD">
              <w:rPr>
                <w:rFonts w:ascii="Times New Roman" w:eastAsia="Times New Roman" w:hAnsi="Times New Roman" w:cs="Times New Roman"/>
                <w:color w:val="000000"/>
                <w:sz w:val="24"/>
                <w:szCs w:val="24"/>
                <w:lang w:eastAsia="vi-VN"/>
              </w:rPr>
              <w:t>doanh nghiệp kiểm toán, chi nhánh doanh nghiệp kiểm toán nước ngoài tại Việt Nam, kiểm toán viên, doanh nghiệp dịch vụ kế toán, người có chứng chỉ hành nghề kế toán</w:t>
            </w:r>
            <w:r>
              <w:rPr>
                <w:rFonts w:ascii="Times New Roman" w:eastAsia="Times New Roman" w:hAnsi="Times New Roman" w:cs="Times New Roman"/>
                <w:color w:val="000000"/>
                <w:sz w:val="24"/>
                <w:szCs w:val="24"/>
                <w:lang w:eastAsia="vi-VN"/>
              </w:rPr>
              <w:t xml:space="preserve"> </w:t>
            </w:r>
            <w:r w:rsidR="00AA68CD">
              <w:rPr>
                <w:rFonts w:ascii="Times New Roman" w:eastAsia="Times New Roman" w:hAnsi="Times New Roman" w:cs="Times New Roman"/>
                <w:color w:val="000000"/>
                <w:sz w:val="24"/>
                <w:szCs w:val="24"/>
                <w:lang w:eastAsia="vi-VN"/>
              </w:rPr>
              <w:t xml:space="preserve">và các tổ chức, cá nhân có liên quan </w:t>
            </w:r>
            <w:r>
              <w:rPr>
                <w:rFonts w:ascii="Times New Roman" w:eastAsia="Times New Roman" w:hAnsi="Times New Roman" w:cs="Times New Roman"/>
                <w:color w:val="000000"/>
                <w:sz w:val="24"/>
                <w:szCs w:val="24"/>
                <w:lang w:eastAsia="vi-VN"/>
              </w:rPr>
              <w:t>chịu trách nhiệm thi hành Thông tư này.</w:t>
            </w:r>
          </w:p>
        </w:tc>
        <w:tc>
          <w:tcPr>
            <w:tcW w:w="4678" w:type="dxa"/>
          </w:tcPr>
          <w:p w:rsidR="003E44CF" w:rsidRPr="003E44CF" w:rsidRDefault="003E44CF" w:rsidP="003E44CF">
            <w:pPr>
              <w:shd w:val="clear" w:color="auto" w:fill="FFFFFF"/>
              <w:spacing w:before="120" w:after="120" w:line="240" w:lineRule="auto"/>
              <w:ind w:firstLine="34"/>
              <w:jc w:val="both"/>
              <w:rPr>
                <w:rFonts w:ascii="Times New Roman" w:eastAsia="Times New Roman" w:hAnsi="Times New Roman" w:cs="Times New Roman"/>
                <w:b/>
                <w:color w:val="000000"/>
                <w:sz w:val="24"/>
                <w:szCs w:val="24"/>
                <w:lang w:eastAsia="vi-VN"/>
              </w:rPr>
            </w:pPr>
            <w:r w:rsidRPr="003E44CF">
              <w:rPr>
                <w:rFonts w:ascii="Times New Roman" w:eastAsia="Times New Roman" w:hAnsi="Times New Roman" w:cs="Times New Roman"/>
                <w:b/>
                <w:color w:val="000000"/>
                <w:sz w:val="24"/>
                <w:szCs w:val="24"/>
                <w:lang w:eastAsia="vi-VN"/>
              </w:rPr>
              <w:t>Điều 4. Tổ chức thực hiện</w:t>
            </w:r>
          </w:p>
          <w:p w:rsidR="003E44CF" w:rsidRPr="003E44CF" w:rsidRDefault="003E44CF" w:rsidP="00AA68CD">
            <w:pPr>
              <w:shd w:val="clear" w:color="auto" w:fill="FFFFFF"/>
              <w:spacing w:before="120" w:after="120" w:line="240" w:lineRule="auto"/>
              <w:rPr>
                <w:rFonts w:ascii="Times New Roman" w:eastAsia="Times New Roman" w:hAnsi="Times New Roman" w:cs="Times New Roman"/>
                <w:color w:val="000000"/>
                <w:sz w:val="24"/>
                <w:szCs w:val="24"/>
                <w:lang w:eastAsia="vi-VN"/>
              </w:rPr>
            </w:pPr>
            <w:r w:rsidRPr="003E44CF">
              <w:rPr>
                <w:rFonts w:ascii="Times New Roman" w:eastAsia="Times New Roman" w:hAnsi="Times New Roman" w:cs="Times New Roman"/>
                <w:color w:val="000000"/>
                <w:sz w:val="24"/>
                <w:szCs w:val="24"/>
                <w:lang w:eastAsia="vi-VN"/>
              </w:rPr>
              <w:t xml:space="preserve">Cục trưởng Cục Quản lý, giám sát kế toán, kiểm toán, Thủ trưởng các đơn vị liên quan thuộc Bộ Tài chính, </w:t>
            </w:r>
            <w:r w:rsidRPr="003E44CF">
              <w:rPr>
                <w:rFonts w:ascii="Times New Roman" w:eastAsia="Times New Roman" w:hAnsi="Times New Roman" w:cs="Times New Roman"/>
                <w:bCs/>
                <w:color w:val="000000"/>
                <w:sz w:val="24"/>
                <w:szCs w:val="24"/>
                <w:lang w:eastAsia="vi-VN"/>
              </w:rPr>
              <w:t xml:space="preserve">người có chứng chỉ kế toán viên, người có chứng chỉ kiểm toán viên, người làm kế toán, doanh nghiệp kinh doanh dịch vụ kế toán, chi nhánh doanh nghiệp kinh </w:t>
            </w:r>
            <w:r w:rsidRPr="003E44CF">
              <w:rPr>
                <w:rFonts w:ascii="Times New Roman" w:eastAsia="Times New Roman" w:hAnsi="Times New Roman" w:cs="Times New Roman"/>
                <w:bCs/>
                <w:color w:val="000000"/>
                <w:sz w:val="24"/>
                <w:szCs w:val="24"/>
                <w:lang w:eastAsia="vi-VN"/>
              </w:rPr>
              <w:lastRenderedPageBreak/>
              <w:t xml:space="preserve">doanh dịch vụ kế toán nước ngoài tại Việt Nam, doanh nghiệp kiểm toán, chi nhánh doanh nghiệp kiểm toán nước ngoài tại Việt Nam và các tổ chức, cá nhân có liên quan </w:t>
            </w:r>
            <w:r w:rsidRPr="003E44CF">
              <w:rPr>
                <w:rFonts w:ascii="Times New Roman" w:eastAsia="Times New Roman" w:hAnsi="Times New Roman" w:cs="Times New Roman"/>
                <w:color w:val="000000"/>
                <w:sz w:val="24"/>
                <w:szCs w:val="24"/>
                <w:lang w:eastAsia="vi-VN"/>
              </w:rPr>
              <w:t>chịu trách nhiệm thi hành Thông tư này.</w:t>
            </w:r>
          </w:p>
        </w:tc>
        <w:tc>
          <w:tcPr>
            <w:tcW w:w="5193" w:type="dxa"/>
          </w:tcPr>
          <w:p w:rsidR="003E44CF" w:rsidRDefault="003E44CF" w:rsidP="00AC459F">
            <w:pPr>
              <w:spacing w:before="40" w:after="40" w:line="240" w:lineRule="auto"/>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Dự thảo quy định cụ thể hơn đối tượng thi hành ngoài Thủ trưởng các đơn vị trong Bộ Tài chính còn bao gồm: </w:t>
            </w:r>
            <w:r w:rsidR="00AA68CD" w:rsidRPr="003E44CF">
              <w:rPr>
                <w:rFonts w:ascii="Times New Roman" w:eastAsia="Times New Roman" w:hAnsi="Times New Roman" w:cs="Times New Roman"/>
                <w:bCs/>
                <w:color w:val="000000"/>
                <w:sz w:val="24"/>
                <w:szCs w:val="24"/>
                <w:lang w:eastAsia="vi-VN"/>
              </w:rPr>
              <w:t xml:space="preserve">người có chứng chỉ kế toán viên, người có chứng chỉ kiểm toán viên, người làm kế toán, doanh nghiệp kinh doanh dịch vụ kế toán, chi nhánh doanh nghiệp kinh doanh dịch vụ kế toán nước ngoài tại Việt Nam, doanh nghiệp kiểm toán, chi nhánh doanh nghiệp kiểm toán nước ngoài tại </w:t>
            </w:r>
            <w:r w:rsidR="00AA68CD" w:rsidRPr="003E44CF">
              <w:rPr>
                <w:rFonts w:ascii="Times New Roman" w:eastAsia="Times New Roman" w:hAnsi="Times New Roman" w:cs="Times New Roman"/>
                <w:bCs/>
                <w:color w:val="000000"/>
                <w:sz w:val="24"/>
                <w:szCs w:val="24"/>
                <w:lang w:eastAsia="vi-VN"/>
              </w:rPr>
              <w:lastRenderedPageBreak/>
              <w:t>Việt Na</w:t>
            </w:r>
            <w:r w:rsidRPr="00F865F0">
              <w:rPr>
                <w:rFonts w:ascii="Times New Roman" w:eastAsia="Times New Roman" w:hAnsi="Times New Roman" w:cs="Times New Roman"/>
                <w:bCs/>
                <w:color w:val="000000"/>
                <w:sz w:val="24"/>
                <w:szCs w:val="24"/>
                <w:lang w:eastAsia="vi-VN"/>
              </w:rPr>
              <w:t>m và các tổ chức, cá nhân có liên quan</w:t>
            </w:r>
            <w:r>
              <w:rPr>
                <w:rFonts w:ascii="Times New Roman" w:eastAsia="Times New Roman" w:hAnsi="Times New Roman" w:cs="Times New Roman"/>
                <w:bCs/>
                <w:color w:val="000000"/>
                <w:sz w:val="24"/>
                <w:szCs w:val="24"/>
                <w:lang w:eastAsia="vi-VN"/>
              </w:rPr>
              <w:t>.</w:t>
            </w:r>
          </w:p>
        </w:tc>
      </w:tr>
    </w:tbl>
    <w:p w:rsidR="004243EA" w:rsidRDefault="004243EA"/>
    <w:sectPr w:rsidR="004243EA" w:rsidSect="009E0839">
      <w:headerReference w:type="default" r:id="rId7"/>
      <w:pgSz w:w="16838" w:h="11906" w:orient="landscape" w:code="9"/>
      <w:pgMar w:top="1134" w:right="1134" w:bottom="1134" w:left="1701"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769" w:rsidRDefault="00AA6769" w:rsidP="00627D1D">
      <w:pPr>
        <w:spacing w:after="0" w:line="240" w:lineRule="auto"/>
      </w:pPr>
      <w:r>
        <w:separator/>
      </w:r>
    </w:p>
  </w:endnote>
  <w:endnote w:type="continuationSeparator" w:id="1">
    <w:p w:rsidR="00AA6769" w:rsidRDefault="00AA6769" w:rsidP="00627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769" w:rsidRDefault="00AA6769" w:rsidP="00627D1D">
      <w:pPr>
        <w:spacing w:after="0" w:line="240" w:lineRule="auto"/>
      </w:pPr>
      <w:r>
        <w:separator/>
      </w:r>
    </w:p>
  </w:footnote>
  <w:footnote w:type="continuationSeparator" w:id="1">
    <w:p w:rsidR="00AA6769" w:rsidRDefault="00AA6769" w:rsidP="00627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docPartObj>
        <w:docPartGallery w:val="Page Numbers (Top of Page)"/>
        <w:docPartUnique/>
      </w:docPartObj>
    </w:sdtPr>
    <w:sdtEndPr>
      <w:rPr>
        <w:rFonts w:ascii="Times New Roman" w:hAnsi="Times New Roman" w:cs="Times New Roman"/>
      </w:rPr>
    </w:sdtEndPr>
    <w:sdtContent>
      <w:p w:rsidR="00AA68CD" w:rsidRPr="00F865F0" w:rsidRDefault="00AA68CD">
        <w:pPr>
          <w:pStyle w:val="Header"/>
          <w:jc w:val="center"/>
          <w:rPr>
            <w:rFonts w:ascii="Times New Roman" w:hAnsi="Times New Roman" w:cs="Times New Roman"/>
          </w:rPr>
        </w:pPr>
        <w:r w:rsidRPr="00F865F0">
          <w:rPr>
            <w:rFonts w:ascii="Times New Roman" w:hAnsi="Times New Roman" w:cs="Times New Roman"/>
          </w:rPr>
          <w:fldChar w:fldCharType="begin"/>
        </w:r>
        <w:r w:rsidRPr="00F865F0">
          <w:rPr>
            <w:rFonts w:ascii="Times New Roman" w:hAnsi="Times New Roman" w:cs="Times New Roman"/>
          </w:rPr>
          <w:instrText xml:space="preserve"> PAGE   \* MERGEFORMAT </w:instrText>
        </w:r>
        <w:r w:rsidRPr="00F865F0">
          <w:rPr>
            <w:rFonts w:ascii="Times New Roman" w:hAnsi="Times New Roman" w:cs="Times New Roman"/>
          </w:rPr>
          <w:fldChar w:fldCharType="separate"/>
        </w:r>
        <w:r w:rsidR="007874F2">
          <w:rPr>
            <w:rFonts w:ascii="Times New Roman" w:hAnsi="Times New Roman" w:cs="Times New Roman"/>
            <w:noProof/>
          </w:rPr>
          <w:t>3</w:t>
        </w:r>
        <w:r w:rsidRPr="00F865F0">
          <w:rPr>
            <w:rFonts w:ascii="Times New Roman" w:hAnsi="Times New Roman" w:cs="Times New Roman"/>
          </w:rPr>
          <w:fldChar w:fldCharType="end"/>
        </w:r>
      </w:p>
    </w:sdtContent>
  </w:sdt>
  <w:p w:rsidR="00AA68CD" w:rsidRDefault="00AA68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08A2"/>
    <w:rsid w:val="00001CAA"/>
    <w:rsid w:val="00002E1B"/>
    <w:rsid w:val="0001623B"/>
    <w:rsid w:val="00023C5A"/>
    <w:rsid w:val="00054978"/>
    <w:rsid w:val="000817D1"/>
    <w:rsid w:val="000A1301"/>
    <w:rsid w:val="000A7992"/>
    <w:rsid w:val="000D0995"/>
    <w:rsid w:val="000D4156"/>
    <w:rsid w:val="000F7E7F"/>
    <w:rsid w:val="00127247"/>
    <w:rsid w:val="001E6DA6"/>
    <w:rsid w:val="00226D83"/>
    <w:rsid w:val="00227397"/>
    <w:rsid w:val="00251C9F"/>
    <w:rsid w:val="00264277"/>
    <w:rsid w:val="00267876"/>
    <w:rsid w:val="002C1040"/>
    <w:rsid w:val="002E6FB0"/>
    <w:rsid w:val="002F332D"/>
    <w:rsid w:val="00303EA1"/>
    <w:rsid w:val="00342B69"/>
    <w:rsid w:val="00362091"/>
    <w:rsid w:val="00362874"/>
    <w:rsid w:val="0037705A"/>
    <w:rsid w:val="00381F6E"/>
    <w:rsid w:val="00385F26"/>
    <w:rsid w:val="003A74C8"/>
    <w:rsid w:val="003B7AF5"/>
    <w:rsid w:val="003E44CF"/>
    <w:rsid w:val="00405296"/>
    <w:rsid w:val="00405448"/>
    <w:rsid w:val="00414912"/>
    <w:rsid w:val="004243EA"/>
    <w:rsid w:val="004247AC"/>
    <w:rsid w:val="00433907"/>
    <w:rsid w:val="00446D85"/>
    <w:rsid w:val="004C6210"/>
    <w:rsid w:val="004F0264"/>
    <w:rsid w:val="004F08A2"/>
    <w:rsid w:val="00503C37"/>
    <w:rsid w:val="0052138F"/>
    <w:rsid w:val="00532E72"/>
    <w:rsid w:val="00566FF6"/>
    <w:rsid w:val="00567F05"/>
    <w:rsid w:val="00572631"/>
    <w:rsid w:val="0058147D"/>
    <w:rsid w:val="005B294C"/>
    <w:rsid w:val="005C7B29"/>
    <w:rsid w:val="005D57FE"/>
    <w:rsid w:val="005F700B"/>
    <w:rsid w:val="00627D1D"/>
    <w:rsid w:val="00660CE8"/>
    <w:rsid w:val="00683F42"/>
    <w:rsid w:val="006E5159"/>
    <w:rsid w:val="00705892"/>
    <w:rsid w:val="00706A6E"/>
    <w:rsid w:val="00713AE1"/>
    <w:rsid w:val="00716DF4"/>
    <w:rsid w:val="00726C20"/>
    <w:rsid w:val="007603D2"/>
    <w:rsid w:val="00760AC3"/>
    <w:rsid w:val="00766C29"/>
    <w:rsid w:val="00784FAB"/>
    <w:rsid w:val="007874F2"/>
    <w:rsid w:val="007F1579"/>
    <w:rsid w:val="007F62BE"/>
    <w:rsid w:val="00807A07"/>
    <w:rsid w:val="00825509"/>
    <w:rsid w:val="00832BEF"/>
    <w:rsid w:val="0084402E"/>
    <w:rsid w:val="008528F2"/>
    <w:rsid w:val="00855394"/>
    <w:rsid w:val="008561FA"/>
    <w:rsid w:val="008616E6"/>
    <w:rsid w:val="008672E4"/>
    <w:rsid w:val="00882AC5"/>
    <w:rsid w:val="00893EE2"/>
    <w:rsid w:val="008D0F0B"/>
    <w:rsid w:val="008D3026"/>
    <w:rsid w:val="008F69DD"/>
    <w:rsid w:val="00900E56"/>
    <w:rsid w:val="00904309"/>
    <w:rsid w:val="00904439"/>
    <w:rsid w:val="00927404"/>
    <w:rsid w:val="009760BB"/>
    <w:rsid w:val="00986C98"/>
    <w:rsid w:val="00996DB4"/>
    <w:rsid w:val="009D50DF"/>
    <w:rsid w:val="009E0839"/>
    <w:rsid w:val="00A01684"/>
    <w:rsid w:val="00A2412B"/>
    <w:rsid w:val="00A73A68"/>
    <w:rsid w:val="00A8136F"/>
    <w:rsid w:val="00A93129"/>
    <w:rsid w:val="00AA6769"/>
    <w:rsid w:val="00AA68CD"/>
    <w:rsid w:val="00AB5A89"/>
    <w:rsid w:val="00AC459F"/>
    <w:rsid w:val="00AE4296"/>
    <w:rsid w:val="00AF3506"/>
    <w:rsid w:val="00AF4D5C"/>
    <w:rsid w:val="00B01550"/>
    <w:rsid w:val="00B0280B"/>
    <w:rsid w:val="00B02BA7"/>
    <w:rsid w:val="00B02E4A"/>
    <w:rsid w:val="00B05360"/>
    <w:rsid w:val="00B36CF1"/>
    <w:rsid w:val="00B501D6"/>
    <w:rsid w:val="00B65430"/>
    <w:rsid w:val="00B81F5E"/>
    <w:rsid w:val="00B9338D"/>
    <w:rsid w:val="00BA5CB9"/>
    <w:rsid w:val="00BA7933"/>
    <w:rsid w:val="00BD5C8F"/>
    <w:rsid w:val="00BD7EE0"/>
    <w:rsid w:val="00C10193"/>
    <w:rsid w:val="00C53AB6"/>
    <w:rsid w:val="00C8689C"/>
    <w:rsid w:val="00CA73C1"/>
    <w:rsid w:val="00CB5395"/>
    <w:rsid w:val="00CB5B07"/>
    <w:rsid w:val="00CE18BD"/>
    <w:rsid w:val="00D1475E"/>
    <w:rsid w:val="00D21C46"/>
    <w:rsid w:val="00D51D28"/>
    <w:rsid w:val="00D62BC1"/>
    <w:rsid w:val="00D902E0"/>
    <w:rsid w:val="00DA2F40"/>
    <w:rsid w:val="00DB6FB4"/>
    <w:rsid w:val="00DC2748"/>
    <w:rsid w:val="00DD7526"/>
    <w:rsid w:val="00DF4CF4"/>
    <w:rsid w:val="00E019DB"/>
    <w:rsid w:val="00E03422"/>
    <w:rsid w:val="00E27002"/>
    <w:rsid w:val="00E33B2A"/>
    <w:rsid w:val="00E5297D"/>
    <w:rsid w:val="00E80F3D"/>
    <w:rsid w:val="00E8250D"/>
    <w:rsid w:val="00E844A2"/>
    <w:rsid w:val="00E86881"/>
    <w:rsid w:val="00E912C3"/>
    <w:rsid w:val="00EB586B"/>
    <w:rsid w:val="00F27C5B"/>
    <w:rsid w:val="00F64945"/>
    <w:rsid w:val="00F731EE"/>
    <w:rsid w:val="00F865F0"/>
    <w:rsid w:val="00FB757A"/>
    <w:rsid w:val="00FC365D"/>
    <w:rsid w:val="00FD7AA4"/>
    <w:rsid w:val="00FF377C"/>
    <w:rsid w:val="00FF3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A2"/>
    <w:pPr>
      <w:spacing w:after="200" w:line="276" w:lineRule="auto"/>
    </w:pPr>
  </w:style>
  <w:style w:type="paragraph" w:styleId="Heading1">
    <w:name w:val="heading 1"/>
    <w:basedOn w:val="Normal"/>
    <w:next w:val="Normal"/>
    <w:link w:val="Heading1Char"/>
    <w:uiPriority w:val="9"/>
    <w:qFormat/>
    <w:rsid w:val="004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F08A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F08A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F08A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F08A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F08A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F08A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F08A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F08A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A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F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A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F08A2"/>
    <w:pPr>
      <w:spacing w:before="160"/>
      <w:jc w:val="center"/>
    </w:pPr>
    <w:rPr>
      <w:i/>
      <w:iCs/>
      <w:color w:val="404040" w:themeColor="text1" w:themeTint="BF"/>
    </w:rPr>
  </w:style>
  <w:style w:type="character" w:customStyle="1" w:styleId="QuoteChar">
    <w:name w:val="Quote Char"/>
    <w:basedOn w:val="DefaultParagraphFont"/>
    <w:link w:val="Quote"/>
    <w:uiPriority w:val="29"/>
    <w:rsid w:val="004F08A2"/>
    <w:rPr>
      <w:i/>
      <w:iCs/>
      <w:noProof/>
      <w:color w:val="404040" w:themeColor="text1" w:themeTint="BF"/>
    </w:rPr>
  </w:style>
  <w:style w:type="paragraph" w:styleId="ListParagraph">
    <w:name w:val="List Paragraph"/>
    <w:basedOn w:val="Normal"/>
    <w:uiPriority w:val="34"/>
    <w:qFormat/>
    <w:rsid w:val="004F08A2"/>
    <w:pPr>
      <w:ind w:left="720"/>
      <w:contextualSpacing/>
    </w:pPr>
  </w:style>
  <w:style w:type="character" w:styleId="IntenseEmphasis">
    <w:name w:val="Intense Emphasis"/>
    <w:basedOn w:val="DefaultParagraphFont"/>
    <w:uiPriority w:val="21"/>
    <w:qFormat/>
    <w:rsid w:val="004F08A2"/>
    <w:rPr>
      <w:i/>
      <w:iCs/>
      <w:color w:val="0F4761" w:themeColor="accent1" w:themeShade="BF"/>
    </w:rPr>
  </w:style>
  <w:style w:type="paragraph" w:styleId="IntenseQuote">
    <w:name w:val="Intense Quote"/>
    <w:basedOn w:val="Normal"/>
    <w:next w:val="Normal"/>
    <w:link w:val="IntenseQuoteChar"/>
    <w:uiPriority w:val="30"/>
    <w:qFormat/>
    <w:rsid w:val="004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A2"/>
    <w:rPr>
      <w:i/>
      <w:iCs/>
      <w:noProof/>
      <w:color w:val="0F4761" w:themeColor="accent1" w:themeShade="BF"/>
    </w:rPr>
  </w:style>
  <w:style w:type="character" w:styleId="IntenseReference">
    <w:name w:val="Intense Reference"/>
    <w:basedOn w:val="DefaultParagraphFont"/>
    <w:uiPriority w:val="32"/>
    <w:qFormat/>
    <w:rsid w:val="004F08A2"/>
    <w:rPr>
      <w:b/>
      <w:bCs/>
      <w:smallCaps/>
      <w:color w:val="0F4761" w:themeColor="accent1" w:themeShade="BF"/>
      <w:spacing w:val="5"/>
    </w:rPr>
  </w:style>
  <w:style w:type="table" w:styleId="TableGrid">
    <w:name w:val="Table Grid"/>
    <w:basedOn w:val="TableNormal"/>
    <w:uiPriority w:val="39"/>
    <w:rsid w:val="00B3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6CF1"/>
    <w:rPr>
      <w:color w:val="467886"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27D1D"/>
    <w:pPr>
      <w:spacing w:after="0" w:line="240" w:lineRule="auto"/>
    </w:pPr>
    <w:rPr>
      <w:rFonts w:ascii=".VnTime" w:eastAsia="Times New Roman" w:hAnsi=".VnTime" w:cs="Times New Roman"/>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rsid w:val="00627D1D"/>
    <w:rPr>
      <w:rFonts w:ascii=".VnTime" w:eastAsia="Times New Roman" w:hAnsi=".VnTime" w:cs="Times New Roman"/>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R,Re"/>
    <w:uiPriority w:val="99"/>
    <w:qFormat/>
    <w:rsid w:val="00627D1D"/>
    <w:rPr>
      <w:vertAlign w:val="superscript"/>
    </w:rPr>
  </w:style>
  <w:style w:type="paragraph" w:styleId="Header">
    <w:name w:val="header"/>
    <w:basedOn w:val="Normal"/>
    <w:link w:val="HeaderChar"/>
    <w:uiPriority w:val="99"/>
    <w:unhideWhenUsed/>
    <w:rsid w:val="004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7AC"/>
  </w:style>
  <w:style w:type="paragraph" w:styleId="Footer">
    <w:name w:val="footer"/>
    <w:basedOn w:val="Normal"/>
    <w:link w:val="FooterChar"/>
    <w:uiPriority w:val="99"/>
    <w:semiHidden/>
    <w:unhideWhenUsed/>
    <w:rsid w:val="0042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47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phamcaoky</cp:lastModifiedBy>
  <cp:revision>6</cp:revision>
  <cp:lastPrinted>2025-09-17T03:09:00Z</cp:lastPrinted>
  <dcterms:created xsi:type="dcterms:W3CDTF">2025-08-20T09:14:00Z</dcterms:created>
  <dcterms:modified xsi:type="dcterms:W3CDTF">2025-09-17T03:12:00Z</dcterms:modified>
</cp:coreProperties>
</file>