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Ý KIẾN ĐÓNG GÓP VỀ DỰ THẢO LUẬT TRÍ TUỆ NHÂN TẠO</w:t>
      </w:r>
      <w:r w:rsidDel="00000000" w:rsidR="00000000" w:rsidRPr="00000000">
        <w:rPr>
          <w:rFonts w:ascii="Times New Roman" w:cs="Times New Roman" w:eastAsia="Times New Roman" w:hAnsi="Times New Roman"/>
          <w:sz w:val="2"/>
          <w:szCs w:val="2"/>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after="120" w:before="480" w:line="288" w:lineRule="auto"/>
        <w:jc w:val="righ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Trần Vũ Hà Minh</w:t>
        <w:br w:type="textWrapping"/>
      </w:r>
      <w:r w:rsidDel="00000000" w:rsidR="00000000" w:rsidRPr="00000000">
        <w:rPr>
          <w:rFonts w:ascii="Times New Roman" w:cs="Times New Roman" w:eastAsia="Times New Roman" w:hAnsi="Times New Roman"/>
          <w:i w:val="1"/>
          <w:sz w:val="26"/>
          <w:szCs w:val="26"/>
          <w:rtl w:val="0"/>
        </w:rPr>
        <w:t xml:space="preserve">Cố vấn Trưởng về Trí tuệ nhân tạo có trách nhiệm</w:t>
        <w:br w:type="textWrapping"/>
        <w:t xml:space="preserve">FPT Software </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spacing w:after="120" w:before="120" w:line="288"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Góp ý chung cho dự thảo Luật Trí tuệ nhân tạo</w:t>
      </w: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120" w:before="120" w:line="288" w:lineRule="auto"/>
        <w:ind w:left="1440" w:hanging="720"/>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highlight w:val="white"/>
          <w:rtl w:val="0"/>
        </w:rPr>
        <w:t xml:space="preserve">Tình hình thực tế phát triển AI và quản trị AI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Tình hình nghiên cứu phát triển và triển khai sử dụng trí tuệ nhân tạo (AI) tại Việt Nam thực tế còn rất chậm so với các nước khác trong khu vực.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Ví dụ, chỉ mới gần đây (ngày 29/8/2024), Học viện Công nghệ Bưu chính Viễn thông mới thành lập</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Khoa Trí tuệ nhân tạo - một dấu hiệu cho thấy các chương trình đào tạo AI chuyên sâu vẫn là lĩnh vực mới mẻ.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khảo sát của Viện Công nghiệp phần mềm và nội dung số (thuộc Bộ Thông tin &amp; Truyền thông) chỉ rõ rằng dữ liệu - yếu tố nền tảng của mọi hệ thống AI là một trong những điểm nghẽn lớn nhất: nhiều doanh nghiệp vẫn chưa coi dữ liệu là “tài sản chiến lược”, thiếu dữ liệu chất lượng, thiếu quy trình quản trị, lưu trữ và truy xuất dữ liệu chuẩn.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Về chính sách, Việt Nam đã ban hành hướng dẫn “9 nguyên tắc nghiên cứu phát triển hệ thống AI có trách nhiệm” (2024) do Thứ trưởng Bộ Khoa học và Công nghệ ký ban hành, thể hiện nỗ lực đề ra các khung hướng dẫn AI có trách nhiệm.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Tuy vậy,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lĩnh vực “AI trách nhiệm, quản trị AI, đảm bảo AI tuân thủ” gặp nhiều khó khăn để triển khai một cách đồng bộ do tính chất kỹ thuật phức tạp; thiếu nhân lực vừa hiểu về thuật toán, dữ liệu, vừa hiểu về quy định pháp luật, đạo đức, quản trị công nghệ. Ngoài ra, việc áp dụng ngay các luật như EU AI Act hoặc các tiêu chuẩn quốc tế như ISO, hoặc khung quản lý rủi ro AI của Hoa Kỳ (NIST) thường là thách thức lớn ngay cả với các quốc gia có trình độ phát triển cao.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Kết luận: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Nhà nước cần quản lý AI một cách có hệ thống nhưng đồng thời phải tạo điều kiện để công nghệ đổi mới phát triển - cân bằng giữa quản lý rủi ro và khuyến khích sáng tạo, đầu tư.</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120" w:before="120" w:line="288" w:lineRule="auto"/>
        <w:ind w:left="1440" w:hanging="720"/>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highlight w:val="white"/>
          <w:rtl w:val="0"/>
        </w:rPr>
        <w:t xml:space="preserve">Một số góp ý chung cho việc xây dựng chính sách và luật về trí tuệ nhân tạo:</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Về mặt vĩ mô, Việt Nam hiện đang trong giai đoạn khởi đầu xây dựng và ứng dụng AI, và chính vì vậy chúng ta có một cơ hội rất lớn để thiết kế hệ thống AI theo các tiêu chuẩn cao về quản trị và tuân thủ ngay từ đầu. Ví dụ, theo AWS, trong năm 2024 có khoảng 47.000 doanh nghiệp Việt Nam bắt đầu ứng dụng AI, tương đương hơn 5 doanh nghiệp mỗi giờ, đưa tổng số doanh nghiệp áp dụng AI lên đến gần 170.000 doanh nghiệp, chiếm khoảng 18 % tổng số doanh nghiệp cả nước.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Đồng thời,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thị trường chatbot Việt Nam cũng cho thấy tiềm năng tăng trưởng mạnh: Năm 2024, giá trị thị trường chatbot đạt khoảng 31,2 triệu USD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và được dự báo sẽ tăng lên 207,1 triệu USD vào năm 2033 với tốc độ tăng trưởng kép (CAGR) 18,50 %.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Vì vậy, một trong những kiến nghị cấp thiết là cần có hướng dẫn chuyển đổi số và chuyển đổi số theo đúng tiêu chuẩn, có trách nhiệm từ giai đoạn đầu triển khai. Cụ thể, khi doanh nghiệp mới bước vào AI, họ rất thường bắt đầu bằng chatbot hoặc các công cụ tương tác thông minh - Nhà nước nên sớm ban hành hướng dẫn cách triển khai chatbot hoặc các công cụ AI cơ bản sao cho tuân thủ các yêu cầu như minh bạch, bảo vệ dữ liệu, trách nhiệm giải trình. Với các dự án rủi ro cao hoặc trọng điểm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cần có các chủ trương, quy định hoặc tiêu chuẩn chi tiết để doanh nghiệp yên tâm thực hiện mà không lo vướng rào cản pháp lý hay kỹ thuật.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Nhà nước cần tiên phong trong việc ban hành các guideline thực thi, thiết lập sandbox thử nghiệm cho một số dự án cụ thể, kèm theo những bước đi thực tế như:</w:t>
      </w:r>
    </w:p>
    <w:p w:rsidR="00000000" w:rsidDel="00000000" w:rsidP="00000000" w:rsidRDefault="00000000" w:rsidRPr="00000000" w14:paraId="0000000C">
      <w:pPr>
        <w:spacing w:after="120" w:before="120" w:line="288" w:lineRule="auto"/>
        <w:ind w:left="180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Cử các chuyên gia quản trị AI / AI trách nhiệm đến hỗ trợ doanh nghiệp. Ví dụ như mời chuyên gia công nghệ, chuyên gia chính sách quốc tế để tư vấn cho các startup, doanh nghiệp nhỏ khi triển khai AI;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Đưa ra các guideline, framework, mẫu cụ thể để doanh nghiệp có thể làm theo dễ dàng hơn. Có thể tham khảo mô hình AI Verify của Singapore, một khung kiểm tra (testing framework) vốn được xây dựng bởi IMDA để giúp các tổ chức đánh giá hệ thống AI theo các nguyên tắc quản trị như minh bạch, explainability, fairness, robustness,…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Chẳng hạn từ ngày 1/7/2025, Việt Nam đã có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Nghị định 94/2025/NĐ-CP về quy định Sandbox trong ngành ngân hàng chính thức có hiệu lực, cho phép thử nghiệm các sản phẩm/dịch vụ/module mới trong điều kiện được kiểm soát như credit scoring, chia sẻ dữ liệu qua Open API, và P2P Lending.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Chủ trương thuê chuyên gia quốc tế và trong nước có chuyên môn sâu trong quản trị công nghệ, luật công nghệ để xây dựng chính sách; tăng cường hợp tác quốc tế để học hỏi các mẫu thành công.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Đào tạo - nâng cao nhận thức từ cấp cơ bản đến chuyên sâu: từ khái niệm đạo đức AI, rủi ro AI, sử dụng AI đúng chuẩn; phổ cập kiến thức cho cộng đồng doanh nghiệp vừa và nhỏ; tổ chức các khoá đào tạo chuyên sâu cho các quản lý cấp cao, kỹ sư dữ liệu, chuyên gia pháp lý công nghệ.</w:t>
      </w:r>
    </w:p>
    <w:p w:rsidR="00000000" w:rsidDel="00000000" w:rsidP="00000000" w:rsidRDefault="00000000" w:rsidRPr="00000000" w14:paraId="00000011">
      <w:pPr>
        <w:shd w:fill="ffffff" w:val="clear"/>
        <w:spacing w:after="120" w:before="120" w:line="288"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đó, từ những khái niệm cơ bản về đạo đức AI, rủi ro AI cho đến các kỹ năng thực tiễn về cách thức sử dụng AI đúng chuẩn cần được xây dựng thành chương trình đào tạo và hướng dẫn có hệ thống, triển khai từ mức phổ cập đến chuyên sâu để phù hợp với từng nhóm đối tượng khác nhau như doanh nghiệp, cơ quan quản lý và cộng đồng.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120" w:before="120" w:line="288"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Góp ý cụ thể cho dự thảo Luật Trí tuệ nhân tạo</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120" w:before="120" w:line="288" w:lineRule="auto"/>
        <w:ind w:left="144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Khoản 1 Điều 13 Dự thảo 2 quy định nhà cung cấp, bên nhập khẩu có trách nhiệm tự đánh giá, tự phân loại theo tiêu chí do Chính phủ ban hành; lập và lưu giữ hồ sơ kỹ thuật; chịu trách nhiệm về kết quả tự phân loại. Quy định này có nguy cơ </w:t>
      </w:r>
      <w:r w:rsidDel="00000000" w:rsidR="00000000" w:rsidRPr="00000000">
        <w:rPr>
          <w:rFonts w:ascii="Times New Roman" w:cs="Times New Roman" w:eastAsia="Times New Roman" w:hAnsi="Times New Roman"/>
          <w:b w:val="0"/>
          <w:color w:val="000000"/>
          <w:rtl w:val="0"/>
        </w:rPr>
        <w:t xml:space="preserve">gia tăng đáng kể gánh nặng tuân thủ</w:t>
      </w:r>
      <w:r w:rsidDel="00000000" w:rsidR="00000000" w:rsidRPr="00000000">
        <w:rPr>
          <w:rFonts w:ascii="Times New Roman" w:cs="Times New Roman" w:eastAsia="Times New Roman" w:hAnsi="Times New Roman"/>
          <w:color w:val="000000"/>
          <w:rtl w:val="0"/>
        </w:rPr>
        <w:t xml:space="preserve">, đặc biệt với các đơn vị cung cấp/nội địa hóa nhiều hệ thống AI và mô hình trên phạm vi toàn cầu vì (i) Quy định hiện tại chưa đề cập rõ nghĩa vụ của </w:t>
      </w:r>
      <w:r w:rsidDel="00000000" w:rsidR="00000000" w:rsidRPr="00000000">
        <w:rPr>
          <w:rFonts w:ascii="Times New Roman" w:cs="Times New Roman" w:eastAsia="Times New Roman" w:hAnsi="Times New Roman"/>
          <w:b w:val="0"/>
          <w:color w:val="000000"/>
          <w:rtl w:val="0"/>
        </w:rPr>
        <w:t xml:space="preserve">nhà phát triển hệ thống AI</w:t>
      </w:r>
      <w:r w:rsidDel="00000000" w:rsidR="00000000" w:rsidRPr="00000000">
        <w:rPr>
          <w:rFonts w:ascii="Times New Roman" w:cs="Times New Roman" w:eastAsia="Times New Roman" w:hAnsi="Times New Roman"/>
          <w:color w:val="000000"/>
          <w:rtl w:val="0"/>
        </w:rPr>
        <w:t xml:space="preserve">, trong khi đây là chủ thể quan trọng cần chịu trách nhiệm xuyên suốt vòng đời sản phẩm, (ii) </w:t>
      </w:r>
      <w:r w:rsidDel="00000000" w:rsidR="00000000" w:rsidRPr="00000000">
        <w:rPr>
          <w:rFonts w:ascii="Times New Roman" w:cs="Times New Roman" w:eastAsia="Times New Roman" w:hAnsi="Times New Roman"/>
          <w:b w:val="0"/>
          <w:color w:val="000000"/>
          <w:rtl w:val="0"/>
        </w:rPr>
        <w:t xml:space="preserve">Không đặt ra giới hạn hay cơ chế kiểm soát việc nhập khẩu</w:t>
      </w:r>
      <w:r w:rsidDel="00000000" w:rsidR="00000000" w:rsidRPr="00000000">
        <w:rPr>
          <w:rFonts w:ascii="Times New Roman" w:cs="Times New Roman" w:eastAsia="Times New Roman" w:hAnsi="Times New Roman"/>
          <w:color w:val="000000"/>
          <w:rtl w:val="0"/>
        </w:rPr>
        <w:t xml:space="preserve"> hệ thống trí tuệ nhân tạo vào Việt Nam, dễ dẫn đến rủi ro đối với thị trường nội địa, (iii) Việc </w:t>
      </w:r>
      <w:r w:rsidDel="00000000" w:rsidR="00000000" w:rsidRPr="00000000">
        <w:rPr>
          <w:rFonts w:ascii="Times New Roman" w:cs="Times New Roman" w:eastAsia="Times New Roman" w:hAnsi="Times New Roman"/>
          <w:b w:val="0"/>
          <w:color w:val="000000"/>
          <w:rtl w:val="0"/>
        </w:rPr>
        <w:t xml:space="preserve">xác định hệ thống có rủi ro cao</w:t>
      </w:r>
      <w:r w:rsidDel="00000000" w:rsidR="00000000" w:rsidRPr="00000000">
        <w:rPr>
          <w:rFonts w:ascii="Times New Roman" w:cs="Times New Roman" w:eastAsia="Times New Roman" w:hAnsi="Times New Roman"/>
          <w:color w:val="000000"/>
          <w:rtl w:val="0"/>
        </w:rPr>
        <w:t xml:space="preserve"> lại được giao cho nhà cung cấp và bên nhập khẩu tự thực hiện trước khi đánh giá theo tiêu chí Chính phủ ban hành, tiềm ẩn sự thiếu nhất quán, (iv) Khái niệm </w:t>
      </w:r>
      <w:r w:rsidDel="00000000" w:rsidR="00000000" w:rsidRPr="00000000">
        <w:rPr>
          <w:rFonts w:ascii="Times New Roman" w:cs="Times New Roman" w:eastAsia="Times New Roman" w:hAnsi="Times New Roman"/>
          <w:b w:val="0"/>
          <w:color w:val="000000"/>
          <w:rtl w:val="0"/>
        </w:rPr>
        <w:t xml:space="preserve">“tự đánh giá, tự phân loại”</w:t>
      </w:r>
      <w:r w:rsidDel="00000000" w:rsidR="00000000" w:rsidRPr="00000000">
        <w:rPr>
          <w:rFonts w:ascii="Times New Roman" w:cs="Times New Roman" w:eastAsia="Times New Roman" w:hAnsi="Times New Roman"/>
          <w:color w:val="000000"/>
          <w:rtl w:val="0"/>
        </w:rPr>
        <w:t xml:space="preserve"> và </w:t>
      </w:r>
      <w:r w:rsidDel="00000000" w:rsidR="00000000" w:rsidRPr="00000000">
        <w:rPr>
          <w:rFonts w:ascii="Times New Roman" w:cs="Times New Roman" w:eastAsia="Times New Roman" w:hAnsi="Times New Roman"/>
          <w:b w:val="0"/>
          <w:color w:val="000000"/>
          <w:rtl w:val="0"/>
        </w:rPr>
        <w:t xml:space="preserve">“hồ sơ kỹ thuật”</w:t>
      </w:r>
      <w:r w:rsidDel="00000000" w:rsidR="00000000" w:rsidRPr="00000000">
        <w:rPr>
          <w:rFonts w:ascii="Times New Roman" w:cs="Times New Roman" w:eastAsia="Times New Roman" w:hAnsi="Times New Roman"/>
          <w:color w:val="000000"/>
          <w:rtl w:val="0"/>
        </w:rPr>
        <w:t xml:space="preserve"> chưa có định nghĩa cụ thể, dẫn đến khó khăn trong việc thực thi và giám sát. Để bảo đảm khả thi, minh bạch và tương thích quốc tế, Ban soạn thảo có thể cân nhắc:</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Làm rõ chủ thể chịu trách nhiệm: Bổ sung nhà phát triển (developer) là chủ thể có nghĩa vụ khi họ trực tiếp đưa hệ thống ra thị trường hoặc chuyển giao cho nhà cung cấp/bên nhập khẩu; làm rõ trách nhiệm liên đới trong chuỗi cung ứng.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Chấp nhận đánh giá bởi bên thứ ba: Làm rõ “tự đánh giá, tự phân loại” không loại trừ việc thuê tổ chức đánh giá/phòng thử nghiệm trong nước hoặc quốc tế (đáp ứng tiêu chí năng lực) để thực hiện một phần/ toàn bộ đánh giá, giúp doanh nghiệp SME khả thi hơn.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Định nghĩa “hồ sơ kỹ thuật”: Cần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được quy định và định nghĩa rõ về từng thành phần, cách thức lập cũng như lưu giữ hồ sơ cho hợp lý.</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Lộ trình &amp; chuyển tiếp: Ấn định mốc thời gian ban hành bộ tiêu chí phân loại và cho phép giai đoạn chuyển tiếp (ví dụ 12–18 tháng) cho các hệ thống đã triển khai trước thời điểm ban hành và hướng dẫn đánh giá lại khi có “thay đổi đáng kể”.</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Thủ tục tiền thị trường gọn nhẹ: Cân nhắc cơ chế thông báo/đăng ký tiền thị trường đối với hệ thống nghi ngờ rủi ro cao (nộp bản tóm tắt hồ sơ kỹ thuật), thay vì cấp phép cứng, để không cản trở nhập khẩu/đổi mới, đồng thời tăng truy xuất khi hậu kiểm.</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120" w:before="120" w:line="288" w:lineRule="auto"/>
        <w:ind w:left="144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Điều 14 quy định Danh mục hệ thống trí tuệ nhân tạo có rủi ro cao ban hành bởi Thủ tướng. Ban soạn thảo cân nhắc để sớm xác định </w:t>
      </w:r>
      <w:r w:rsidDel="00000000" w:rsidR="00000000" w:rsidRPr="00000000">
        <w:rPr>
          <w:rFonts w:ascii="Times New Roman" w:cs="Times New Roman" w:eastAsia="Times New Roman" w:hAnsi="Times New Roman"/>
          <w:b w:val="0"/>
          <w:color w:val="000000"/>
          <w:rtl w:val="0"/>
        </w:rPr>
        <w:t xml:space="preserve">lộ trình và thời điểm ban hành, cập nhật danh mục cũng như các hướng dẫn kỹ thuật cho các hệ thống AI rủi ro cao</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nhằm tạo cơ sở pháp lý rõ ràng và thống nhất cho doanh nghiệp, cơ quan quản lý và các bên liên quan. Trong đó, đặc biệt cần hướng dẫn chi tiết về việc áp dụng </w:t>
      </w:r>
      <w:r w:rsidDel="00000000" w:rsidR="00000000" w:rsidRPr="00000000">
        <w:rPr>
          <w:rFonts w:ascii="Times New Roman" w:cs="Times New Roman" w:eastAsia="Times New Roman" w:hAnsi="Times New Roman"/>
          <w:b w:val="0"/>
          <w:color w:val="000000"/>
          <w:rtl w:val="0"/>
        </w:rPr>
        <w:t xml:space="preserve">các quy chuẩn kỹ thuật quốc gia (QCVN), tiêu chuẩn Việt Nam (TCVN)</w:t>
      </w:r>
      <w:r w:rsidDel="00000000" w:rsidR="00000000" w:rsidRPr="00000000">
        <w:rPr>
          <w:rFonts w:ascii="Times New Roman" w:cs="Times New Roman" w:eastAsia="Times New Roman" w:hAnsi="Times New Roman"/>
          <w:color w:val="000000"/>
          <w:rtl w:val="0"/>
        </w:rPr>
        <w:t xml:space="preserve"> cũng như </w:t>
      </w:r>
      <w:r w:rsidDel="00000000" w:rsidR="00000000" w:rsidRPr="00000000">
        <w:rPr>
          <w:rFonts w:ascii="Times New Roman" w:cs="Times New Roman" w:eastAsia="Times New Roman" w:hAnsi="Times New Roman"/>
          <w:b w:val="0"/>
          <w:color w:val="000000"/>
          <w:rtl w:val="0"/>
        </w:rPr>
        <w:t xml:space="preserve">các tiêu chuẩn quốc tế được pháp luật Việt Nam công nhận</w:t>
      </w:r>
      <w:r w:rsidDel="00000000" w:rsidR="00000000" w:rsidRPr="00000000">
        <w:rPr>
          <w:rFonts w:ascii="Times New Roman" w:cs="Times New Roman" w:eastAsia="Times New Roman" w:hAnsi="Times New Roman"/>
          <w:color w:val="000000"/>
          <w:rtl w:val="0"/>
        </w:rPr>
        <w:t xml:space="preserve">, để vừa phù hợp với thực tiễn trong nước, vừa hài hòa với chuẩn mực quốc tế.</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120" w:before="120" w:line="288" w:lineRule="auto"/>
        <w:ind w:left="144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Điều 16 quy định nghĩa vụ đối với các hệ thống AI có rủi ro cao</w:t>
      </w:r>
      <w:r w:rsidDel="00000000" w:rsidR="00000000" w:rsidRPr="00000000">
        <w:rPr>
          <w:rFonts w:ascii="Times New Roman" w:cs="Times New Roman" w:eastAsia="Times New Roman" w:hAnsi="Times New Roman"/>
          <w:color w:val="000000"/>
          <w:highlight w:val="white"/>
          <w:rtl w:val="0"/>
        </w:rPr>
        <w:t xml:space="preserve"> không đề cập đến nghĩa vụ nhà phát triển, cụ thể là việc nhà phát triển cần có nghĩa vụ đối ứng với các nghĩa vụ mà Luật quy định cho nhà cung cấp và bên triển khai. Các nghĩa vụ liên quan ở điểm a đến điểm e Khoản 1, cần có sự phối hợp của nhà phát triển. Theo đó, cần có khung pháp lý tương ứng để quy định trác nhiệm tương ứng của các bên trong suốt vòng đời của hệ thống trí tuệ nhân tạo. </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120" w:before="120" w:line="288" w:lineRule="auto"/>
        <w:ind w:left="720" w:hanging="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Đề xuất, kiến nghị</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88"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đây là một số ý kiến của chúng tôi tại buổi hội thảo ngày hôm nay để góp phần hoàn thiện dư thảo Luật Trí tuệ nhân tạo. Kính mong Ban soạn thảo và các cơ quan hữu quan xem xét.</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88"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Xin chân thành cảm ơn./.</w:t>
      </w:r>
    </w:p>
    <w:sectPr>
      <w:headerReference r:id="rId8" w:type="default"/>
      <w:footerReference r:id="rId9" w:type="default"/>
      <w:pgSz w:h="16840"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Dự thảo ngày 10/10, được đăng tải tại </w:t>
      </w:r>
      <w:hyperlink r:id="rId1">
        <w:r w:rsidDel="00000000" w:rsidR="00000000" w:rsidRPr="00000000">
          <w:rPr>
            <w:rFonts w:ascii="Times New Roman" w:cs="Times New Roman" w:eastAsia="Times New Roman" w:hAnsi="Times New Roman"/>
            <w:color w:val="467886"/>
            <w:sz w:val="20"/>
            <w:szCs w:val="20"/>
            <w:u w:val="single"/>
            <w:rtl w:val="0"/>
          </w:rPr>
          <w:t xml:space="preserve">https://vibonline.com.vn/su_kien/hoi-thao-gop-y-hoan-thien-du-thao-luat-tri-tue-nhan-tao</w:t>
        </w:r>
      </w:hyperlink>
      <w:r w:rsidDel="00000000" w:rsidR="00000000" w:rsidRPr="00000000">
        <w:rPr>
          <w:rFonts w:ascii="Times New Roman" w:cs="Times New Roman" w:eastAsia="Times New Roman" w:hAnsi="Times New Roman"/>
          <w:color w:val="000000"/>
          <w:sz w:val="20"/>
          <w:szCs w:val="20"/>
          <w:rtl w:val="0"/>
        </w:rPr>
        <w:t xml:space="preserve"> </w:t>
      </w:r>
    </w:p>
  </w:footnote>
  <w:footnote w:id="1">
    <w:p w:rsidR="00000000" w:rsidDel="00000000" w:rsidP="00000000" w:rsidRDefault="00000000" w:rsidRPr="00000000" w14:paraId="00000020">
      <w:pPr>
        <w:pStyle w:val="Heading1"/>
        <w:spacing w:after="0" w:before="0" w:line="240" w:lineRule="auto"/>
        <w:rPr>
          <w:rFonts w:ascii="Times New Roman" w:cs="Times New Roman" w:eastAsia="Times New Roman" w:hAnsi="Times New Roman"/>
          <w:b w:val="0"/>
          <w:color w:val="031739"/>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color w:val="031739"/>
          <w:sz w:val="20"/>
          <w:szCs w:val="20"/>
          <w:rtl w:val="0"/>
        </w:rPr>
        <w:t xml:space="preserve">Ra mắt Khoa Trí tuệ nhân tạo đầu tiên tại Việt Nam, được đăng tải tại </w:t>
      </w:r>
      <w:hyperlink r:id="rId2">
        <w:r w:rsidDel="00000000" w:rsidR="00000000" w:rsidRPr="00000000">
          <w:rPr>
            <w:rFonts w:ascii="Times New Roman" w:cs="Times New Roman" w:eastAsia="Times New Roman" w:hAnsi="Times New Roman"/>
            <w:b w:val="0"/>
            <w:color w:val="467886"/>
            <w:sz w:val="20"/>
            <w:szCs w:val="20"/>
            <w:u w:val="single"/>
            <w:rtl w:val="0"/>
          </w:rPr>
          <w:t xml:space="preserve">https://xaydungchinhsach.chinhphu.vn/ra-mat-khoa-tri-tue-nhan-tao-119240828193059817.htm</w:t>
        </w:r>
      </w:hyperlink>
      <w:r w:rsidDel="00000000" w:rsidR="00000000" w:rsidRPr="00000000">
        <w:rPr>
          <w:rFonts w:ascii="Times New Roman" w:cs="Times New Roman" w:eastAsia="Times New Roman" w:hAnsi="Times New Roman"/>
          <w:b w:val="0"/>
          <w:color w:val="031739"/>
          <w:sz w:val="20"/>
          <w:szCs w:val="20"/>
          <w:rtl w:val="0"/>
        </w:rPr>
        <w:t xml:space="preserve"> </w:t>
      </w:r>
    </w:p>
  </w:footnote>
  <w:footnote w:id="2">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Doanh nghiệp không thể đứng ngoài cuộc đua khai thác dữ liệu trong kỷ nguyên AI, được đăng tải tại </w:t>
      </w:r>
      <w:hyperlink r:id="rId3">
        <w:r w:rsidDel="00000000" w:rsidR="00000000" w:rsidRPr="00000000">
          <w:rPr>
            <w:rFonts w:ascii="Times New Roman" w:cs="Times New Roman" w:eastAsia="Times New Roman" w:hAnsi="Times New Roman"/>
            <w:b w:val="0"/>
            <w:i w:val="0"/>
            <w:smallCaps w:val="0"/>
            <w:strike w:val="0"/>
            <w:color w:val="467886"/>
            <w:sz w:val="20"/>
            <w:szCs w:val="20"/>
            <w:u w:val="single"/>
            <w:shd w:fill="auto" w:val="clear"/>
            <w:vertAlign w:val="baseline"/>
            <w:rtl w:val="0"/>
          </w:rPr>
          <w:t xml:space="preserve">https://vneconomy.vn/doanh-nghiep-khong-the-dung-ngoai-cuoc-dua-khai-thac-du-lieu-trong-ky-nguyen-ai.htm</w:t>
        </w:r>
      </w:hyperlink>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022">
      <w:pPr>
        <w:pStyle w:val="Heading1"/>
        <w:shd w:fill="ffffff" w:val="clear"/>
        <w:spacing w:after="0" w:before="0" w:line="240" w:lineRule="auto"/>
        <w:rPr>
          <w:rFonts w:ascii="Times New Roman" w:cs="Times New Roman" w:eastAsia="Times New Roman" w:hAnsi="Times New Roman"/>
          <w:b w:val="0"/>
          <w:color w:val="11111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color w:val="111111"/>
          <w:sz w:val="20"/>
          <w:szCs w:val="20"/>
          <w:rtl w:val="0"/>
        </w:rPr>
        <w:t xml:space="preserve">9 nguyên tắc nghiên cứu phát triển hệ thống AI có trách nhiệm ở Việt Nam, được đăng tải tại </w:t>
      </w:r>
      <w:hyperlink r:id="rId4">
        <w:r w:rsidDel="00000000" w:rsidR="00000000" w:rsidRPr="00000000">
          <w:rPr>
            <w:rFonts w:ascii="Times New Roman" w:cs="Times New Roman" w:eastAsia="Times New Roman" w:hAnsi="Times New Roman"/>
            <w:b w:val="0"/>
            <w:color w:val="467886"/>
            <w:sz w:val="20"/>
            <w:szCs w:val="20"/>
            <w:u w:val="single"/>
            <w:rtl w:val="0"/>
          </w:rPr>
          <w:t xml:space="preserve">https://vneconomy.vn/9-nguyen-tac-nghien-cuu-phat-trien-he-thong-ai-co-trach-nhiem-o-viet-nam.htm</w:t>
        </w:r>
      </w:hyperlink>
      <w:r w:rsidDel="00000000" w:rsidR="00000000" w:rsidRPr="00000000">
        <w:rPr>
          <w:rFonts w:ascii="Times New Roman" w:cs="Times New Roman" w:eastAsia="Times New Roman" w:hAnsi="Times New Roman"/>
          <w:b w:val="0"/>
          <w:color w:val="111111"/>
          <w:sz w:val="20"/>
          <w:szCs w:val="20"/>
          <w:rtl w:val="0"/>
        </w:rPr>
        <w:t xml:space="preserve"> </w:t>
      </w:r>
    </w:p>
  </w:footnote>
  <w:footnote w:id="4">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Gần 170.000 doanh nghiệp Việt Nam đã ứng dụng AI, được đăng tải tại </w:t>
      </w:r>
      <w:hyperlink r:id="rId5">
        <w:r w:rsidDel="00000000" w:rsidR="00000000" w:rsidRPr="00000000">
          <w:rPr>
            <w:rFonts w:ascii="Times New Roman" w:cs="Times New Roman" w:eastAsia="Times New Roman" w:hAnsi="Times New Roman"/>
            <w:b w:val="0"/>
            <w:i w:val="0"/>
            <w:smallCaps w:val="0"/>
            <w:strike w:val="0"/>
            <w:color w:val="467886"/>
            <w:sz w:val="20"/>
            <w:szCs w:val="20"/>
            <w:u w:val="single"/>
            <w:shd w:fill="auto" w:val="clear"/>
            <w:vertAlign w:val="baseline"/>
            <w:rtl w:val="0"/>
          </w:rPr>
          <w:t xml:space="preserve">https://vneconomy.vn/gan-170000-doanh-nghiep-viet-nam-da-ung-dung-ai.htm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5">
    <w:p w:rsidR="00000000" w:rsidDel="00000000" w:rsidP="00000000" w:rsidRDefault="00000000" w:rsidRPr="00000000" w14:paraId="00000024">
      <w:pPr>
        <w:pStyle w:val="Heading2"/>
        <w:shd w:fill="ffffff" w:val="clear"/>
        <w:spacing w:after="60" w:before="0" w:line="240" w:lineRule="auto"/>
        <w:rPr>
          <w:rFonts w:ascii="Times New Roman" w:cs="Times New Roman" w:eastAsia="Times New Roman" w:hAnsi="Times New Roman"/>
          <w:b w:val="0"/>
          <w:color w:val="1f4e79"/>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color w:val="000000"/>
          <w:sz w:val="20"/>
          <w:szCs w:val="20"/>
          <w:rtl w:val="0"/>
        </w:rPr>
        <w:t xml:space="preserve">Báo cáo Thị Trường Chatbot Việt Nam, được đăng tải tại </w:t>
      </w:r>
      <w:hyperlink r:id="rId6">
        <w:r w:rsidDel="00000000" w:rsidR="00000000" w:rsidRPr="00000000">
          <w:rPr>
            <w:rFonts w:ascii="Times New Roman" w:cs="Times New Roman" w:eastAsia="Times New Roman" w:hAnsi="Times New Roman"/>
            <w:b w:val="0"/>
            <w:color w:val="467886"/>
            <w:sz w:val="20"/>
            <w:szCs w:val="20"/>
            <w:u w:val="single"/>
            <w:rtl w:val="0"/>
          </w:rPr>
          <w:t xml:space="preserve">https://www.imarcgroup.com/report/vi/vietnam-chatbot-market</w:t>
        </w:r>
      </w:hyperlink>
      <w:r w:rsidDel="00000000" w:rsidR="00000000" w:rsidRPr="00000000">
        <w:rPr>
          <w:rFonts w:ascii="Times New Roman" w:cs="Times New Roman" w:eastAsia="Times New Roman" w:hAnsi="Times New Roman"/>
          <w:b w:val="0"/>
          <w:color w:val="1f4e79"/>
          <w:sz w:val="20"/>
          <w:szCs w:val="20"/>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6">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Vietnam’s Fintech Sandbox: Toward a Regulatory Framework for Innovation, được đăng tải tại </w:t>
      </w:r>
      <w:hyperlink r:id="rId7">
        <w:r w:rsidDel="00000000" w:rsidR="00000000" w:rsidRPr="00000000">
          <w:rPr>
            <w:rFonts w:ascii="Times New Roman" w:cs="Times New Roman" w:eastAsia="Times New Roman" w:hAnsi="Times New Roman"/>
            <w:b w:val="0"/>
            <w:i w:val="0"/>
            <w:smallCaps w:val="0"/>
            <w:strike w:val="0"/>
            <w:color w:val="467886"/>
            <w:sz w:val="20"/>
            <w:szCs w:val="20"/>
            <w:u w:val="single"/>
            <w:shd w:fill="auto" w:val="clear"/>
            <w:vertAlign w:val="baseline"/>
            <w:rtl w:val="0"/>
          </w:rPr>
          <w:t xml:space="preserve">https://midland-partners.vn/vietnams-fintech-sandbox-toward-a-regulatory-framework-for-innovation/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widowControl w:val="0"/>
      <w:spacing w:after="0" w:before="60" w:line="312" w:lineRule="auto"/>
      <w:ind w:firstLine="720"/>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HỘI THẢO</w:t>
    </w:r>
  </w:p>
  <w:p w:rsidR="00000000" w:rsidDel="00000000" w:rsidP="00000000" w:rsidRDefault="00000000" w:rsidRPr="00000000" w14:paraId="00000028">
    <w:pPr>
      <w:widowControl w:val="0"/>
      <w:spacing w:after="0" w:line="312" w:lineRule="auto"/>
      <w:ind w:firstLine="72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smallCaps w:val="1"/>
        <w:sz w:val="28"/>
        <w:szCs w:val="28"/>
        <w:rtl w:val="0"/>
      </w:rPr>
      <w:t xml:space="preserve">GÓP Ý DỰ THẢO LUẬT TRÍ TUỆ NHÂN TẠO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Grid">
    <w:name w:val="Table Grid"/>
    <w:basedOn w:val="TableNormal"/>
    <w:uiPriority w:val="39"/>
    <w:rsid w:val="003477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34775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47750"/>
    <w:rPr>
      <w:sz w:val="20"/>
      <w:szCs w:val="20"/>
    </w:rPr>
  </w:style>
  <w:style w:type="character" w:styleId="FootnoteReference">
    <w:name w:val="footnote reference"/>
    <w:basedOn w:val="DefaultParagraphFont"/>
    <w:uiPriority w:val="99"/>
    <w:semiHidden w:val="1"/>
    <w:unhideWhenUsed w:val="1"/>
    <w:rsid w:val="00347750"/>
    <w:rPr>
      <w:vertAlign w:val="superscript"/>
    </w:rPr>
  </w:style>
  <w:style w:type="character" w:styleId="Hyperlink">
    <w:name w:val="Hyperlink"/>
    <w:basedOn w:val="DefaultParagraphFont"/>
    <w:uiPriority w:val="99"/>
    <w:unhideWhenUsed w:val="1"/>
    <w:rsid w:val="007C218F"/>
    <w:rPr>
      <w:color w:val="467886" w:themeColor="hyperlink"/>
      <w:u w:val="single"/>
    </w:rPr>
  </w:style>
  <w:style w:type="character" w:styleId="UnresolvedMention">
    <w:name w:val="Unresolved Mention"/>
    <w:basedOn w:val="DefaultParagraphFont"/>
    <w:uiPriority w:val="99"/>
    <w:semiHidden w:val="1"/>
    <w:unhideWhenUsed w:val="1"/>
    <w:rsid w:val="007C218F"/>
    <w:rPr>
      <w:color w:val="605e5c"/>
      <w:shd w:color="auto" w:fill="e1dfdd" w:val="clear"/>
    </w:rPr>
  </w:style>
  <w:style w:type="paragraph" w:styleId="ListParagraph">
    <w:name w:val="List Paragraph"/>
    <w:basedOn w:val="Normal"/>
    <w:uiPriority w:val="34"/>
    <w:qFormat w:val="1"/>
    <w:rsid w:val="007C218F"/>
    <w:pPr>
      <w:ind w:left="720"/>
      <w:contextualSpacing w:val="1"/>
    </w:pPr>
  </w:style>
  <w:style w:type="paragraph" w:styleId="Header">
    <w:name w:val="header"/>
    <w:basedOn w:val="Normal"/>
    <w:link w:val="HeaderChar"/>
    <w:uiPriority w:val="99"/>
    <w:unhideWhenUsed w:val="1"/>
    <w:rsid w:val="007807F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07F4"/>
  </w:style>
  <w:style w:type="paragraph" w:styleId="Footer">
    <w:name w:val="footer"/>
    <w:basedOn w:val="Normal"/>
    <w:link w:val="FooterChar"/>
    <w:uiPriority w:val="99"/>
    <w:unhideWhenUsed w:val="1"/>
    <w:rsid w:val="007807F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07F4"/>
  </w:style>
  <w:style w:type="table" w:styleId="a" w:customStyle="1">
    <w:basedOn w:val="TableNormal"/>
    <w:pPr>
      <w:spacing w:after="0" w:line="240" w:lineRule="auto"/>
    </w:pPr>
    <w:tblPr>
      <w:tblStyleRowBandSize w:val="1"/>
      <w:tblStyleColBandSize w:val="1"/>
    </w:tblPr>
  </w:style>
  <w:style w:type="character" w:styleId="text" w:customStyle="1">
    <w:name w:val="text"/>
    <w:basedOn w:val="DefaultParagraphFont"/>
    <w:rsid w:val="00850579"/>
  </w:style>
  <w:style w:type="character" w:styleId="emoji-sizer" w:customStyle="1">
    <w:name w:val="emoji-sizer"/>
    <w:basedOn w:val="DefaultParagraphFont"/>
    <w:rsid w:val="00850579"/>
  </w:style>
  <w:style w:type="character" w:styleId="Strong">
    <w:name w:val="Strong"/>
    <w:basedOn w:val="DefaultParagraphFont"/>
    <w:uiPriority w:val="22"/>
    <w:qFormat w:val="1"/>
    <w:rsid w:val="00DD51BA"/>
    <w:rPr>
      <w:b w:val="1"/>
      <w:bCs w:val="1"/>
    </w:rPr>
  </w:style>
  <w:style w:type="paragraph" w:styleId="NormalWeb">
    <w:name w:val="Normal (Web)"/>
    <w:basedOn w:val="Normal"/>
    <w:uiPriority w:val="99"/>
    <w:unhideWhenUsed w:val="1"/>
    <w:rsid w:val="00527042"/>
    <w:pPr>
      <w:spacing w:after="100" w:afterAutospacing="1" w:before="100" w:beforeAutospacing="1" w:line="240" w:lineRule="auto"/>
    </w:pPr>
    <w:rPr>
      <w:rFonts w:ascii="Times New Roman" w:cs="Times New Roman" w:eastAsia="Times New Roman" w:hAnsi="Times New Roman"/>
      <w:lang w:val="en-US"/>
    </w:rPr>
  </w:style>
  <w:style w:type="character" w:styleId="normaltextrun" w:customStyle="1">
    <w:name w:val="normaltextrun"/>
    <w:basedOn w:val="DefaultParagraphFont"/>
    <w:rsid w:val="00527042"/>
  </w:style>
  <w:style w:type="character" w:styleId="eop" w:customStyle="1">
    <w:name w:val="eop"/>
    <w:basedOn w:val="DefaultParagraphFont"/>
    <w:rsid w:val="00E64AEE"/>
  </w:style>
  <w:style w:type="character" w:styleId="ms-1" w:customStyle="1">
    <w:name w:val="ms-1"/>
    <w:basedOn w:val="DefaultParagraphFont"/>
    <w:rsid w:val="00560855"/>
  </w:style>
  <w:style w:type="character" w:styleId="max-w-15ch" w:customStyle="1">
    <w:name w:val="max-w-[15ch]"/>
    <w:basedOn w:val="DefaultParagraphFont"/>
    <w:rsid w:val="00560855"/>
  </w:style>
  <w:style w:type="character" w:styleId="-me-1" w:customStyle="1">
    <w:name w:val="-me-1"/>
    <w:basedOn w:val="DefaultParagraphFont"/>
    <w:rsid w:val="0056085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vibonline.com.vn/su_kien/hoi-thao-gop-y-hoan-thien-du-thao-luat-tri-tue-nhan-tao" TargetMode="External"/><Relationship Id="rId2" Type="http://schemas.openxmlformats.org/officeDocument/2006/relationships/hyperlink" Target="https://xaydungchinhsach.chinhphu.vn/ra-mat-khoa-tri-tue-nhan-tao-119240828193059817.htm" TargetMode="External"/><Relationship Id="rId3" Type="http://schemas.openxmlformats.org/officeDocument/2006/relationships/hyperlink" Target="https://vneconomy.vn/doanh-nghiep-khong-the-dung-ngoai-cuoc-dua-khai-thac-du-lieu-trong-ky-nguyen-ai.htm" TargetMode="External"/><Relationship Id="rId4" Type="http://schemas.openxmlformats.org/officeDocument/2006/relationships/hyperlink" Target="https://vneconomy.vn/9-nguyen-tac-nghien-cuu-phat-trien-he-thong-ai-co-trach-nhiem-o-viet-nam.htm" TargetMode="External"/><Relationship Id="rId5" Type="http://schemas.openxmlformats.org/officeDocument/2006/relationships/hyperlink" Target="https://vneconomy.vn/gan-170000-doanh-nghiep-viet-nam-da-ung-dung-ai.htm" TargetMode="External"/><Relationship Id="rId6" Type="http://schemas.openxmlformats.org/officeDocument/2006/relationships/hyperlink" Target="https://www.imarcgroup.com/report/vi/vietnam-chatbot-market" TargetMode="External"/><Relationship Id="rId7" Type="http://schemas.openxmlformats.org/officeDocument/2006/relationships/hyperlink" Target="https://midland-partners.vn/vietnams-fintech-sandbox-toward-a-regulatory-framework-for-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A2HwP7pLtVkqIItqP9iK+wWaA==">CgMxLjA4AHIhMTQ3bGl3M0pXU3E3VjBTNU8yT0Y2Qkh2ZUN1WFlMVjZ2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2025-10-14T13:10:00Z</dcterms:created>
  <dc:creator>Lexcomm</dc:creator>
</cp:coreProperties>
</file>