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0FF45" w14:textId="77777777" w:rsidR="00726AA1" w:rsidRDefault="00726AA1">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9071" w:type="dxa"/>
        <w:tblLayout w:type="fixed"/>
        <w:tblLook w:val="0400" w:firstRow="0" w:lastRow="0" w:firstColumn="0" w:lastColumn="0" w:noHBand="0" w:noVBand="1"/>
      </w:tblPr>
      <w:tblGrid>
        <w:gridCol w:w="3827"/>
        <w:gridCol w:w="5244"/>
      </w:tblGrid>
      <w:tr w:rsidR="00726AA1" w14:paraId="5BD0FF48" w14:textId="77777777">
        <w:tc>
          <w:tcPr>
            <w:tcW w:w="3827" w:type="dxa"/>
          </w:tcPr>
          <w:p w14:paraId="5BD0FF46" w14:textId="37067227" w:rsidR="00726AA1" w:rsidRDefault="0077613B">
            <w:pPr>
              <w:spacing w:after="0"/>
              <w:jc w:val="center"/>
              <w:rPr>
                <w:rFonts w:ascii="Times New Roman" w:eastAsia="Times New Roman" w:hAnsi="Times New Roman" w:cs="Times New Roman"/>
                <w:sz w:val="26"/>
                <w:szCs w:val="26"/>
              </w:rPr>
            </w:pPr>
            <w:r>
              <w:rPr>
                <w:rFonts w:ascii="Times New Roman" w:eastAsia="Times New Roman" w:hAnsi="Times New Roman" w:cs="Times New Roman"/>
                <w:b/>
                <w:noProof/>
                <w:sz w:val="26"/>
                <w:szCs w:val="26"/>
              </w:rPr>
              <mc:AlternateContent>
                <mc:Choice Requires="wps">
                  <w:drawing>
                    <wp:anchor distT="0" distB="0" distL="114300" distR="114300" simplePos="0" relativeHeight="251660288" behindDoc="0" locked="0" layoutInCell="1" allowOverlap="1" wp14:anchorId="0D561245" wp14:editId="762602C6">
                      <wp:simplePos x="0" y="0"/>
                      <wp:positionH relativeFrom="column">
                        <wp:posOffset>669290</wp:posOffset>
                      </wp:positionH>
                      <wp:positionV relativeFrom="paragraph">
                        <wp:posOffset>245745</wp:posOffset>
                      </wp:positionV>
                      <wp:extent cx="990600" cy="0"/>
                      <wp:effectExtent l="0" t="0" r="0" b="0"/>
                      <wp:wrapNone/>
                      <wp:docPr id="202169030" name="Straight Connector 3"/>
                      <wp:cNvGraphicFramePr/>
                      <a:graphic xmlns:a="http://schemas.openxmlformats.org/drawingml/2006/main">
                        <a:graphicData uri="http://schemas.microsoft.com/office/word/2010/wordprocessingShape">
                          <wps:wsp>
                            <wps:cNvCnPr/>
                            <wps:spPr>
                              <a:xfrm>
                                <a:off x="0" y="0"/>
                                <a:ext cx="990600" cy="0"/>
                              </a:xfrm>
                              <a:prstGeom prst="line">
                                <a:avLst/>
                              </a:prstGeom>
                              <a:ln w="635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EE6BCF9"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2.7pt,19.35pt" to="130.7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" strokecolor="black [3200]" strokeweight=".5pt">
                      <v:stroke joinstyle="miter"/>
                    </v:line>
                  </w:pict>
                </mc:Fallback>
              </mc:AlternateContent>
            </w:r>
            <w:r w:rsidR="000E30E0">
              <w:rPr>
                <w:rFonts w:ascii="Times New Roman" w:eastAsia="Times New Roman" w:hAnsi="Times New Roman" w:cs="Times New Roman"/>
                <w:b/>
                <w:sz w:val="26"/>
                <w:szCs w:val="26"/>
              </w:rPr>
              <w:t>BỘ TÀI CHÍNH</w:t>
            </w:r>
            <w:r w:rsidR="000E30E0">
              <w:rPr>
                <w:rFonts w:ascii="Times New Roman" w:eastAsia="Times New Roman" w:hAnsi="Times New Roman" w:cs="Times New Roman"/>
                <w:b/>
                <w:sz w:val="26"/>
                <w:szCs w:val="26"/>
              </w:rPr>
              <w:br/>
            </w:r>
            <w:r w:rsidR="000E30E0">
              <w:rPr>
                <w:noProof/>
              </w:rPr>
              <mc:AlternateContent>
                <mc:Choice Requires="wps">
                  <w:drawing>
                    <wp:anchor distT="0" distB="0" distL="114300" distR="114300" simplePos="0" relativeHeight="251658240" behindDoc="0" locked="0" layoutInCell="1" hidden="0" allowOverlap="1" wp14:anchorId="5BD0FFC2" wp14:editId="5BD0FFC3">
                      <wp:simplePos x="0" y="0"/>
                      <wp:positionH relativeFrom="column">
                        <wp:posOffset>781050</wp:posOffset>
                      </wp:positionH>
                      <wp:positionV relativeFrom="paragraph">
                        <wp:posOffset>241300</wp:posOffset>
                      </wp:positionV>
                      <wp:extent cx="0" cy="12700"/>
                      <wp:effectExtent l="0" t="0" r="0" b="0"/>
                      <wp:wrapNone/>
                      <wp:docPr id="1952529500" name="Straight Arrow Connector 1952529500"/>
                      <wp:cNvGraphicFramePr/>
                      <a:graphic xmlns:a="http://schemas.openxmlformats.org/drawingml/2006/main">
                        <a:graphicData uri="http://schemas.microsoft.com/office/word/2010/wordprocessingShape">
                          <wps:wsp>
                            <wps:cNvCnPr/>
                            <wps:spPr>
                              <a:xfrm>
                                <a:off x="4922138" y="3780000"/>
                                <a:ext cx="84772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781050</wp:posOffset>
                      </wp:positionH>
                      <wp:positionV relativeFrom="paragraph">
                        <wp:posOffset>241300</wp:posOffset>
                      </wp:positionV>
                      <wp:extent cx="0" cy="12700"/>
                      <wp:effectExtent b="0" l="0" r="0" t="0"/>
                      <wp:wrapNone/>
                      <wp:docPr id="1952529500"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tc>
        <w:tc>
          <w:tcPr>
            <w:tcW w:w="5244" w:type="dxa"/>
          </w:tcPr>
          <w:p w14:paraId="5BD0FF47" w14:textId="1EEAC96E" w:rsidR="00726AA1" w:rsidRDefault="0077613B">
            <w:pPr>
              <w:spacing w:after="0"/>
              <w:jc w:val="center"/>
              <w:rPr>
                <w:rFonts w:ascii="Times New Roman" w:eastAsia="Times New Roman" w:hAnsi="Times New Roman" w:cs="Times New Roman"/>
                <w:sz w:val="26"/>
                <w:szCs w:val="26"/>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303E4A18" wp14:editId="2D6833D3">
                      <wp:simplePos x="0" y="0"/>
                      <wp:positionH relativeFrom="column">
                        <wp:posOffset>569595</wp:posOffset>
                      </wp:positionH>
                      <wp:positionV relativeFrom="paragraph">
                        <wp:posOffset>448945</wp:posOffset>
                      </wp:positionV>
                      <wp:extent cx="2051050" cy="0"/>
                      <wp:effectExtent l="0" t="0" r="0" b="0"/>
                      <wp:wrapNone/>
                      <wp:docPr id="60576582" name="Straight Connector 4"/>
                      <wp:cNvGraphicFramePr/>
                      <a:graphic xmlns:a="http://schemas.openxmlformats.org/drawingml/2006/main">
                        <a:graphicData uri="http://schemas.microsoft.com/office/word/2010/wordprocessingShape">
                          <wps:wsp>
                            <wps:cNvCnPr/>
                            <wps:spPr>
                              <a:xfrm>
                                <a:off x="0" y="0"/>
                                <a:ext cx="2051050" cy="0"/>
                              </a:xfrm>
                              <a:prstGeom prst="line">
                                <a:avLst/>
                              </a:prstGeom>
                              <a:ln w="635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D1AAD62"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4.85pt,35.35pt" to="206.3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" strokecolor="black [3200]" strokeweight=".5pt">
                      <v:stroke joinstyle="miter"/>
                    </v:line>
                  </w:pict>
                </mc:Fallback>
              </mc:AlternateContent>
            </w:r>
            <w:r w:rsidR="000E30E0">
              <w:rPr>
                <w:rFonts w:ascii="Times New Roman" w:eastAsia="Times New Roman" w:hAnsi="Times New Roman" w:cs="Times New Roman"/>
                <w:b/>
                <w:sz w:val="24"/>
                <w:szCs w:val="24"/>
              </w:rPr>
              <w:t>CỘNG HÒA XÃ HỘI CHỦ NGHĨA VIỆT NAM</w:t>
            </w:r>
            <w:r w:rsidR="000E30E0">
              <w:rPr>
                <w:rFonts w:ascii="Times New Roman" w:eastAsia="Times New Roman" w:hAnsi="Times New Roman" w:cs="Times New Roman"/>
                <w:b/>
                <w:sz w:val="26"/>
                <w:szCs w:val="26"/>
              </w:rPr>
              <w:br/>
            </w:r>
            <w:r w:rsidR="000E30E0">
              <w:rPr>
                <w:rFonts w:ascii="Times New Roman" w:eastAsia="Times New Roman" w:hAnsi="Times New Roman" w:cs="Times New Roman"/>
                <w:b/>
                <w:sz w:val="28"/>
                <w:szCs w:val="28"/>
              </w:rPr>
              <w:t>Độc lập - Tự do - Hạnh phúc</w:t>
            </w:r>
            <w:r w:rsidR="000E30E0">
              <w:rPr>
                <w:rFonts w:ascii="Times New Roman" w:eastAsia="Times New Roman" w:hAnsi="Times New Roman" w:cs="Times New Roman"/>
                <w:b/>
                <w:sz w:val="26"/>
                <w:szCs w:val="26"/>
              </w:rPr>
              <w:br/>
            </w:r>
            <w:r w:rsidR="000E30E0">
              <w:rPr>
                <w:noProof/>
              </w:rPr>
              <mc:AlternateContent>
                <mc:Choice Requires="wps">
                  <w:drawing>
                    <wp:anchor distT="0" distB="0" distL="114300" distR="114300" simplePos="0" relativeHeight="251659264" behindDoc="0" locked="0" layoutInCell="1" hidden="0" allowOverlap="1" wp14:anchorId="5BD0FFC4" wp14:editId="5BD0FFC5">
                      <wp:simplePos x="0" y="0"/>
                      <wp:positionH relativeFrom="column">
                        <wp:posOffset>668655</wp:posOffset>
                      </wp:positionH>
                      <wp:positionV relativeFrom="paragraph">
                        <wp:posOffset>435609</wp:posOffset>
                      </wp:positionV>
                      <wp:extent cx="0" cy="12700"/>
                      <wp:effectExtent l="0" t="0" r="0" b="0"/>
                      <wp:wrapNone/>
                      <wp:docPr id="1952529499" name="Straight Arrow Connector 1952529499"/>
                      <wp:cNvGraphicFramePr/>
                      <a:graphic xmlns:a="http://schemas.openxmlformats.org/drawingml/2006/main">
                        <a:graphicData uri="http://schemas.microsoft.com/office/word/2010/wordprocessingShape">
                          <wps:wsp>
                            <wps:cNvCnPr/>
                            <wps:spPr>
                              <a:xfrm>
                                <a:off x="4364925" y="3780000"/>
                                <a:ext cx="196215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668655</wp:posOffset>
                      </wp:positionH>
                      <wp:positionV relativeFrom="paragraph">
                        <wp:posOffset>435609</wp:posOffset>
                      </wp:positionV>
                      <wp:extent cx="0" cy="12700"/>
                      <wp:effectExtent b="0" l="0" r="0" t="0"/>
                      <wp:wrapNone/>
                      <wp:docPr id="1952529499"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tc>
      </w:tr>
      <w:tr w:rsidR="00726AA1" w14:paraId="5BD0FF4B" w14:textId="77777777">
        <w:tc>
          <w:tcPr>
            <w:tcW w:w="3827" w:type="dxa"/>
          </w:tcPr>
          <w:p w14:paraId="5BD0FF49" w14:textId="77777777" w:rsidR="00726AA1" w:rsidRDefault="000E30E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Số:…/BC-BTC</w:t>
            </w:r>
          </w:p>
        </w:tc>
        <w:tc>
          <w:tcPr>
            <w:tcW w:w="5244" w:type="dxa"/>
          </w:tcPr>
          <w:p w14:paraId="5BD0FF4A" w14:textId="77777777" w:rsidR="00726AA1" w:rsidRDefault="000E30E0">
            <w:pPr>
              <w:spacing w:after="0"/>
              <w:jc w:val="center"/>
              <w:rPr>
                <w:rFonts w:ascii="Times New Roman" w:eastAsia="Times New Roman" w:hAnsi="Times New Roman" w:cs="Times New Roman"/>
                <w:sz w:val="26"/>
                <w:szCs w:val="26"/>
              </w:rPr>
            </w:pPr>
            <w:r>
              <w:rPr>
                <w:rFonts w:ascii="Times New Roman" w:eastAsia="Times New Roman" w:hAnsi="Times New Roman" w:cs="Times New Roman"/>
                <w:i/>
                <w:sz w:val="26"/>
                <w:szCs w:val="26"/>
              </w:rPr>
              <w:t>Hà Nội, ngày……tháng……năm 2025</w:t>
            </w:r>
          </w:p>
        </w:tc>
      </w:tr>
    </w:tbl>
    <w:p w14:paraId="5BD0FF4C" w14:textId="63D8DE45" w:rsidR="00726AA1" w:rsidRDefault="000E30E0">
      <w:pPr>
        <w:shd w:val="clear" w:color="auto" w:fill="FFFFFF"/>
        <w:spacing w:after="0"/>
        <w:rPr>
          <w:rFonts w:ascii="Times New Roman" w:eastAsia="Times New Roman" w:hAnsi="Times New Roman" w:cs="Times New Roman"/>
          <w:sz w:val="26"/>
          <w:szCs w:val="26"/>
        </w:rPr>
      </w:pPr>
      <w:r>
        <w:rPr>
          <w:noProof/>
        </w:rPr>
        <mc:AlternateContent>
          <mc:Choice Requires="wps">
            <w:drawing>
              <wp:anchor distT="114300" distB="114300" distL="114300" distR="114300" simplePos="0" relativeHeight="251663360" behindDoc="0" locked="0" layoutInCell="1" hidden="0" allowOverlap="1" wp14:anchorId="0A236023" wp14:editId="082A3670">
                <wp:simplePos x="0" y="0"/>
                <wp:positionH relativeFrom="column">
                  <wp:posOffset>-438150</wp:posOffset>
                </wp:positionH>
                <wp:positionV relativeFrom="paragraph">
                  <wp:posOffset>233045</wp:posOffset>
                </wp:positionV>
                <wp:extent cx="1630507" cy="691524"/>
                <wp:effectExtent l="0" t="0" r="0" b="0"/>
                <wp:wrapNone/>
                <wp:docPr id="1856632171" name="Rectangle 1856632171"/>
                <wp:cNvGraphicFramePr/>
                <a:graphic xmlns:a="http://schemas.openxmlformats.org/drawingml/2006/main">
                  <a:graphicData uri="http://schemas.microsoft.com/office/word/2010/wordprocessingShape">
                    <wps:wsp>
                      <wps:cNvSpPr/>
                      <wps:spPr>
                        <a:xfrm>
                          <a:off x="0" y="0"/>
                          <a:ext cx="1630507" cy="691524"/>
                        </a:xfrm>
                        <a:prstGeom prst="rect">
                          <a:avLst/>
                        </a:prstGeom>
                        <a:noFill/>
                        <a:ln w="9525" cap="flat" cmpd="sng">
                          <a:solidFill>
                            <a:srgbClr val="000000"/>
                          </a:solidFill>
                          <a:prstDash val="solid"/>
                          <a:round/>
                          <a:headEnd type="none" w="sm" len="sm"/>
                          <a:tailEnd type="none" w="sm" len="sm"/>
                        </a:ln>
                      </wps:spPr>
                      <wps:txbx>
                        <w:txbxContent>
                          <w:p w14:paraId="279BC3BF" w14:textId="77777777" w:rsidR="000E30E0" w:rsidRPr="000E30E0" w:rsidRDefault="000E30E0" w:rsidP="000E30E0">
                            <w:pPr>
                              <w:spacing w:line="240" w:lineRule="auto"/>
                              <w:jc w:val="center"/>
                              <w:textDirection w:val="btLr"/>
                              <w:rPr>
                                <w:rFonts w:ascii="Times New Roman" w:hAnsi="Times New Roman" w:cs="Times New Roman"/>
                                <w:b/>
                                <w:color w:val="000000"/>
                                <w:sz w:val="28"/>
                                <w:lang w:val="en-US"/>
                              </w:rPr>
                            </w:pPr>
                            <w:r w:rsidRPr="000E30E0">
                              <w:rPr>
                                <w:rFonts w:ascii="Times New Roman" w:hAnsi="Times New Roman" w:cs="Times New Roman"/>
                                <w:b/>
                                <w:color w:val="000000"/>
                                <w:sz w:val="28"/>
                                <w:lang w:val="en-US"/>
                              </w:rPr>
                              <w:t>DỰ THẢO</w:t>
                            </w:r>
                          </w:p>
                          <w:p w14:paraId="1DB13F98" w14:textId="77777777" w:rsidR="000E30E0" w:rsidRPr="000E30E0" w:rsidRDefault="000E30E0" w:rsidP="000E30E0">
                            <w:pPr>
                              <w:spacing w:line="240" w:lineRule="auto"/>
                              <w:jc w:val="center"/>
                              <w:textDirection w:val="btLr"/>
                              <w:rPr>
                                <w:rFonts w:ascii="Times New Roman" w:hAnsi="Times New Roman" w:cs="Times New Roman"/>
                                <w:lang w:val="en-US"/>
                              </w:rPr>
                            </w:pPr>
                            <w:r w:rsidRPr="000E30E0">
                              <w:rPr>
                                <w:rFonts w:ascii="Times New Roman" w:hAnsi="Times New Roman" w:cs="Times New Roman"/>
                                <w:b/>
                                <w:color w:val="000000"/>
                                <w:sz w:val="28"/>
                                <w:lang w:val="en-US"/>
                              </w:rPr>
                              <w:t>LẦN 1</w:t>
                            </w:r>
                          </w:p>
                          <w:p w14:paraId="33E16F74" w14:textId="77777777" w:rsidR="000E30E0" w:rsidRDefault="000E30E0" w:rsidP="000E30E0">
                            <w:pPr>
                              <w:spacing w:line="240" w:lineRule="auto"/>
                              <w:jc w:val="center"/>
                              <w:textDirection w:val="btLr"/>
                            </w:pPr>
                          </w:p>
                        </w:txbxContent>
                      </wps:txbx>
                      <wps:bodyPr spcFirstLastPara="1" wrap="square" lIns="91425" tIns="91425" rIns="91425" bIns="91425" anchor="t" anchorCtr="0">
                        <a:noAutofit/>
                      </wps:bodyPr>
                    </wps:wsp>
                  </a:graphicData>
                </a:graphic>
              </wp:anchor>
            </w:drawing>
          </mc:Choice>
          <mc:Fallback>
            <w:pict>
              <v:rect w14:anchorId="0A236023" id="Rectangle 1856632171" o:spid="_x0000_s1026" style="position:absolute;margin-left:-34.5pt;margin-top:18.35pt;width:128.4pt;height:54.45pt;z-index:25166336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" filled="f">
                <v:stroke startarrowwidth="narrow" startarrowlength="short" endarrowwidth="narrow" endarrowlength="short" joinstyle="round"/>
                <v:textbox inset="2.53958mm,2.53958mm,2.53958mm,2.53958mm">
                  <w:txbxContent>
                    <w:p w14:paraId="279BC3BF" w14:textId="77777777" w:rsidR="000E30E0" w:rsidRPr="000E30E0" w:rsidRDefault="000E30E0" w:rsidP="000E30E0">
                      <w:pPr>
                        <w:spacing w:line="240" w:lineRule="auto"/>
                        <w:jc w:val="center"/>
                        <w:textDirection w:val="btLr"/>
                        <w:rPr>
                          <w:rFonts w:ascii="Times New Roman" w:hAnsi="Times New Roman" w:cs="Times New Roman"/>
                          <w:b/>
                          <w:color w:val="000000"/>
                          <w:sz w:val="28"/>
                          <w:lang w:val="en-US"/>
                        </w:rPr>
                      </w:pPr>
                      <w:r w:rsidRPr="000E30E0">
                        <w:rPr>
                          <w:rFonts w:ascii="Times New Roman" w:hAnsi="Times New Roman" w:cs="Times New Roman"/>
                          <w:b/>
                          <w:color w:val="000000"/>
                          <w:sz w:val="28"/>
                          <w:lang w:val="en-US"/>
                        </w:rPr>
                        <w:t>DỰ THẢO</w:t>
                      </w:r>
                    </w:p>
                    <w:p w14:paraId="1DB13F98" w14:textId="77777777" w:rsidR="000E30E0" w:rsidRPr="000E30E0" w:rsidRDefault="000E30E0" w:rsidP="000E30E0">
                      <w:pPr>
                        <w:spacing w:line="240" w:lineRule="auto"/>
                        <w:jc w:val="center"/>
                        <w:textDirection w:val="btLr"/>
                        <w:rPr>
                          <w:rFonts w:ascii="Times New Roman" w:hAnsi="Times New Roman" w:cs="Times New Roman"/>
                          <w:lang w:val="en-US"/>
                        </w:rPr>
                      </w:pPr>
                      <w:r w:rsidRPr="000E30E0">
                        <w:rPr>
                          <w:rFonts w:ascii="Times New Roman" w:hAnsi="Times New Roman" w:cs="Times New Roman"/>
                          <w:b/>
                          <w:color w:val="000000"/>
                          <w:sz w:val="28"/>
                          <w:lang w:val="en-US"/>
                        </w:rPr>
                        <w:t>LẦN 1</w:t>
                      </w:r>
                    </w:p>
                    <w:p w14:paraId="33E16F74" w14:textId="77777777" w:rsidR="000E30E0" w:rsidRDefault="000E30E0" w:rsidP="000E30E0">
                      <w:pPr>
                        <w:spacing w:line="240" w:lineRule="auto"/>
                        <w:jc w:val="center"/>
                        <w:textDirection w:val="btLr"/>
                      </w:pPr>
                    </w:p>
                  </w:txbxContent>
                </v:textbox>
              </v:rect>
            </w:pict>
          </mc:Fallback>
        </mc:AlternateContent>
      </w:r>
    </w:p>
    <w:p w14:paraId="5BD0FF4D" w14:textId="4507FEB7" w:rsidR="00726AA1" w:rsidRDefault="00726AA1">
      <w:pPr>
        <w:shd w:val="clear" w:color="auto" w:fill="FFFFFF"/>
        <w:spacing w:after="0"/>
        <w:rPr>
          <w:rFonts w:ascii="Times New Roman" w:eastAsia="Times New Roman" w:hAnsi="Times New Roman" w:cs="Times New Roman"/>
          <w:sz w:val="26"/>
          <w:szCs w:val="26"/>
        </w:rPr>
      </w:pPr>
    </w:p>
    <w:tbl>
      <w:tblPr>
        <w:tblStyle w:val="a0"/>
        <w:tblW w:w="9071" w:type="dxa"/>
        <w:tblLayout w:type="fixed"/>
        <w:tblLook w:val="0400" w:firstRow="0" w:lastRow="0" w:firstColumn="0" w:lastColumn="0" w:noHBand="0" w:noVBand="1"/>
      </w:tblPr>
      <w:tblGrid>
        <w:gridCol w:w="3574"/>
        <w:gridCol w:w="5497"/>
      </w:tblGrid>
      <w:tr w:rsidR="00726AA1" w14:paraId="5BD0FF50" w14:textId="77777777">
        <w:tc>
          <w:tcPr>
            <w:tcW w:w="3574" w:type="dxa"/>
          </w:tcPr>
          <w:p w14:paraId="5BD0FF4E" w14:textId="1E740462" w:rsidR="00726AA1" w:rsidRDefault="00726AA1">
            <w:pPr>
              <w:spacing w:before="120" w:after="120"/>
              <w:rPr>
                <w:rFonts w:ascii="Times New Roman" w:eastAsia="Times New Roman" w:hAnsi="Times New Roman" w:cs="Times New Roman"/>
                <w:sz w:val="26"/>
                <w:szCs w:val="26"/>
              </w:rPr>
            </w:pPr>
          </w:p>
        </w:tc>
        <w:tc>
          <w:tcPr>
            <w:tcW w:w="5497" w:type="dxa"/>
          </w:tcPr>
          <w:p w14:paraId="5BD0FF4F" w14:textId="77777777" w:rsidR="00726AA1" w:rsidRDefault="00726AA1">
            <w:pPr>
              <w:spacing w:before="120" w:after="120"/>
              <w:jc w:val="center"/>
              <w:rPr>
                <w:rFonts w:ascii="Times New Roman" w:eastAsia="Times New Roman" w:hAnsi="Times New Roman" w:cs="Times New Roman"/>
                <w:sz w:val="26"/>
                <w:szCs w:val="26"/>
              </w:rPr>
            </w:pPr>
          </w:p>
        </w:tc>
      </w:tr>
    </w:tbl>
    <w:p w14:paraId="5BD0FF51" w14:textId="77777777" w:rsidR="00726AA1" w:rsidRDefault="000E30E0">
      <w:pPr>
        <w:shd w:val="clear" w:color="auto" w:fill="FFFFFF"/>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w:t>
      </w:r>
    </w:p>
    <w:p w14:paraId="5BD0FF52" w14:textId="77777777" w:rsidR="00726AA1" w:rsidRDefault="000E30E0">
      <w:pPr>
        <w:shd w:val="clear" w:color="auto" w:fill="FFFFFF"/>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kết việc thi hành Nghị định số 39/2019/NĐ-CP và Nghị định số 45/2024/NĐ-CP về tổ chức và hoạt động của Quỹ Phát triển doanh nghiệp nhỏ và vừa</w:t>
      </w:r>
    </w:p>
    <w:p w14:paraId="5BD0FF53" w14:textId="77777777" w:rsidR="00726AA1" w:rsidRDefault="00726AA1">
      <w:pPr>
        <w:shd w:val="clear" w:color="auto" w:fill="FFFFFF"/>
        <w:spacing w:before="120" w:after="120"/>
        <w:ind w:firstLine="720"/>
        <w:jc w:val="both"/>
        <w:rPr>
          <w:rFonts w:ascii="Times New Roman" w:eastAsia="Times New Roman" w:hAnsi="Times New Roman" w:cs="Times New Roman"/>
          <w:sz w:val="28"/>
          <w:szCs w:val="28"/>
        </w:rPr>
      </w:pPr>
    </w:p>
    <w:p w14:paraId="5BD0FF54" w14:textId="77777777" w:rsidR="00726AA1" w:rsidRDefault="000E30E0">
      <w:pPr>
        <w:shd w:val="clear" w:color="auto" w:fill="FFFFFF"/>
        <w:spacing w:before="120" w:after="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quy định của Luật Ban hành văn bản quy phạm pháp luật, Bộ Tài Chính đã tiến hành tổng kết việc thi hành</w:t>
      </w:r>
      <w:r>
        <w:t xml:space="preserve"> </w:t>
      </w:r>
      <w:r>
        <w:rPr>
          <w:rFonts w:ascii="Times New Roman" w:eastAsia="Times New Roman" w:hAnsi="Times New Roman" w:cs="Times New Roman"/>
          <w:sz w:val="28"/>
          <w:szCs w:val="28"/>
        </w:rPr>
        <w:t>Nghị định số 39/2019/NĐ-CP và Nghị định số 45/2024/NĐ-CP về tổ chức và hoạt động của Quỹ Phát triển doanh nghiệp nhỏ và vừa (sau đây viết tắt là Quỹ). Kết quả như sau:</w:t>
      </w:r>
    </w:p>
    <w:p w14:paraId="5BD0FF55" w14:textId="77777777" w:rsidR="00726AA1" w:rsidRDefault="000E30E0">
      <w:pPr>
        <w:shd w:val="clear" w:color="auto" w:fill="FFFFFF"/>
        <w:spacing w:before="120" w:after="120" w:line="360" w:lineRule="auto"/>
        <w:ind w:firstLine="720"/>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I. BỐI CẢNH THỰC HIỆN TỔNG KẾT </w:t>
      </w:r>
    </w:p>
    <w:p w14:paraId="5BD0FF56" w14:textId="77777777" w:rsidR="00726AA1" w:rsidRDefault="000E30E0">
      <w:pPr>
        <w:tabs>
          <w:tab w:val="left" w:pos="567"/>
          <w:tab w:val="left" w:pos="709"/>
        </w:tabs>
        <w:spacing w:before="120" w:after="120" w:line="3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Ngày 12/6/2017, Quốc hội ban hành Luật Hỗ trợ doanh nghiệp nhỏ và vừa (sau đây viết tắt là DNNVV), có hiệu lực từ ngày 01/01/2018, trong đó giao Chính phủ quy định chi tiết tại Điều 20. Thực hiện quy định này, ngày 10/5/2019, Chính phủ ban hành Nghị định số 39/2019/NĐ-CP về tổ chức và hoạt động của Quỹ Phát triển doanh nghiệp nhỏ và vừa (sau đây viết tắt là Nghị định số 39/2019/NĐ-CP), có hiệu lực từ ngày 01/7/2019. Theo Nghị định số 39/2019/NĐ-CP, Quỹ là quỹ tài chính nhà nước ngoài ngân sách, hoạt động</w:t>
      </w:r>
      <w:r>
        <w:rPr>
          <w:rFonts w:ascii="Times New Roman" w:eastAsia="Times New Roman" w:hAnsi="Times New Roman" w:cs="Times New Roman"/>
          <w:sz w:val="28"/>
          <w:szCs w:val="28"/>
        </w:rPr>
        <w:t xml:space="preserve"> theo mô hình công ty trách nhiệm hữu hạn một thành viên do Nhà nước nắm giữ 100% vốn điều lệ, với chức năng chính là cho vay, tài trợ đối với DNNVV khởi nghiệp sáng tạo, DNNVV tham gia cụm liên kết ngành, chuỗi giá trị; đồng thời tiếp nhận, quản lý các nguồn vốn vay, tài trợ, viện trợ, ủy thác để hỗ trợ DNNVV. </w:t>
      </w:r>
    </w:p>
    <w:p w14:paraId="5BD0FF57" w14:textId="77777777" w:rsidR="00726AA1" w:rsidRDefault="000E30E0">
      <w:pPr>
        <w:pBdr>
          <w:top w:val="nil"/>
          <w:left w:val="nil"/>
          <w:bottom w:val="nil"/>
          <w:right w:val="nil"/>
          <w:between w:val="nil"/>
        </w:pBdr>
        <w:shd w:val="clear" w:color="auto" w:fill="FFFFFF"/>
        <w:spacing w:before="120" w:after="120" w:line="3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Ngày 26/04/2024, Chính phủ ban hành Nghị định số 45/2024/NĐ-CP sửa đổi, bổ sung một số điều của Nghị định số 39/2019/NĐ-CP tạo thuận lợi hơn cho hoạt động của Quỹ, bảo đảm tính đồng bộ trong hệ thống văn bản quy phạm </w:t>
      </w:r>
      <w:r>
        <w:rPr>
          <w:rFonts w:ascii="Times New Roman" w:eastAsia="Times New Roman" w:hAnsi="Times New Roman" w:cs="Times New Roman"/>
          <w:color w:val="000000"/>
          <w:sz w:val="28"/>
          <w:szCs w:val="28"/>
        </w:rPr>
        <w:lastRenderedPageBreak/>
        <w:t xml:space="preserve">pháp luật, cũng như bảo đảm việc triển khai thực hiện chính sách hỗ trợ DNNVV được rõ ràng, minh bạch hơn, có hiệu quả hơn; cụ thể như sau: </w:t>
      </w:r>
    </w:p>
    <w:p w14:paraId="5BD0FF58" w14:textId="77777777" w:rsidR="00726AA1" w:rsidRDefault="000E30E0">
      <w:pPr>
        <w:pBdr>
          <w:top w:val="nil"/>
          <w:left w:val="nil"/>
          <w:bottom w:val="nil"/>
          <w:right w:val="nil"/>
          <w:between w:val="nil"/>
        </w:pBdr>
        <w:shd w:val="clear" w:color="auto" w:fill="FFFFFF"/>
        <w:spacing w:before="120" w:after="120" w:line="3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Bổ sung, sửa đổi một số quy định nhằm đảm bảo tính thống nhất của văn bản quy phạm pháp luật có liên quan đến hoạt động của Quỹ, nhất là Luật Doanh nghiệp năm 2020 và Nghị định số 80/2021/NĐ-CP quy định chi tiết và hướng dẫn thi hành một số điều của Luật Hỗ trợ DNNVV, bảo đảm cơ sở pháp lý thống nhất, vững chắc để Quỹ hoạt động hiệu quả hơn.</w:t>
      </w:r>
    </w:p>
    <w:p w14:paraId="5BD0FF59" w14:textId="77777777" w:rsidR="00726AA1" w:rsidRDefault="000E30E0">
      <w:pPr>
        <w:pBdr>
          <w:top w:val="nil"/>
          <w:left w:val="nil"/>
          <w:bottom w:val="nil"/>
          <w:right w:val="nil"/>
          <w:between w:val="nil"/>
        </w:pBdr>
        <w:shd w:val="clear" w:color="auto" w:fill="FFFFFF"/>
        <w:spacing w:before="120" w:after="120" w:line="3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Bổ sung, sửa đổi một số quy định mà Nghị định số 39/2019/NĐ-CP chưa quy định rõ, đảm bảo tính rõ ràng, minh bạch, có trọng tâm của chính sách, phù hợp với khả năng cân đối nguồn lực của Quỹ; tạo thuận lợi trong triển khai thực hiện.</w:t>
      </w:r>
    </w:p>
    <w:p w14:paraId="5BD0FF5A" w14:textId="77777777" w:rsidR="00726AA1" w:rsidRDefault="000E30E0">
      <w:pPr>
        <w:tabs>
          <w:tab w:val="left" w:pos="567"/>
          <w:tab w:val="left" w:pos="709"/>
        </w:tabs>
        <w:spacing w:before="120" w:after="120" w:line="3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Nghị quyết số 198/2025/QH15 ngày 17/05/2025 của Quốc hội về một số cơ chế, chính sách đặc biệt phát triển kinh tế tư nhân đặt ra nhiệm vụ cải cách thể chế, tối ưu hóa hoạt động của Quỹ Phát triển doanh nghiệp nhỏ và vừa để thực hiện các chức năng: cho vay các doanh nghiệp nhỏ và vừa (DNNVV); cho vay khởi nghiệp; tài trợ vốn ban đầu cho các dự án khởi nghiệp sáng tạo, dự án xây dựng vườn ươm; đầu tư vào các quỹ đầu tư địa phương, quỹ đầu tư tư nhân để tăng nguồn cung vốn cho doanh nghiệp nhỏ và vừa, doanh</w:t>
      </w:r>
      <w:r>
        <w:rPr>
          <w:rFonts w:ascii="Times New Roman" w:eastAsia="Times New Roman" w:hAnsi="Times New Roman" w:cs="Times New Roman"/>
          <w:sz w:val="28"/>
          <w:szCs w:val="28"/>
        </w:rPr>
        <w:t xml:space="preserve"> nghiệp khởi nghiệp sáng tạo; tiếp nhận và quản lý nguồn vốn vay, tài trợ, viện trợ, đóng góp, ủy thác của các tổ chức, cá nhân để hỗ trợ doanh nghiệp nhỏ và vừa. Nghị quyết số 139/NQ-CP ngày 17/5/2025 của Chính phủ ban hành Kế hoạch triển khai Nghị quyết số 198/2025/QH15 giao nhiệm vụ cụ thể cho các Bộ, ngành rà soát, sửa đổi các quy định pháp luật để thể chế hóa các cơ chế, chính sách hỗ trợ kinh tế tư nhân, trong đó giao Bộ Tài chính </w:t>
      </w:r>
      <w:r>
        <w:rPr>
          <w:rFonts w:ascii="Times New Roman" w:eastAsia="Times New Roman" w:hAnsi="Times New Roman" w:cs="Times New Roman"/>
          <w:i/>
          <w:sz w:val="28"/>
          <w:szCs w:val="28"/>
        </w:rPr>
        <w:t>“rà soát, sửa đổi Nghị định số 39/2019/NĐ-CP ngày 10 tháng 5 năm 2019 c</w:t>
      </w:r>
      <w:r>
        <w:rPr>
          <w:rFonts w:ascii="Times New Roman" w:eastAsia="Times New Roman" w:hAnsi="Times New Roman" w:cs="Times New Roman"/>
          <w:i/>
          <w:sz w:val="28"/>
          <w:szCs w:val="28"/>
        </w:rPr>
        <w:t>ủa Chính phủ về tổ chức và hoạt động của Quỹ Phát triển doanh nghiệp nhỏ và vừa và Nghị định số 45/2024/NĐ-CP ngày 26 tháng 4 năm 2024 của Chính phủ”</w:t>
      </w:r>
      <w:r>
        <w:rPr>
          <w:rFonts w:ascii="Times New Roman" w:eastAsia="Times New Roman" w:hAnsi="Times New Roman" w:cs="Times New Roman"/>
          <w:sz w:val="28"/>
          <w:szCs w:val="28"/>
        </w:rPr>
        <w:t xml:space="preserve"> . Việc hoàn thiện quy định về tổ chức và hoạt động của Quỹ Phát triển doanh nghiệp nhỏ và vừa là phù hợp với định hướng tư duy pháp lý mới và các yêu cầu đặt ra trong bối cảnh phát triển nền kinh tế tư nhân.</w:t>
      </w:r>
    </w:p>
    <w:p w14:paraId="5BD0FF5B" w14:textId="77777777" w:rsidR="00726AA1" w:rsidRDefault="000E30E0">
      <w:pPr>
        <w:shd w:val="clear" w:color="auto" w:fill="FFFFFF"/>
        <w:spacing w:before="120" w:after="120" w:line="340" w:lineRule="auto"/>
        <w:ind w:firstLine="720"/>
        <w:rPr>
          <w:rFonts w:ascii="Times New Roman" w:eastAsia="Times New Roman" w:hAnsi="Times New Roman" w:cs="Times New Roman"/>
          <w:sz w:val="28"/>
          <w:szCs w:val="28"/>
        </w:rPr>
      </w:pPr>
      <w:r>
        <w:rPr>
          <w:rFonts w:ascii="Times New Roman" w:eastAsia="Times New Roman" w:hAnsi="Times New Roman" w:cs="Times New Roman"/>
          <w:b/>
          <w:sz w:val="28"/>
          <w:szCs w:val="28"/>
        </w:rPr>
        <w:t>II. KẾT QUẢ THỰC HIỆN</w:t>
      </w:r>
    </w:p>
    <w:p w14:paraId="5BD0FF5C" w14:textId="77777777" w:rsidR="00726AA1" w:rsidRDefault="000E30E0">
      <w:pPr>
        <w:shd w:val="clear" w:color="auto" w:fill="FFFFFF"/>
        <w:spacing w:before="120" w:after="120" w:line="34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Công tác chỉ đạo, triển khai và tổ chức thi hành văn bản quy phạm pháp luật</w:t>
      </w:r>
    </w:p>
    <w:p w14:paraId="5BD0FF5D" w14:textId="77777777" w:rsidR="00726AA1" w:rsidRDefault="000E30E0">
      <w:pPr>
        <w:shd w:val="clear" w:color="auto" w:fill="FFFFFF"/>
        <w:spacing w:before="120" w:after="120" w:line="3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Để sớm hoàn thiện khung pháp lý và các quy định có liên quan, bảo đảm triển khai hoạt động của Quỹ theo quy định tại Nghị định số 39/2019/NĐ-CP và Nghị định 45/2024/NĐ-CP, Bộ Kế hoạch và Đầu tư (nay là Bộ Tài chính) đã chủ động phối hợp với các Bộ có liên quan xây dựng hệ thống các văn bản hướng dẫn tổ chức và hoạt động của Quỹ, bao gồm các Thông tư, Quyết định của Bộ, như: Thông tư số 34/2019/TT-BLĐTBXH hướng dẫn quản lý lao động, tiền lương, thù lao, tiền thưởng đối với Quỹ, Thông tư số 08/2020/TT-BKHĐ</w:t>
      </w:r>
      <w:r>
        <w:rPr>
          <w:rFonts w:ascii="Times New Roman" w:eastAsia="Times New Roman" w:hAnsi="Times New Roman" w:cs="Times New Roman"/>
          <w:sz w:val="28"/>
          <w:szCs w:val="28"/>
        </w:rPr>
        <w:t>T hướng dẫn việc tiếp nhận tài trợ, đóng góp nhận ủy thác của Quỹ, Thông tư số 14/2020/TT-BKHĐT hướng dẫn cơ chế xử lý rủi ro trong hoạt động cho vay trực tiếp của Quỹ, Quyết định số 405/QĐ-BKHĐT hướng dẫn đánh giá kết quả hoạt động và xếp loại Quỹ…</w:t>
      </w:r>
    </w:p>
    <w:p w14:paraId="5BD0FF5E" w14:textId="77777777" w:rsidR="00726AA1" w:rsidRDefault="000E30E0">
      <w:pPr>
        <w:shd w:val="clear" w:color="auto" w:fill="FFFFFF"/>
        <w:spacing w:before="120" w:after="120" w:line="3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Bên cạnh đó, để đảm bảo phù hợp với mô hình hoạt động tổ chức mới, Quỹ đã tập trung rà soát, sửa đổi, bổ sung và ban hành các quy chế quản lý nội bộ khác như Quy chế chi tiêu nội bộ, Quy chế quản lý, sử dụng quỹ khen thưởng, quỹ phúc lợi, Quy chế đầu tư xây dựng, mua sắm và quản lý tài sản, Quy chế quản lý và sử dụng vốn… </w:t>
      </w:r>
    </w:p>
    <w:p w14:paraId="5BD0FF5F" w14:textId="77777777" w:rsidR="00726AA1" w:rsidRDefault="000E30E0">
      <w:pPr>
        <w:shd w:val="clear" w:color="auto" w:fill="FFFFFF"/>
        <w:spacing w:before="120" w:after="120"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Kết quả thi hành văn bản quy phạm pháp luật, đánh giá ưu điểm, bất cập, hạn chế của văn bản quy phạm pháp luật</w:t>
      </w:r>
    </w:p>
    <w:p w14:paraId="5BD0FF60" w14:textId="77777777" w:rsidR="00726AA1" w:rsidRDefault="000E30E0">
      <w:pPr>
        <w:shd w:val="clear" w:color="auto" w:fill="FFFFFF"/>
        <w:spacing w:before="120" w:after="120" w:line="360" w:lineRule="auto"/>
        <w:ind w:firstLine="72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2.1. Kết quả thi hành văn bản quy phạm pháp luật</w:t>
      </w:r>
    </w:p>
    <w:p w14:paraId="5BD0FF61" w14:textId="77777777" w:rsidR="00726AA1" w:rsidRDefault="000E30E0">
      <w:pPr>
        <w:numPr>
          <w:ilvl w:val="0"/>
          <w:numId w:val="1"/>
        </w:numPr>
        <w:shd w:val="clear" w:color="auto" w:fill="FFFFFF"/>
        <w:spacing w:before="120" w:after="120" w:line="360" w:lineRule="auto"/>
        <w:ind w:left="992" w:hanging="28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Về công tác hỗ trợ doanh nghiệp nhỏ và vừa</w:t>
      </w:r>
    </w:p>
    <w:p w14:paraId="5BD0FF62" w14:textId="77777777" w:rsidR="00726AA1" w:rsidRDefault="000E30E0">
      <w:pPr>
        <w:spacing w:before="120" w:after="120" w:line="360"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Trong giai đoạn thực hiện cơ chế ủy thác cho vay theo Quyết định số 601/QĐ-TTg ng</w:t>
      </w:r>
      <w:r>
        <w:rPr>
          <w:rFonts w:ascii="Times New Roman" w:eastAsia="Times New Roman" w:hAnsi="Times New Roman" w:cs="Times New Roman"/>
          <w:sz w:val="28"/>
          <w:szCs w:val="28"/>
          <w:highlight w:val="white"/>
        </w:rPr>
        <w:t>ày 17/4/2013</w:t>
      </w:r>
      <w:r>
        <w:rPr>
          <w:rFonts w:ascii="Times New Roman" w:eastAsia="Times New Roman" w:hAnsi="Times New Roman" w:cs="Times New Roman"/>
          <w:color w:val="000000"/>
          <w:sz w:val="28"/>
          <w:szCs w:val="28"/>
          <w:highlight w:val="white"/>
        </w:rPr>
        <w:t>, Quỹ đã giải ngân theo tiến độ và giám sát thu hồi nợ theo các thỏa thuận đã ký với các ngân hàng thương mại.</w:t>
      </w:r>
      <w:r>
        <w:rPr>
          <w:color w:val="000000"/>
        </w:rPr>
        <w:t xml:space="preserve"> </w:t>
      </w:r>
      <w:r>
        <w:rPr>
          <w:rFonts w:ascii="Times New Roman" w:eastAsia="Times New Roman" w:hAnsi="Times New Roman" w:cs="Times New Roman"/>
          <w:color w:val="000000"/>
          <w:sz w:val="28"/>
          <w:szCs w:val="28"/>
          <w:highlight w:val="white"/>
        </w:rPr>
        <w:t>Đến nay, toàn bộ các dự án đã hoàn thành, doanh nghiệp trả nợ đầy đủ, Quỹ kết thúc việc ủy thác cho vay theo cơ chế cũ.</w:t>
      </w:r>
    </w:p>
    <w:p w14:paraId="5BD0FF63" w14:textId="77777777" w:rsidR="00726AA1" w:rsidRDefault="000E30E0">
      <w:pPr>
        <w:spacing w:before="120" w:after="120" w:line="360" w:lineRule="auto"/>
        <w:ind w:firstLine="720"/>
        <w:jc w:val="both"/>
      </w:pPr>
      <w:r>
        <w:rPr>
          <w:rFonts w:ascii="Times New Roman" w:eastAsia="Times New Roman" w:hAnsi="Times New Roman" w:cs="Times New Roman"/>
          <w:color w:val="000000"/>
          <w:sz w:val="28"/>
          <w:szCs w:val="28"/>
          <w:highlight w:val="white"/>
        </w:rPr>
        <w:t xml:space="preserve">Sau khi Nghị định số 39/2019/NĐ-CP có hiệu lực thi hành, Quỹ triển khai cho vay gián tiếp thông qua các ngân hàng thương mại nhằm mở rộng khả năng tiếp cận vốn của DNNVV. Hoạt động cho vay gián tiếp đã được thực hiện với mức lãi suất ưu đãi, đặc biệt trong bối cảnh dịch </w:t>
      </w:r>
      <w:r>
        <w:rPr>
          <w:rFonts w:ascii="Times New Roman" w:eastAsia="Times New Roman" w:hAnsi="Times New Roman" w:cs="Times New Roman"/>
          <w:sz w:val="28"/>
          <w:szCs w:val="28"/>
          <w:highlight w:val="white"/>
        </w:rPr>
        <w:t>đại</w:t>
      </w:r>
      <w:r>
        <w:rPr>
          <w:rFonts w:ascii="Times New Roman" w:eastAsia="Times New Roman" w:hAnsi="Times New Roman" w:cs="Times New Roman"/>
          <w:color w:val="000000"/>
          <w:sz w:val="28"/>
          <w:szCs w:val="28"/>
          <w:highlight w:val="white"/>
        </w:rPr>
        <w:t xml:space="preserve"> Covid-19, Bộ Kế hoạch và Đầu tư (nay là Bộ Tài chính) </w:t>
      </w:r>
      <w:r>
        <w:rPr>
          <w:rFonts w:ascii="Times New Roman" w:eastAsia="Times New Roman" w:hAnsi="Times New Roman" w:cs="Times New Roman"/>
          <w:sz w:val="28"/>
          <w:szCs w:val="28"/>
          <w:highlight w:val="white"/>
        </w:rPr>
        <w:t xml:space="preserve">đã </w:t>
      </w:r>
      <w:r>
        <w:rPr>
          <w:rFonts w:ascii="Times New Roman" w:eastAsia="Times New Roman" w:hAnsi="Times New Roman" w:cs="Times New Roman"/>
          <w:color w:val="000000"/>
          <w:sz w:val="28"/>
          <w:szCs w:val="28"/>
          <w:highlight w:val="white"/>
        </w:rPr>
        <w:t xml:space="preserve">đề xuất </w:t>
      </w:r>
      <w:r>
        <w:rPr>
          <w:rFonts w:ascii="Times New Roman" w:eastAsia="Times New Roman" w:hAnsi="Times New Roman" w:cs="Times New Roman"/>
          <w:sz w:val="28"/>
          <w:szCs w:val="28"/>
          <w:highlight w:val="white"/>
        </w:rPr>
        <w:t>với Chính phủ cho phép</w:t>
      </w:r>
      <w:r>
        <w:rPr>
          <w:rFonts w:ascii="Times New Roman" w:eastAsia="Times New Roman" w:hAnsi="Times New Roman" w:cs="Times New Roman"/>
          <w:color w:val="000000"/>
          <w:sz w:val="28"/>
          <w:szCs w:val="28"/>
          <w:highlight w:val="white"/>
        </w:rPr>
        <w:t xml:space="preserve"> giảm lãi suất cho vay c</w:t>
      </w:r>
      <w:r>
        <w:rPr>
          <w:rFonts w:ascii="Times New Roman" w:eastAsia="Times New Roman" w:hAnsi="Times New Roman" w:cs="Times New Roman"/>
          <w:sz w:val="28"/>
          <w:szCs w:val="28"/>
          <w:highlight w:val="white"/>
        </w:rPr>
        <w:t>ủa Quỹ</w:t>
      </w:r>
      <w:r>
        <w:rPr>
          <w:rFonts w:ascii="Times New Roman" w:eastAsia="Times New Roman" w:hAnsi="Times New Roman" w:cs="Times New Roman"/>
          <w:color w:val="000000"/>
          <w:sz w:val="28"/>
          <w:szCs w:val="28"/>
          <w:highlight w:val="white"/>
        </w:rPr>
        <w:t xml:space="preserve"> để hỗ trợ doanh nghiệp vượt qua khó khăn.</w:t>
      </w:r>
    </w:p>
    <w:p w14:paraId="5BD0FF64" w14:textId="77777777" w:rsidR="00726AA1" w:rsidRDefault="000E30E0">
      <w:pPr>
        <w:spacing w:before="120" w:after="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highlight w:val="white"/>
        </w:rPr>
        <w:t xml:space="preserve">Ngày 29/5/2020, Chính phủ ban hành Nghị quyết số 84/NQ-CP về các nhiệm vụ, giải pháp tiếp tục tháo gỡ khó khăn cho sản xuất kinh doanh, thúc đẩy giải ngân vốn đầu tư công và bảo đảm trật tự an toàn xã hội trong bối cảnh đại dịch Covid-19, trong đó có giải pháp </w:t>
      </w:r>
      <w:r>
        <w:rPr>
          <w:rFonts w:ascii="Times New Roman" w:eastAsia="Times New Roman" w:hAnsi="Times New Roman" w:cs="Times New Roman"/>
          <w:i/>
          <w:color w:val="000000"/>
          <w:sz w:val="28"/>
          <w:szCs w:val="28"/>
          <w:highlight w:val="white"/>
        </w:rPr>
        <w:t>“Giảm 2% lãi suất cho vay trực tiếp, cho vay gián tiếp đối với doanh nghiệp nhỏ và vừa từ Quỹ Phát triển doanh nghiệp nhỏ và vừa”</w:t>
      </w:r>
      <w:r>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sz w:val="28"/>
          <w:szCs w:val="28"/>
        </w:rPr>
        <w:t xml:space="preserve"> </w:t>
      </w:r>
    </w:p>
    <w:p w14:paraId="5BD0FF65" w14:textId="77777777" w:rsidR="00726AA1" w:rsidRDefault="000E30E0">
      <w:pPr>
        <w:spacing w:before="120" w:after="120" w:line="360"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rPr>
        <w:t xml:space="preserve">Ngày 25/6/2020, Quỹ đã ban hành Quyết định công bố mức lãi suất cho vay của Quỹ (giảm lãi suất cho vay ngắn hạn còn 2,16%/năm; trung và dài hạn còn 4%/năm) và gửi thông tin đến các Sở Kế hoạch và Đầu tư thuộc 63 tỉnh, thành phố, các tổ chức Hiệp hội và thông báo đến các ngân hàng thương mại đang tham gia cho vay gián tiếp với Quỹ để thực hiện hỗ trợ DNNVV. Đồng thời, </w:t>
      </w:r>
      <w:r>
        <w:rPr>
          <w:rFonts w:ascii="Times New Roman" w:eastAsia="Times New Roman" w:hAnsi="Times New Roman" w:cs="Times New Roman"/>
          <w:color w:val="000000"/>
          <w:sz w:val="28"/>
          <w:szCs w:val="28"/>
          <w:highlight w:val="white"/>
        </w:rPr>
        <w:t>Quỹ thường xuyên phối hợp với các ngân hàng thương mại để tháo gỡ vướng mắc, đề ra giải pháp và kế hoạch cụ thể, tạo điều kiện cho DNNVV sớm tiếp cận nguồn vốn hỗ trợ.</w:t>
      </w:r>
    </w:p>
    <w:p w14:paraId="5BD0FF66" w14:textId="77777777" w:rsidR="00726AA1" w:rsidRDefault="000E30E0">
      <w:pPr>
        <w:spacing w:before="120" w:after="120" w:line="360"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Thực hiện theo Nghị quyết số 105/NQ-CP ngày 15/7/2023, Quỹ đã th</w:t>
      </w:r>
      <w:r>
        <w:rPr>
          <w:rFonts w:ascii="Times New Roman" w:eastAsia="Times New Roman" w:hAnsi="Times New Roman" w:cs="Times New Roman"/>
          <w:sz w:val="28"/>
          <w:szCs w:val="28"/>
          <w:highlight w:val="white"/>
        </w:rPr>
        <w:t>ực hiện</w:t>
      </w:r>
      <w:r>
        <w:rPr>
          <w:rFonts w:ascii="Times New Roman" w:eastAsia="Times New Roman" w:hAnsi="Times New Roman" w:cs="Times New Roman"/>
          <w:color w:val="000000"/>
          <w:sz w:val="28"/>
          <w:szCs w:val="28"/>
          <w:highlight w:val="white"/>
        </w:rPr>
        <w:t xml:space="preserve"> giảm 2% lãi suất, theo </w:t>
      </w:r>
      <w:r>
        <w:rPr>
          <w:rFonts w:ascii="Times New Roman" w:eastAsia="Times New Roman" w:hAnsi="Times New Roman" w:cs="Times New Roman"/>
          <w:sz w:val="28"/>
          <w:szCs w:val="28"/>
          <w:highlight w:val="white"/>
        </w:rPr>
        <w:t>đó, kể từ ngày 15/7/2023, lãi suất cho vay ngắn hạn của Quỹ là 1,2%/năm, lãi suất cho vay trung và dài hạn là 4,4%/năm. T</w:t>
      </w:r>
      <w:r>
        <w:rPr>
          <w:rFonts w:ascii="Times New Roman" w:eastAsia="Times New Roman" w:hAnsi="Times New Roman" w:cs="Times New Roman"/>
          <w:color w:val="000000"/>
          <w:sz w:val="28"/>
          <w:szCs w:val="28"/>
          <w:highlight w:val="white"/>
        </w:rPr>
        <w:t>ừ đó giúp cho các DNNVV có cơ hội tiếp cận được nguồn vốn giá rẻ hơn để phục hồi sản xuất, kinh doanh trong bối cảnh kinh tế khó khăn sau đại dịch Covid-19 và tình hình kinh tế thế giới còn diễn biến phức tạp.</w:t>
      </w:r>
    </w:p>
    <w:p w14:paraId="5BD0FF67" w14:textId="77777777" w:rsidR="00726AA1" w:rsidRDefault="000E30E0">
      <w:pPr>
        <w:spacing w:before="120" w:after="120" w:line="360"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Việc đưa nguồn vốn ưu đãi tới các DNNVV tạo cơ hội cho các doanh nghiệp nâng cao năng lực, khả năng cạnh tranh… Đến nay, đã lan tỏa tới cả cộng đồng các doanh nghiệp. Trên cơ sở mức lãi suất rất ưu đãi và được giảm theo các Nghị quyết của Chính phủ, sự quan tâm và nhu cầu tiếp cận vốn của DNNVV để phục hồi v</w:t>
      </w:r>
      <w:r>
        <w:rPr>
          <w:rFonts w:ascii="Times New Roman" w:eastAsia="Times New Roman" w:hAnsi="Times New Roman" w:cs="Times New Roman"/>
          <w:sz w:val="28"/>
          <w:szCs w:val="28"/>
          <w:highlight w:val="white"/>
        </w:rPr>
        <w:t xml:space="preserve">à phát triển </w:t>
      </w:r>
      <w:r>
        <w:rPr>
          <w:rFonts w:ascii="Times New Roman" w:eastAsia="Times New Roman" w:hAnsi="Times New Roman" w:cs="Times New Roman"/>
          <w:color w:val="000000"/>
          <w:sz w:val="28"/>
          <w:szCs w:val="28"/>
          <w:highlight w:val="white"/>
        </w:rPr>
        <w:t>sản xuất, kinh doanh là rất lớn. Các doanh nghiệp nhận vốn vay của Quỹ đều hoạt động tốt, tạo thêm việc làm cho người lao động, c</w:t>
      </w:r>
      <w:r>
        <w:rPr>
          <w:rFonts w:ascii="Times New Roman" w:eastAsia="Times New Roman" w:hAnsi="Times New Roman" w:cs="Times New Roman"/>
          <w:sz w:val="28"/>
          <w:szCs w:val="28"/>
          <w:highlight w:val="white"/>
        </w:rPr>
        <w:t>ác</w:t>
      </w:r>
      <w:r>
        <w:rPr>
          <w:rFonts w:ascii="Times New Roman" w:eastAsia="Times New Roman" w:hAnsi="Times New Roman" w:cs="Times New Roman"/>
          <w:color w:val="000000"/>
          <w:sz w:val="28"/>
          <w:szCs w:val="28"/>
          <w:highlight w:val="white"/>
        </w:rPr>
        <w:t xml:space="preserve"> dự án mở rộng sản xuất kinh doanh đều đang triển khai theo kế hoạch, một số dự án vượt hơn kỳ vọng nên doanh nghiệp đã chủ động hoàn trả gốc lãi trước hạn</w:t>
      </w:r>
      <w:r>
        <w:rPr>
          <w:rFonts w:ascii="Times New Roman" w:eastAsia="Times New Roman" w:hAnsi="Times New Roman" w:cs="Times New Roman"/>
          <w:sz w:val="28"/>
          <w:szCs w:val="28"/>
          <w:highlight w:val="white"/>
        </w:rPr>
        <w:t>;</w:t>
      </w:r>
      <w:r>
        <w:rPr>
          <w:rFonts w:ascii="Times New Roman" w:eastAsia="Times New Roman" w:hAnsi="Times New Roman" w:cs="Times New Roman"/>
          <w:color w:val="000000"/>
          <w:sz w:val="28"/>
          <w:szCs w:val="28"/>
          <w:highlight w:val="white"/>
        </w:rPr>
        <w:t xml:space="preserve"> mức lương của người lao động được cải thiện, nâng cao do doanh thu, lợi nhuận của doanh nghiệp tăng đáng kể.</w:t>
      </w:r>
    </w:p>
    <w:p w14:paraId="5BD0FF68" w14:textId="77777777" w:rsidR="00726AA1" w:rsidRDefault="000E30E0">
      <w:pPr>
        <w:numPr>
          <w:ilvl w:val="0"/>
          <w:numId w:val="1"/>
        </w:numPr>
        <w:spacing w:before="120" w:after="120" w:line="360" w:lineRule="auto"/>
        <w:ind w:left="992" w:hanging="43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Về kiểm tra, giám sát hoạt động của Quỹ</w:t>
      </w:r>
    </w:p>
    <w:p w14:paraId="5BD0FF69" w14:textId="77777777" w:rsidR="00726AA1" w:rsidRDefault="000E30E0">
      <w:pPr>
        <w:spacing w:before="120" w:after="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Trong quá trình hoạt động, Quỹ thường xuyên chịu sự giám sát của Quốc hội, Chính phủ và cơ quan đại diện chủ sở hữu thông qua các hoạt động giám sát, thanh tra, kiểm tra và kiểm toán. </w:t>
      </w:r>
    </w:p>
    <w:p w14:paraId="5BD0FF6A" w14:textId="77777777" w:rsidR="00726AA1" w:rsidRDefault="000E30E0">
      <w:pPr>
        <w:spacing w:before="120" w:after="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 các cuộc kiểm tra, kiểm toán, cơ quan có thẩm quyền đã ban hành kết luận và kiến nghị cụ thể. Quỹ luôn nghiêm túc tiếp thu, triển khai, đồng thời báo cáo đầy đủ kết quả thực hiện đến các cơ quan có thẩm quyền. Bộ Kế hoạch và Đầu tư (nay là Bộ Tài chính) thực hiện công tác kiểm tra, giám sát theo quy định, đồng thời Bộ thực hiện chức năng giám sát thường xuyên thông qua Ban kiểm soát để đảm bảo hoạt động của Quỹ tuân thủ pháp luật và phát huy hiệu quả.</w:t>
      </w:r>
    </w:p>
    <w:p w14:paraId="5BD0FF6B" w14:textId="77777777" w:rsidR="00726AA1" w:rsidRDefault="000E30E0">
      <w:pPr>
        <w:spacing w:before="120" w:after="120" w:line="360" w:lineRule="auto"/>
        <w:ind w:firstLine="72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2.2. Đánh giá ưu điểm, bất cập, hạn chế của văn bản pháp luật</w:t>
      </w:r>
    </w:p>
    <w:p w14:paraId="5BD0FF6C" w14:textId="77777777" w:rsidR="00726AA1" w:rsidRDefault="000E30E0">
      <w:pPr>
        <w:spacing w:before="120" w:after="120"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Luật Hỗ trợ doanh nghiệp nhỏ và vừa năm 2017 là dấu mốc quan trọng, khẳng định chủ trương ưu tiên phát triển DNNVV và khu vực kinh tế tư nhân. Luật cùng với Nghị định số 39/2019/NĐ-CP và Nghị định số 45/2024/NĐ-CP đã tạo hành lang pháp lý cao nhất cho hoạt động hỗ trợ DNNVV, đặc biệt trong việc tiếp cận vốn tín dụng với ưu điểm nổi bật là các Nghị định trên đã quy định rõ chức năng, nhiệm vụ của Quỹ, mở rộng hơn so với giai đoạn trước, bao gồm cho vay trực tiếp, gián tiếp, tài trợ vốn, nâng cao năng lực doa</w:t>
      </w:r>
      <w:r>
        <w:rPr>
          <w:rFonts w:ascii="Times New Roman" w:eastAsia="Times New Roman" w:hAnsi="Times New Roman" w:cs="Times New Roman"/>
          <w:sz w:val="28"/>
          <w:szCs w:val="28"/>
        </w:rPr>
        <w:t>nh nghiệp, tiếp nhận vốn tài trợ, uỷ thác trong và ngoài nước. Nguồn vốn điều lệ cấp từ ngân sách được xem là “vốn mồi” để huy động thêm nguồn lực xã hội, tạo hiệu ứng lan tỏa tích cực.</w:t>
      </w:r>
      <w:r>
        <w:rPr>
          <w:rFonts w:ascii="Times New Roman" w:eastAsia="Times New Roman" w:hAnsi="Times New Roman" w:cs="Times New Roman"/>
          <w:sz w:val="28"/>
          <w:szCs w:val="28"/>
          <w:vertAlign w:val="superscript"/>
        </w:rPr>
        <w:footnoteReference w:id="1"/>
      </w:r>
    </w:p>
    <w:p w14:paraId="5BD0FF6D" w14:textId="77777777" w:rsidR="00726AA1" w:rsidRDefault="000E30E0">
      <w:pPr>
        <w:shd w:val="clear" w:color="auto" w:fill="FFFFFF"/>
        <w:spacing w:before="120" w:after="120" w:line="360" w:lineRule="auto"/>
        <w:ind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3. Khó khăn, vướng mắc và nguyên nhân</w:t>
      </w:r>
    </w:p>
    <w:p w14:paraId="5BD0FF6E" w14:textId="77777777" w:rsidR="00726AA1" w:rsidRDefault="000E30E0">
      <w:pPr>
        <w:shd w:val="clear" w:color="auto" w:fill="FFFFFF"/>
        <w:spacing w:before="120" w:after="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quá trình triển khai, phạm vi đối tượng hỗ trợ bị giới hạn theo quy định của Nghị định 39/2019/NĐ-CP và Nghị định 45/2024/NĐ-CP, do đó nhiều DNNVV có nhu cầu vốn nhưng không thuộc diện thụ hưởng. Thực tiễn cho thấy số lượng doanh nghiệp được vay vốn từ Quỹ còn rất thấp so với tổng số DNNVV trên cả nước. Nguyên nhân chủ yếu xuất phát từ quy định pháp lý chưa bao quát hết các nhóm doanh nghiệp, trong khi bối cảnh phát triển của khu vực kinh tế tư nhân ngày càng đa dạng, phong phú và nhu cầu hỗ trợ vốn t</w:t>
      </w:r>
      <w:r>
        <w:rPr>
          <w:rFonts w:ascii="Times New Roman" w:eastAsia="Times New Roman" w:hAnsi="Times New Roman" w:cs="Times New Roman"/>
          <w:sz w:val="28"/>
          <w:szCs w:val="28"/>
        </w:rPr>
        <w:t>rở nên cấp thiết hơn bao giờ hết.</w:t>
      </w:r>
    </w:p>
    <w:p w14:paraId="5BD0FF6F" w14:textId="77777777" w:rsidR="00726AA1" w:rsidRDefault="000E30E0">
      <w:pPr>
        <w:shd w:val="clear" w:color="auto" w:fill="FFFFFF"/>
        <w:spacing w:before="120" w:after="120" w:line="360" w:lineRule="auto"/>
        <w:ind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4. Xác định những vấn đề mới phát sinh trong thực tiễn</w:t>
      </w:r>
    </w:p>
    <w:p w14:paraId="5BD0FF70" w14:textId="77777777" w:rsidR="00726AA1" w:rsidRDefault="000E30E0">
      <w:pPr>
        <w:spacing w:before="120" w:after="120" w:line="360" w:lineRule="auto"/>
        <w:ind w:firstLine="720"/>
        <w:jc w:val="both"/>
        <w:rPr>
          <w:rFonts w:ascii="Times New Roman" w:eastAsia="Times New Roman" w:hAnsi="Times New Roman" w:cs="Times New Roman"/>
          <w:i/>
          <w:sz w:val="28"/>
          <w:szCs w:val="28"/>
          <w:highlight w:val="white"/>
        </w:rPr>
      </w:pPr>
      <w:r>
        <w:rPr>
          <w:rFonts w:ascii="Times New Roman" w:eastAsia="Times New Roman" w:hAnsi="Times New Roman" w:cs="Times New Roman"/>
          <w:sz w:val="28"/>
          <w:szCs w:val="28"/>
        </w:rPr>
        <w:t>Nghị quyết số 68-NQ/TW ngày 04/5/2025 của Bộ Chính trị về phát triển kinh tế tư nhân có nêu mục tiêu đến năm 2030 là: “</w:t>
      </w:r>
      <w:r>
        <w:rPr>
          <w:rFonts w:ascii="Times New Roman" w:eastAsia="Times New Roman" w:hAnsi="Times New Roman" w:cs="Times New Roman"/>
          <w:i/>
          <w:sz w:val="28"/>
          <w:szCs w:val="28"/>
        </w:rPr>
        <w:t>Kinh tế tư nhân là một động lực quan trọng nhất của nền kinh tế quốc gia; là lực lượng tiên phong trong phát triển khoa học công nghệ, đổi mới sáng tạo và chuyển đổi số, góp phần thực hiện thắng lợi mục tiêu của Nghị quyết số 57-NQ/TW, ngày 22/12/2024 của Bộ Chính trị và các chủ trương, đường lối khác của Đảng</w:t>
      </w:r>
      <w:r>
        <w:rPr>
          <w:rFonts w:ascii="Times New Roman" w:eastAsia="Times New Roman" w:hAnsi="Times New Roman" w:cs="Times New Roman"/>
          <w:sz w:val="28"/>
          <w:szCs w:val="28"/>
        </w:rPr>
        <w:t>”, tầm nhìn đến năm 2045: “</w:t>
      </w:r>
      <w:r>
        <w:rPr>
          <w:rFonts w:ascii="Times New Roman" w:eastAsia="Times New Roman" w:hAnsi="Times New Roman" w:cs="Times New Roman"/>
          <w:i/>
          <w:sz w:val="28"/>
          <w:szCs w:val="28"/>
        </w:rPr>
        <w:t xml:space="preserve">Kinh tế tư nhân Việt Nam phát triển nhanh, mạnh, bền vững, chủ động tham gia vào chuỗi sản xuất, cung ứng toàn cầu; có năng lực cạnh tranh cao trong khu vực và quốc tế; phấn </w:t>
      </w:r>
      <w:r>
        <w:rPr>
          <w:rFonts w:ascii="Times New Roman" w:eastAsia="Times New Roman" w:hAnsi="Times New Roman" w:cs="Times New Roman"/>
          <w:i/>
          <w:sz w:val="28"/>
          <w:szCs w:val="28"/>
        </w:rPr>
        <w:t>đấu đến năm 2045 có ít nhất 3 triệu doanh nghiệp hoạt động trong nền kinh tế; đóng góp khoảng trên 60% GDP</w:t>
      </w:r>
      <w:r>
        <w:rPr>
          <w:rFonts w:ascii="Times New Roman" w:eastAsia="Times New Roman" w:hAnsi="Times New Roman" w:cs="Times New Roman"/>
          <w:sz w:val="28"/>
          <w:szCs w:val="28"/>
        </w:rPr>
        <w:t xml:space="preserve">”.  Một trong những nhiệm vụ, giải pháp để đẩy mạnh và đa dạng hóa nguồn vốn cho kinh tế tư nhân tại Nghị quyết số 68-NQ/TW </w:t>
      </w:r>
      <w:r>
        <w:rPr>
          <w:rFonts w:ascii="Times New Roman" w:eastAsia="Times New Roman" w:hAnsi="Times New Roman" w:cs="Times New Roman"/>
          <w:sz w:val="28"/>
          <w:szCs w:val="28"/>
          <w:highlight w:val="white"/>
        </w:rPr>
        <w:t>là: “</w:t>
      </w:r>
      <w:r>
        <w:rPr>
          <w:rFonts w:ascii="Times New Roman" w:eastAsia="Times New Roman" w:hAnsi="Times New Roman" w:cs="Times New Roman"/>
          <w:i/>
          <w:sz w:val="28"/>
          <w:szCs w:val="28"/>
          <w:highlight w:val="white"/>
        </w:rPr>
        <w:t>Hoàn thiện khung pháp lý, cơ chế hoạt động của Quỹ Phát triển doanh nghiệp nhỏ và vừa theo hướng mở rộng đối tượng, đơn giản hóa, minh bạch hóa, số hóa điều kiện, quy trình, thủ tục tiếp nhận, thẩm định, cho vay và giải ngân vốn; đa dạng hóa nguồn vốn từ ngân sách nhà nước, đó</w:t>
      </w:r>
      <w:r>
        <w:rPr>
          <w:rFonts w:ascii="Times New Roman" w:eastAsia="Times New Roman" w:hAnsi="Times New Roman" w:cs="Times New Roman"/>
          <w:i/>
          <w:sz w:val="28"/>
          <w:szCs w:val="28"/>
          <w:highlight w:val="white"/>
        </w:rPr>
        <w:t xml:space="preserve">ng góp từ doanh nghiệp, tổ chức, cá nhân trong nước và quốc tế…; khẩn trương bổ sung chức năng, nhiệm vụ đầu tư vào các quỹ đầu tư địa phương và các quỹ đầu tư tư nhân để tăng nguồn cung vốn cho doanh nghiệp nhỏ và vừa, doanh nghiệp khởi nghiệp sáng tạo; tài trợ vốn mồi cho các dự án khởi nghiệp, cho vay khởi nghiệp; xây dựng vườn ươm và hỗ trợ khởi nghiệp. Khuyến khích mô hình đồng tài trợ của các quỹ trung ương, địa phương, tư nhân và các tổ chức tài chính, tín dụng nhằm chia sẻ rủi ro và tăng mức ưu đãi </w:t>
      </w:r>
      <w:r>
        <w:rPr>
          <w:rFonts w:ascii="Times New Roman" w:eastAsia="Times New Roman" w:hAnsi="Times New Roman" w:cs="Times New Roman"/>
          <w:i/>
          <w:sz w:val="28"/>
          <w:szCs w:val="28"/>
          <w:highlight w:val="white"/>
        </w:rPr>
        <w:t>cho các khoản vay đối với các doanh nghiệp nhỏ và vừa”.</w:t>
      </w:r>
    </w:p>
    <w:p w14:paraId="5BD0FF71" w14:textId="77777777" w:rsidR="00726AA1" w:rsidRDefault="000E30E0">
      <w:pPr>
        <w:spacing w:before="120" w:after="120" w:line="360" w:lineRule="auto"/>
        <w:ind w:firstLine="720"/>
        <w:jc w:val="both"/>
      </w:pPr>
      <w:r>
        <w:rPr>
          <w:rFonts w:ascii="Times New Roman" w:eastAsia="Times New Roman" w:hAnsi="Times New Roman" w:cs="Times New Roman"/>
          <w:sz w:val="28"/>
          <w:szCs w:val="28"/>
        </w:rPr>
        <w:t>Nghị quyết số 198/2025/QH15 ngày 17/05/2025 của Quốc hội về một số cơ chế, chính sách đặc biệt phát triển kinh tế tư nhân đặt ra nhiệm vụ cải cách thể chế, tối ưu hóa hoạt động của Quỹ Phát triển doanh nghiệp nhỏ và vừa để thực hiện các chức năng mới.</w:t>
      </w:r>
      <w:r>
        <w:t xml:space="preserve">  </w:t>
      </w:r>
      <w:r>
        <w:rPr>
          <w:rFonts w:ascii="Times New Roman" w:eastAsia="Times New Roman" w:hAnsi="Times New Roman" w:cs="Times New Roman"/>
          <w:sz w:val="28"/>
          <w:szCs w:val="28"/>
        </w:rPr>
        <w:t>Ngày 17/5/2025, Chính phủ ban hành Nghị quyết số 139/NQ-CP Kế hoạch triển khai Nghị quyết số 198/2025/QH15 giao nhiệm vụ cụ thể Bộ Tài chính rà soát, sửa đổi Nghị định số 39/2019/NĐ-CP ngày 10 tháng 5 năm 2019 của Chính phủ về tổ chức và hoạt động của Quỹ Phát triển doanh nghiệp nhỏ và vừa và Nghị định số 45/2024/NĐ-CP ngày 26 tháng 4 năm 2024 của Chính phủ.</w:t>
      </w:r>
    </w:p>
    <w:p w14:paraId="5BD0FF72" w14:textId="77777777" w:rsidR="00726AA1" w:rsidRDefault="000E30E0">
      <w:pPr>
        <w:spacing w:before="120" w:after="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Chính vì vậy, Nghị định số 39/2019/NĐ-CP và Nghị định số 45/2024/NĐ-CP cần phải được sửa đổi, bổ sung để phù hợp với yêu cầu thực tiễn và định hướng của Nghị quyết số 68-NQ/TW, Nghị quyết số 198/2025/QH15, như: mở rộng đối tượng cho vay là tất cả các DNNVV, không chỉ bó hẹp ở 03 đối tượng DNNVV khởi nghiệp sáng tạo, DNNVV tham gia cụm liên kết ngành, chuỗi giá trị; bổ sung thêm chức năng mới là cho vay khởi nghiệp; tài trợ vốn ban đầu cho dự án khởi nghiệp sáng tạo, dự án xây dựng vườn ươm; đầu tư vào các q</w:t>
      </w:r>
      <w:r>
        <w:rPr>
          <w:rFonts w:ascii="Times New Roman" w:eastAsia="Times New Roman" w:hAnsi="Times New Roman" w:cs="Times New Roman"/>
          <w:sz w:val="28"/>
          <w:szCs w:val="28"/>
        </w:rPr>
        <w:t>uỹ đầu tư địa phương, quỹ đầu tư tư nhân để tăng nguồn cung vốn.</w:t>
      </w:r>
    </w:p>
    <w:p w14:paraId="5BD0FF73" w14:textId="77777777" w:rsidR="00726AA1" w:rsidRDefault="000E30E0">
      <w:pPr>
        <w:shd w:val="clear" w:color="auto" w:fill="FFFFFF"/>
        <w:spacing w:before="120" w:after="120" w:line="360" w:lineRule="auto"/>
        <w:ind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5. Những nội dung khác (nếu có)./.</w:t>
      </w:r>
    </w:p>
    <w:p w14:paraId="5BD0FF74" w14:textId="77777777" w:rsidR="00726AA1" w:rsidRDefault="000E30E0">
      <w:pPr>
        <w:shd w:val="clear" w:color="auto" w:fill="FFFFFF"/>
        <w:spacing w:before="120" w:after="12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b/>
          <w:sz w:val="28"/>
          <w:szCs w:val="28"/>
        </w:rPr>
        <w:t>III. ĐỀ XUẤT, KIẾN NGHỊ</w:t>
      </w:r>
    </w:p>
    <w:p w14:paraId="5BD0FF75" w14:textId="77777777" w:rsidR="00726AA1" w:rsidRDefault="000E30E0">
      <w:pPr>
        <w:spacing w:before="120" w:after="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Từ tình hình trên, Bộ Tài chính nhận thấy cần thiết phải ban hành Nghị định sửa đổi, bổ sung Nghị định số 39/2019/NĐ-CP ngày 10/5/2019 và Nghị định số 45/2024/NĐ-CP ngày 26/4/2024 về tổ chức và hoạt động của Quỹ Phát triển doanh nghiệp nhỏ và vừa. </w:t>
      </w:r>
    </w:p>
    <w:p w14:paraId="5BD0FF76" w14:textId="77777777" w:rsidR="00726AA1" w:rsidRDefault="000E30E0">
      <w:pPr>
        <w:spacing w:before="120" w:after="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Trên đây là Báo cáo</w:t>
      </w:r>
      <w:r>
        <w:t xml:space="preserve"> </w:t>
      </w:r>
      <w:r>
        <w:rPr>
          <w:rFonts w:ascii="Times New Roman" w:eastAsia="Times New Roman" w:hAnsi="Times New Roman" w:cs="Times New Roman"/>
          <w:sz w:val="28"/>
          <w:szCs w:val="28"/>
        </w:rPr>
        <w:t>tổng kết việc thi hành Nghị định số 39/2019/NĐ-CP và Nghị định số 45/2024/NĐ-CP về tổ chức và hoạt động của Quỹ Phát triển doanh nghiệp nhỏ và vừa, Bộ Tài chính kính trình Chính phủ./.</w:t>
      </w:r>
    </w:p>
    <w:tbl>
      <w:tblPr>
        <w:tblStyle w:val="a1"/>
        <w:tblW w:w="9071" w:type="dxa"/>
        <w:tblLayout w:type="fixed"/>
        <w:tblLook w:val="0400" w:firstRow="0" w:lastRow="0" w:firstColumn="0" w:lastColumn="0" w:noHBand="0" w:noVBand="1"/>
      </w:tblPr>
      <w:tblGrid>
        <w:gridCol w:w="3757"/>
        <w:gridCol w:w="5314"/>
      </w:tblGrid>
      <w:tr w:rsidR="00726AA1" w14:paraId="5BD0FF80" w14:textId="77777777">
        <w:tc>
          <w:tcPr>
            <w:tcW w:w="3757" w:type="dxa"/>
          </w:tcPr>
          <w:p w14:paraId="5BD0FF77" w14:textId="77777777" w:rsidR="00726AA1" w:rsidRDefault="000E30E0">
            <w:pPr>
              <w:spacing w:after="0" w:line="276" w:lineRule="auto"/>
              <w:rPr>
                <w:rFonts w:ascii="Times New Roman" w:eastAsia="Times New Roman" w:hAnsi="Times New Roman" w:cs="Times New Roman"/>
              </w:rPr>
            </w:pPr>
            <w:r>
              <w:rPr>
                <w:rFonts w:ascii="Times New Roman" w:eastAsia="Times New Roman" w:hAnsi="Times New Roman" w:cs="Times New Roman"/>
                <w:b/>
                <w:i/>
                <w:sz w:val="26"/>
                <w:szCs w:val="26"/>
              </w:rPr>
              <w:br/>
            </w:r>
            <w:r>
              <w:rPr>
                <w:rFonts w:ascii="Times New Roman" w:eastAsia="Times New Roman" w:hAnsi="Times New Roman" w:cs="Times New Roman"/>
                <w:b/>
                <w:i/>
              </w:rPr>
              <w:t>Nơi nhận:</w:t>
            </w:r>
            <w:r>
              <w:rPr>
                <w:rFonts w:ascii="Times New Roman" w:eastAsia="Times New Roman" w:hAnsi="Times New Roman" w:cs="Times New Roman"/>
                <w:b/>
                <w:i/>
              </w:rPr>
              <w:br/>
            </w:r>
            <w:r>
              <w:rPr>
                <w:rFonts w:ascii="Times New Roman" w:eastAsia="Times New Roman" w:hAnsi="Times New Roman" w:cs="Times New Roman"/>
              </w:rPr>
              <w:t>- Như trên;</w:t>
            </w:r>
            <w:r>
              <w:rPr>
                <w:rFonts w:ascii="Times New Roman" w:eastAsia="Times New Roman" w:hAnsi="Times New Roman" w:cs="Times New Roman"/>
              </w:rPr>
              <w:br/>
              <w:t>- Thủ tướng Chính phủ (để b/cáo);</w:t>
            </w:r>
          </w:p>
          <w:p w14:paraId="5BD0FF78" w14:textId="77777777" w:rsidR="00726AA1" w:rsidRDefault="000E30E0">
            <w:pPr>
              <w:numPr>
                <w:ilvl w:val="0"/>
                <w:numId w:val="2"/>
              </w:numPr>
              <w:spacing w:after="0" w:line="276" w:lineRule="auto"/>
              <w:ind w:left="90" w:hanging="90"/>
              <w:rPr>
                <w:rFonts w:ascii="Times New Roman" w:eastAsia="Times New Roman" w:hAnsi="Times New Roman" w:cs="Times New Roman"/>
              </w:rPr>
            </w:pPr>
            <w:r>
              <w:rPr>
                <w:rFonts w:ascii="Times New Roman" w:eastAsia="Times New Roman" w:hAnsi="Times New Roman" w:cs="Times New Roman"/>
              </w:rPr>
              <w:t xml:space="preserve"> Phó Thủ tướng Hồ Đức Phớc </w:t>
            </w:r>
            <w:r>
              <w:rPr>
                <w:rFonts w:ascii="Times New Roman" w:eastAsia="Times New Roman" w:hAnsi="Times New Roman" w:cs="Times New Roman"/>
                <w:highlight w:val="white"/>
              </w:rPr>
              <w:t>(</w:t>
            </w:r>
            <w:r>
              <w:rPr>
                <w:rFonts w:ascii="Times New Roman" w:eastAsia="Times New Roman" w:hAnsi="Times New Roman" w:cs="Times New Roman"/>
              </w:rPr>
              <w:t>để b/cáo);</w:t>
            </w:r>
          </w:p>
          <w:p w14:paraId="5BD0FF79" w14:textId="77777777" w:rsidR="00726AA1" w:rsidRDefault="000E30E0">
            <w:pPr>
              <w:numPr>
                <w:ilvl w:val="0"/>
                <w:numId w:val="2"/>
              </w:numPr>
              <w:spacing w:after="0" w:line="276" w:lineRule="auto"/>
              <w:ind w:left="90" w:hanging="90"/>
              <w:rPr>
                <w:rFonts w:ascii="Times New Roman" w:eastAsia="Times New Roman" w:hAnsi="Times New Roman" w:cs="Times New Roman"/>
              </w:rPr>
            </w:pPr>
            <w:r>
              <w:rPr>
                <w:rFonts w:ascii="Times New Roman" w:eastAsia="Times New Roman" w:hAnsi="Times New Roman" w:cs="Times New Roman"/>
              </w:rPr>
              <w:t xml:space="preserve"> Văn phòng Chính phủ;</w:t>
            </w:r>
          </w:p>
          <w:p w14:paraId="5BD0FF7A" w14:textId="77777777" w:rsidR="00726AA1" w:rsidRDefault="000E30E0">
            <w:pPr>
              <w:tabs>
                <w:tab w:val="left" w:pos="90"/>
              </w:tabs>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rPr>
              <w:t>- Bộ Tư pháp;</w:t>
            </w:r>
            <w:r>
              <w:rPr>
                <w:rFonts w:ascii="Times New Roman" w:eastAsia="Times New Roman" w:hAnsi="Times New Roman" w:cs="Times New Roman"/>
              </w:rPr>
              <w:br/>
              <w:t>- Lưu: VT, QPT.</w:t>
            </w:r>
          </w:p>
        </w:tc>
        <w:tc>
          <w:tcPr>
            <w:tcW w:w="5314" w:type="dxa"/>
          </w:tcPr>
          <w:p w14:paraId="5BD0FF7B" w14:textId="77777777" w:rsidR="00726AA1" w:rsidRDefault="000E30E0">
            <w:pPr>
              <w:spacing w:before="120" w:after="1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KT. BỘ TRƯỞNG</w:t>
            </w:r>
          </w:p>
          <w:p w14:paraId="5BD0FF7C" w14:textId="77777777" w:rsidR="00726AA1" w:rsidRDefault="000E30E0">
            <w:pPr>
              <w:spacing w:before="120" w:after="120"/>
              <w:jc w:val="center"/>
              <w:rPr>
                <w:rFonts w:ascii="Times New Roman" w:eastAsia="Times New Roman" w:hAnsi="Times New Roman" w:cs="Times New Roman"/>
                <w:i/>
                <w:sz w:val="26"/>
                <w:szCs w:val="26"/>
              </w:rPr>
            </w:pPr>
            <w:r>
              <w:rPr>
                <w:rFonts w:ascii="Times New Roman" w:eastAsia="Times New Roman" w:hAnsi="Times New Roman" w:cs="Times New Roman"/>
                <w:b/>
                <w:sz w:val="26"/>
                <w:szCs w:val="26"/>
              </w:rPr>
              <w:t>THỨ TRƯỞNG</w:t>
            </w:r>
            <w:r>
              <w:rPr>
                <w:rFonts w:ascii="Times New Roman" w:eastAsia="Times New Roman" w:hAnsi="Times New Roman" w:cs="Times New Roman"/>
                <w:b/>
                <w:sz w:val="26"/>
                <w:szCs w:val="26"/>
              </w:rPr>
              <w:br/>
            </w:r>
          </w:p>
          <w:p w14:paraId="5BD0FF7D" w14:textId="77777777" w:rsidR="00726AA1" w:rsidRDefault="00726AA1">
            <w:pPr>
              <w:spacing w:before="120" w:after="120"/>
              <w:jc w:val="center"/>
              <w:rPr>
                <w:rFonts w:ascii="Times New Roman" w:eastAsia="Times New Roman" w:hAnsi="Times New Roman" w:cs="Times New Roman"/>
                <w:i/>
                <w:sz w:val="26"/>
                <w:szCs w:val="26"/>
              </w:rPr>
            </w:pPr>
          </w:p>
          <w:p w14:paraId="5BD0FF7E" w14:textId="77777777" w:rsidR="00726AA1" w:rsidRDefault="00726AA1">
            <w:pPr>
              <w:spacing w:before="120" w:after="120"/>
              <w:jc w:val="center"/>
              <w:rPr>
                <w:rFonts w:ascii="Times New Roman" w:eastAsia="Times New Roman" w:hAnsi="Times New Roman" w:cs="Times New Roman"/>
                <w:i/>
                <w:sz w:val="26"/>
                <w:szCs w:val="26"/>
              </w:rPr>
            </w:pPr>
          </w:p>
          <w:p w14:paraId="5BD0FF7F" w14:textId="77777777" w:rsidR="00726AA1" w:rsidRDefault="000E30E0">
            <w:pPr>
              <w:spacing w:before="120" w:after="12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b/>
                <w:sz w:val="26"/>
                <w:szCs w:val="26"/>
              </w:rPr>
              <w:t>Nguyễn Văn Thắng</w:t>
            </w:r>
          </w:p>
        </w:tc>
      </w:tr>
    </w:tbl>
    <w:p w14:paraId="5BD0FF81" w14:textId="77777777" w:rsidR="00726AA1" w:rsidRDefault="00726AA1">
      <w:pPr>
        <w:shd w:val="clear" w:color="auto" w:fill="FFFFFF"/>
        <w:spacing w:before="120" w:after="120"/>
        <w:rPr>
          <w:rFonts w:ascii="Times New Roman" w:eastAsia="Times New Roman" w:hAnsi="Times New Roman" w:cs="Times New Roman"/>
          <w:b/>
          <w:sz w:val="26"/>
          <w:szCs w:val="26"/>
        </w:rPr>
      </w:pPr>
    </w:p>
    <w:p w14:paraId="5BD0FF82" w14:textId="77777777" w:rsidR="00726AA1" w:rsidRDefault="000E30E0">
      <w:pPr>
        <w:shd w:val="clear" w:color="auto" w:fill="FFFFFF"/>
        <w:spacing w:before="120" w:after="120"/>
        <w:jc w:val="center"/>
        <w:rPr>
          <w:rFonts w:ascii="Times New Roman" w:eastAsia="Times New Roman" w:hAnsi="Times New Roman" w:cs="Times New Roman"/>
          <w:sz w:val="28"/>
          <w:szCs w:val="28"/>
        </w:rPr>
      </w:pPr>
      <w:r>
        <w:br w:type="page"/>
      </w:r>
      <w:r>
        <w:rPr>
          <w:rFonts w:ascii="Times New Roman" w:eastAsia="Times New Roman" w:hAnsi="Times New Roman" w:cs="Times New Roman"/>
          <w:b/>
          <w:sz w:val="28"/>
          <w:szCs w:val="28"/>
        </w:rPr>
        <w:t>Phụ lục*</w:t>
      </w:r>
    </w:p>
    <w:p w14:paraId="5BD0FF83" w14:textId="77777777" w:rsidR="00726AA1" w:rsidRDefault="000E30E0">
      <w:pPr>
        <w:shd w:val="clear" w:color="auto" w:fill="FFFFFF"/>
        <w:spacing w:before="120" w:after="120"/>
        <w:ind w:right="-285" w:firstLine="720"/>
        <w:rPr>
          <w:rFonts w:ascii="Times New Roman" w:eastAsia="Times New Roman" w:hAnsi="Times New Roman" w:cs="Times New Roman"/>
          <w:sz w:val="28"/>
          <w:szCs w:val="28"/>
        </w:rPr>
      </w:pPr>
      <w:r>
        <w:rPr>
          <w:rFonts w:ascii="Times New Roman" w:eastAsia="Times New Roman" w:hAnsi="Times New Roman" w:cs="Times New Roman"/>
          <w:b/>
          <w:sz w:val="28"/>
          <w:szCs w:val="28"/>
        </w:rPr>
        <w:t>1. Chủ trương, đường lối của Đảng có liên quan đến chính sách/dự thảo</w:t>
      </w:r>
    </w:p>
    <w:tbl>
      <w:tblPr>
        <w:tblStyle w:val="a2"/>
        <w:tblW w:w="9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3"/>
        <w:gridCol w:w="4429"/>
        <w:gridCol w:w="1552"/>
        <w:gridCol w:w="1272"/>
      </w:tblGrid>
      <w:tr w:rsidR="00726AA1" w14:paraId="5BD0FF88" w14:textId="77777777">
        <w:tc>
          <w:tcPr>
            <w:tcW w:w="2223" w:type="dxa"/>
            <w:vAlign w:val="center"/>
          </w:tcPr>
          <w:p w14:paraId="5BD0FF84" w14:textId="77777777" w:rsidR="00726AA1" w:rsidRDefault="000E30E0">
            <w:pPr>
              <w:spacing w:before="120" w:after="120"/>
              <w:ind w:left="57" w:right="57"/>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CHÍNH SÁCH/ QUY ĐỊNH CỦA DỰ THẢO</w:t>
            </w:r>
          </w:p>
        </w:tc>
        <w:tc>
          <w:tcPr>
            <w:tcW w:w="4429" w:type="dxa"/>
            <w:vAlign w:val="center"/>
          </w:tcPr>
          <w:p w14:paraId="5BD0FF85" w14:textId="77777777" w:rsidR="00726AA1" w:rsidRDefault="000E30E0">
            <w:pPr>
              <w:spacing w:before="120" w:after="120"/>
              <w:ind w:left="57" w:right="57"/>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CHỦ TRƯƠNG, ĐƯỜNG LỐI CỦA ĐẢNG</w:t>
            </w:r>
          </w:p>
        </w:tc>
        <w:tc>
          <w:tcPr>
            <w:tcW w:w="1552" w:type="dxa"/>
            <w:vAlign w:val="center"/>
          </w:tcPr>
          <w:p w14:paraId="5BD0FF86" w14:textId="77777777" w:rsidR="00726AA1" w:rsidRDefault="000E30E0">
            <w:pPr>
              <w:spacing w:before="120" w:after="120"/>
              <w:ind w:left="57" w:right="57"/>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ĐÁNH GIÁ</w:t>
            </w:r>
            <w:r>
              <w:rPr>
                <w:rFonts w:ascii="Times New Roman" w:eastAsia="Times New Roman" w:hAnsi="Times New Roman" w:cs="Times New Roman"/>
                <w:b/>
                <w:sz w:val="26"/>
                <w:szCs w:val="26"/>
              </w:rPr>
              <w:br/>
              <w:t>(Đã thể chế đầy đủ hoặc một phần)</w:t>
            </w:r>
          </w:p>
        </w:tc>
        <w:tc>
          <w:tcPr>
            <w:tcW w:w="1272" w:type="dxa"/>
            <w:vAlign w:val="center"/>
          </w:tcPr>
          <w:p w14:paraId="5BD0FF87" w14:textId="77777777" w:rsidR="00726AA1" w:rsidRDefault="000E30E0">
            <w:pPr>
              <w:spacing w:before="120" w:after="120"/>
              <w:ind w:left="57" w:right="57"/>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ĐỀ XUẤT XỬ LÝ</w:t>
            </w:r>
          </w:p>
        </w:tc>
      </w:tr>
      <w:tr w:rsidR="00726AA1" w14:paraId="5BD0FF8D" w14:textId="77777777">
        <w:tc>
          <w:tcPr>
            <w:tcW w:w="2223" w:type="dxa"/>
            <w:vAlign w:val="center"/>
          </w:tcPr>
          <w:p w14:paraId="5BD0FF89" w14:textId="77777777" w:rsidR="00726AA1" w:rsidRDefault="000E30E0">
            <w:pPr>
              <w:spacing w:before="120" w:after="120"/>
              <w:ind w:left="57" w:right="5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Nghị định về tổ chức và hoạt động của Quỹ Phát triển doanh nghiệp nhỏ và vừa</w:t>
            </w:r>
          </w:p>
        </w:tc>
        <w:tc>
          <w:tcPr>
            <w:tcW w:w="4429" w:type="dxa"/>
            <w:vAlign w:val="center"/>
          </w:tcPr>
          <w:p w14:paraId="5BD0FF8A" w14:textId="77777777" w:rsidR="00726AA1" w:rsidRDefault="000E30E0">
            <w:pPr>
              <w:spacing w:before="120" w:after="120"/>
              <w:ind w:left="57" w:right="5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Một trong những nhiệm vụ, giải pháp để đẩy mạnh và đa dạng hóa nguồn vốn cho kinh tế tư nhân tại Nghị quyết số 68-NQ/TW </w:t>
            </w:r>
            <w:r>
              <w:rPr>
                <w:rFonts w:ascii="Times New Roman" w:eastAsia="Times New Roman" w:hAnsi="Times New Roman" w:cs="Times New Roman"/>
                <w:sz w:val="26"/>
                <w:szCs w:val="26"/>
                <w:highlight w:val="white"/>
              </w:rPr>
              <w:t>là</w:t>
            </w:r>
            <w:r>
              <w:rPr>
                <w:rFonts w:ascii="Times New Roman" w:eastAsia="Times New Roman" w:hAnsi="Times New Roman" w:cs="Times New Roman"/>
                <w:sz w:val="26"/>
                <w:szCs w:val="26"/>
              </w:rPr>
              <w:t> </w:t>
            </w:r>
            <w:r>
              <w:rPr>
                <w:rFonts w:ascii="Times New Roman" w:eastAsia="Times New Roman" w:hAnsi="Times New Roman" w:cs="Times New Roman"/>
                <w:i/>
                <w:sz w:val="26"/>
                <w:szCs w:val="26"/>
              </w:rPr>
              <w:t>“Hoàn thiện khung pháp lý, cơ chế hoạt động của Quỹ Phát triển doanh nghiệp nhỏ và vừa theo hướng mở rộng đối tượng, đơn giản hóa, minh bạch hóa, số hóa điều kiện, quy trình, thủ tục tiếp nhận, thẩm định, cho vay và giải ngân vốn; đa dạng hóa nguồn vốn từ ngân sách nhà nước, đóng góp từ doanh nghiệp, tổ chức, cá nhân trong nước và quốc tế...; khẩn trương bổ sung chức năng, nhiệm vụ đầu tư vào các quỹ đầu tư địa phương và các quỹ đầu tư tư nhân để tăng nguồn cung vốn cho doanh nghiệp nhỏ và vừa, doanh ngh</w:t>
            </w:r>
            <w:r>
              <w:rPr>
                <w:rFonts w:ascii="Times New Roman" w:eastAsia="Times New Roman" w:hAnsi="Times New Roman" w:cs="Times New Roman"/>
                <w:i/>
                <w:sz w:val="26"/>
                <w:szCs w:val="26"/>
              </w:rPr>
              <w:t>iệp khởi nghiệp sáng tạo; tài trợ vốn mồi cho các dự án khởi nghiệp, cho vay khởi nghiệp; xây dựng vườn ươm và hỗ trợ khởi nghiệp. Khuyến khích mô hình đồng tài trợ của các quỹ trung ương, địa phương, tư nhân và các tổ chức tài chính, tín dụng nhằm chia sẻ rủi ro và tăng mức ưu đãi cho các khoản vay đối với các doanh nghiệp nhỏ và vừa”.</w:t>
            </w:r>
          </w:p>
        </w:tc>
        <w:tc>
          <w:tcPr>
            <w:tcW w:w="1552" w:type="dxa"/>
            <w:vAlign w:val="center"/>
          </w:tcPr>
          <w:p w14:paraId="5BD0FF8B" w14:textId="77777777" w:rsidR="00726AA1" w:rsidRDefault="000E30E0">
            <w:pPr>
              <w:spacing w:before="120" w:after="120"/>
              <w:ind w:left="57" w:right="57"/>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Đã thể chế đầy đủ</w:t>
            </w:r>
          </w:p>
        </w:tc>
        <w:tc>
          <w:tcPr>
            <w:tcW w:w="1272" w:type="dxa"/>
            <w:vAlign w:val="center"/>
          </w:tcPr>
          <w:p w14:paraId="5BD0FF8C" w14:textId="77777777" w:rsidR="00726AA1" w:rsidRDefault="000E30E0">
            <w:pPr>
              <w:spacing w:before="120" w:after="120"/>
              <w:ind w:left="57" w:right="57"/>
              <w:rPr>
                <w:rFonts w:ascii="Times New Roman" w:eastAsia="Times New Roman" w:hAnsi="Times New Roman" w:cs="Times New Roman"/>
                <w:sz w:val="26"/>
                <w:szCs w:val="26"/>
              </w:rPr>
            </w:pPr>
            <w:r>
              <w:rPr>
                <w:rFonts w:ascii="Times New Roman" w:eastAsia="Times New Roman" w:hAnsi="Times New Roman" w:cs="Times New Roman"/>
                <w:sz w:val="26"/>
                <w:szCs w:val="26"/>
              </w:rPr>
              <w:t> Không có</w:t>
            </w:r>
          </w:p>
        </w:tc>
      </w:tr>
      <w:tr w:rsidR="00726AA1" w14:paraId="5BD0FF92" w14:textId="77777777">
        <w:tc>
          <w:tcPr>
            <w:tcW w:w="2223" w:type="dxa"/>
            <w:vAlign w:val="center"/>
          </w:tcPr>
          <w:p w14:paraId="5BD0FF8E" w14:textId="77777777" w:rsidR="00726AA1" w:rsidRDefault="000E30E0">
            <w:pPr>
              <w:spacing w:before="120" w:after="120"/>
              <w:ind w:left="57" w:right="5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Nghị định về tổ chức và hoạt động của Quỹ Phát triển doanh nghiệp nhỏ và vừa</w:t>
            </w:r>
          </w:p>
        </w:tc>
        <w:tc>
          <w:tcPr>
            <w:tcW w:w="4429" w:type="dxa"/>
            <w:vAlign w:val="center"/>
          </w:tcPr>
          <w:p w14:paraId="5BD0FF8F" w14:textId="77777777" w:rsidR="00726AA1" w:rsidRDefault="000E30E0">
            <w:pPr>
              <w:spacing w:before="120" w:after="120"/>
              <w:ind w:left="57" w:right="5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Tại Nghị quyết số 139/NQ-CP ngày 17/5/2025 của Chính phủ ban hành kế hoạch của Chính phủ triển khai Nghị quyết số 198/2025/QH15 về một số cơ chế, chính sách đặc biệt phát triển kinh tế tư nhân giao Bộ Tài chính: </w:t>
            </w:r>
            <w:r>
              <w:rPr>
                <w:rFonts w:ascii="Times New Roman" w:eastAsia="Times New Roman" w:hAnsi="Times New Roman" w:cs="Times New Roman"/>
                <w:i/>
                <w:sz w:val="26"/>
                <w:szCs w:val="26"/>
              </w:rPr>
              <w:t>“rà soát, sửa đổi Nghị định số 39/2019/NĐ-CP ngày 10 tháng 5 năm 2019 của Chính phủ về tổ chức và hoạt động của Quỹ Phát triển doanh nghiệp nhỏ và vừa và Nghị định số 45/2024/NĐ-CP ngày 26 tháng 4 năm 2024 của Chính phủ”</w:t>
            </w:r>
          </w:p>
        </w:tc>
        <w:tc>
          <w:tcPr>
            <w:tcW w:w="1552" w:type="dxa"/>
            <w:vAlign w:val="center"/>
          </w:tcPr>
          <w:p w14:paraId="5BD0FF90" w14:textId="77777777" w:rsidR="00726AA1" w:rsidRDefault="000E30E0">
            <w:pPr>
              <w:spacing w:before="120" w:after="120"/>
              <w:ind w:left="57" w:right="57"/>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Đã thể chế đầy đủ</w:t>
            </w:r>
          </w:p>
        </w:tc>
        <w:tc>
          <w:tcPr>
            <w:tcW w:w="1272" w:type="dxa"/>
            <w:vAlign w:val="center"/>
          </w:tcPr>
          <w:p w14:paraId="5BD0FF91" w14:textId="77777777" w:rsidR="00726AA1" w:rsidRDefault="000E30E0">
            <w:pPr>
              <w:spacing w:before="120" w:after="120"/>
              <w:ind w:left="57" w:right="57"/>
              <w:rPr>
                <w:rFonts w:ascii="Times New Roman" w:eastAsia="Times New Roman" w:hAnsi="Times New Roman" w:cs="Times New Roman"/>
                <w:sz w:val="26"/>
                <w:szCs w:val="26"/>
              </w:rPr>
            </w:pPr>
            <w:r>
              <w:rPr>
                <w:rFonts w:ascii="Times New Roman" w:eastAsia="Times New Roman" w:hAnsi="Times New Roman" w:cs="Times New Roman"/>
                <w:sz w:val="26"/>
                <w:szCs w:val="26"/>
              </w:rPr>
              <w:t> Không có</w:t>
            </w:r>
          </w:p>
        </w:tc>
      </w:tr>
    </w:tbl>
    <w:p w14:paraId="5BD0FF93" w14:textId="77777777" w:rsidR="00726AA1" w:rsidRDefault="00726AA1">
      <w:pPr>
        <w:shd w:val="clear" w:color="auto" w:fill="FFFFFF"/>
        <w:spacing w:before="120" w:after="120"/>
        <w:rPr>
          <w:rFonts w:ascii="Times New Roman" w:eastAsia="Times New Roman" w:hAnsi="Times New Roman" w:cs="Times New Roman"/>
          <w:b/>
          <w:sz w:val="26"/>
          <w:szCs w:val="26"/>
        </w:rPr>
      </w:pPr>
    </w:p>
    <w:p w14:paraId="5BD0FF94" w14:textId="77777777" w:rsidR="00726AA1" w:rsidRDefault="000E30E0">
      <w:pPr>
        <w:shd w:val="clear" w:color="auto" w:fill="FFFFFF"/>
        <w:spacing w:before="120" w:after="120"/>
        <w:ind w:firstLine="720"/>
        <w:rPr>
          <w:rFonts w:ascii="Times New Roman" w:eastAsia="Times New Roman" w:hAnsi="Times New Roman" w:cs="Times New Roman"/>
          <w:sz w:val="28"/>
          <w:szCs w:val="28"/>
        </w:rPr>
      </w:pPr>
      <w:r>
        <w:rPr>
          <w:rFonts w:ascii="Times New Roman" w:eastAsia="Times New Roman" w:hAnsi="Times New Roman" w:cs="Times New Roman"/>
          <w:b/>
          <w:sz w:val="28"/>
          <w:szCs w:val="28"/>
        </w:rPr>
        <w:t>2. Văn bản quy phạm pháp luật có liên quan đến chính sách/dự thảo</w:t>
      </w:r>
    </w:p>
    <w:tbl>
      <w:tblPr>
        <w:tblStyle w:val="a3"/>
        <w:tblW w:w="9455" w:type="dxa"/>
        <w:tblLayout w:type="fixed"/>
        <w:tblLook w:val="0400" w:firstRow="0" w:lastRow="0" w:firstColumn="0" w:lastColumn="0" w:noHBand="0" w:noVBand="1"/>
      </w:tblPr>
      <w:tblGrid>
        <w:gridCol w:w="3159"/>
        <w:gridCol w:w="3340"/>
        <w:gridCol w:w="1691"/>
        <w:gridCol w:w="1265"/>
      </w:tblGrid>
      <w:tr w:rsidR="00726AA1" w14:paraId="5BD0FF99" w14:textId="77777777">
        <w:tc>
          <w:tcPr>
            <w:tcW w:w="3159" w:type="dxa"/>
            <w:tcBorders>
              <w:top w:val="single" w:sz="8" w:space="0" w:color="000000"/>
              <w:left w:val="single" w:sz="8" w:space="0" w:color="000000"/>
              <w:bottom w:val="nil"/>
              <w:right w:val="nil"/>
            </w:tcBorders>
            <w:vAlign w:val="center"/>
          </w:tcPr>
          <w:p w14:paraId="5BD0FF95" w14:textId="77777777" w:rsidR="00726AA1" w:rsidRDefault="000E30E0">
            <w:pPr>
              <w:spacing w:before="120" w:after="120"/>
              <w:ind w:left="57" w:right="57"/>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CHÍNH SÁCH/ QUY ĐỊNH CỦA DỰ THẢO VĂN BẢN</w:t>
            </w:r>
          </w:p>
        </w:tc>
        <w:tc>
          <w:tcPr>
            <w:tcW w:w="3340" w:type="dxa"/>
            <w:tcBorders>
              <w:top w:val="single" w:sz="8" w:space="0" w:color="000000"/>
              <w:left w:val="single" w:sz="8" w:space="0" w:color="000000"/>
              <w:bottom w:val="nil"/>
              <w:right w:val="nil"/>
            </w:tcBorders>
            <w:vAlign w:val="center"/>
          </w:tcPr>
          <w:p w14:paraId="5BD0FF96" w14:textId="77777777" w:rsidR="00726AA1" w:rsidRDefault="000E30E0">
            <w:pPr>
              <w:spacing w:before="120" w:after="120"/>
              <w:ind w:left="57" w:right="57"/>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QUY ĐỊNH CỦA PHÁP LUẬT HIỆN HÀNH CÓ LIÊN QUAN</w:t>
            </w:r>
          </w:p>
        </w:tc>
        <w:tc>
          <w:tcPr>
            <w:tcW w:w="1691" w:type="dxa"/>
            <w:tcBorders>
              <w:top w:val="single" w:sz="8" w:space="0" w:color="000000"/>
              <w:left w:val="single" w:sz="8" w:space="0" w:color="000000"/>
              <w:bottom w:val="nil"/>
              <w:right w:val="nil"/>
            </w:tcBorders>
            <w:vAlign w:val="center"/>
          </w:tcPr>
          <w:p w14:paraId="5BD0FF97" w14:textId="77777777" w:rsidR="00726AA1" w:rsidRDefault="000E30E0">
            <w:pPr>
              <w:spacing w:before="120" w:after="120"/>
              <w:ind w:left="57" w:right="57"/>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ĐÁNH GIÁ</w:t>
            </w:r>
            <w:r>
              <w:rPr>
                <w:rFonts w:ascii="Times New Roman" w:eastAsia="Times New Roman" w:hAnsi="Times New Roman" w:cs="Times New Roman"/>
                <w:b/>
                <w:sz w:val="26"/>
                <w:szCs w:val="26"/>
              </w:rPr>
              <w:br/>
              <w:t>(Tính hợp hiến, tính hợp pháp, tính thống nhất)</w:t>
            </w:r>
          </w:p>
        </w:tc>
        <w:tc>
          <w:tcPr>
            <w:tcW w:w="1265" w:type="dxa"/>
            <w:tcBorders>
              <w:top w:val="single" w:sz="8" w:space="0" w:color="000000"/>
              <w:left w:val="single" w:sz="8" w:space="0" w:color="000000"/>
              <w:bottom w:val="nil"/>
              <w:right w:val="single" w:sz="8" w:space="0" w:color="000000"/>
            </w:tcBorders>
            <w:vAlign w:val="center"/>
          </w:tcPr>
          <w:p w14:paraId="5BD0FF98" w14:textId="77777777" w:rsidR="00726AA1" w:rsidRDefault="000E30E0">
            <w:pPr>
              <w:spacing w:before="120" w:after="120"/>
              <w:ind w:left="57" w:right="57"/>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ĐỀ XUẤT XỬ LÝ</w:t>
            </w:r>
          </w:p>
        </w:tc>
      </w:tr>
      <w:tr w:rsidR="00726AA1" w14:paraId="5BD0FF9E" w14:textId="77777777">
        <w:tc>
          <w:tcPr>
            <w:tcW w:w="3159" w:type="dxa"/>
            <w:tcBorders>
              <w:top w:val="single" w:sz="8" w:space="0" w:color="000000"/>
              <w:left w:val="single" w:sz="8" w:space="0" w:color="000000"/>
              <w:bottom w:val="nil"/>
              <w:right w:val="nil"/>
            </w:tcBorders>
            <w:vAlign w:val="center"/>
          </w:tcPr>
          <w:p w14:paraId="5BD0FF9A" w14:textId="77777777" w:rsidR="00726AA1" w:rsidRDefault="000E30E0">
            <w:pPr>
              <w:spacing w:before="120" w:after="120"/>
              <w:ind w:left="57" w:right="5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Quy định chức năng nhiệm vụ của Quỹ</w:t>
            </w:r>
          </w:p>
        </w:tc>
        <w:tc>
          <w:tcPr>
            <w:tcW w:w="3340" w:type="dxa"/>
            <w:tcBorders>
              <w:top w:val="single" w:sz="8" w:space="0" w:color="000000"/>
              <w:left w:val="single" w:sz="8" w:space="0" w:color="000000"/>
              <w:bottom w:val="nil"/>
              <w:right w:val="nil"/>
            </w:tcBorders>
            <w:vAlign w:val="center"/>
          </w:tcPr>
          <w:p w14:paraId="5BD0FF9B" w14:textId="77777777" w:rsidR="00726AA1" w:rsidRDefault="000E30E0">
            <w:pPr>
              <w:spacing w:before="120" w:after="120"/>
              <w:ind w:left="57" w:right="5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Nghị quyết số 198/2025/QH15 ngày 17/5/2025 của Quốc hội về một số cơ chế, chính sách đặc biệt phát triển kinh tế tư nhân; Luật Hỗ trợ DNNVV; Nghị định số 80/2021/NĐ-CP.</w:t>
            </w:r>
          </w:p>
        </w:tc>
        <w:tc>
          <w:tcPr>
            <w:tcW w:w="1691" w:type="dxa"/>
            <w:tcBorders>
              <w:top w:val="single" w:sz="8" w:space="0" w:color="000000"/>
              <w:left w:val="single" w:sz="8" w:space="0" w:color="000000"/>
              <w:bottom w:val="nil"/>
              <w:right w:val="nil"/>
            </w:tcBorders>
            <w:vAlign w:val="center"/>
          </w:tcPr>
          <w:p w14:paraId="5BD0FF9C" w14:textId="77777777" w:rsidR="00726AA1" w:rsidRDefault="000E30E0">
            <w:pPr>
              <w:spacing w:before="120" w:after="120"/>
              <w:ind w:left="57"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Đáp ứng tính thống nhất</w:t>
            </w:r>
          </w:p>
        </w:tc>
        <w:tc>
          <w:tcPr>
            <w:tcW w:w="1265" w:type="dxa"/>
            <w:tcBorders>
              <w:top w:val="single" w:sz="8" w:space="0" w:color="000000"/>
              <w:left w:val="single" w:sz="8" w:space="0" w:color="000000"/>
              <w:bottom w:val="nil"/>
              <w:right w:val="single" w:sz="8" w:space="0" w:color="000000"/>
            </w:tcBorders>
            <w:vAlign w:val="center"/>
          </w:tcPr>
          <w:p w14:paraId="5BD0FF9D" w14:textId="77777777" w:rsidR="00726AA1" w:rsidRDefault="000E30E0">
            <w:pPr>
              <w:spacing w:before="120" w:after="120"/>
              <w:ind w:left="57"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Không có</w:t>
            </w:r>
          </w:p>
        </w:tc>
      </w:tr>
      <w:tr w:rsidR="00726AA1" w14:paraId="5BD0FFA3" w14:textId="77777777">
        <w:tc>
          <w:tcPr>
            <w:tcW w:w="3159" w:type="dxa"/>
            <w:tcBorders>
              <w:top w:val="single" w:sz="8" w:space="0" w:color="000000"/>
              <w:left w:val="single" w:sz="8" w:space="0" w:color="000000"/>
              <w:bottom w:val="nil"/>
              <w:right w:val="nil"/>
            </w:tcBorders>
            <w:vAlign w:val="center"/>
          </w:tcPr>
          <w:p w14:paraId="5BD0FF9F" w14:textId="77777777" w:rsidR="00726AA1" w:rsidRDefault="000E30E0">
            <w:pPr>
              <w:spacing w:before="120" w:after="120"/>
              <w:ind w:left="57" w:right="5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Quy định về cơ cấu tổ chức của Quỹ</w:t>
            </w:r>
          </w:p>
        </w:tc>
        <w:tc>
          <w:tcPr>
            <w:tcW w:w="3340" w:type="dxa"/>
            <w:tcBorders>
              <w:top w:val="single" w:sz="8" w:space="0" w:color="000000"/>
              <w:left w:val="single" w:sz="8" w:space="0" w:color="000000"/>
              <w:bottom w:val="nil"/>
              <w:right w:val="nil"/>
            </w:tcBorders>
            <w:vAlign w:val="center"/>
          </w:tcPr>
          <w:p w14:paraId="5BD0FFA0" w14:textId="77777777" w:rsidR="00726AA1" w:rsidRDefault="000E30E0">
            <w:pPr>
              <w:spacing w:before="120" w:after="120"/>
              <w:ind w:left="57" w:right="5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Luật Doanh nghiệp; Luật Quản lý và đầu tư vốn nhà nước</w:t>
            </w:r>
          </w:p>
        </w:tc>
        <w:tc>
          <w:tcPr>
            <w:tcW w:w="1691" w:type="dxa"/>
            <w:tcBorders>
              <w:top w:val="single" w:sz="8" w:space="0" w:color="000000"/>
              <w:left w:val="single" w:sz="8" w:space="0" w:color="000000"/>
              <w:bottom w:val="nil"/>
              <w:right w:val="nil"/>
            </w:tcBorders>
            <w:vAlign w:val="center"/>
          </w:tcPr>
          <w:p w14:paraId="5BD0FFA1" w14:textId="77777777" w:rsidR="00726AA1" w:rsidRDefault="000E30E0">
            <w:pPr>
              <w:spacing w:before="120" w:after="120"/>
              <w:ind w:left="57"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Đáp ứng tính thống nhất</w:t>
            </w:r>
          </w:p>
        </w:tc>
        <w:tc>
          <w:tcPr>
            <w:tcW w:w="1265" w:type="dxa"/>
            <w:tcBorders>
              <w:top w:val="single" w:sz="8" w:space="0" w:color="000000"/>
              <w:left w:val="single" w:sz="8" w:space="0" w:color="000000"/>
              <w:bottom w:val="nil"/>
              <w:right w:val="single" w:sz="8" w:space="0" w:color="000000"/>
            </w:tcBorders>
            <w:vAlign w:val="center"/>
          </w:tcPr>
          <w:p w14:paraId="5BD0FFA2" w14:textId="77777777" w:rsidR="00726AA1" w:rsidRDefault="000E30E0">
            <w:pPr>
              <w:spacing w:before="120" w:after="120"/>
              <w:ind w:left="57"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Không có</w:t>
            </w:r>
          </w:p>
        </w:tc>
      </w:tr>
      <w:tr w:rsidR="00726AA1" w14:paraId="5BD0FFA8" w14:textId="77777777">
        <w:tc>
          <w:tcPr>
            <w:tcW w:w="3159" w:type="dxa"/>
            <w:tcBorders>
              <w:top w:val="single" w:sz="8" w:space="0" w:color="000000"/>
              <w:left w:val="single" w:sz="8" w:space="0" w:color="000000"/>
              <w:bottom w:val="nil"/>
              <w:right w:val="nil"/>
            </w:tcBorders>
            <w:vAlign w:val="center"/>
          </w:tcPr>
          <w:p w14:paraId="5BD0FFA4" w14:textId="77777777" w:rsidR="00726AA1" w:rsidRDefault="000E30E0">
            <w:pPr>
              <w:spacing w:before="120" w:after="120"/>
              <w:ind w:left="57" w:right="5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Quy định về hoạt động cho vay, tài trợ vốn, đầu tư và hỗ trợ tăng cường năng lực</w:t>
            </w:r>
          </w:p>
        </w:tc>
        <w:tc>
          <w:tcPr>
            <w:tcW w:w="3340" w:type="dxa"/>
            <w:tcBorders>
              <w:top w:val="single" w:sz="8" w:space="0" w:color="000000"/>
              <w:left w:val="single" w:sz="8" w:space="0" w:color="000000"/>
              <w:bottom w:val="nil"/>
              <w:right w:val="nil"/>
            </w:tcBorders>
            <w:vAlign w:val="center"/>
          </w:tcPr>
          <w:p w14:paraId="5BD0FFA5" w14:textId="77777777" w:rsidR="00726AA1" w:rsidRDefault="000E30E0">
            <w:pPr>
              <w:spacing w:before="120" w:line="360" w:lineRule="auto"/>
              <w:ind w:left="57" w:right="5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Nghị quyết số 198/2025/QH15 ngày 17/5/2025 của Quốc hội về một số cơ chế, chính sách đặc biệt phát triển kinh tế tư nhân; Luật Hỗ trợ DNNVV; Luật Doanh nghiệp; Luật Quản lý và đầu tư vốn nhà nước; Luật Các tổ chức tín dụng; Nghị định số 80/2021/NĐ-CP.</w:t>
            </w:r>
          </w:p>
        </w:tc>
        <w:tc>
          <w:tcPr>
            <w:tcW w:w="1691" w:type="dxa"/>
            <w:tcBorders>
              <w:top w:val="single" w:sz="8" w:space="0" w:color="000000"/>
              <w:left w:val="single" w:sz="8" w:space="0" w:color="000000"/>
              <w:bottom w:val="nil"/>
              <w:right w:val="nil"/>
            </w:tcBorders>
            <w:vAlign w:val="center"/>
          </w:tcPr>
          <w:p w14:paraId="5BD0FFA6" w14:textId="77777777" w:rsidR="00726AA1" w:rsidRDefault="000E30E0">
            <w:pPr>
              <w:spacing w:before="120" w:after="120"/>
              <w:ind w:left="57"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Đáp ứng tính thống nhất</w:t>
            </w:r>
          </w:p>
        </w:tc>
        <w:tc>
          <w:tcPr>
            <w:tcW w:w="1265" w:type="dxa"/>
            <w:tcBorders>
              <w:top w:val="single" w:sz="8" w:space="0" w:color="000000"/>
              <w:left w:val="single" w:sz="8" w:space="0" w:color="000000"/>
              <w:bottom w:val="nil"/>
              <w:right w:val="single" w:sz="8" w:space="0" w:color="000000"/>
            </w:tcBorders>
            <w:vAlign w:val="center"/>
          </w:tcPr>
          <w:p w14:paraId="5BD0FFA7" w14:textId="77777777" w:rsidR="00726AA1" w:rsidRDefault="000E30E0">
            <w:pPr>
              <w:spacing w:before="120" w:after="120"/>
              <w:ind w:left="57"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Không có</w:t>
            </w:r>
          </w:p>
        </w:tc>
      </w:tr>
      <w:tr w:rsidR="00726AA1" w14:paraId="5BD0FFAD" w14:textId="77777777">
        <w:tc>
          <w:tcPr>
            <w:tcW w:w="3159" w:type="dxa"/>
            <w:tcBorders>
              <w:top w:val="single" w:sz="8" w:space="0" w:color="000000"/>
              <w:left w:val="single" w:sz="8" w:space="0" w:color="000000"/>
              <w:bottom w:val="single" w:sz="8" w:space="0" w:color="000000"/>
              <w:right w:val="nil"/>
            </w:tcBorders>
            <w:vAlign w:val="center"/>
          </w:tcPr>
          <w:p w14:paraId="5BD0FFA9" w14:textId="77777777" w:rsidR="00726AA1" w:rsidRDefault="000E30E0">
            <w:pPr>
              <w:spacing w:before="120" w:after="120"/>
              <w:ind w:left="57" w:right="5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Quy định hoạt động tiếp nhận, quản lý và sử dụng các nguồn vốn vay, viện trợ, tài trợ, đóng góp, nhận ủy thác</w:t>
            </w:r>
          </w:p>
        </w:tc>
        <w:tc>
          <w:tcPr>
            <w:tcW w:w="3340" w:type="dxa"/>
            <w:tcBorders>
              <w:top w:val="single" w:sz="8" w:space="0" w:color="000000"/>
              <w:left w:val="single" w:sz="8" w:space="0" w:color="000000"/>
              <w:bottom w:val="single" w:sz="8" w:space="0" w:color="000000"/>
              <w:right w:val="nil"/>
            </w:tcBorders>
            <w:vAlign w:val="center"/>
          </w:tcPr>
          <w:p w14:paraId="5BD0FFAA" w14:textId="77777777" w:rsidR="00726AA1" w:rsidRDefault="000E30E0">
            <w:pPr>
              <w:spacing w:before="120" w:after="120"/>
              <w:ind w:left="57" w:right="5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Nghị quyết số 198/2025/QH15 ngày 17/5/2025 của Quốc hội về một số cơ chế, chính sách đặc biệt phát triển kinh tế tư nhân; Luật Hỗ trợ DNNVV; Luật Doanh nghiệp; Luật Quản lý và đầu tư vốn nhà nước;</w:t>
            </w:r>
          </w:p>
        </w:tc>
        <w:tc>
          <w:tcPr>
            <w:tcW w:w="1691" w:type="dxa"/>
            <w:tcBorders>
              <w:top w:val="single" w:sz="8" w:space="0" w:color="000000"/>
              <w:left w:val="single" w:sz="8" w:space="0" w:color="000000"/>
              <w:bottom w:val="single" w:sz="8" w:space="0" w:color="000000"/>
              <w:right w:val="nil"/>
            </w:tcBorders>
            <w:vAlign w:val="center"/>
          </w:tcPr>
          <w:p w14:paraId="5BD0FFAB" w14:textId="77777777" w:rsidR="00726AA1" w:rsidRDefault="000E30E0">
            <w:pPr>
              <w:spacing w:before="120" w:after="120"/>
              <w:ind w:left="57"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Đáp ứng tính thống nhất</w:t>
            </w:r>
          </w:p>
        </w:tc>
        <w:tc>
          <w:tcPr>
            <w:tcW w:w="1265" w:type="dxa"/>
            <w:tcBorders>
              <w:top w:val="single" w:sz="8" w:space="0" w:color="000000"/>
              <w:left w:val="single" w:sz="8" w:space="0" w:color="000000"/>
              <w:bottom w:val="single" w:sz="8" w:space="0" w:color="000000"/>
              <w:right w:val="single" w:sz="8" w:space="0" w:color="000000"/>
            </w:tcBorders>
            <w:vAlign w:val="center"/>
          </w:tcPr>
          <w:p w14:paraId="5BD0FFAC" w14:textId="77777777" w:rsidR="00726AA1" w:rsidRDefault="000E30E0">
            <w:pPr>
              <w:spacing w:before="120" w:after="120"/>
              <w:ind w:left="57"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Không có</w:t>
            </w:r>
          </w:p>
        </w:tc>
      </w:tr>
      <w:tr w:rsidR="00726AA1" w14:paraId="5BD0FFB2" w14:textId="77777777">
        <w:tc>
          <w:tcPr>
            <w:tcW w:w="3159" w:type="dxa"/>
            <w:tcBorders>
              <w:top w:val="single" w:sz="8" w:space="0" w:color="000000"/>
              <w:left w:val="single" w:sz="8" w:space="0" w:color="000000"/>
              <w:bottom w:val="single" w:sz="8" w:space="0" w:color="000000"/>
              <w:right w:val="nil"/>
            </w:tcBorders>
            <w:vAlign w:val="center"/>
          </w:tcPr>
          <w:p w14:paraId="5BD0FFAE" w14:textId="77777777" w:rsidR="00726AA1" w:rsidRDefault="000E30E0">
            <w:pPr>
              <w:spacing w:before="120" w:after="120"/>
              <w:ind w:left="57" w:right="5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Quy định về phân loại nợ, trích lập quỹ dự phòng rủi ro và xử lý rủi ro</w:t>
            </w:r>
          </w:p>
        </w:tc>
        <w:tc>
          <w:tcPr>
            <w:tcW w:w="3340" w:type="dxa"/>
            <w:tcBorders>
              <w:top w:val="single" w:sz="8" w:space="0" w:color="000000"/>
              <w:left w:val="single" w:sz="8" w:space="0" w:color="000000"/>
              <w:bottom w:val="single" w:sz="8" w:space="0" w:color="000000"/>
              <w:right w:val="nil"/>
            </w:tcBorders>
            <w:vAlign w:val="center"/>
          </w:tcPr>
          <w:p w14:paraId="5BD0FFAF" w14:textId="77777777" w:rsidR="00726AA1" w:rsidRDefault="000E30E0">
            <w:pPr>
              <w:spacing w:before="120" w:after="120"/>
              <w:ind w:left="57" w:right="5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Luật Các tổ chức tín dụng và các văn bản hướng dẫn, sửa đổi, bổ sung, thay thế (nếu có) và quy định của pháp luật có liên quan.</w:t>
            </w:r>
          </w:p>
        </w:tc>
        <w:tc>
          <w:tcPr>
            <w:tcW w:w="1691" w:type="dxa"/>
            <w:tcBorders>
              <w:top w:val="single" w:sz="8" w:space="0" w:color="000000"/>
              <w:left w:val="single" w:sz="8" w:space="0" w:color="000000"/>
              <w:bottom w:val="single" w:sz="8" w:space="0" w:color="000000"/>
              <w:right w:val="nil"/>
            </w:tcBorders>
            <w:vAlign w:val="center"/>
          </w:tcPr>
          <w:p w14:paraId="5BD0FFB0" w14:textId="77777777" w:rsidR="00726AA1" w:rsidRDefault="000E30E0">
            <w:pPr>
              <w:spacing w:before="120" w:after="120"/>
              <w:ind w:left="57"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Đáp ứng tính thống nhất</w:t>
            </w:r>
          </w:p>
        </w:tc>
        <w:tc>
          <w:tcPr>
            <w:tcW w:w="1265" w:type="dxa"/>
            <w:tcBorders>
              <w:top w:val="single" w:sz="8" w:space="0" w:color="000000"/>
              <w:left w:val="single" w:sz="8" w:space="0" w:color="000000"/>
              <w:bottom w:val="single" w:sz="8" w:space="0" w:color="000000"/>
              <w:right w:val="single" w:sz="8" w:space="0" w:color="000000"/>
            </w:tcBorders>
            <w:vAlign w:val="center"/>
          </w:tcPr>
          <w:p w14:paraId="5BD0FFB1" w14:textId="77777777" w:rsidR="00726AA1" w:rsidRDefault="000E30E0">
            <w:pPr>
              <w:spacing w:before="120" w:after="120"/>
              <w:ind w:left="57"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Không có</w:t>
            </w:r>
          </w:p>
        </w:tc>
      </w:tr>
      <w:tr w:rsidR="00726AA1" w14:paraId="5BD0FFB7" w14:textId="77777777">
        <w:tc>
          <w:tcPr>
            <w:tcW w:w="3159" w:type="dxa"/>
            <w:tcBorders>
              <w:top w:val="single" w:sz="8" w:space="0" w:color="000000"/>
              <w:left w:val="single" w:sz="8" w:space="0" w:color="000000"/>
              <w:bottom w:val="single" w:sz="8" w:space="0" w:color="000000"/>
              <w:right w:val="nil"/>
            </w:tcBorders>
            <w:vAlign w:val="center"/>
          </w:tcPr>
          <w:p w14:paraId="5BD0FFB3" w14:textId="77777777" w:rsidR="00726AA1" w:rsidRDefault="000E30E0">
            <w:pPr>
              <w:spacing w:before="120" w:after="120"/>
              <w:ind w:left="57" w:right="57"/>
              <w:rPr>
                <w:rFonts w:ascii="Times New Roman" w:eastAsia="Times New Roman" w:hAnsi="Times New Roman" w:cs="Times New Roman"/>
                <w:sz w:val="26"/>
                <w:szCs w:val="26"/>
              </w:rPr>
            </w:pPr>
            <w:r>
              <w:rPr>
                <w:rFonts w:ascii="Times New Roman" w:eastAsia="Times New Roman" w:hAnsi="Times New Roman" w:cs="Times New Roman"/>
                <w:sz w:val="26"/>
                <w:szCs w:val="26"/>
              </w:rPr>
              <w:t>Quy định về quản lý tài chính</w:t>
            </w:r>
          </w:p>
        </w:tc>
        <w:tc>
          <w:tcPr>
            <w:tcW w:w="3340" w:type="dxa"/>
            <w:tcBorders>
              <w:top w:val="single" w:sz="8" w:space="0" w:color="000000"/>
              <w:left w:val="single" w:sz="8" w:space="0" w:color="000000"/>
              <w:bottom w:val="single" w:sz="8" w:space="0" w:color="000000"/>
              <w:right w:val="nil"/>
            </w:tcBorders>
            <w:vAlign w:val="center"/>
          </w:tcPr>
          <w:p w14:paraId="5BD0FFB4" w14:textId="77777777" w:rsidR="00726AA1" w:rsidRDefault="000E30E0">
            <w:pPr>
              <w:spacing w:before="120" w:after="120"/>
              <w:ind w:left="57" w:right="5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Luật doanh nghiệp; Luật Ngân sách nhà nước và các văn bản hướng dẫn, sửa đổi, bổ sung, thay thế (nếu có) và quy định của pháp luật có liên quan.</w:t>
            </w:r>
          </w:p>
        </w:tc>
        <w:tc>
          <w:tcPr>
            <w:tcW w:w="1691" w:type="dxa"/>
            <w:tcBorders>
              <w:top w:val="single" w:sz="8" w:space="0" w:color="000000"/>
              <w:left w:val="single" w:sz="8" w:space="0" w:color="000000"/>
              <w:bottom w:val="single" w:sz="8" w:space="0" w:color="000000"/>
              <w:right w:val="nil"/>
            </w:tcBorders>
            <w:vAlign w:val="center"/>
          </w:tcPr>
          <w:p w14:paraId="5BD0FFB5" w14:textId="77777777" w:rsidR="00726AA1" w:rsidRDefault="000E30E0">
            <w:pPr>
              <w:spacing w:before="120" w:after="120"/>
              <w:ind w:left="57"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Đáp ứng tính thống nhất</w:t>
            </w:r>
          </w:p>
        </w:tc>
        <w:tc>
          <w:tcPr>
            <w:tcW w:w="1265" w:type="dxa"/>
            <w:tcBorders>
              <w:top w:val="single" w:sz="8" w:space="0" w:color="000000"/>
              <w:left w:val="single" w:sz="8" w:space="0" w:color="000000"/>
              <w:bottom w:val="single" w:sz="8" w:space="0" w:color="000000"/>
              <w:right w:val="single" w:sz="8" w:space="0" w:color="000000"/>
            </w:tcBorders>
            <w:vAlign w:val="center"/>
          </w:tcPr>
          <w:p w14:paraId="5BD0FFB6" w14:textId="77777777" w:rsidR="00726AA1" w:rsidRDefault="000E30E0">
            <w:pPr>
              <w:spacing w:before="120" w:after="120"/>
              <w:ind w:left="57"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Không có</w:t>
            </w:r>
          </w:p>
        </w:tc>
      </w:tr>
      <w:tr w:rsidR="00726AA1" w14:paraId="5BD0FFBC" w14:textId="77777777">
        <w:tc>
          <w:tcPr>
            <w:tcW w:w="3159" w:type="dxa"/>
            <w:tcBorders>
              <w:top w:val="single" w:sz="8" w:space="0" w:color="000000"/>
              <w:left w:val="single" w:sz="8" w:space="0" w:color="000000"/>
              <w:bottom w:val="single" w:sz="8" w:space="0" w:color="000000"/>
              <w:right w:val="nil"/>
            </w:tcBorders>
            <w:vAlign w:val="center"/>
          </w:tcPr>
          <w:p w14:paraId="5BD0FFB8" w14:textId="77777777" w:rsidR="00726AA1" w:rsidRDefault="000E30E0">
            <w:pPr>
              <w:spacing w:before="120" w:after="120"/>
              <w:ind w:left="57" w:right="57"/>
              <w:rPr>
                <w:rFonts w:ascii="Times New Roman" w:eastAsia="Times New Roman" w:hAnsi="Times New Roman" w:cs="Times New Roman"/>
                <w:sz w:val="26"/>
                <w:szCs w:val="26"/>
              </w:rPr>
            </w:pPr>
            <w:r>
              <w:rPr>
                <w:rFonts w:ascii="Times New Roman" w:eastAsia="Times New Roman" w:hAnsi="Times New Roman" w:cs="Times New Roman"/>
                <w:sz w:val="26"/>
                <w:szCs w:val="26"/>
              </w:rPr>
              <w:t>Quy định về giám sát và đánh giá hiệu quả</w:t>
            </w:r>
          </w:p>
        </w:tc>
        <w:tc>
          <w:tcPr>
            <w:tcW w:w="3340" w:type="dxa"/>
            <w:tcBorders>
              <w:top w:val="single" w:sz="8" w:space="0" w:color="000000"/>
              <w:left w:val="single" w:sz="8" w:space="0" w:color="000000"/>
              <w:bottom w:val="single" w:sz="8" w:space="0" w:color="000000"/>
              <w:right w:val="nil"/>
            </w:tcBorders>
            <w:vAlign w:val="center"/>
          </w:tcPr>
          <w:p w14:paraId="5BD0FFB9" w14:textId="77777777" w:rsidR="00726AA1" w:rsidRDefault="000E30E0">
            <w:pPr>
              <w:spacing w:before="120" w:after="120"/>
              <w:ind w:left="57" w:right="5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Luật Doanh nghiệp; Luật Quản lý và đầu tư vốn nhà nước.</w:t>
            </w:r>
          </w:p>
        </w:tc>
        <w:tc>
          <w:tcPr>
            <w:tcW w:w="1691" w:type="dxa"/>
            <w:tcBorders>
              <w:top w:val="single" w:sz="8" w:space="0" w:color="000000"/>
              <w:left w:val="single" w:sz="8" w:space="0" w:color="000000"/>
              <w:bottom w:val="single" w:sz="8" w:space="0" w:color="000000"/>
              <w:right w:val="nil"/>
            </w:tcBorders>
            <w:vAlign w:val="center"/>
          </w:tcPr>
          <w:p w14:paraId="5BD0FFBA" w14:textId="77777777" w:rsidR="00726AA1" w:rsidRDefault="000E30E0">
            <w:pPr>
              <w:spacing w:before="120" w:after="120"/>
              <w:ind w:left="57"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Đáp ứng tính thống nhất</w:t>
            </w:r>
          </w:p>
        </w:tc>
        <w:tc>
          <w:tcPr>
            <w:tcW w:w="1265" w:type="dxa"/>
            <w:tcBorders>
              <w:top w:val="single" w:sz="8" w:space="0" w:color="000000"/>
              <w:left w:val="single" w:sz="8" w:space="0" w:color="000000"/>
              <w:bottom w:val="single" w:sz="8" w:space="0" w:color="000000"/>
              <w:right w:val="single" w:sz="8" w:space="0" w:color="000000"/>
            </w:tcBorders>
            <w:vAlign w:val="center"/>
          </w:tcPr>
          <w:p w14:paraId="5BD0FFBB" w14:textId="77777777" w:rsidR="00726AA1" w:rsidRDefault="000E30E0">
            <w:pPr>
              <w:spacing w:before="120" w:after="120"/>
              <w:ind w:left="57"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Không có</w:t>
            </w:r>
          </w:p>
        </w:tc>
      </w:tr>
    </w:tbl>
    <w:p w14:paraId="5BD0FFBD" w14:textId="77777777" w:rsidR="00726AA1" w:rsidRDefault="000E30E0">
      <w:pPr>
        <w:shd w:val="clear" w:color="auto" w:fill="FFFFFF"/>
        <w:spacing w:before="120" w:after="120"/>
        <w:ind w:firstLine="720"/>
        <w:rPr>
          <w:rFonts w:ascii="Times New Roman" w:eastAsia="Times New Roman" w:hAnsi="Times New Roman" w:cs="Times New Roman"/>
          <w:sz w:val="26"/>
          <w:szCs w:val="26"/>
        </w:rPr>
      </w:pPr>
      <w:r>
        <w:rPr>
          <w:rFonts w:ascii="Times New Roman" w:eastAsia="Times New Roman" w:hAnsi="Times New Roman" w:cs="Times New Roman"/>
          <w:b/>
          <w:sz w:val="26"/>
          <w:szCs w:val="26"/>
        </w:rPr>
        <w:t>3. Điều ước quốc tế có liên quan đến chính sách/dự thảo</w:t>
      </w:r>
    </w:p>
    <w:p w14:paraId="5BD0FFBE" w14:textId="77777777" w:rsidR="00726AA1" w:rsidRDefault="000E30E0">
      <w:pPr>
        <w:spacing w:before="120" w:after="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Dự thảo không có quy định liên quan đến các điều ước quốc tế mà nước Cộng hòa xã hội chủ nghĩa Việt Nam là thành viên.</w:t>
      </w:r>
    </w:p>
    <w:p w14:paraId="5BD0FFBF" w14:textId="77777777" w:rsidR="00726AA1" w:rsidRDefault="000E30E0">
      <w:pPr>
        <w:shd w:val="clear" w:color="auto" w:fill="FFFFFF"/>
        <w:spacing w:before="120" w:after="120"/>
        <w:rPr>
          <w:rFonts w:ascii="Times New Roman" w:eastAsia="Times New Roman" w:hAnsi="Times New Roman" w:cs="Times New Roman"/>
          <w:sz w:val="26"/>
          <w:szCs w:val="26"/>
        </w:rPr>
      </w:pPr>
      <w:r>
        <w:rPr>
          <w:rFonts w:ascii="Times New Roman" w:eastAsia="Times New Roman" w:hAnsi="Times New Roman" w:cs="Times New Roman"/>
          <w:sz w:val="26"/>
          <w:szCs w:val="26"/>
        </w:rPr>
        <w:t> </w:t>
      </w:r>
    </w:p>
    <w:p w14:paraId="5BD0FFC0" w14:textId="77777777" w:rsidR="00726AA1" w:rsidRDefault="00726AA1"/>
    <w:p w14:paraId="5BD0FFC1" w14:textId="77777777" w:rsidR="00726AA1" w:rsidRDefault="00726AA1"/>
    <w:sectPr w:rsidR="00726AA1">
      <w:headerReference w:type="default" r:id="rId9"/>
      <w:pgSz w:w="11906" w:h="16838"/>
      <w:pgMar w:top="1134" w:right="1134"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D0FFCB" w14:textId="77777777" w:rsidR="000E30E0" w:rsidRDefault="000E30E0">
      <w:pPr>
        <w:spacing w:after="0" w:line="240" w:lineRule="auto"/>
      </w:pPr>
      <w:r>
        <w:separator/>
      </w:r>
    </w:p>
  </w:endnote>
  <w:endnote w:type="continuationSeparator" w:id="0">
    <w:p w14:paraId="5BD0FFCD" w14:textId="77777777" w:rsidR="000E30E0" w:rsidRDefault="000E30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BA7940B8-99EA-4D01-94AA-AA9A4B50A559}"/>
  </w:font>
  <w:font w:name="Calibri">
    <w:panose1 w:val="020F0502020204030204"/>
    <w:charset w:val="00"/>
    <w:family w:val="swiss"/>
    <w:pitch w:val="variable"/>
    <w:sig w:usb0="E4002EFF" w:usb1="C200247B" w:usb2="00000009" w:usb3="00000000" w:csb0="000001FF" w:csb1="00000000"/>
    <w:embedRegular r:id="rId2" w:fontKey="{5FC9558F-AC61-4F9D-A0A1-A03EEBDB85BE}"/>
    <w:embedBold r:id="rId3" w:fontKey="{481C99E0-E18F-48EE-AAB9-9A83DC9838EC}"/>
  </w:font>
  <w:font w:name="Segoe UI">
    <w:panose1 w:val="020B0502040204020203"/>
    <w:charset w:val="00"/>
    <w:family w:val="swiss"/>
    <w:pitch w:val="variable"/>
    <w:sig w:usb0="E4002EFF" w:usb1="C000E47F" w:usb2="00000009" w:usb3="00000000" w:csb0="000001FF" w:csb1="00000000"/>
    <w:embedRegular r:id="rId4" w:fontKey="{935C39FB-7FE0-4873-AC83-B7A2B92FFE20}"/>
  </w:font>
  <w:font w:name="Georgia">
    <w:panose1 w:val="02040502050405020303"/>
    <w:charset w:val="00"/>
    <w:family w:val="roman"/>
    <w:pitch w:val="variable"/>
    <w:sig w:usb0="00000287" w:usb1="00000000" w:usb2="00000000" w:usb3="00000000" w:csb0="0000009F" w:csb1="00000000"/>
    <w:embedRegular r:id="rId5" w:fontKey="{8DC31CAC-0F36-4FDD-86EA-D33FCE0FF95E}"/>
    <w:embedItalic r:id="rId6" w:fontKey="{99BDE35E-2C6E-4A44-9948-7CB29971DD36}"/>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7" w:fontKey="{ADF0E171-5F18-47CD-A682-877182CEB934}"/>
  </w:font>
  <w:font w:name="Aptos">
    <w:charset w:val="00"/>
    <w:family w:val="swiss"/>
    <w:pitch w:val="variable"/>
    <w:sig w:usb0="20000287" w:usb1="00000003" w:usb2="00000000" w:usb3="00000000" w:csb0="0000019F" w:csb1="00000000"/>
    <w:embedRegular r:id="rId8" w:fontKey="{18BB4998-FFF7-4045-87C7-A62437C1DBC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D0FFC7" w14:textId="77777777" w:rsidR="000E30E0" w:rsidRDefault="000E30E0">
      <w:pPr>
        <w:spacing w:after="0" w:line="240" w:lineRule="auto"/>
      </w:pPr>
      <w:r>
        <w:separator/>
      </w:r>
    </w:p>
  </w:footnote>
  <w:footnote w:type="continuationSeparator" w:id="0">
    <w:p w14:paraId="5BD0FFC9" w14:textId="77777777" w:rsidR="000E30E0" w:rsidRDefault="000E30E0">
      <w:pPr>
        <w:spacing w:after="0" w:line="240" w:lineRule="auto"/>
      </w:pPr>
      <w:r>
        <w:continuationSeparator/>
      </w:r>
    </w:p>
  </w:footnote>
  <w:footnote w:id="1">
    <w:p w14:paraId="5BD0FFC7" w14:textId="77777777" w:rsidR="00726AA1" w:rsidRDefault="000E30E0">
      <w:pPr>
        <w:spacing w:after="0" w:line="240" w:lineRule="auto"/>
        <w:rPr>
          <w:rFonts w:ascii="Times New Roman" w:eastAsia="Times New Roman" w:hAnsi="Times New Roman" w:cs="Times New Roman"/>
          <w:sz w:val="20"/>
          <w:szCs w:val="20"/>
        </w:rPr>
      </w:pPr>
      <w:r>
        <w:rPr>
          <w:rStyle w:val="FootnoteReference"/>
        </w:rPr>
        <w:footnoteRef/>
      </w:r>
      <w:r>
        <w:rPr>
          <w:rFonts w:ascii="Times New Roman" w:eastAsia="Times New Roman" w:hAnsi="Times New Roman" w:cs="Times New Roman"/>
          <w:sz w:val="20"/>
          <w:szCs w:val="20"/>
        </w:rPr>
        <w:t xml:space="preserve"> Theo quy định tại Nghị định số 39/2019/-CP, vốn điều lệ của Quỹ tối thiểu là 2.000 tỷ đồng. Hiện tại, vốn điều lệ của Quỹ thực cấp là 1.087,25 tỷ đồng.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0FFC6" w14:textId="5EAFF3ED" w:rsidR="00726AA1" w:rsidRDefault="000E30E0">
    <w:pPr>
      <w:pBdr>
        <w:top w:val="nil"/>
        <w:left w:val="nil"/>
        <w:bottom w:val="nil"/>
        <w:right w:val="nil"/>
        <w:between w:val="nil"/>
      </w:pBdr>
      <w:tabs>
        <w:tab w:val="center" w:pos="4513"/>
        <w:tab w:val="right" w:pos="9026"/>
      </w:tabs>
      <w:spacing w:after="24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77613B">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14551D"/>
    <w:multiLevelType w:val="multilevel"/>
    <w:tmpl w:val="102E0B1A"/>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BDC0B02"/>
    <w:multiLevelType w:val="multilevel"/>
    <w:tmpl w:val="FC18E19A"/>
    <w:lvl w:ilvl="0">
      <w:start w:val="1"/>
      <w:numFmt w:val="lowerLetter"/>
      <w:lvlText w:val="%1)"/>
      <w:lvlJc w:val="left"/>
      <w:pPr>
        <w:ind w:left="1440" w:hanging="731"/>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16cid:durableId="988946923">
    <w:abstractNumId w:val="1"/>
  </w:num>
  <w:num w:numId="2" w16cid:durableId="6025391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AA1"/>
    <w:rsid w:val="000E30E0"/>
    <w:rsid w:val="001D09A9"/>
    <w:rsid w:val="00726AA1"/>
    <w:rsid w:val="007761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0FF45"/>
  <w15:docId w15:val="{56291EC9-6B91-40D8-885D-213728912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vi"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FootnoteReference">
    <w:name w:val="footnote reference"/>
    <w:uiPriority w:val="99"/>
    <w:unhideWhenUsed/>
    <w:rsid w:val="00D8799D"/>
    <w:rPr>
      <w:vertAlign w:val="superscript"/>
    </w:rPr>
  </w:style>
  <w:style w:type="paragraph" w:styleId="FootnoteText">
    <w:name w:val="footnote text"/>
    <w:basedOn w:val="Normal"/>
    <w:link w:val="FootnoteTextChar"/>
    <w:uiPriority w:val="99"/>
    <w:unhideWhenUsed/>
    <w:rsid w:val="00D8799D"/>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D8799D"/>
    <w:rPr>
      <w:rFonts w:ascii="Times New Roman" w:eastAsia="Times New Roman" w:hAnsi="Times New Roman"/>
      <w:lang w:val="en-US" w:eastAsia="en-US"/>
    </w:rPr>
  </w:style>
  <w:style w:type="paragraph" w:styleId="BalloonText">
    <w:name w:val="Balloon Text"/>
    <w:basedOn w:val="Normal"/>
    <w:link w:val="BalloonTextChar"/>
    <w:uiPriority w:val="99"/>
    <w:semiHidden/>
    <w:unhideWhenUsed/>
    <w:rsid w:val="00333FE7"/>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3FE7"/>
    <w:rPr>
      <w:rFonts w:ascii="Segoe UI" w:hAnsi="Segoe UI" w:cs="Segoe UI"/>
      <w:sz w:val="18"/>
      <w:szCs w:val="18"/>
      <w:lang w:val="en-US" w:eastAsia="en-US"/>
    </w:rPr>
  </w:style>
  <w:style w:type="table" w:styleId="TableGrid">
    <w:name w:val="Table Grid"/>
    <w:basedOn w:val="TableNormal"/>
    <w:uiPriority w:val="39"/>
    <w:rsid w:val="00FD3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qFormat/>
    <w:rsid w:val="00AE3DED"/>
    <w:pPr>
      <w:spacing w:before="100" w:beforeAutospacing="1" w:after="100" w:afterAutospacing="1" w:line="240" w:lineRule="auto"/>
    </w:pPr>
    <w:rPr>
      <w:rFonts w:ascii="Times New Roman" w:eastAsia="Times New Roman" w:hAnsi="Times New Roman"/>
      <w:sz w:val="24"/>
      <w:szCs w:val="24"/>
      <w:lang w:val="vi-VN"/>
    </w:rPr>
  </w:style>
  <w:style w:type="character" w:customStyle="1" w:styleId="NormalWebChar">
    <w:name w:val="Normal (Web) Char"/>
    <w:link w:val="NormalWeb"/>
    <w:autoRedefine/>
    <w:uiPriority w:val="99"/>
    <w:qFormat/>
    <w:locked/>
    <w:rsid w:val="00AE3DED"/>
    <w:rPr>
      <w:rFonts w:ascii="Times New Roman" w:eastAsia="Times New Roman" w:hAnsi="Times New Roman"/>
      <w:sz w:val="24"/>
      <w:szCs w:val="24"/>
      <w:lang w:val="vi-VN"/>
    </w:rPr>
  </w:style>
  <w:style w:type="paragraph" w:styleId="Header">
    <w:name w:val="header"/>
    <w:basedOn w:val="Normal"/>
    <w:link w:val="HeaderChar"/>
    <w:uiPriority w:val="99"/>
    <w:unhideWhenUsed/>
    <w:rsid w:val="00740972"/>
    <w:pPr>
      <w:tabs>
        <w:tab w:val="center" w:pos="4513"/>
        <w:tab w:val="right" w:pos="9026"/>
      </w:tabs>
    </w:pPr>
  </w:style>
  <w:style w:type="character" w:customStyle="1" w:styleId="HeaderChar">
    <w:name w:val="Header Char"/>
    <w:link w:val="Header"/>
    <w:uiPriority w:val="99"/>
    <w:rsid w:val="00740972"/>
    <w:rPr>
      <w:sz w:val="22"/>
      <w:szCs w:val="22"/>
      <w:lang w:val="en-US" w:eastAsia="en-US"/>
    </w:rPr>
  </w:style>
  <w:style w:type="paragraph" w:styleId="Footer">
    <w:name w:val="footer"/>
    <w:basedOn w:val="Normal"/>
    <w:link w:val="FooterChar"/>
    <w:uiPriority w:val="99"/>
    <w:unhideWhenUsed/>
    <w:rsid w:val="00740972"/>
    <w:pPr>
      <w:tabs>
        <w:tab w:val="center" w:pos="4513"/>
        <w:tab w:val="right" w:pos="9026"/>
      </w:tabs>
    </w:pPr>
  </w:style>
  <w:style w:type="character" w:customStyle="1" w:styleId="FooterChar">
    <w:name w:val="Footer Char"/>
    <w:link w:val="Footer"/>
    <w:uiPriority w:val="99"/>
    <w:rsid w:val="00740972"/>
    <w:rPr>
      <w:sz w:val="22"/>
      <w:szCs w:val="22"/>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aBA9wLbCxiW6n080UftnftQuwQ==">CgMxLjA4AHIhMVB5bTJKam9uS2pqM1M4OExSeTc4UTN1a1RCMW4zWE8y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2627</Words>
  <Characters>14980</Characters>
  <Application>Microsoft Office Word</Application>
  <DocSecurity>0</DocSecurity>
  <Lines>124</Lines>
  <Paragraphs>35</Paragraphs>
  <ScaleCrop>false</ScaleCrop>
  <Company/>
  <LinksUpToDate>false</LinksUpToDate>
  <CharactersWithSpaces>17572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 Thao</dc:creator>
  <cp:lastModifiedBy>Phương Nguyễn Xuân</cp:lastModifiedBy>
  <cp:revision>3</cp:revision>
  <dcterms:created xsi:type="dcterms:W3CDTF">2025-10-08T08:49:00Z</dcterms:created>
  <dcterms:modified xsi:type="dcterms:W3CDTF">2025-10-25T14:31:00Z</dcterms:modified>
</cp:coreProperties>
</file>