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24ED" w14:textId="77777777" w:rsidR="00BF63EB" w:rsidRDefault="00DA7CEE" w:rsidP="00DA7CEE">
      <w:pPr>
        <w:spacing w:before="480" w:after="48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Ý KIẾN ĐÓNG GÓP VỀ DỰ THẢO LUẬT TRÍ TUỆ NHÂN TẠO</w:t>
      </w:r>
      <w:r>
        <w:rPr>
          <w:rFonts w:ascii="Times New Roman" w:eastAsia="Times New Roman" w:hAnsi="Times New Roman" w:cs="Times New Roman"/>
          <w:sz w:val="2"/>
          <w:szCs w:val="2"/>
          <w:vertAlign w:val="superscript"/>
        </w:rPr>
        <w:footnoteReference w:id="1"/>
      </w:r>
    </w:p>
    <w:tbl>
      <w:tblPr>
        <w:tblStyle w:val="a"/>
        <w:tblW w:w="9025" w:type="dxa"/>
        <w:tblBorders>
          <w:top w:val="nil"/>
          <w:left w:val="nil"/>
          <w:bottom w:val="nil"/>
          <w:right w:val="nil"/>
          <w:insideH w:val="nil"/>
          <w:insideV w:val="nil"/>
        </w:tblBorders>
        <w:tblLayout w:type="fixed"/>
        <w:tblLook w:val="0400" w:firstRow="0" w:lastRow="0" w:firstColumn="0" w:lastColumn="0" w:noHBand="0" w:noVBand="1"/>
      </w:tblPr>
      <w:tblGrid>
        <w:gridCol w:w="1610"/>
        <w:gridCol w:w="7415"/>
      </w:tblGrid>
      <w:tr w:rsidR="00BF63EB" w14:paraId="75A9588D" w14:textId="77777777">
        <w:tc>
          <w:tcPr>
            <w:tcW w:w="1610" w:type="dxa"/>
          </w:tcPr>
          <w:p w14:paraId="27B76041"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Kính gửi:</w:t>
            </w:r>
          </w:p>
        </w:tc>
        <w:tc>
          <w:tcPr>
            <w:tcW w:w="7415" w:type="dxa"/>
          </w:tcPr>
          <w:p w14:paraId="40F47461" w14:textId="77777777" w:rsidR="00BF63EB" w:rsidRDefault="00DA7CEE">
            <w:pPr>
              <w:numPr>
                <w:ilvl w:val="0"/>
                <w:numId w:val="1"/>
              </w:numPr>
              <w:pBdr>
                <w:top w:val="nil"/>
                <w:left w:val="nil"/>
                <w:bottom w:val="nil"/>
                <w:right w:val="nil"/>
                <w:between w:val="nil"/>
              </w:pBdr>
              <w:spacing w:before="120" w:line="288" w:lineRule="auto"/>
              <w:ind w:left="3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Ủy ban Khoa học, Công nghệ và Môi trường của Quốc hội;</w:t>
            </w:r>
          </w:p>
          <w:p w14:paraId="7D21941D" w14:textId="77777777" w:rsidR="00BF63EB" w:rsidRDefault="00DA7CEE">
            <w:pPr>
              <w:numPr>
                <w:ilvl w:val="0"/>
                <w:numId w:val="1"/>
              </w:numPr>
              <w:pBdr>
                <w:top w:val="nil"/>
                <w:left w:val="nil"/>
                <w:bottom w:val="nil"/>
                <w:right w:val="nil"/>
                <w:between w:val="nil"/>
              </w:pBdr>
              <w:spacing w:line="288" w:lineRule="auto"/>
              <w:ind w:left="3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Bộ Khoa học và Công nghệ;</w:t>
            </w:r>
          </w:p>
          <w:p w14:paraId="0C3C0570" w14:textId="77777777" w:rsidR="00BF63EB" w:rsidRDefault="00DA7CEE">
            <w:pPr>
              <w:numPr>
                <w:ilvl w:val="0"/>
                <w:numId w:val="1"/>
              </w:numPr>
              <w:pBdr>
                <w:top w:val="nil"/>
                <w:left w:val="nil"/>
                <w:bottom w:val="nil"/>
                <w:right w:val="nil"/>
                <w:between w:val="nil"/>
              </w:pBdr>
              <w:spacing w:after="120" w:line="288" w:lineRule="auto"/>
              <w:ind w:left="3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 soạn thảo dự án Luật Trí tuệ nhân tạo</w:t>
            </w:r>
          </w:p>
        </w:tc>
      </w:tr>
      <w:tr w:rsidR="00BF63EB" w14:paraId="6DB7EC0E" w14:textId="77777777">
        <w:tc>
          <w:tcPr>
            <w:tcW w:w="1610" w:type="dxa"/>
          </w:tcPr>
          <w:p w14:paraId="7CB70245"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Ngày</w:t>
            </w:r>
          </w:p>
        </w:tc>
        <w:tc>
          <w:tcPr>
            <w:tcW w:w="7415" w:type="dxa"/>
          </w:tcPr>
          <w:p w14:paraId="13DF0462"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13/10/2025</w:t>
            </w:r>
          </w:p>
        </w:tc>
      </w:tr>
      <w:tr w:rsidR="00BF63EB" w14:paraId="6BC58781" w14:textId="77777777">
        <w:tc>
          <w:tcPr>
            <w:tcW w:w="1610" w:type="dxa"/>
          </w:tcPr>
          <w:p w14:paraId="43E7C7BA"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V/v:</w:t>
            </w:r>
          </w:p>
        </w:tc>
        <w:tc>
          <w:tcPr>
            <w:tcW w:w="7415" w:type="dxa"/>
          </w:tcPr>
          <w:p w14:paraId="2DE6011D"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Ý kiến đóng góp về dự thảo Luật Trí tuệ nhân tạo, trình bày tại Hội thảo “Góp ý hoàn thiện dự thảo Luật Trí tuệ nhân tạo”, tổ chức bởi Liên đoàn Thương mại và Công nghiệp Việt Nam vào ngày 15/10/2025 tại Hà Nội</w:t>
            </w:r>
          </w:p>
        </w:tc>
      </w:tr>
      <w:tr w:rsidR="00BF63EB" w14:paraId="1AE2030F" w14:textId="77777777">
        <w:tc>
          <w:tcPr>
            <w:tcW w:w="1610" w:type="dxa"/>
          </w:tcPr>
          <w:p w14:paraId="13EC5521"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Bên gửi ý kiến:</w:t>
            </w:r>
          </w:p>
        </w:tc>
        <w:tc>
          <w:tcPr>
            <w:tcW w:w="7415" w:type="dxa"/>
          </w:tcPr>
          <w:p w14:paraId="6C8A90CD" w14:textId="77777777" w:rsidR="00BF63EB" w:rsidRDefault="00DA7CEE">
            <w:pPr>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Công ty Luật TNHH Pháp lý Thương mại Việt Nam (Lexcomm Vietnam LLC)</w:t>
            </w:r>
          </w:p>
        </w:tc>
      </w:tr>
    </w:tbl>
    <w:p w14:paraId="6B9C1037" w14:textId="77777777" w:rsidR="00BF63EB" w:rsidRDefault="00BF63EB">
      <w:pPr>
        <w:spacing w:before="120" w:after="120" w:line="288" w:lineRule="auto"/>
        <w:jc w:val="both"/>
        <w:rPr>
          <w:rFonts w:ascii="Times New Roman" w:eastAsia="Times New Roman" w:hAnsi="Times New Roman" w:cs="Times New Roman"/>
        </w:rPr>
      </w:pPr>
    </w:p>
    <w:p w14:paraId="5D270FE8" w14:textId="77777777" w:rsidR="00BF63EB"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b/>
          <w:color w:val="000000"/>
        </w:rPr>
        <w:t>Nghĩa vụ về minh bạch, gắn nhãn và trách nhiệm giải trình tại Điều 12 của Dự thảo 2</w:t>
      </w:r>
    </w:p>
    <w:p w14:paraId="3E9A0FEC" w14:textId="77777777" w:rsidR="00BF63EB" w:rsidRDefault="00DA7CEE">
      <w:pPr>
        <w:numPr>
          <w:ilvl w:val="0"/>
          <w:numId w:val="2"/>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Về nghĩa vụ minh bạch và gắn nhãn</w:t>
      </w:r>
      <w:r>
        <w:rPr>
          <w:rFonts w:ascii="Times New Roman" w:eastAsia="Times New Roman" w:hAnsi="Times New Roman" w:cs="Times New Roman"/>
          <w:color w:val="000000"/>
        </w:rPr>
        <w:t>: Điều 12 của dự thảo ngày 10/10 (“</w:t>
      </w:r>
      <w:r>
        <w:rPr>
          <w:rFonts w:ascii="Times New Roman" w:eastAsia="Times New Roman" w:hAnsi="Times New Roman" w:cs="Times New Roman"/>
          <w:b/>
          <w:color w:val="000000"/>
        </w:rPr>
        <w:t>Dự thảo 2</w:t>
      </w:r>
      <w:r>
        <w:rPr>
          <w:rFonts w:ascii="Times New Roman" w:eastAsia="Times New Roman" w:hAnsi="Times New Roman" w:cs="Times New Roman"/>
          <w:color w:val="000000"/>
        </w:rPr>
        <w:t>”) quy định về nghĩa vụ liên quan đến trách nhiệm minh bạch, gắn nhãn đối với hệ thống trí tuệ nhân tạo (“</w:t>
      </w:r>
      <w:r>
        <w:rPr>
          <w:rFonts w:ascii="Times New Roman" w:eastAsia="Times New Roman" w:hAnsi="Times New Roman" w:cs="Times New Roman"/>
          <w:b/>
          <w:color w:val="000000"/>
        </w:rPr>
        <w:t>AI</w:t>
      </w:r>
      <w:r>
        <w:rPr>
          <w:rFonts w:ascii="Times New Roman" w:eastAsia="Times New Roman" w:hAnsi="Times New Roman" w:cs="Times New Roman"/>
          <w:color w:val="000000"/>
        </w:rPr>
        <w:t>”) và các nội dung (văn bản, hình ảnh, âm thanh, video) tạo ra bởi AI. Trong bản dự thảo đầu tiên ngày 29/9 được đăng tải trên website của Bộ Khoa học và Công nghệ (“</w:t>
      </w:r>
      <w:r>
        <w:rPr>
          <w:rFonts w:ascii="Times New Roman" w:eastAsia="Times New Roman" w:hAnsi="Times New Roman" w:cs="Times New Roman"/>
          <w:b/>
          <w:color w:val="000000"/>
        </w:rPr>
        <w:t>Bộ KHCN</w:t>
      </w:r>
      <w:r>
        <w:rPr>
          <w:rFonts w:ascii="Times New Roman" w:eastAsia="Times New Roman" w:hAnsi="Times New Roman" w:cs="Times New Roman"/>
          <w:color w:val="000000"/>
        </w:rPr>
        <w:t>”) (“</w:t>
      </w:r>
      <w:r>
        <w:rPr>
          <w:rFonts w:ascii="Times New Roman" w:eastAsia="Times New Roman" w:hAnsi="Times New Roman" w:cs="Times New Roman"/>
          <w:b/>
          <w:color w:val="000000"/>
        </w:rPr>
        <w:t>Dự thảo 1</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Điều 10.3 về nghĩa vụ này quy định rằng “</w:t>
      </w:r>
      <w:r>
        <w:rPr>
          <w:rFonts w:ascii="Times New Roman" w:eastAsia="Times New Roman" w:hAnsi="Times New Roman" w:cs="Times New Roman"/>
          <w:i/>
          <w:color w:val="000000"/>
        </w:rPr>
        <w:t>Chính phủ quy định chi tiết hình thức minh bạch, gắn nhãn, tiêu chuẩn kỹ thuật và các trường hợp miễn trừ hợp lý</w:t>
      </w:r>
      <w:r>
        <w:rPr>
          <w:rFonts w:ascii="Times New Roman" w:eastAsia="Times New Roman" w:hAnsi="Times New Roman" w:cs="Times New Roman"/>
          <w:color w:val="000000"/>
        </w:rPr>
        <w:t xml:space="preserve">”. Tuy nhiên, quy định này đã bị lược bỏ ở Dự thảo 2. Việc loại bỏ quy định này có nên được hiểu rằng nhà cung cấp hệ thống AI sẽ tự quyết định hình thức/ cách thức/ phương pháp/ tiêu chuẩn kỹ thuật để thực hiện nghĩa vụ minh bạch và gắn nhãn, hay nhà cung cấp vẫn phải chờ hướng dẫn thêm từ Chính phủ? Trong trường hợp thứ hai, hướng dẫn chi tiết của Chính phủ nên được tham vấn với các chuyên gia, </w:t>
      </w:r>
      <w:r>
        <w:rPr>
          <w:rFonts w:ascii="Times New Roman" w:eastAsia="Times New Roman" w:hAnsi="Times New Roman" w:cs="Times New Roman"/>
          <w:color w:val="000000"/>
        </w:rPr>
        <w:t>hiệp hội, và các cá nhân, tổ chức chuyên về lĩnh vực AI trước khi ban hành, để hướng dẫn đó phù hợp và hài hòa nhất với các tiêu chuẩn và khuyến nghị quốc tế, tránh việc yêu cầu của Việt Nam khác biệt hoàn toàn hoặc tạo ra một nghĩa vụ mới, đặc biệt là cho các bên cung cấp đa quốc gia, ảnh hưởng đến tính cạnh tranh của Việt Nam trong việc ứng dụng và phát triển AI so với các thị trường như Liên minh châu Âu (EU), Hàn Quốc hay Hoa Kỳ. Ví dụ, liên quan đến yêu cầu gắn nhãn, các quy định của EU theo Đạo luật v</w:t>
      </w:r>
      <w:r>
        <w:rPr>
          <w:rFonts w:ascii="Times New Roman" w:eastAsia="Times New Roman" w:hAnsi="Times New Roman" w:cs="Times New Roman"/>
          <w:color w:val="000000"/>
        </w:rPr>
        <w:t xml:space="preserve">ề AI </w:t>
      </w:r>
      <w:r>
        <w:rPr>
          <w:rFonts w:ascii="Times New Roman" w:eastAsia="Times New Roman" w:hAnsi="Times New Roman" w:cs="Times New Roman"/>
          <w:color w:val="000000"/>
        </w:rPr>
        <w:lastRenderedPageBreak/>
        <w:t>cho phép việc sử dụng nhãn vô hình (invisible watermark) cho tất cả các hệ thống/ mô hình được yêu cầu gắn nhãn. Chính phủ, Bộ KHCN có thể tham khảo các quy định này cho các hướng dẫn tương lai để đảm bảo sự thống nhất/ hài hòa với các quy định quốc tế.</w:t>
      </w:r>
    </w:p>
    <w:p w14:paraId="3761A601" w14:textId="77777777" w:rsidR="00BF63EB" w:rsidRDefault="00DA7CEE">
      <w:pPr>
        <w:numPr>
          <w:ilvl w:val="0"/>
          <w:numId w:val="2"/>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Về trách nhiệm giải trình</w:t>
      </w:r>
      <w:r>
        <w:rPr>
          <w:rFonts w:ascii="Times New Roman" w:eastAsia="Times New Roman" w:hAnsi="Times New Roman" w:cs="Times New Roman"/>
          <w:color w:val="000000"/>
        </w:rPr>
        <w:t>: Khoản 4 của Điều 12 Dự thảo 2 cho phép người bị ảnh hưởng bởi quyết định của hệ thống AI rủi ro cao “có quyền yêu cầu giải thích hợp lý về quá trình ra quyết định” của hệ thống. Tuy nhiên, Dự thảo chưa làm rõ cơ chế để người bị ảnh hưởng thực thi quyền, cũng như cơ chế để nhà cung cấp và bên triển khai thực hiện yêu cầu đó (ví dụ: người bị ảnh hưởng gửi yêu cầu trực tiếp cho nhà cung cấp/ bên triển khai, hay gửi yêu cầu qua Cổng thông tin một cửa về trí tuệ nhân tạo; nhà cung cấp/ bên triển khai sau khoản</w:t>
      </w:r>
      <w:r>
        <w:rPr>
          <w:rFonts w:ascii="Times New Roman" w:eastAsia="Times New Roman" w:hAnsi="Times New Roman" w:cs="Times New Roman"/>
          <w:color w:val="000000"/>
        </w:rPr>
        <w:t>g thời gian bao lâu phải giải trình, v.v.). Kính đề nghị Ban soạn thảo có thể xem xét và bổ sung quy trình này ở các bản dự thảo kế tiếp, hoặc ban hành hướng dẫn ở các văn bản dưới luật (Nghị định).</w:t>
      </w:r>
    </w:p>
    <w:p w14:paraId="382A42F7" w14:textId="77777777" w:rsidR="00BF63EB"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b/>
          <w:color w:val="000000"/>
        </w:rPr>
        <w:t>Các hệ thống AI bị cấm theo Điều 14 của Dự thảo 2</w:t>
      </w:r>
    </w:p>
    <w:p w14:paraId="4857C5F6" w14:textId="77777777" w:rsidR="00BF63EB" w:rsidRDefault="00DA7CEE">
      <w:pPr>
        <w:numPr>
          <w:ilvl w:val="0"/>
          <w:numId w:val="4"/>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Điểm (a), khoản 2, Điều 14 quy định hệ thống AI “thao túng nhận thức, hành vi của con người một cách có chủ đích nhằm làm mất khả năng tự chủ dẫn đến tổn hại về thể chất hoặc tinh thần” là một trong những trường hợp bị cấm. Tuy nhiên, việc sử dụng các thuật ngữ trên mà không gắn với các tiêu chí định tính hay định lượng để xác định thế nào là “mất khả năng tự chủ”, hay các mức độ / loại “tổn hại về thể chất hoặc tinh thần”, có thể dẫn đến việc khó xác định, tuân thủ trên thực tế, từ đó cản trở hoặc thu hẹp </w:t>
      </w:r>
      <w:r>
        <w:rPr>
          <w:rFonts w:ascii="Times New Roman" w:eastAsia="Times New Roman" w:hAnsi="Times New Roman" w:cs="Times New Roman"/>
          <w:color w:val="000000"/>
        </w:rPr>
        <w:t>không gian để phát triển hay ứng dụng các hệ thống mới. Tương tự, cụm từ “theo hướng gây tổn hại cho chính họ hoặc người khác” tại điểm (c) cũng đang mơ hồ và khó xác định cụ thể trên thực tế.</w:t>
      </w:r>
    </w:p>
    <w:p w14:paraId="6A524C1A" w14:textId="77777777" w:rsidR="00BF63EB" w:rsidRDefault="00DA7CEE">
      <w:pPr>
        <w:numPr>
          <w:ilvl w:val="0"/>
          <w:numId w:val="4"/>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Điểm (b), khoản 2, Điều 14 có đề cập đến hệ thống AI dùng để “chấm điểm tín nhiệm xã hội của cá nhân bởi cơ quan nhà nước hoặc tổ chức, doanh nghiệp”. Tuy nhiên, hiện tại, chúng tôi được biết các quy định hiện hành chưa có định nghĩa hay hướng dẫn về việc chấm điểm tín nhiệm xã hội của cá nhân. Do đó, việc sử dụng thuật ngữ này trong Luật mà không có định nghĩa tương đương sẽ dẫn đến các cách hiểu khác nhau trên thực tế, gây khó khăn cho công tác quản lý nhà nước và việc tuân thủ của các bên liên quan. Ban </w:t>
      </w:r>
      <w:r>
        <w:rPr>
          <w:rFonts w:ascii="Times New Roman" w:eastAsia="Times New Roman" w:hAnsi="Times New Roman" w:cs="Times New Roman"/>
          <w:color w:val="000000"/>
        </w:rPr>
        <w:t>soạn thảo có thể cân nhắc cung cấp thêm định nghĩa hoặc sử dụng một cách diễn đạt khác, phù hợp hơn với các quy định hiện hành.</w:t>
      </w:r>
    </w:p>
    <w:p w14:paraId="723E6433" w14:textId="77777777" w:rsidR="00BF63EB" w:rsidRDefault="00DA7CEE">
      <w:pPr>
        <w:numPr>
          <w:ilvl w:val="0"/>
          <w:numId w:val="4"/>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Điểm (e), khoản 2, Điều 14 cấm “sản xuất, phổ biến nội dung giả mạo do các hệ thống trí tuệ nhân tạo tạo ra có khả năng gây nguy hại nghiêm trọng đến trật tự, an toàn xã hội, an ninh quốc gia”. Quy định này nên được làm rõ là cấm các tổ chức, cá nhân sử dụng AI để tạo ra hoặc phát tán nội dung nguy hại, thay vì </w:t>
      </w:r>
      <w:r>
        <w:rPr>
          <w:rFonts w:ascii="Times New Roman" w:eastAsia="Times New Roman" w:hAnsi="Times New Roman" w:cs="Times New Roman"/>
          <w:color w:val="000000"/>
        </w:rPr>
        <w:lastRenderedPageBreak/>
        <w:t>chỉ quy định chung như hiện tại, để phù hợp hơn về mặt thực tiễn và thông lệ quốc tế.</w:t>
      </w:r>
    </w:p>
    <w:p w14:paraId="5E96E1CD" w14:textId="77777777" w:rsidR="00BF63EB"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b/>
          <w:color w:val="000000"/>
        </w:rPr>
        <w:t>Nghĩa vụ với các hệ thống AI có rủi ro cao được quy định tại Mục 2, chương II của Dự thảo 2</w:t>
      </w:r>
    </w:p>
    <w:p w14:paraId="5D615741" w14:textId="77777777" w:rsidR="00BF63EB" w:rsidRDefault="00DA7CEE">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Điều 11 và Điều 15 quy định hệ thống AI có rủi ro cao phải tự phân loại và đánh giá sự phù hợp ban đầu trước khi đưa ra thị trường hoặc khi có thay đổi đáng kể trong quá trình vận hành. Quy định này có thể làm gia tăng đáng kể nghĩa vụ tuân thủ cho các nhà cung cấp hệ thống AI, đặc biệt là những đơn vị cung cấp hàng nghìn mô hình/ hệ thống trên phạm vi toàn cầu. Ban soạn thảo có thể căn nhắc giới hạn chỉ những hệ thống nào thuộc hoặc có khả năng bị xếp vào Danh mục hệ thống trí tuệ nhân tạo có rủi ro cao ba</w:t>
      </w:r>
      <w:r>
        <w:rPr>
          <w:rFonts w:ascii="Times New Roman" w:eastAsia="Times New Roman" w:hAnsi="Times New Roman" w:cs="Times New Roman"/>
          <w:color w:val="000000"/>
        </w:rPr>
        <w:t>n hành bởi Thủ tướng mới cần thực hiện các bước này; đồng thời, quy định cụ thể các tiêu chí tự đánh giá cho các hệ thống này.</w:t>
      </w:r>
    </w:p>
    <w:p w14:paraId="7A5D3406" w14:textId="77777777" w:rsidR="00BF63EB" w:rsidRDefault="00DA7CEE">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Ngoài ra, Danh mục hệ thống trí tuệ nhân tạo có rủi ro cao ban hành bởi Thủ tướng (theo khoản 3, Điều 15) nên được xây dựng phù hợp và hài hòa với thực tiễn quốc tế để tránh “khoảng trống pháp lý” giữa Việt Nam và thế giới. Ví dụ, Phụ lục III của Đạo luật AI của EU cụ thể các lĩnh vực/ ngành mà việc sử dụng AI có thể gây nguy hại, và trong mỗi lĩnh vực/ ngành đó có liệt kê cụ thể mục đích sử dụng nào bị coi là có rủi ro cao (ngoài các mục đích này sẽ không bị coi là có rủi ro cao).</w:t>
      </w:r>
    </w:p>
    <w:p w14:paraId="64A1BB18" w14:textId="77777777" w:rsidR="00BF63EB" w:rsidRDefault="00DA7CEE">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Điểm (d), khoản 1, Điều 16 quy định nghĩa vụ đối với các hệ thống AI có rủi ro cao phải “thiết lập cơ chế giám sát, can thiệp và kiểm soát của con người, bảo đảm quyền quyết định cuối cùng của con người trong các trường hợp do pháp luật chuyên ngành quy định”. Dựa trên thông lệ và cách tiếp cận quốc tế, nghĩa vụ này chỉ nên áp dụng cho các quyết định đáp ứng một ngưỡng trọng yếu nhất định, chẳng hạn như quyết định đó tạo ra hiệu lực pháp lý hoặc gây ảnh hưởng đáng kể, một cách tiêu cực, đến sức khỏe, sự an </w:t>
      </w:r>
      <w:r>
        <w:rPr>
          <w:rFonts w:ascii="Times New Roman" w:eastAsia="Times New Roman" w:hAnsi="Times New Roman" w:cs="Times New Roman"/>
          <w:color w:val="000000"/>
        </w:rPr>
        <w:t>toàn hoặc các quyền cơ bản của con người (đây là cách tiếp cận tại Điều 86 Đạo luật AI của EU).</w:t>
      </w:r>
    </w:p>
    <w:p w14:paraId="2B937DBB" w14:textId="77777777" w:rsidR="00BF63EB"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b/>
          <w:color w:val="000000"/>
        </w:rPr>
        <w:t>Một số góp ý khác</w:t>
      </w:r>
    </w:p>
    <w:p w14:paraId="544B4BFE" w14:textId="77777777" w:rsidR="00BF63EB" w:rsidRDefault="00DA7CEE">
      <w:pPr>
        <w:numPr>
          <w:ilvl w:val="0"/>
          <w:numId w:val="6"/>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Cách thức xác định mô hình trí tuệ nhân tạo đa dụng (GPAI) có rủi ro hệ thống (quy định tại Điều 22) nên tham khảo cách tiếp cận được đã được coi là tiêu chuẩn quốc tế (ví dụ, cách định nghĩa của Đạo luật AI của EU). Bất kỳ hướng dẫn nào về nghĩa vụ áp dụng với GPAI nên được tham vấn với các chuyên gia và tổ chức, cá nhân có liên quan trước khi hoàn thiện.</w:t>
      </w:r>
    </w:p>
    <w:p w14:paraId="67AF400A" w14:textId="77777777" w:rsidR="00BF63EB" w:rsidRDefault="00DA7CEE">
      <w:pPr>
        <w:numPr>
          <w:ilvl w:val="0"/>
          <w:numId w:val="6"/>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Thanh tra, kiểm tra hoạt động về trí tuệ nhân tạo (quy định tại Điều 45): việc thu thập, sử dụng, bảo quản và xử lý thông tin, dữ liệu trong hoạt động thanh tra, ngoài các quy định tại khoản 4, nên được bổ sung thêm quy định về bảo vệ </w:t>
      </w:r>
      <w:r>
        <w:rPr>
          <w:rFonts w:ascii="Times New Roman" w:eastAsia="Times New Roman" w:hAnsi="Times New Roman" w:cs="Times New Roman"/>
          <w:color w:val="000000"/>
        </w:rPr>
        <w:lastRenderedPageBreak/>
        <w:t>bí mật kinh doanh và quyền sở hữu trí tuệ của doanh nghiệp bị thanh tra, kiểm tra (tương tự cách tiếp cận của Đạo luật AI của EU – Điều 78).</w:t>
      </w:r>
    </w:p>
    <w:p w14:paraId="4938A7A2" w14:textId="77777777" w:rsidR="00BF63EB" w:rsidRDefault="00DA7CEE">
      <w:pPr>
        <w:numPr>
          <w:ilvl w:val="0"/>
          <w:numId w:val="6"/>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Điều khoản chuyển tiếp (Điều 54) và lộ trình thực hiện (Điều 56): các quy định về hệ thống AI rủi ro cao sẽ có hiệu lực toàn diện sau 18 tháng kể từ ngày Luật có hiệu lực; ngoài ra, nghĩa vụ tự đánh giá, đăng ký, đánh giá sự phù hợp của các hệ thống này được được hoàn thành trong vòng 24 tháng kể từ ngày các quy định tại Chương II có hiệu lực. Theo quan điểm của chúng tôi, các quy định này cũng nên được áp dụng đồng thời cho các mô hình GPAI vì các mô hình này cũng cần thời gian tương đương để chuẩn bị cho </w:t>
      </w:r>
      <w:r>
        <w:rPr>
          <w:rFonts w:ascii="Times New Roman" w:eastAsia="Times New Roman" w:hAnsi="Times New Roman" w:cs="Times New Roman"/>
          <w:color w:val="000000"/>
        </w:rPr>
        <w:t>việc tuân thủ.</w:t>
      </w:r>
    </w:p>
    <w:p w14:paraId="1D83D030" w14:textId="77777777" w:rsidR="00BF63EB" w:rsidRDefault="00DA7CEE">
      <w:pPr>
        <w:numPr>
          <w:ilvl w:val="0"/>
          <w:numId w:val="6"/>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Thuật ngữ “bên nhập khẩu” được sử dụng hai lần trong Dự thảo 2 (Điều 11 và Điều 24) mà không được định nghĩa. Ban soạn thảo có thể cân nhắc bổ sung định nghĩa cho thuật ngữ này ở các bản dự thảo tới.</w:t>
      </w:r>
    </w:p>
    <w:p w14:paraId="64D68F36" w14:textId="77777777" w:rsidR="00BF63EB"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Đề xuất, kiến nghị</w:t>
      </w:r>
    </w:p>
    <w:p w14:paraId="1640F94A" w14:textId="77777777" w:rsidR="00BF63EB" w:rsidRDefault="00DA7CEE">
      <w:pPr>
        <w:pBdr>
          <w:top w:val="nil"/>
          <w:left w:val="nil"/>
          <w:bottom w:val="nil"/>
          <w:right w:val="nil"/>
          <w:between w:val="nil"/>
        </w:pBdr>
        <w:spacing w:before="120" w:after="120" w:line="288"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Trên đây là một số ý kiến của chúng tôi tại buổi hội thảo ngày hôm nay để góp phần hoàn thiện dư thảo Luật Trí tuệ nhân tạo. Kính mong Ban soạn thảo và các cơ quan hữu quan xem xét.</w:t>
      </w:r>
    </w:p>
    <w:p w14:paraId="55A84A39" w14:textId="77777777" w:rsidR="00BF63EB" w:rsidRDefault="00DA7CEE">
      <w:pPr>
        <w:pBdr>
          <w:top w:val="nil"/>
          <w:left w:val="nil"/>
          <w:bottom w:val="nil"/>
          <w:right w:val="nil"/>
          <w:between w:val="nil"/>
        </w:pBdr>
        <w:spacing w:before="120" w:after="120" w:line="288"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Xin chân thành cảm ơn./.</w:t>
      </w:r>
    </w:p>
    <w:sectPr w:rsidR="00BF63EB">
      <w:headerReference w:type="default" r:id="rId8"/>
      <w:footerReference w:type="default" r:id="rId9"/>
      <w:pgSz w:w="11905"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CEA1" w14:textId="77777777" w:rsidR="00DA7CEE" w:rsidRDefault="00DA7CEE">
      <w:pPr>
        <w:spacing w:after="0" w:line="240" w:lineRule="auto"/>
      </w:pPr>
      <w:r>
        <w:separator/>
      </w:r>
    </w:p>
  </w:endnote>
  <w:endnote w:type="continuationSeparator" w:id="0">
    <w:p w14:paraId="39EA65F8" w14:textId="77777777" w:rsidR="00DA7CEE" w:rsidRDefault="00DA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8DBBCDCC-2E9E-43CB-8B55-86B749D7EE2D}"/>
  </w:font>
  <w:font w:name="Aptos">
    <w:charset w:val="00"/>
    <w:family w:val="swiss"/>
    <w:pitch w:val="variable"/>
    <w:sig w:usb0="20000287" w:usb1="00000003" w:usb2="00000000" w:usb3="00000000" w:csb0="0000019F" w:csb1="00000000"/>
    <w:embedRegular r:id="rId2" w:fontKey="{3B69EE12-75C4-47CD-A377-277980C0D06D}"/>
    <w:embedBold r:id="rId3" w:fontKey="{B82D8CB0-8C4B-46D3-BCFA-79162062A9E8}"/>
  </w:font>
  <w:font w:name="Georgia">
    <w:panose1 w:val="02040502050405020303"/>
    <w:charset w:val="00"/>
    <w:family w:val="auto"/>
    <w:pitch w:val="default"/>
    <w:embedRegular r:id="rId4" w:fontKey="{2CDAF710-D39A-4C28-85A2-593824AC2221}"/>
    <w:embedItalic r:id="rId5" w:fontKey="{5339030C-D104-4B53-B6BE-B4717D6E709D}"/>
  </w:font>
  <w:font w:name="Aptos Display">
    <w:altName w:val="Calibri"/>
    <w:charset w:val="00"/>
    <w:family w:val="swiss"/>
    <w:pitch w:val="variable"/>
    <w:sig w:usb0="20000287" w:usb1="00000003" w:usb2="00000000" w:usb3="00000000" w:csb0="0000019F" w:csb1="00000000"/>
    <w:embedRegular r:id="rId6" w:fontKey="{52C72E90-E5FD-43F3-92E9-C6FC83B58B5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0576" w14:textId="77777777" w:rsidR="00BF63EB" w:rsidRDefault="00DA7CE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29015ECE" w14:textId="77777777" w:rsidR="00BF63EB" w:rsidRDefault="00BF63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3241" w14:textId="77777777" w:rsidR="00DA7CEE" w:rsidRDefault="00DA7CEE">
      <w:pPr>
        <w:spacing w:after="0" w:line="240" w:lineRule="auto"/>
      </w:pPr>
      <w:r>
        <w:separator/>
      </w:r>
    </w:p>
  </w:footnote>
  <w:footnote w:type="continuationSeparator" w:id="0">
    <w:p w14:paraId="3AC80950" w14:textId="77777777" w:rsidR="00DA7CEE" w:rsidRDefault="00DA7CEE">
      <w:pPr>
        <w:spacing w:after="0" w:line="240" w:lineRule="auto"/>
      </w:pPr>
      <w:r>
        <w:continuationSeparator/>
      </w:r>
    </w:p>
  </w:footnote>
  <w:footnote w:id="1">
    <w:p w14:paraId="7DBDB1EC" w14:textId="77777777" w:rsidR="00BF63EB" w:rsidRDefault="00DA7CE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Dự thảo ngày 10/10, được đăng tải tại </w:t>
      </w:r>
      <w:hyperlink r:id="rId1">
        <w:r>
          <w:rPr>
            <w:rFonts w:ascii="Times New Roman" w:eastAsia="Times New Roman" w:hAnsi="Times New Roman" w:cs="Times New Roman"/>
            <w:color w:val="467886"/>
            <w:sz w:val="20"/>
            <w:szCs w:val="20"/>
            <w:u w:val="single"/>
          </w:rPr>
          <w:t>https://vibonline.com.vn/su_kien/hoi-thao-gop-y-hoan-thien-du-thao-luat-tri-tue-nhan-tao</w:t>
        </w:r>
      </w:hyperlink>
      <w:r>
        <w:rPr>
          <w:rFonts w:ascii="Times New Roman" w:eastAsia="Times New Roman" w:hAnsi="Times New Roman" w:cs="Times New Roman"/>
          <w:color w:val="000000"/>
          <w:sz w:val="20"/>
          <w:szCs w:val="20"/>
        </w:rPr>
        <w:t xml:space="preserve"> </w:t>
      </w:r>
    </w:p>
  </w:footnote>
  <w:footnote w:id="2">
    <w:p w14:paraId="715F938E" w14:textId="77777777" w:rsidR="00BF63EB" w:rsidRDefault="00DA7CE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Dự </w:t>
      </w:r>
      <w:r>
        <w:rPr>
          <w:rFonts w:ascii="Times New Roman" w:eastAsia="Times New Roman" w:hAnsi="Times New Roman" w:cs="Times New Roman"/>
          <w:color w:val="000000"/>
          <w:sz w:val="20"/>
          <w:szCs w:val="20"/>
        </w:rPr>
        <w:t xml:space="preserve">thảo ngày 29/9, được đăng tải tại </w:t>
      </w:r>
      <w:hyperlink r:id="rId2">
        <w:r>
          <w:rPr>
            <w:rFonts w:ascii="Times New Roman" w:eastAsia="Times New Roman" w:hAnsi="Times New Roman" w:cs="Times New Roman"/>
            <w:color w:val="467886"/>
            <w:sz w:val="20"/>
            <w:szCs w:val="20"/>
            <w:u w:val="single"/>
          </w:rPr>
          <w:t>https://mst.gov.vn/van-ban-phap-luat/du-thao/2294.htm</w:t>
        </w:r>
      </w:hyperlink>
      <w:r>
        <w:rPr>
          <w:rFonts w:ascii="Times New Roman" w:eastAsia="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BCC4" w14:textId="3A92023E" w:rsidR="00DA7CEE" w:rsidRPr="00DA7CEE" w:rsidRDefault="00DA7CEE" w:rsidP="00DA7CEE">
    <w:pPr>
      <w:widowControl w:val="0"/>
      <w:spacing w:before="60" w:after="0" w:line="312" w:lineRule="auto"/>
      <w:ind w:firstLine="720"/>
      <w:jc w:val="center"/>
      <w:rPr>
        <w:rFonts w:ascii="Times New Roman" w:eastAsia="Times New Roman" w:hAnsi="Times New Roman" w:cs="Times New Roman"/>
        <w:b/>
        <w:smallCaps/>
        <w:sz w:val="28"/>
        <w:szCs w:val="28"/>
      </w:rPr>
    </w:pPr>
    <w:r w:rsidRPr="00DA7CEE">
      <w:rPr>
        <w:rFonts w:ascii="Times New Roman" w:eastAsia="Times New Roman" w:hAnsi="Times New Roman" w:cs="Times New Roman"/>
        <w:b/>
        <w:smallCaps/>
        <w:sz w:val="28"/>
        <w:szCs w:val="28"/>
      </w:rPr>
      <w:t>HỘI THẢO</w:t>
    </w:r>
  </w:p>
  <w:p w14:paraId="5DC575AF" w14:textId="7E227782" w:rsidR="00DA7CEE" w:rsidRPr="00DA7CEE" w:rsidRDefault="00DA7CEE" w:rsidP="00DA7CEE">
    <w:pPr>
      <w:widowControl w:val="0"/>
      <w:spacing w:after="0" w:line="312" w:lineRule="auto"/>
      <w:ind w:firstLine="720"/>
      <w:jc w:val="center"/>
      <w:rPr>
        <w:rFonts w:ascii="Times New Roman" w:eastAsia="Times New Roman" w:hAnsi="Times New Roman" w:cs="Times New Roman"/>
        <w:b/>
        <w:sz w:val="48"/>
        <w:szCs w:val="48"/>
        <w:lang w:val="en-US"/>
      </w:rPr>
    </w:pPr>
    <w:r w:rsidRPr="00DA7CEE">
      <w:rPr>
        <w:rFonts w:ascii="Times New Roman" w:eastAsia="Times New Roman" w:hAnsi="Times New Roman" w:cs="Times New Roman"/>
        <w:smallCaps/>
        <w:sz w:val="28"/>
        <w:szCs w:val="28"/>
      </w:rPr>
      <w:t xml:space="preserve">GÓP Ý DỰ THẢO LUẬT TRÍ TUỆ NHÂN TẠO </w:t>
    </w:r>
  </w:p>
  <w:p w14:paraId="78EDC58F" w14:textId="77777777" w:rsidR="00DA7CEE" w:rsidRDefault="00DA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6BE0"/>
    <w:multiLevelType w:val="multilevel"/>
    <w:tmpl w:val="767C16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DE717A"/>
    <w:multiLevelType w:val="multilevel"/>
    <w:tmpl w:val="2D8CDC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9C91A92"/>
    <w:multiLevelType w:val="multilevel"/>
    <w:tmpl w:val="21D2C7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85D507A"/>
    <w:multiLevelType w:val="multilevel"/>
    <w:tmpl w:val="522CF5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1702C7"/>
    <w:multiLevelType w:val="multilevel"/>
    <w:tmpl w:val="84680E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FB86788"/>
    <w:multiLevelType w:val="multilevel"/>
    <w:tmpl w:val="129668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0867620">
    <w:abstractNumId w:val="3"/>
  </w:num>
  <w:num w:numId="2" w16cid:durableId="1067537369">
    <w:abstractNumId w:val="0"/>
  </w:num>
  <w:num w:numId="3" w16cid:durableId="1638532571">
    <w:abstractNumId w:val="5"/>
  </w:num>
  <w:num w:numId="4" w16cid:durableId="778842373">
    <w:abstractNumId w:val="2"/>
  </w:num>
  <w:num w:numId="5" w16cid:durableId="1776053477">
    <w:abstractNumId w:val="1"/>
  </w:num>
  <w:num w:numId="6" w16cid:durableId="133834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EB"/>
    <w:rsid w:val="008C4A17"/>
    <w:rsid w:val="00BF63EB"/>
    <w:rsid w:val="00DA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9CDC"/>
  <w15:docId w15:val="{DB017AE2-0712-4907-9E31-FAFEAF4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vi"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4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7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750"/>
    <w:rPr>
      <w:sz w:val="20"/>
      <w:szCs w:val="20"/>
    </w:rPr>
  </w:style>
  <w:style w:type="character" w:styleId="FootnoteReference">
    <w:name w:val="footnote reference"/>
    <w:basedOn w:val="DefaultParagraphFont"/>
    <w:uiPriority w:val="99"/>
    <w:semiHidden/>
    <w:unhideWhenUsed/>
    <w:rsid w:val="00347750"/>
    <w:rPr>
      <w:vertAlign w:val="superscript"/>
    </w:rPr>
  </w:style>
  <w:style w:type="character" w:styleId="Hyperlink">
    <w:name w:val="Hyperlink"/>
    <w:basedOn w:val="DefaultParagraphFont"/>
    <w:uiPriority w:val="99"/>
    <w:unhideWhenUsed/>
    <w:rsid w:val="007C218F"/>
    <w:rPr>
      <w:color w:val="467886" w:themeColor="hyperlink"/>
      <w:u w:val="single"/>
    </w:rPr>
  </w:style>
  <w:style w:type="character" w:styleId="UnresolvedMention">
    <w:name w:val="Unresolved Mention"/>
    <w:basedOn w:val="DefaultParagraphFont"/>
    <w:uiPriority w:val="99"/>
    <w:semiHidden/>
    <w:unhideWhenUsed/>
    <w:rsid w:val="007C218F"/>
    <w:rPr>
      <w:color w:val="605E5C"/>
      <w:shd w:val="clear" w:color="auto" w:fill="E1DFDD"/>
    </w:rPr>
  </w:style>
  <w:style w:type="paragraph" w:styleId="ListParagraph">
    <w:name w:val="List Paragraph"/>
    <w:basedOn w:val="Normal"/>
    <w:uiPriority w:val="34"/>
    <w:qFormat/>
    <w:rsid w:val="007C218F"/>
    <w:pPr>
      <w:ind w:left="720"/>
      <w:contextualSpacing/>
    </w:pPr>
  </w:style>
  <w:style w:type="paragraph" w:styleId="Header">
    <w:name w:val="header"/>
    <w:basedOn w:val="Normal"/>
    <w:link w:val="HeaderChar"/>
    <w:uiPriority w:val="99"/>
    <w:unhideWhenUsed/>
    <w:rsid w:val="0078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F4"/>
  </w:style>
  <w:style w:type="paragraph" w:styleId="Footer">
    <w:name w:val="footer"/>
    <w:basedOn w:val="Normal"/>
    <w:link w:val="FooterChar"/>
    <w:uiPriority w:val="99"/>
    <w:unhideWhenUsed/>
    <w:rsid w:val="0078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F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mst.gov.vn/van-ban-phap-luat/du-thao/2294.htm" TargetMode="External"/><Relationship Id="rId1" Type="http://schemas.openxmlformats.org/officeDocument/2006/relationships/hyperlink" Target="https://vibonline.com.vn/su_kien/hoi-thao-gop-y-hoan-thien-du-thao-luat-tri-tue-nhan-t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BkP1/aLt0SEfM4pTyRky45dYQ==">CgMxLjA4AHIhMUVISTlJNlE1RXZMcTZPWXVtaXBTSDg2LUtVSzQxMU9D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Lexcomm</dc:creator>
  <cp:lastModifiedBy>Do Linh</cp:lastModifiedBy>
  <cp:revision>2</cp:revision>
  <dcterms:created xsi:type="dcterms:W3CDTF">2025-10-14T03:12:00Z</dcterms:created>
  <dcterms:modified xsi:type="dcterms:W3CDTF">2025-10-14T03:12:00Z</dcterms:modified>
</cp:coreProperties>
</file>