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86A9EF" w14:textId="57F28BAA" w:rsidR="00A811F7" w:rsidRPr="00A811F7" w:rsidRDefault="00A811F7" w:rsidP="003551DE">
      <w:pPr>
        <w:spacing w:before="120"/>
        <w:rPr>
          <w:rFonts w:ascii="Times New Roman" w:hAnsi="Times New Roman" w:cs="Times New Roman"/>
          <w:b/>
          <w:bCs/>
          <w:sz w:val="22"/>
          <w:szCs w:val="22"/>
          <w:lang w:val="en-US"/>
        </w:rPr>
      </w:pPr>
      <w:r w:rsidRPr="00A811F7">
        <w:rPr>
          <w:rFonts w:ascii="Times New Roman" w:hAnsi="Times New Roman" w:cs="Times New Roman"/>
          <w:b/>
          <w:bCs/>
          <w:sz w:val="22"/>
          <w:szCs w:val="22"/>
          <w:lang w:val="en-US"/>
        </w:rPr>
        <w:t>NGÂN HÀNG NHÀ NƯỚC VIỆT NAM</w:t>
      </w:r>
    </w:p>
    <w:p w14:paraId="4E1B932F" w14:textId="7D6432BF" w:rsidR="00A811F7" w:rsidRPr="00A811F7" w:rsidRDefault="00A811F7" w:rsidP="003551DE">
      <w:pPr>
        <w:spacing w:before="120"/>
        <w:rPr>
          <w:rFonts w:ascii="Times New Roman" w:hAnsi="Times New Roman" w:cs="Times New Roman"/>
          <w:b/>
          <w:bCs/>
          <w:sz w:val="22"/>
          <w:szCs w:val="22"/>
          <w:lang w:val="en-US"/>
        </w:rPr>
      </w:pPr>
      <w:r>
        <w:rPr>
          <w:rFonts w:ascii="Times New Roman" w:hAnsi="Times New Roman" w:cs="Times New Roman"/>
          <w:b/>
          <w:bCs/>
          <w:noProof/>
          <w:sz w:val="22"/>
          <w:szCs w:val="22"/>
          <w:lang w:val="en-US" w:eastAsia="en-US"/>
        </w:rPr>
        <mc:AlternateContent>
          <mc:Choice Requires="wps">
            <w:drawing>
              <wp:anchor distT="0" distB="0" distL="114300" distR="114300" simplePos="0" relativeHeight="251658752" behindDoc="0" locked="0" layoutInCell="1" allowOverlap="1" wp14:anchorId="07FBD4FB" wp14:editId="0C2BD445">
                <wp:simplePos x="0" y="0"/>
                <wp:positionH relativeFrom="column">
                  <wp:posOffset>259567</wp:posOffset>
                </wp:positionH>
                <wp:positionV relativeFrom="paragraph">
                  <wp:posOffset>54891</wp:posOffset>
                </wp:positionV>
                <wp:extent cx="1754372"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175437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A154307" id="Straight Connector 3" o:spid="_x0000_s1026" style="position:absolute;z-index:251658752;visibility:visible;mso-wrap-style:square;mso-wrap-distance-left:9pt;mso-wrap-distance-top:0;mso-wrap-distance-right:9pt;mso-wrap-distance-bottom:0;mso-position-horizontal:absolute;mso-position-horizontal-relative:text;mso-position-vertical:absolute;mso-position-vertical-relative:text" from="20.45pt,4.3pt" to="158.6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" strokecolor="black [3200]" strokeweight=".5pt">
                <v:stroke joinstyle="miter"/>
              </v:line>
            </w:pict>
          </mc:Fallback>
        </mc:AlternateContent>
      </w:r>
    </w:p>
    <w:p w14:paraId="3FD9D3EA" w14:textId="692193E1" w:rsidR="00A811F7" w:rsidRDefault="00B365D1" w:rsidP="00A811F7">
      <w:pPr>
        <w:spacing w:before="120"/>
        <w:jc w:val="center"/>
        <w:rPr>
          <w:rFonts w:ascii="Times New Roman" w:hAnsi="Times New Roman" w:cs="Times New Roman"/>
          <w:b/>
          <w:bCs/>
          <w:sz w:val="28"/>
          <w:szCs w:val="28"/>
          <w:lang w:val="en-US"/>
        </w:rPr>
      </w:pPr>
      <w:r w:rsidRPr="00A811F7">
        <w:rPr>
          <w:rFonts w:ascii="Times New Roman" w:hAnsi="Times New Roman" w:cs="Times New Roman"/>
          <w:b/>
          <w:bCs/>
          <w:sz w:val="28"/>
          <w:szCs w:val="28"/>
          <w:lang w:val="en-US"/>
        </w:rPr>
        <w:t>PHỤ LỤC</w:t>
      </w:r>
      <w:r>
        <w:rPr>
          <w:rFonts w:ascii="Times New Roman" w:hAnsi="Times New Roman" w:cs="Times New Roman"/>
          <w:b/>
          <w:bCs/>
          <w:sz w:val="28"/>
          <w:szCs w:val="28"/>
          <w:lang w:val="en-US"/>
        </w:rPr>
        <w:t xml:space="preserve"> RÀ SOÁT</w:t>
      </w:r>
    </w:p>
    <w:p w14:paraId="522A9FA8" w14:textId="77777777" w:rsidR="00B95E01" w:rsidRDefault="00B95E01" w:rsidP="00B95E01">
      <w:pPr>
        <w:jc w:val="center"/>
        <w:rPr>
          <w:rFonts w:ascii="Times New Roman" w:hAnsi="Times New Roman" w:cs="Times New Roman"/>
          <w:i/>
          <w:iCs/>
          <w:sz w:val="22"/>
          <w:szCs w:val="22"/>
          <w:lang w:val="en-US"/>
        </w:rPr>
      </w:pPr>
      <w:r w:rsidRPr="00B95E01">
        <w:rPr>
          <w:rFonts w:ascii="Times New Roman" w:hAnsi="Times New Roman" w:cs="Times New Roman"/>
          <w:i/>
          <w:iCs/>
          <w:sz w:val="22"/>
          <w:szCs w:val="22"/>
          <w:lang w:val="en-US"/>
        </w:rPr>
        <w:t xml:space="preserve">(Kèm theo Báo cáo số:……../BC-NHNN ngày …./…../2025 </w:t>
      </w:r>
      <w:r>
        <w:rPr>
          <w:rFonts w:ascii="Times New Roman" w:hAnsi="Times New Roman" w:cs="Times New Roman"/>
          <w:i/>
          <w:iCs/>
          <w:sz w:val="22"/>
          <w:szCs w:val="22"/>
          <w:lang w:val="en-US"/>
        </w:rPr>
        <w:t xml:space="preserve">của NHNN </w:t>
      </w:r>
      <w:r w:rsidRPr="00B95E01">
        <w:rPr>
          <w:rFonts w:ascii="Times New Roman" w:hAnsi="Times New Roman" w:cs="Times New Roman"/>
          <w:i/>
          <w:iCs/>
          <w:sz w:val="22"/>
          <w:szCs w:val="22"/>
          <w:lang w:val="en-US"/>
        </w:rPr>
        <w:t xml:space="preserve">về đánh giá thực trạng </w:t>
      </w:r>
    </w:p>
    <w:p w14:paraId="370FF4F4" w14:textId="77777777" w:rsidR="00B95E01" w:rsidRDefault="00B95E01" w:rsidP="00B95E01">
      <w:pPr>
        <w:jc w:val="center"/>
        <w:rPr>
          <w:rFonts w:ascii="Times New Roman" w:hAnsi="Times New Roman" w:cs="Times New Roman"/>
          <w:i/>
          <w:iCs/>
          <w:sz w:val="22"/>
          <w:szCs w:val="22"/>
          <w:lang w:val="en-US"/>
        </w:rPr>
      </w:pPr>
      <w:r w:rsidRPr="00B95E01">
        <w:rPr>
          <w:rFonts w:ascii="Times New Roman" w:hAnsi="Times New Roman" w:cs="Times New Roman"/>
          <w:i/>
          <w:iCs/>
          <w:sz w:val="22"/>
          <w:szCs w:val="22"/>
          <w:lang w:val="en-US"/>
        </w:rPr>
        <w:t xml:space="preserve">quan hệ xã hội có liên quan đến dự thảo Nghị định quy định về hỗ trợ lãi suất từ ngân sách nhà nước cho các doanh nghiệp thuộc khu vực kinh tế tư nhân, hộ kinh doanh, cá nhân kinh doanh vay vốn tại các ngân hàng thương mại để thực hiện các dự án xanh, tuần hoàn và áp dụng khung tiêu chuẩn </w:t>
      </w:r>
    </w:p>
    <w:p w14:paraId="4832FCB3" w14:textId="483BBEB5" w:rsidR="00B95E01" w:rsidRPr="00B95E01" w:rsidRDefault="00B95E01" w:rsidP="00B95E01">
      <w:pPr>
        <w:jc w:val="center"/>
        <w:rPr>
          <w:rFonts w:ascii="Times New Roman" w:hAnsi="Times New Roman" w:cs="Times New Roman"/>
          <w:i/>
          <w:iCs/>
          <w:sz w:val="22"/>
          <w:szCs w:val="22"/>
          <w:lang w:val="en-US"/>
        </w:rPr>
      </w:pPr>
      <w:r w:rsidRPr="00B95E01">
        <w:rPr>
          <w:rFonts w:ascii="Times New Roman" w:hAnsi="Times New Roman" w:cs="Times New Roman"/>
          <w:i/>
          <w:iCs/>
          <w:sz w:val="22"/>
          <w:szCs w:val="22"/>
          <w:lang w:val="en-US"/>
        </w:rPr>
        <w:t>môi trường, xã hội, quản trị (ESG)</w:t>
      </w:r>
    </w:p>
    <w:p w14:paraId="40EA7B7B" w14:textId="5C1D2C6E" w:rsidR="003551DE" w:rsidRPr="00B95E01" w:rsidRDefault="003551DE" w:rsidP="00A811F7">
      <w:pPr>
        <w:spacing w:before="120"/>
        <w:rPr>
          <w:rFonts w:ascii="Times New Roman" w:hAnsi="Times New Roman" w:cs="Times New Roman"/>
          <w:b/>
          <w:bCs/>
          <w:sz w:val="26"/>
          <w:szCs w:val="26"/>
        </w:rPr>
      </w:pPr>
      <w:r w:rsidRPr="00B95E01">
        <w:rPr>
          <w:rFonts w:ascii="Times New Roman" w:hAnsi="Times New Roman" w:cs="Times New Roman"/>
          <w:b/>
          <w:bCs/>
          <w:sz w:val="26"/>
          <w:szCs w:val="26"/>
        </w:rPr>
        <w:t>1. Chủ trương, đường lối của Đảng</w:t>
      </w:r>
      <w:r w:rsidR="00C101DA" w:rsidRPr="00B95E01">
        <w:rPr>
          <w:rFonts w:ascii="Times New Roman" w:hAnsi="Times New Roman" w:cs="Times New Roman"/>
          <w:b/>
          <w:bCs/>
          <w:sz w:val="26"/>
          <w:szCs w:val="26"/>
          <w:lang w:val="en-US"/>
        </w:rPr>
        <w:t>, Nhà nước</w:t>
      </w:r>
      <w:r w:rsidRPr="00B95E01">
        <w:rPr>
          <w:rFonts w:ascii="Times New Roman" w:hAnsi="Times New Roman" w:cs="Times New Roman"/>
          <w:b/>
          <w:bCs/>
          <w:sz w:val="26"/>
          <w:szCs w:val="26"/>
        </w:rPr>
        <w:t xml:space="preserve"> có liên quan đến dự thảo</w:t>
      </w:r>
    </w:p>
    <w:tbl>
      <w:tblPr>
        <w:tblOverlap w:val="never"/>
        <w:tblW w:w="5842" w:type="pct"/>
        <w:tblInd w:w="-99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4A0" w:firstRow="1" w:lastRow="0" w:firstColumn="1" w:lastColumn="0" w:noHBand="0" w:noVBand="1"/>
      </w:tblPr>
      <w:tblGrid>
        <w:gridCol w:w="568"/>
        <w:gridCol w:w="2985"/>
        <w:gridCol w:w="3405"/>
        <w:gridCol w:w="2414"/>
        <w:gridCol w:w="1235"/>
      </w:tblGrid>
      <w:tr w:rsidR="009360F4" w:rsidRPr="00A811F7" w14:paraId="5BD7A352" w14:textId="77777777" w:rsidTr="009360F4">
        <w:tc>
          <w:tcPr>
            <w:tcW w:w="268" w:type="pct"/>
            <w:shd w:val="clear" w:color="auto" w:fill="FFFFFF"/>
          </w:tcPr>
          <w:p w14:paraId="60393698" w14:textId="5EEB90EA" w:rsidR="009360F4" w:rsidRPr="009360F4" w:rsidRDefault="009360F4" w:rsidP="003828EF">
            <w:pPr>
              <w:spacing w:before="120"/>
              <w:jc w:val="center"/>
              <w:rPr>
                <w:rFonts w:ascii="Times New Roman" w:hAnsi="Times New Roman" w:cs="Times New Roman"/>
                <w:b/>
                <w:bCs/>
                <w:sz w:val="20"/>
                <w:szCs w:val="20"/>
                <w:lang w:val="en-US"/>
              </w:rPr>
            </w:pPr>
            <w:r>
              <w:rPr>
                <w:rFonts w:ascii="Times New Roman" w:hAnsi="Times New Roman" w:cs="Times New Roman"/>
                <w:b/>
                <w:bCs/>
                <w:sz w:val="20"/>
                <w:szCs w:val="20"/>
                <w:lang w:val="en-US"/>
              </w:rPr>
              <w:t>STT</w:t>
            </w:r>
          </w:p>
        </w:tc>
        <w:tc>
          <w:tcPr>
            <w:tcW w:w="1407" w:type="pct"/>
            <w:shd w:val="clear" w:color="auto" w:fill="FFFFFF"/>
            <w:vAlign w:val="center"/>
          </w:tcPr>
          <w:p w14:paraId="7E8FFCB0" w14:textId="32757C95" w:rsidR="009360F4" w:rsidRPr="00A811F7" w:rsidRDefault="009360F4" w:rsidP="003828EF">
            <w:pPr>
              <w:spacing w:before="120"/>
              <w:jc w:val="center"/>
              <w:rPr>
                <w:rFonts w:ascii="Times New Roman" w:hAnsi="Times New Roman" w:cs="Times New Roman"/>
                <w:b/>
                <w:bCs/>
                <w:sz w:val="20"/>
                <w:szCs w:val="20"/>
              </w:rPr>
            </w:pPr>
            <w:r w:rsidRPr="00A811F7">
              <w:rPr>
                <w:rFonts w:ascii="Times New Roman" w:hAnsi="Times New Roman" w:cs="Times New Roman"/>
                <w:b/>
                <w:bCs/>
                <w:sz w:val="20"/>
                <w:szCs w:val="20"/>
              </w:rPr>
              <w:t>CHỦ TRƯƠNG, ĐƯỜNG LỐI CỦA ĐẢNG</w:t>
            </w:r>
          </w:p>
        </w:tc>
        <w:tc>
          <w:tcPr>
            <w:tcW w:w="1605" w:type="pct"/>
            <w:shd w:val="clear" w:color="auto" w:fill="FFFFFF"/>
            <w:vAlign w:val="center"/>
          </w:tcPr>
          <w:p w14:paraId="74DDF86D" w14:textId="2AD6041A" w:rsidR="009360F4" w:rsidRPr="00A811F7" w:rsidRDefault="009360F4" w:rsidP="003828EF">
            <w:pPr>
              <w:spacing w:before="120"/>
              <w:jc w:val="center"/>
              <w:rPr>
                <w:rFonts w:ascii="Times New Roman" w:hAnsi="Times New Roman" w:cs="Times New Roman"/>
                <w:b/>
                <w:bCs/>
                <w:sz w:val="20"/>
                <w:szCs w:val="20"/>
              </w:rPr>
            </w:pPr>
            <w:r w:rsidRPr="00A811F7">
              <w:rPr>
                <w:rFonts w:ascii="Times New Roman" w:hAnsi="Times New Roman" w:cs="Times New Roman"/>
                <w:b/>
                <w:bCs/>
                <w:sz w:val="20"/>
                <w:szCs w:val="20"/>
              </w:rPr>
              <w:t>QUY ĐỊNH CỦA DỰ THẢO</w:t>
            </w:r>
          </w:p>
        </w:tc>
        <w:tc>
          <w:tcPr>
            <w:tcW w:w="1138" w:type="pct"/>
            <w:shd w:val="clear" w:color="auto" w:fill="FFFFFF"/>
            <w:vAlign w:val="center"/>
          </w:tcPr>
          <w:p w14:paraId="02905D9F" w14:textId="502EB4AC" w:rsidR="009360F4" w:rsidRPr="00A811F7" w:rsidRDefault="009360F4" w:rsidP="003828EF">
            <w:pPr>
              <w:spacing w:before="120"/>
              <w:jc w:val="center"/>
              <w:rPr>
                <w:rFonts w:ascii="Times New Roman" w:hAnsi="Times New Roman" w:cs="Times New Roman"/>
                <w:b/>
                <w:bCs/>
                <w:sz w:val="20"/>
                <w:szCs w:val="20"/>
              </w:rPr>
            </w:pPr>
            <w:r w:rsidRPr="00A811F7">
              <w:rPr>
                <w:rFonts w:ascii="Times New Roman" w:hAnsi="Times New Roman" w:cs="Times New Roman"/>
                <w:b/>
                <w:bCs/>
                <w:sz w:val="20"/>
                <w:szCs w:val="20"/>
              </w:rPr>
              <w:t>ĐÁNH GIÁ</w:t>
            </w:r>
          </w:p>
        </w:tc>
        <w:tc>
          <w:tcPr>
            <w:tcW w:w="583" w:type="pct"/>
            <w:shd w:val="clear" w:color="auto" w:fill="FFFFFF"/>
            <w:vAlign w:val="center"/>
          </w:tcPr>
          <w:p w14:paraId="77643F27" w14:textId="77777777" w:rsidR="009360F4" w:rsidRPr="00A811F7" w:rsidRDefault="009360F4" w:rsidP="003828EF">
            <w:pPr>
              <w:spacing w:before="120"/>
              <w:jc w:val="center"/>
              <w:rPr>
                <w:rFonts w:ascii="Times New Roman" w:hAnsi="Times New Roman" w:cs="Times New Roman"/>
                <w:b/>
                <w:bCs/>
                <w:sz w:val="20"/>
                <w:szCs w:val="20"/>
              </w:rPr>
            </w:pPr>
            <w:r w:rsidRPr="00A811F7">
              <w:rPr>
                <w:rFonts w:ascii="Times New Roman" w:hAnsi="Times New Roman" w:cs="Times New Roman"/>
                <w:b/>
                <w:bCs/>
                <w:sz w:val="20"/>
                <w:szCs w:val="20"/>
              </w:rPr>
              <w:t>ĐỀ XUẤT XỬ LÝ</w:t>
            </w:r>
          </w:p>
        </w:tc>
      </w:tr>
      <w:tr w:rsidR="009360F4" w:rsidRPr="00A811F7" w14:paraId="7C8968A2" w14:textId="77777777" w:rsidTr="009360F4">
        <w:tc>
          <w:tcPr>
            <w:tcW w:w="268" w:type="pct"/>
            <w:shd w:val="clear" w:color="auto" w:fill="FFFFFF"/>
          </w:tcPr>
          <w:p w14:paraId="58368B83" w14:textId="779D9AC1" w:rsidR="009360F4" w:rsidRPr="009360F4" w:rsidRDefault="009360F4" w:rsidP="008C56E8">
            <w:pPr>
              <w:spacing w:before="120"/>
              <w:ind w:right="133"/>
              <w:jc w:val="both"/>
              <w:rPr>
                <w:rFonts w:ascii="Times New Roman" w:hAnsi="Times New Roman" w:cs="Times New Roman"/>
                <w:sz w:val="20"/>
                <w:szCs w:val="20"/>
                <w:lang w:val="en-US"/>
              </w:rPr>
            </w:pPr>
            <w:r>
              <w:rPr>
                <w:rFonts w:ascii="Times New Roman" w:hAnsi="Times New Roman" w:cs="Times New Roman"/>
                <w:sz w:val="20"/>
                <w:szCs w:val="20"/>
                <w:lang w:val="en-US"/>
              </w:rPr>
              <w:t>1.</w:t>
            </w:r>
          </w:p>
        </w:tc>
        <w:tc>
          <w:tcPr>
            <w:tcW w:w="1407" w:type="pct"/>
            <w:shd w:val="clear" w:color="auto" w:fill="FFFFFF"/>
            <w:vAlign w:val="center"/>
          </w:tcPr>
          <w:p w14:paraId="7AA15DC6" w14:textId="3BE51982" w:rsidR="009360F4" w:rsidRPr="00C101DA" w:rsidRDefault="009360F4" w:rsidP="00DB3915">
            <w:pPr>
              <w:spacing w:before="120"/>
              <w:ind w:left="135" w:right="133"/>
              <w:jc w:val="both"/>
              <w:rPr>
                <w:rFonts w:ascii="Times New Roman" w:hAnsi="Times New Roman" w:cs="Times New Roman"/>
                <w:sz w:val="20"/>
                <w:szCs w:val="20"/>
                <w:lang w:val="en-US"/>
              </w:rPr>
            </w:pPr>
            <w:r w:rsidRPr="00A811F7">
              <w:rPr>
                <w:rFonts w:ascii="Times New Roman" w:hAnsi="Times New Roman" w:cs="Times New Roman"/>
                <w:sz w:val="20"/>
                <w:szCs w:val="20"/>
              </w:rPr>
              <w:t>Nghị quyết số 68-NQ/TW ngày 4/5/2025 của B</w:t>
            </w:r>
            <w:r w:rsidR="00DB3915">
              <w:rPr>
                <w:rFonts w:ascii="Times New Roman" w:hAnsi="Times New Roman" w:cs="Times New Roman"/>
                <w:sz w:val="20"/>
                <w:szCs w:val="20"/>
                <w:lang w:val="en-US"/>
              </w:rPr>
              <w:t>ộ Chính trị</w:t>
            </w:r>
            <w:bookmarkStart w:id="0" w:name="_GoBack"/>
            <w:bookmarkEnd w:id="0"/>
            <w:r w:rsidRPr="00A811F7">
              <w:rPr>
                <w:rFonts w:ascii="Times New Roman" w:hAnsi="Times New Roman" w:cs="Times New Roman"/>
                <w:sz w:val="20"/>
                <w:szCs w:val="20"/>
              </w:rPr>
              <w:t xml:space="preserve"> về phát triển kinh tế tư nhân</w:t>
            </w:r>
            <w:r>
              <w:rPr>
                <w:rFonts w:ascii="Times New Roman" w:hAnsi="Times New Roman" w:cs="Times New Roman"/>
                <w:sz w:val="20"/>
                <w:szCs w:val="20"/>
                <w:lang w:val="en-US"/>
              </w:rPr>
              <w:t xml:space="preserve">, quy định: </w:t>
            </w:r>
            <w:r w:rsidRPr="00C101DA">
              <w:rPr>
                <w:rFonts w:ascii="Times New Roman" w:hAnsi="Times New Roman" w:cs="Times New Roman"/>
                <w:sz w:val="20"/>
                <w:szCs w:val="20"/>
                <w:lang w:val="en-US"/>
              </w:rPr>
              <w:t>Đẩy mạnh phát triển tín dụng xanh; Nhà nước có cơ chế hỗ trợ lãi suất và khuyến khích các tổ chức tín dụng giảm lãi suất cho doanh nghiệp tư nhân vay để triển khai các dự án xanh, tuần hoàn và áp dụng khung tiêu chuẩn môi trường, xã hội, quản trị (ESG).</w:t>
            </w:r>
          </w:p>
        </w:tc>
        <w:tc>
          <w:tcPr>
            <w:tcW w:w="1605" w:type="pct"/>
            <w:vMerge w:val="restart"/>
            <w:shd w:val="clear" w:color="auto" w:fill="FFFFFF"/>
            <w:vAlign w:val="center"/>
          </w:tcPr>
          <w:p w14:paraId="0B4F75DC" w14:textId="77777777" w:rsidR="009360F4" w:rsidRDefault="009360F4" w:rsidP="00D9288C">
            <w:pPr>
              <w:spacing w:before="120"/>
              <w:ind w:left="132" w:right="149"/>
              <w:jc w:val="both"/>
              <w:rPr>
                <w:rFonts w:ascii="Times New Roman" w:hAnsi="Times New Roman" w:cs="Times New Roman"/>
                <w:sz w:val="20"/>
                <w:szCs w:val="20"/>
              </w:rPr>
            </w:pPr>
            <w:r>
              <w:rPr>
                <w:rFonts w:ascii="Times New Roman" w:hAnsi="Times New Roman" w:cs="Times New Roman"/>
                <w:sz w:val="20"/>
                <w:szCs w:val="20"/>
                <w:lang w:val="en-US"/>
              </w:rPr>
              <w:t>- Phạm vi điều chỉnh của dự thảo: Quy định</w:t>
            </w:r>
            <w:r w:rsidRPr="00C101DA">
              <w:rPr>
                <w:rFonts w:ascii="Times New Roman" w:hAnsi="Times New Roman" w:cs="Times New Roman"/>
                <w:sz w:val="20"/>
                <w:szCs w:val="20"/>
              </w:rPr>
              <w:t xml:space="preserve"> về hỗ trợ lãi suất từ ngân sách nhà nước cho các doanh nghiệp thuộc khu vực kinh tế tư nhân, hộ kinh doanh, cá nhân kinh doanh vay vốn tại các ngân hàng thương mại để thực hiện các dự án xanh, dự án đáp ứng tiêu chí kinh tế tuần hoàn, dự án áp dụng khung tiêu chuẩn môi trường, xã hội, quản trị (ESG) theo Nghị quyết 198/2025/QH15 ngày 17/5/2025 của Quốc hội về một số cơ chế, chính sách đặc biệt phát triển kinh tế tư nhân.</w:t>
            </w:r>
          </w:p>
          <w:p w14:paraId="1B975EBB" w14:textId="46F9D6B2" w:rsidR="009360F4" w:rsidRPr="00C101DA" w:rsidRDefault="009360F4" w:rsidP="00D9288C">
            <w:pPr>
              <w:spacing w:before="120"/>
              <w:ind w:left="132" w:right="149"/>
              <w:jc w:val="both"/>
              <w:rPr>
                <w:rFonts w:ascii="Times New Roman" w:hAnsi="Times New Roman" w:cs="Times New Roman"/>
                <w:sz w:val="20"/>
                <w:szCs w:val="20"/>
                <w:lang w:val="en-US"/>
              </w:rPr>
            </w:pPr>
            <w:r>
              <w:rPr>
                <w:rFonts w:ascii="Times New Roman" w:hAnsi="Times New Roman" w:cs="Times New Roman"/>
                <w:sz w:val="20"/>
                <w:szCs w:val="20"/>
                <w:lang w:val="en-US"/>
              </w:rPr>
              <w:t>- Tại dự thảo Nghị định quy định đầy đủ các nội dung thể chế hóa chính sách hỗ trợ lãi suất: Điều kiện, nguyên tắc, thời hạn, mức hỗ trợ lãi suất, quy trình lập dự toán, thanh, quyết toán hỗ trợ lãi suất, trách nhiệm của các cơ quan liên quan</w:t>
            </w:r>
          </w:p>
        </w:tc>
        <w:tc>
          <w:tcPr>
            <w:tcW w:w="1138" w:type="pct"/>
            <w:vMerge w:val="restart"/>
            <w:shd w:val="clear" w:color="auto" w:fill="FFFFFF"/>
            <w:vAlign w:val="center"/>
          </w:tcPr>
          <w:p w14:paraId="1919F1B2" w14:textId="13CE2DDD" w:rsidR="009360F4" w:rsidRPr="00A811F7" w:rsidRDefault="009360F4" w:rsidP="00D9288C">
            <w:pPr>
              <w:spacing w:before="120"/>
              <w:ind w:right="26"/>
              <w:jc w:val="both"/>
              <w:rPr>
                <w:rFonts w:ascii="Times New Roman" w:hAnsi="Times New Roman" w:cs="Times New Roman"/>
                <w:sz w:val="20"/>
                <w:szCs w:val="20"/>
                <w:lang w:val="en-US"/>
              </w:rPr>
            </w:pPr>
            <w:r>
              <w:rPr>
                <w:rFonts w:ascii="Times New Roman" w:hAnsi="Times New Roman" w:cs="Times New Roman"/>
                <w:sz w:val="20"/>
                <w:szCs w:val="20"/>
                <w:lang w:val="en-US"/>
              </w:rPr>
              <w:t>Dự thảo Nghị định đã thể chế hóa đầy đủ chủ trương, đường lối của Đảng, Nhà nước về chính sách hỗ trợ lãi suất 2% cho d</w:t>
            </w:r>
            <w:r w:rsidRPr="008C56E8">
              <w:rPr>
                <w:rFonts w:ascii="Times New Roman" w:hAnsi="Times New Roman" w:cs="Times New Roman"/>
                <w:sz w:val="20"/>
                <w:szCs w:val="20"/>
                <w:lang w:val="en-US"/>
              </w:rPr>
              <w:t xml:space="preserve">oanh nghiệp thuộc khu vực kinh tế tư nhân, hộ kinh doanh, cá nhân kinh doanh </w:t>
            </w:r>
            <w:r w:rsidRPr="00C101DA">
              <w:rPr>
                <w:rFonts w:ascii="Times New Roman" w:hAnsi="Times New Roman" w:cs="Times New Roman"/>
                <w:sz w:val="20"/>
                <w:szCs w:val="20"/>
                <w:lang w:val="en-US"/>
              </w:rPr>
              <w:t xml:space="preserve">vay </w:t>
            </w:r>
            <w:r>
              <w:rPr>
                <w:rFonts w:ascii="Times New Roman" w:hAnsi="Times New Roman" w:cs="Times New Roman"/>
                <w:sz w:val="20"/>
                <w:szCs w:val="20"/>
                <w:lang w:val="en-US"/>
              </w:rPr>
              <w:t xml:space="preserve">tại các ngân hàng thương mại </w:t>
            </w:r>
            <w:r w:rsidRPr="00C101DA">
              <w:rPr>
                <w:rFonts w:ascii="Times New Roman" w:hAnsi="Times New Roman" w:cs="Times New Roman"/>
                <w:sz w:val="20"/>
                <w:szCs w:val="20"/>
                <w:lang w:val="en-US"/>
              </w:rPr>
              <w:t>để triển khai các dự án xanh, tuần hoàn và áp dụng khung tiêu chuẩn môi trường, xã hội, quản trị (ESG).</w:t>
            </w:r>
          </w:p>
        </w:tc>
        <w:tc>
          <w:tcPr>
            <w:tcW w:w="583" w:type="pct"/>
            <w:shd w:val="clear" w:color="auto" w:fill="FFFFFF"/>
            <w:vAlign w:val="center"/>
          </w:tcPr>
          <w:p w14:paraId="1359F144" w14:textId="77777777" w:rsidR="009360F4" w:rsidRPr="00A811F7" w:rsidRDefault="009360F4" w:rsidP="008C56E8">
            <w:pPr>
              <w:spacing w:before="120"/>
              <w:jc w:val="both"/>
              <w:rPr>
                <w:rFonts w:ascii="Times New Roman" w:hAnsi="Times New Roman" w:cs="Times New Roman"/>
                <w:sz w:val="20"/>
                <w:szCs w:val="20"/>
              </w:rPr>
            </w:pPr>
          </w:p>
        </w:tc>
      </w:tr>
      <w:tr w:rsidR="009360F4" w:rsidRPr="00A811F7" w14:paraId="7571B941" w14:textId="77777777" w:rsidTr="009360F4">
        <w:tc>
          <w:tcPr>
            <w:tcW w:w="268" w:type="pct"/>
            <w:shd w:val="clear" w:color="auto" w:fill="FFFFFF"/>
          </w:tcPr>
          <w:p w14:paraId="06198E91" w14:textId="5C198EA0" w:rsidR="009360F4" w:rsidRPr="009360F4" w:rsidRDefault="009360F4" w:rsidP="008C56E8">
            <w:pPr>
              <w:spacing w:before="120"/>
              <w:ind w:right="133"/>
              <w:jc w:val="both"/>
              <w:rPr>
                <w:rFonts w:ascii="Times New Roman" w:hAnsi="Times New Roman" w:cs="Times New Roman"/>
                <w:sz w:val="20"/>
                <w:szCs w:val="20"/>
                <w:lang w:val="en-US"/>
              </w:rPr>
            </w:pPr>
            <w:r>
              <w:rPr>
                <w:rFonts w:ascii="Times New Roman" w:hAnsi="Times New Roman" w:cs="Times New Roman"/>
                <w:sz w:val="20"/>
                <w:szCs w:val="20"/>
                <w:lang w:val="en-US"/>
              </w:rPr>
              <w:t>2.</w:t>
            </w:r>
          </w:p>
        </w:tc>
        <w:tc>
          <w:tcPr>
            <w:tcW w:w="1407" w:type="pct"/>
            <w:shd w:val="clear" w:color="auto" w:fill="FFFFFF"/>
            <w:vAlign w:val="center"/>
          </w:tcPr>
          <w:p w14:paraId="3E801220" w14:textId="3F930452" w:rsidR="009360F4" w:rsidRPr="00C101DA" w:rsidRDefault="009360F4" w:rsidP="00D9288C">
            <w:pPr>
              <w:spacing w:before="120"/>
              <w:ind w:left="135" w:right="133"/>
              <w:jc w:val="both"/>
              <w:rPr>
                <w:rFonts w:ascii="Times New Roman" w:hAnsi="Times New Roman" w:cs="Times New Roman"/>
                <w:sz w:val="20"/>
                <w:szCs w:val="20"/>
                <w:lang w:val="en-US"/>
              </w:rPr>
            </w:pPr>
            <w:r w:rsidRPr="00C101DA">
              <w:rPr>
                <w:rFonts w:ascii="Times New Roman" w:hAnsi="Times New Roman" w:cs="Times New Roman"/>
                <w:sz w:val="20"/>
                <w:szCs w:val="20"/>
              </w:rPr>
              <w:t>Nghị quyết số 198/2025/QH15 ngày 17 tháng 5 năm 2025 của Quốc hội</w:t>
            </w:r>
            <w:r>
              <w:rPr>
                <w:rFonts w:ascii="Times New Roman" w:hAnsi="Times New Roman" w:cs="Times New Roman"/>
                <w:sz w:val="20"/>
                <w:szCs w:val="20"/>
                <w:lang w:val="en-US"/>
              </w:rPr>
              <w:t xml:space="preserve">: </w:t>
            </w:r>
            <w:r w:rsidRPr="00C101DA">
              <w:rPr>
                <w:rFonts w:ascii="Times New Roman" w:hAnsi="Times New Roman" w:cs="Times New Roman"/>
                <w:sz w:val="20"/>
                <w:szCs w:val="20"/>
                <w:lang w:val="en-US"/>
              </w:rPr>
              <w:t>Doanh nghiệp thuộc khu vực kinh tế tư nhân, hộ kinh doanh, cá nhân kinh doanh được Nhà nước hỗ trợ lãi suất 2%/năm khi vay vốn để thực hiện các dự án xanh, tuần hoàn và áp dụng khung tiêu chuẩn môi trường, xã hội, quản trị (ESG).</w:t>
            </w:r>
            <w:r>
              <w:rPr>
                <w:rFonts w:ascii="Times New Roman" w:hAnsi="Times New Roman" w:cs="Times New Roman"/>
                <w:sz w:val="20"/>
                <w:szCs w:val="20"/>
                <w:lang w:val="en-US"/>
              </w:rPr>
              <w:t xml:space="preserve"> (khoản 1 Điều 9)</w:t>
            </w:r>
          </w:p>
        </w:tc>
        <w:tc>
          <w:tcPr>
            <w:tcW w:w="1605" w:type="pct"/>
            <w:vMerge/>
            <w:shd w:val="clear" w:color="auto" w:fill="FFFFFF"/>
            <w:vAlign w:val="center"/>
          </w:tcPr>
          <w:p w14:paraId="52443874" w14:textId="77777777" w:rsidR="009360F4" w:rsidRPr="00A811F7" w:rsidRDefault="009360F4" w:rsidP="008C56E8">
            <w:pPr>
              <w:spacing w:before="120"/>
              <w:jc w:val="both"/>
              <w:rPr>
                <w:rFonts w:ascii="Times New Roman" w:hAnsi="Times New Roman" w:cs="Times New Roman"/>
                <w:sz w:val="20"/>
                <w:szCs w:val="20"/>
              </w:rPr>
            </w:pPr>
          </w:p>
        </w:tc>
        <w:tc>
          <w:tcPr>
            <w:tcW w:w="1138" w:type="pct"/>
            <w:vMerge/>
            <w:shd w:val="clear" w:color="auto" w:fill="FFFFFF"/>
            <w:vAlign w:val="center"/>
          </w:tcPr>
          <w:p w14:paraId="1E36AA63" w14:textId="77777777" w:rsidR="009360F4" w:rsidRPr="00A811F7" w:rsidRDefault="009360F4" w:rsidP="008C56E8">
            <w:pPr>
              <w:spacing w:before="120"/>
              <w:jc w:val="both"/>
              <w:rPr>
                <w:rFonts w:ascii="Times New Roman" w:hAnsi="Times New Roman" w:cs="Times New Roman"/>
                <w:sz w:val="20"/>
                <w:szCs w:val="20"/>
              </w:rPr>
            </w:pPr>
          </w:p>
        </w:tc>
        <w:tc>
          <w:tcPr>
            <w:tcW w:w="583" w:type="pct"/>
            <w:shd w:val="clear" w:color="auto" w:fill="FFFFFF"/>
            <w:vAlign w:val="center"/>
          </w:tcPr>
          <w:p w14:paraId="32334F30" w14:textId="77777777" w:rsidR="009360F4" w:rsidRPr="00A811F7" w:rsidRDefault="009360F4" w:rsidP="008C56E8">
            <w:pPr>
              <w:spacing w:before="120"/>
              <w:jc w:val="both"/>
              <w:rPr>
                <w:rFonts w:ascii="Times New Roman" w:hAnsi="Times New Roman" w:cs="Times New Roman"/>
                <w:sz w:val="20"/>
                <w:szCs w:val="20"/>
              </w:rPr>
            </w:pPr>
          </w:p>
        </w:tc>
      </w:tr>
    </w:tbl>
    <w:p w14:paraId="5110527F" w14:textId="005277E9" w:rsidR="003551DE" w:rsidRPr="00B95E01" w:rsidRDefault="003551DE" w:rsidP="003551DE">
      <w:pPr>
        <w:spacing w:before="120"/>
        <w:rPr>
          <w:rFonts w:ascii="Times New Roman" w:hAnsi="Times New Roman" w:cs="Times New Roman"/>
          <w:b/>
          <w:bCs/>
          <w:sz w:val="26"/>
          <w:szCs w:val="26"/>
        </w:rPr>
      </w:pPr>
      <w:r w:rsidRPr="00B95E01">
        <w:rPr>
          <w:rFonts w:ascii="Times New Roman" w:hAnsi="Times New Roman" w:cs="Times New Roman"/>
          <w:b/>
          <w:sz w:val="26"/>
          <w:szCs w:val="26"/>
        </w:rPr>
        <w:t xml:space="preserve">2. </w:t>
      </w:r>
      <w:r w:rsidRPr="00B95E01">
        <w:rPr>
          <w:rFonts w:ascii="Times New Roman" w:hAnsi="Times New Roman" w:cs="Times New Roman"/>
          <w:b/>
          <w:bCs/>
          <w:sz w:val="26"/>
          <w:szCs w:val="26"/>
        </w:rPr>
        <w:t>Văn bản quy phạm pháp luật có liên quan đến dự thảo</w:t>
      </w:r>
    </w:p>
    <w:tbl>
      <w:tblPr>
        <w:tblOverlap w:val="never"/>
        <w:tblW w:w="5864" w:type="pct"/>
        <w:tblInd w:w="-99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4A0" w:firstRow="1" w:lastRow="0" w:firstColumn="1" w:lastColumn="0" w:noHBand="0" w:noVBand="1"/>
      </w:tblPr>
      <w:tblGrid>
        <w:gridCol w:w="567"/>
        <w:gridCol w:w="2983"/>
        <w:gridCol w:w="3407"/>
        <w:gridCol w:w="2272"/>
        <w:gridCol w:w="1418"/>
      </w:tblGrid>
      <w:tr w:rsidR="00D9288C" w:rsidRPr="00A811F7" w14:paraId="55455C40" w14:textId="77777777" w:rsidTr="00C10833">
        <w:tc>
          <w:tcPr>
            <w:tcW w:w="266" w:type="pct"/>
            <w:shd w:val="clear" w:color="auto" w:fill="FFFFFF"/>
          </w:tcPr>
          <w:p w14:paraId="264C6946" w14:textId="2FEC86B9" w:rsidR="00D9288C" w:rsidRPr="00D9288C" w:rsidRDefault="00D9288C" w:rsidP="003828EF">
            <w:pPr>
              <w:spacing w:before="120"/>
              <w:jc w:val="center"/>
              <w:rPr>
                <w:rFonts w:ascii="Times New Roman" w:hAnsi="Times New Roman" w:cs="Times New Roman"/>
                <w:b/>
                <w:bCs/>
                <w:sz w:val="20"/>
                <w:szCs w:val="20"/>
                <w:lang w:val="en-US"/>
              </w:rPr>
            </w:pPr>
            <w:r>
              <w:rPr>
                <w:rFonts w:ascii="Times New Roman" w:hAnsi="Times New Roman" w:cs="Times New Roman"/>
                <w:b/>
                <w:bCs/>
                <w:sz w:val="20"/>
                <w:szCs w:val="20"/>
                <w:lang w:val="en-US"/>
              </w:rPr>
              <w:t>STT</w:t>
            </w:r>
          </w:p>
        </w:tc>
        <w:tc>
          <w:tcPr>
            <w:tcW w:w="1401" w:type="pct"/>
            <w:shd w:val="clear" w:color="auto" w:fill="FFFFFF"/>
            <w:vAlign w:val="center"/>
          </w:tcPr>
          <w:p w14:paraId="7A39AFB8" w14:textId="1743FCF8" w:rsidR="00D9288C" w:rsidRPr="00A811F7" w:rsidRDefault="00D9288C" w:rsidP="003828EF">
            <w:pPr>
              <w:spacing w:before="120"/>
              <w:jc w:val="center"/>
              <w:rPr>
                <w:rFonts w:ascii="Times New Roman" w:hAnsi="Times New Roman" w:cs="Times New Roman"/>
                <w:b/>
                <w:bCs/>
                <w:sz w:val="20"/>
                <w:szCs w:val="20"/>
              </w:rPr>
            </w:pPr>
            <w:r w:rsidRPr="00A811F7">
              <w:rPr>
                <w:rFonts w:ascii="Times New Roman" w:hAnsi="Times New Roman" w:cs="Times New Roman"/>
                <w:b/>
                <w:bCs/>
                <w:sz w:val="20"/>
                <w:szCs w:val="20"/>
              </w:rPr>
              <w:t>QUY ĐỊNH CỦA DỰ THẢO VĂN BẢN</w:t>
            </w:r>
          </w:p>
        </w:tc>
        <w:tc>
          <w:tcPr>
            <w:tcW w:w="1600" w:type="pct"/>
            <w:shd w:val="clear" w:color="auto" w:fill="FFFFFF"/>
            <w:vAlign w:val="center"/>
          </w:tcPr>
          <w:p w14:paraId="12172107" w14:textId="77777777" w:rsidR="00D9288C" w:rsidRPr="00A811F7" w:rsidRDefault="00D9288C" w:rsidP="00D9288C">
            <w:pPr>
              <w:spacing w:before="120"/>
              <w:ind w:right="132"/>
              <w:jc w:val="center"/>
              <w:rPr>
                <w:rFonts w:ascii="Times New Roman" w:hAnsi="Times New Roman" w:cs="Times New Roman"/>
                <w:b/>
                <w:bCs/>
                <w:sz w:val="20"/>
                <w:szCs w:val="20"/>
              </w:rPr>
            </w:pPr>
            <w:r w:rsidRPr="00A811F7">
              <w:rPr>
                <w:rFonts w:ascii="Times New Roman" w:hAnsi="Times New Roman" w:cs="Times New Roman"/>
                <w:b/>
                <w:bCs/>
                <w:sz w:val="20"/>
                <w:szCs w:val="20"/>
              </w:rPr>
              <w:t>QUY ĐỊNH CỦA PHÁP LUẬT HIỆN HÀNH CÓ LIÊN QUAN</w:t>
            </w:r>
          </w:p>
        </w:tc>
        <w:tc>
          <w:tcPr>
            <w:tcW w:w="1067" w:type="pct"/>
            <w:shd w:val="clear" w:color="auto" w:fill="FFFFFF"/>
            <w:vAlign w:val="center"/>
          </w:tcPr>
          <w:p w14:paraId="1C5AD4B3" w14:textId="145ED1D7" w:rsidR="00D9288C" w:rsidRPr="00A811F7" w:rsidRDefault="00D9288C" w:rsidP="003828EF">
            <w:pPr>
              <w:spacing w:before="120"/>
              <w:jc w:val="center"/>
              <w:rPr>
                <w:rFonts w:ascii="Times New Roman" w:hAnsi="Times New Roman" w:cs="Times New Roman"/>
                <w:b/>
                <w:bCs/>
                <w:sz w:val="20"/>
                <w:szCs w:val="20"/>
              </w:rPr>
            </w:pPr>
            <w:r w:rsidRPr="00A811F7">
              <w:rPr>
                <w:rFonts w:ascii="Times New Roman" w:hAnsi="Times New Roman" w:cs="Times New Roman"/>
                <w:b/>
                <w:bCs/>
                <w:sz w:val="20"/>
                <w:szCs w:val="20"/>
              </w:rPr>
              <w:t>ĐÁNH GIÁ</w:t>
            </w:r>
            <w:r w:rsidRPr="00A811F7">
              <w:rPr>
                <w:rFonts w:ascii="Times New Roman" w:hAnsi="Times New Roman" w:cs="Times New Roman"/>
                <w:b/>
                <w:bCs/>
                <w:sz w:val="20"/>
                <w:szCs w:val="20"/>
              </w:rPr>
              <w:br/>
            </w:r>
          </w:p>
        </w:tc>
        <w:tc>
          <w:tcPr>
            <w:tcW w:w="666" w:type="pct"/>
            <w:shd w:val="clear" w:color="auto" w:fill="FFFFFF"/>
            <w:vAlign w:val="center"/>
          </w:tcPr>
          <w:p w14:paraId="5DE90691" w14:textId="77777777" w:rsidR="00D9288C" w:rsidRDefault="00D9288C" w:rsidP="003828EF">
            <w:pPr>
              <w:spacing w:before="120"/>
              <w:jc w:val="center"/>
              <w:rPr>
                <w:rFonts w:ascii="Times New Roman" w:hAnsi="Times New Roman" w:cs="Times New Roman"/>
                <w:b/>
                <w:bCs/>
                <w:sz w:val="20"/>
                <w:szCs w:val="20"/>
              </w:rPr>
            </w:pPr>
            <w:r w:rsidRPr="00A811F7">
              <w:rPr>
                <w:rFonts w:ascii="Times New Roman" w:hAnsi="Times New Roman" w:cs="Times New Roman"/>
                <w:b/>
                <w:bCs/>
                <w:sz w:val="20"/>
                <w:szCs w:val="20"/>
                <w:lang w:val="en-US"/>
              </w:rPr>
              <w:t>ĐỀ</w:t>
            </w:r>
            <w:r w:rsidRPr="00A811F7">
              <w:rPr>
                <w:rFonts w:ascii="Times New Roman" w:hAnsi="Times New Roman" w:cs="Times New Roman"/>
                <w:b/>
                <w:bCs/>
                <w:sz w:val="20"/>
                <w:szCs w:val="20"/>
              </w:rPr>
              <w:t xml:space="preserve"> XU</w:t>
            </w:r>
            <w:r w:rsidRPr="00A811F7">
              <w:rPr>
                <w:rFonts w:ascii="Times New Roman" w:hAnsi="Times New Roman" w:cs="Times New Roman"/>
                <w:b/>
                <w:bCs/>
                <w:sz w:val="20"/>
                <w:szCs w:val="20"/>
                <w:lang w:val="en-US"/>
              </w:rPr>
              <w:t>Ấ</w:t>
            </w:r>
            <w:r w:rsidRPr="00A811F7">
              <w:rPr>
                <w:rFonts w:ascii="Times New Roman" w:hAnsi="Times New Roman" w:cs="Times New Roman"/>
                <w:b/>
                <w:bCs/>
                <w:sz w:val="20"/>
                <w:szCs w:val="20"/>
              </w:rPr>
              <w:t xml:space="preserve">T </w:t>
            </w:r>
          </w:p>
          <w:p w14:paraId="639E919F" w14:textId="1B712018" w:rsidR="00D9288C" w:rsidRPr="00A811F7" w:rsidRDefault="00D9288C" w:rsidP="003828EF">
            <w:pPr>
              <w:spacing w:before="120"/>
              <w:jc w:val="center"/>
              <w:rPr>
                <w:rFonts w:ascii="Times New Roman" w:hAnsi="Times New Roman" w:cs="Times New Roman"/>
                <w:b/>
                <w:bCs/>
                <w:sz w:val="20"/>
                <w:szCs w:val="20"/>
              </w:rPr>
            </w:pPr>
            <w:r w:rsidRPr="00A811F7">
              <w:rPr>
                <w:rFonts w:ascii="Times New Roman" w:hAnsi="Times New Roman" w:cs="Times New Roman"/>
                <w:b/>
                <w:bCs/>
                <w:sz w:val="20"/>
                <w:szCs w:val="20"/>
              </w:rPr>
              <w:t>XỬ LÝ</w:t>
            </w:r>
          </w:p>
        </w:tc>
      </w:tr>
      <w:tr w:rsidR="00D9288C" w:rsidRPr="00A811F7" w14:paraId="248FAD85" w14:textId="77777777" w:rsidTr="00C10833">
        <w:tc>
          <w:tcPr>
            <w:tcW w:w="266" w:type="pct"/>
            <w:shd w:val="clear" w:color="auto" w:fill="FFFFFF"/>
          </w:tcPr>
          <w:p w14:paraId="369892F2" w14:textId="5C3683A5" w:rsidR="00D9288C" w:rsidRDefault="00D9288C" w:rsidP="003828EF">
            <w:pPr>
              <w:spacing w:before="120"/>
              <w:rPr>
                <w:rFonts w:ascii="Times New Roman" w:hAnsi="Times New Roman" w:cs="Times New Roman"/>
                <w:sz w:val="20"/>
                <w:szCs w:val="20"/>
                <w:lang w:val="en-US"/>
              </w:rPr>
            </w:pPr>
            <w:r>
              <w:rPr>
                <w:rFonts w:ascii="Times New Roman" w:hAnsi="Times New Roman" w:cs="Times New Roman"/>
                <w:sz w:val="20"/>
                <w:szCs w:val="20"/>
                <w:lang w:val="en-US"/>
              </w:rPr>
              <w:t>1.</w:t>
            </w:r>
          </w:p>
        </w:tc>
        <w:tc>
          <w:tcPr>
            <w:tcW w:w="1401" w:type="pct"/>
            <w:shd w:val="clear" w:color="auto" w:fill="FFFFFF"/>
          </w:tcPr>
          <w:p w14:paraId="60F0D4C5" w14:textId="5C6F583A" w:rsidR="00D9288C" w:rsidRPr="008C56E8" w:rsidRDefault="00D9288C" w:rsidP="003828EF">
            <w:pPr>
              <w:spacing w:before="120"/>
              <w:rPr>
                <w:rFonts w:ascii="Times New Roman" w:hAnsi="Times New Roman" w:cs="Times New Roman"/>
                <w:sz w:val="20"/>
                <w:szCs w:val="20"/>
                <w:lang w:val="en-US"/>
              </w:rPr>
            </w:pPr>
            <w:r>
              <w:rPr>
                <w:rFonts w:ascii="Times New Roman" w:hAnsi="Times New Roman" w:cs="Times New Roman"/>
                <w:sz w:val="20"/>
                <w:szCs w:val="20"/>
                <w:lang w:val="en-US"/>
              </w:rPr>
              <w:t>Đối tượng áp dụng (Điều 2)</w:t>
            </w:r>
          </w:p>
        </w:tc>
        <w:tc>
          <w:tcPr>
            <w:tcW w:w="1600" w:type="pct"/>
            <w:shd w:val="clear" w:color="auto" w:fill="FFFFFF"/>
          </w:tcPr>
          <w:p w14:paraId="496FE2DA" w14:textId="77777777" w:rsidR="00B95E01" w:rsidRDefault="00B95E01" w:rsidP="00D9288C">
            <w:pPr>
              <w:spacing w:before="120"/>
              <w:ind w:right="132"/>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 </w:t>
            </w:r>
            <w:r w:rsidRPr="00C101DA">
              <w:rPr>
                <w:rFonts w:ascii="Times New Roman" w:hAnsi="Times New Roman" w:cs="Times New Roman"/>
                <w:sz w:val="20"/>
                <w:szCs w:val="20"/>
              </w:rPr>
              <w:t>Nghị quyết số 198/2025/QH15 ngày 17 tháng 5 năm 2025 của Quốc hội</w:t>
            </w:r>
            <w:r>
              <w:rPr>
                <w:rFonts w:ascii="Times New Roman" w:hAnsi="Times New Roman" w:cs="Times New Roman"/>
                <w:sz w:val="20"/>
                <w:szCs w:val="20"/>
                <w:lang w:val="en-US"/>
              </w:rPr>
              <w:t xml:space="preserve">: </w:t>
            </w:r>
          </w:p>
          <w:p w14:paraId="5732C1BA" w14:textId="645E9777" w:rsidR="00B95E01" w:rsidRDefault="00B95E01" w:rsidP="00D9288C">
            <w:pPr>
              <w:spacing w:before="120"/>
              <w:ind w:right="132"/>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 </w:t>
            </w:r>
            <w:r w:rsidRPr="00C101DA">
              <w:rPr>
                <w:rFonts w:ascii="Times New Roman" w:hAnsi="Times New Roman" w:cs="Times New Roman"/>
                <w:sz w:val="20"/>
                <w:szCs w:val="20"/>
                <w:lang w:val="en-US"/>
              </w:rPr>
              <w:t>Doanh nghiệp thuộc khu vực kinh tế tư nhân, hộ kinh doanh, cá nhân kinh doanh được Nhà nước hỗ trợ lãi suất 2%/năm khi vay vốn để thực hiện các dự án xanh, tuần hoàn và áp dụng khung tiêu chuẩn môi trường, xã hội, quản trị (ESG).</w:t>
            </w:r>
            <w:r>
              <w:rPr>
                <w:rFonts w:ascii="Times New Roman" w:hAnsi="Times New Roman" w:cs="Times New Roman"/>
                <w:sz w:val="20"/>
                <w:szCs w:val="20"/>
                <w:lang w:val="en-US"/>
              </w:rPr>
              <w:t xml:space="preserve"> (khoản 1 Điều 9)</w:t>
            </w:r>
          </w:p>
          <w:p w14:paraId="12C119BB" w14:textId="4A5889C3" w:rsidR="00B95E01" w:rsidRPr="00B95E01" w:rsidRDefault="00B95E01" w:rsidP="00B95E01">
            <w:pPr>
              <w:spacing w:before="120"/>
              <w:ind w:right="132"/>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 </w:t>
            </w:r>
            <w:r w:rsidRPr="00B95E01">
              <w:rPr>
                <w:rFonts w:ascii="Times New Roman" w:hAnsi="Times New Roman" w:cs="Times New Roman"/>
                <w:sz w:val="20"/>
                <w:szCs w:val="20"/>
                <w:lang w:val="en-US"/>
              </w:rPr>
              <w:t>Hộ kinh doanh là loại hình kinh doanh do một cá nhân hoặc các thành viên hộ gia đình đăng ký thành lập theo quy định của pháp luật và chịu trách nhiệm bằng toàn bộ tài sản của mình đối với hoạt động kinh doanh của hộ kinh doanh.</w:t>
            </w:r>
            <w:r>
              <w:rPr>
                <w:rFonts w:ascii="Times New Roman" w:hAnsi="Times New Roman" w:cs="Times New Roman"/>
                <w:sz w:val="20"/>
                <w:szCs w:val="20"/>
                <w:lang w:val="en-US"/>
              </w:rPr>
              <w:t xml:space="preserve"> (khoản 2 Điều 3)</w:t>
            </w:r>
          </w:p>
          <w:p w14:paraId="1504E950" w14:textId="77777777" w:rsidR="00B95E01" w:rsidRPr="00B95E01" w:rsidRDefault="00B95E01" w:rsidP="00B95E01">
            <w:pPr>
              <w:spacing w:before="120"/>
              <w:ind w:right="132"/>
              <w:jc w:val="both"/>
              <w:rPr>
                <w:rFonts w:ascii="Times New Roman" w:hAnsi="Times New Roman" w:cs="Times New Roman"/>
                <w:sz w:val="20"/>
                <w:szCs w:val="20"/>
                <w:lang w:val="en-US"/>
              </w:rPr>
            </w:pPr>
          </w:p>
          <w:p w14:paraId="1BE59B01" w14:textId="49877F83" w:rsidR="00B95E01" w:rsidRDefault="00B95E01" w:rsidP="00B95E01">
            <w:pPr>
              <w:spacing w:before="120"/>
              <w:ind w:right="132"/>
              <w:jc w:val="both"/>
              <w:rPr>
                <w:rFonts w:ascii="Times New Roman" w:hAnsi="Times New Roman" w:cs="Times New Roman"/>
                <w:sz w:val="20"/>
                <w:szCs w:val="20"/>
                <w:lang w:val="en-US"/>
              </w:rPr>
            </w:pPr>
            <w:r>
              <w:rPr>
                <w:rFonts w:ascii="Times New Roman" w:hAnsi="Times New Roman" w:cs="Times New Roman"/>
                <w:sz w:val="20"/>
                <w:szCs w:val="20"/>
                <w:lang w:val="en-US"/>
              </w:rPr>
              <w:lastRenderedPageBreak/>
              <w:t>+</w:t>
            </w:r>
            <w:r w:rsidRPr="00B95E01">
              <w:rPr>
                <w:rFonts w:ascii="Times New Roman" w:hAnsi="Times New Roman" w:cs="Times New Roman"/>
                <w:sz w:val="20"/>
                <w:szCs w:val="20"/>
                <w:lang w:val="en-US"/>
              </w:rPr>
              <w:t xml:space="preserve"> Cá nhân kinh doanh là cá nhân có thực hiện hoạt động kinh doanh và chịu trách nhiệm bằng toàn bộ tài sản của mình đối với hoạt động kinh doanh.</w:t>
            </w:r>
            <w:r>
              <w:rPr>
                <w:rFonts w:ascii="Times New Roman" w:hAnsi="Times New Roman" w:cs="Times New Roman"/>
                <w:sz w:val="20"/>
                <w:szCs w:val="20"/>
                <w:lang w:val="en-US"/>
              </w:rPr>
              <w:t xml:space="preserve"> (khoản 3 Điều 3)</w:t>
            </w:r>
          </w:p>
          <w:p w14:paraId="5F61BA19" w14:textId="6D5B0098" w:rsidR="00D9288C" w:rsidRDefault="00D9288C" w:rsidP="00D9288C">
            <w:pPr>
              <w:spacing w:before="120"/>
              <w:ind w:right="132"/>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 Luật Doanh nghiệp: </w:t>
            </w:r>
            <w:r w:rsidRPr="008C56E8">
              <w:rPr>
                <w:rFonts w:ascii="Times New Roman" w:hAnsi="Times New Roman" w:cs="Times New Roman"/>
                <w:sz w:val="20"/>
                <w:szCs w:val="20"/>
                <w:lang w:val="en-US"/>
              </w:rPr>
              <w:t>Doanh nghiệp là tổ chức có tên riêng, có tài sản, có trụ sở giao dịch, được thành lập hoặc đăng ký thành lập theo quy định của pháp luật nhằm mục đích kinh doanh.</w:t>
            </w:r>
            <w:r>
              <w:rPr>
                <w:rFonts w:ascii="Times New Roman" w:hAnsi="Times New Roman" w:cs="Times New Roman"/>
                <w:sz w:val="20"/>
                <w:szCs w:val="20"/>
                <w:lang w:val="en-US"/>
              </w:rPr>
              <w:t xml:space="preserve"> (khoản 10 Điều 4)</w:t>
            </w:r>
          </w:p>
          <w:p w14:paraId="121F7B63" w14:textId="6EDB484C" w:rsidR="00D9288C" w:rsidRPr="008C56E8" w:rsidRDefault="00D9288C" w:rsidP="00D9288C">
            <w:pPr>
              <w:spacing w:before="120"/>
              <w:ind w:right="132"/>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 Luật Các Tổ chức tín dụng: </w:t>
            </w:r>
            <w:r w:rsidRPr="00A456E3">
              <w:rPr>
                <w:rFonts w:ascii="Times New Roman" w:hAnsi="Times New Roman" w:cs="Times New Roman"/>
                <w:sz w:val="20"/>
                <w:szCs w:val="20"/>
                <w:lang w:val="en-US"/>
              </w:rPr>
              <w:t>Tổ chức tín dụng là tổ chức kinh tế có tư cách pháp nhân thực hiện một, một số hoặc tất cả hoạt động ngân hàng theo quy định của Luật này. Tổ chức tín dụng bao gồm ngân hàng, tổ chức tín dụng phi ngân hàng, tổ chức tài chính vi mô và quỹ tín dụng nhân dân.</w:t>
            </w:r>
            <w:r>
              <w:rPr>
                <w:rFonts w:ascii="Times New Roman" w:hAnsi="Times New Roman" w:cs="Times New Roman"/>
                <w:sz w:val="20"/>
                <w:szCs w:val="20"/>
                <w:lang w:val="en-US"/>
              </w:rPr>
              <w:t xml:space="preserve"> (khoản 38 Điều 4)</w:t>
            </w:r>
          </w:p>
        </w:tc>
        <w:tc>
          <w:tcPr>
            <w:tcW w:w="1067" w:type="pct"/>
            <w:shd w:val="clear" w:color="auto" w:fill="FFFFFF"/>
          </w:tcPr>
          <w:p w14:paraId="5CCD3511" w14:textId="7F950E9E" w:rsidR="00D9288C" w:rsidRPr="00A456E3" w:rsidRDefault="00D9288C" w:rsidP="003828EF">
            <w:pPr>
              <w:spacing w:before="120"/>
              <w:rPr>
                <w:rFonts w:ascii="Times New Roman" w:hAnsi="Times New Roman" w:cs="Times New Roman"/>
                <w:sz w:val="20"/>
                <w:szCs w:val="20"/>
                <w:lang w:val="en-US"/>
              </w:rPr>
            </w:pPr>
            <w:r>
              <w:rPr>
                <w:rFonts w:ascii="Times New Roman" w:hAnsi="Times New Roman" w:cs="Times New Roman"/>
                <w:sz w:val="20"/>
                <w:szCs w:val="20"/>
                <w:lang w:val="en-US"/>
              </w:rPr>
              <w:lastRenderedPageBreak/>
              <w:t xml:space="preserve"> Phù hợp với quy định của pháp luật hiện hành</w:t>
            </w:r>
          </w:p>
        </w:tc>
        <w:tc>
          <w:tcPr>
            <w:tcW w:w="666" w:type="pct"/>
            <w:shd w:val="clear" w:color="auto" w:fill="FFFFFF"/>
          </w:tcPr>
          <w:p w14:paraId="4779BE8B" w14:textId="77777777" w:rsidR="00D9288C" w:rsidRPr="00A811F7" w:rsidRDefault="00D9288C" w:rsidP="003828EF">
            <w:pPr>
              <w:spacing w:before="120"/>
              <w:rPr>
                <w:rFonts w:ascii="Times New Roman" w:hAnsi="Times New Roman" w:cs="Times New Roman"/>
                <w:sz w:val="20"/>
                <w:szCs w:val="20"/>
              </w:rPr>
            </w:pPr>
          </w:p>
        </w:tc>
      </w:tr>
      <w:tr w:rsidR="00D9288C" w:rsidRPr="00A811F7" w14:paraId="6AEF4822" w14:textId="77777777" w:rsidTr="00C10833">
        <w:tc>
          <w:tcPr>
            <w:tcW w:w="266" w:type="pct"/>
            <w:shd w:val="clear" w:color="auto" w:fill="FFFFFF"/>
          </w:tcPr>
          <w:p w14:paraId="33ECDF6B" w14:textId="6EED6367" w:rsidR="00D9288C" w:rsidRPr="00D9288C" w:rsidRDefault="00D9288C" w:rsidP="003828EF">
            <w:pPr>
              <w:spacing w:before="120"/>
              <w:rPr>
                <w:rFonts w:ascii="Times New Roman" w:hAnsi="Times New Roman" w:cs="Times New Roman"/>
                <w:sz w:val="20"/>
                <w:szCs w:val="20"/>
                <w:lang w:val="en-US"/>
              </w:rPr>
            </w:pPr>
            <w:r>
              <w:rPr>
                <w:rFonts w:ascii="Times New Roman" w:hAnsi="Times New Roman" w:cs="Times New Roman"/>
                <w:sz w:val="20"/>
                <w:szCs w:val="20"/>
                <w:lang w:val="en-US"/>
              </w:rPr>
              <w:lastRenderedPageBreak/>
              <w:t>2.</w:t>
            </w:r>
          </w:p>
        </w:tc>
        <w:tc>
          <w:tcPr>
            <w:tcW w:w="1401" w:type="pct"/>
            <w:shd w:val="clear" w:color="auto" w:fill="FFFFFF"/>
          </w:tcPr>
          <w:p w14:paraId="370084AF" w14:textId="395DE50E" w:rsidR="00D9288C" w:rsidRPr="00EE20CF" w:rsidRDefault="00D9288C" w:rsidP="003828EF">
            <w:pPr>
              <w:spacing w:before="120"/>
              <w:rPr>
                <w:rFonts w:ascii="Times New Roman" w:hAnsi="Times New Roman" w:cs="Times New Roman"/>
                <w:sz w:val="20"/>
                <w:szCs w:val="20"/>
                <w:lang w:val="en-US"/>
              </w:rPr>
            </w:pPr>
            <w:r w:rsidRPr="00EE20CF">
              <w:rPr>
                <w:rFonts w:ascii="Times New Roman" w:hAnsi="Times New Roman" w:cs="Times New Roman"/>
                <w:sz w:val="20"/>
                <w:szCs w:val="20"/>
              </w:rPr>
              <w:t>Lập dự toán và thực hiện dự toán và quyết toán hỗ trợ lãi suất</w:t>
            </w:r>
            <w:r>
              <w:rPr>
                <w:rFonts w:ascii="Times New Roman" w:hAnsi="Times New Roman" w:cs="Times New Roman"/>
                <w:sz w:val="20"/>
                <w:szCs w:val="20"/>
                <w:lang w:val="en-US"/>
              </w:rPr>
              <w:t xml:space="preserve"> (Điều </w:t>
            </w:r>
            <w:r w:rsidR="00AC614E">
              <w:rPr>
                <w:rFonts w:ascii="Times New Roman" w:hAnsi="Times New Roman" w:cs="Times New Roman"/>
                <w:sz w:val="20"/>
                <w:szCs w:val="20"/>
                <w:lang w:val="en-US"/>
              </w:rPr>
              <w:t>5</w:t>
            </w:r>
            <w:r>
              <w:rPr>
                <w:rFonts w:ascii="Times New Roman" w:hAnsi="Times New Roman" w:cs="Times New Roman"/>
                <w:sz w:val="20"/>
                <w:szCs w:val="20"/>
                <w:lang w:val="en-US"/>
              </w:rPr>
              <w:t>)</w:t>
            </w:r>
          </w:p>
        </w:tc>
        <w:tc>
          <w:tcPr>
            <w:tcW w:w="1600" w:type="pct"/>
            <w:shd w:val="clear" w:color="auto" w:fill="FFFFFF"/>
          </w:tcPr>
          <w:p w14:paraId="29EEFE59" w14:textId="2E6B6D0E" w:rsidR="00D9288C" w:rsidRPr="00683564" w:rsidRDefault="00D9288C" w:rsidP="00D9288C">
            <w:pPr>
              <w:spacing w:before="120"/>
              <w:ind w:right="132"/>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 Luật Ngân sách nhà nước </w:t>
            </w:r>
            <w:r w:rsidR="00275C19">
              <w:rPr>
                <w:rFonts w:ascii="Times New Roman" w:hAnsi="Times New Roman" w:cs="Times New Roman"/>
                <w:sz w:val="20"/>
                <w:szCs w:val="20"/>
                <w:lang w:val="en-US"/>
              </w:rPr>
              <w:t xml:space="preserve">năm 2025 </w:t>
            </w:r>
            <w:r>
              <w:rPr>
                <w:rFonts w:ascii="Times New Roman" w:hAnsi="Times New Roman" w:cs="Times New Roman"/>
                <w:sz w:val="20"/>
                <w:szCs w:val="20"/>
                <w:lang w:val="en-US"/>
              </w:rPr>
              <w:t>(Chương IV. Lập dự toán ngân sách nhà nước</w:t>
            </w:r>
            <w:r w:rsidR="00275C19">
              <w:rPr>
                <w:rFonts w:ascii="Times New Roman" w:hAnsi="Times New Roman" w:cs="Times New Roman"/>
                <w:sz w:val="20"/>
                <w:szCs w:val="20"/>
                <w:lang w:val="en-US"/>
              </w:rPr>
              <w:t>; Chương V. Chấp hành ngân sách nhà nước; Chương VI. Kế toán, kiểm toán và quyết toán ngân sách nhà nước)</w:t>
            </w:r>
          </w:p>
        </w:tc>
        <w:tc>
          <w:tcPr>
            <w:tcW w:w="1067" w:type="pct"/>
            <w:shd w:val="clear" w:color="auto" w:fill="FFFFFF"/>
          </w:tcPr>
          <w:p w14:paraId="50A06ED4" w14:textId="094CEE53" w:rsidR="00D9288C" w:rsidRPr="00A811F7" w:rsidRDefault="00D9288C" w:rsidP="003828EF">
            <w:pPr>
              <w:spacing w:before="120"/>
              <w:rPr>
                <w:rFonts w:ascii="Times New Roman" w:hAnsi="Times New Roman" w:cs="Times New Roman"/>
                <w:sz w:val="20"/>
                <w:szCs w:val="20"/>
              </w:rPr>
            </w:pPr>
            <w:r>
              <w:rPr>
                <w:rFonts w:ascii="Times New Roman" w:hAnsi="Times New Roman" w:cs="Times New Roman"/>
                <w:sz w:val="20"/>
                <w:szCs w:val="20"/>
                <w:lang w:val="en-US"/>
              </w:rPr>
              <w:t>Phù hợp với quy định của pháp luật hiện hành</w:t>
            </w:r>
          </w:p>
        </w:tc>
        <w:tc>
          <w:tcPr>
            <w:tcW w:w="666" w:type="pct"/>
            <w:shd w:val="clear" w:color="auto" w:fill="FFFFFF"/>
          </w:tcPr>
          <w:p w14:paraId="35C89455" w14:textId="77777777" w:rsidR="00D9288C" w:rsidRPr="00A811F7" w:rsidRDefault="00D9288C" w:rsidP="003828EF">
            <w:pPr>
              <w:spacing w:before="120"/>
              <w:rPr>
                <w:rFonts w:ascii="Times New Roman" w:hAnsi="Times New Roman" w:cs="Times New Roman"/>
                <w:sz w:val="20"/>
                <w:szCs w:val="20"/>
              </w:rPr>
            </w:pPr>
          </w:p>
        </w:tc>
      </w:tr>
      <w:tr w:rsidR="00D9288C" w:rsidRPr="00A811F7" w14:paraId="1CFFD30C" w14:textId="77777777" w:rsidTr="00C10833">
        <w:tc>
          <w:tcPr>
            <w:tcW w:w="266" w:type="pct"/>
            <w:shd w:val="clear" w:color="auto" w:fill="FFFFFF"/>
          </w:tcPr>
          <w:p w14:paraId="7D7AC20D" w14:textId="2F228F9A" w:rsidR="00D9288C" w:rsidRPr="00D9288C" w:rsidRDefault="00AC614E" w:rsidP="003828EF">
            <w:pPr>
              <w:spacing w:before="120"/>
              <w:rPr>
                <w:rFonts w:ascii="Times New Roman" w:hAnsi="Times New Roman" w:cs="Times New Roman"/>
                <w:sz w:val="20"/>
                <w:szCs w:val="20"/>
                <w:lang w:val="en-US"/>
              </w:rPr>
            </w:pPr>
            <w:r>
              <w:rPr>
                <w:rFonts w:ascii="Times New Roman" w:hAnsi="Times New Roman" w:cs="Times New Roman"/>
                <w:sz w:val="20"/>
                <w:szCs w:val="20"/>
                <w:lang w:val="en-US"/>
              </w:rPr>
              <w:t>3</w:t>
            </w:r>
            <w:r w:rsidR="00D9288C">
              <w:rPr>
                <w:rFonts w:ascii="Times New Roman" w:hAnsi="Times New Roman" w:cs="Times New Roman"/>
                <w:sz w:val="20"/>
                <w:szCs w:val="20"/>
                <w:lang w:val="en-US"/>
              </w:rPr>
              <w:t>.</w:t>
            </w:r>
          </w:p>
        </w:tc>
        <w:tc>
          <w:tcPr>
            <w:tcW w:w="1401" w:type="pct"/>
            <w:shd w:val="clear" w:color="auto" w:fill="FFFFFF"/>
          </w:tcPr>
          <w:p w14:paraId="28700F4C" w14:textId="414C21F0" w:rsidR="00D9288C" w:rsidRPr="00683564" w:rsidRDefault="00D9288C" w:rsidP="003828EF">
            <w:pPr>
              <w:spacing w:before="120"/>
              <w:rPr>
                <w:rFonts w:ascii="Times New Roman" w:hAnsi="Times New Roman" w:cs="Times New Roman"/>
                <w:sz w:val="20"/>
                <w:szCs w:val="20"/>
                <w:lang w:val="en-US"/>
              </w:rPr>
            </w:pPr>
            <w:r w:rsidRPr="00683564">
              <w:rPr>
                <w:rFonts w:ascii="Times New Roman" w:hAnsi="Times New Roman" w:cs="Times New Roman"/>
                <w:sz w:val="20"/>
                <w:szCs w:val="20"/>
              </w:rPr>
              <w:t xml:space="preserve">Nguồn </w:t>
            </w:r>
            <w:r w:rsidR="00AC614E">
              <w:rPr>
                <w:rFonts w:ascii="Times New Roman" w:hAnsi="Times New Roman" w:cs="Times New Roman"/>
                <w:sz w:val="20"/>
                <w:szCs w:val="20"/>
                <w:lang w:val="en-US"/>
              </w:rPr>
              <w:t>vốn thực hiện chính sách</w:t>
            </w:r>
            <w:r>
              <w:rPr>
                <w:rFonts w:ascii="Times New Roman" w:hAnsi="Times New Roman" w:cs="Times New Roman"/>
                <w:sz w:val="20"/>
                <w:szCs w:val="20"/>
                <w:lang w:val="en-US"/>
              </w:rPr>
              <w:t xml:space="preserve"> (Điều </w:t>
            </w:r>
            <w:r w:rsidR="00AC614E">
              <w:rPr>
                <w:rFonts w:ascii="Times New Roman" w:hAnsi="Times New Roman" w:cs="Times New Roman"/>
                <w:sz w:val="20"/>
                <w:szCs w:val="20"/>
                <w:lang w:val="en-US"/>
              </w:rPr>
              <w:t>6</w:t>
            </w:r>
            <w:r>
              <w:rPr>
                <w:rFonts w:ascii="Times New Roman" w:hAnsi="Times New Roman" w:cs="Times New Roman"/>
                <w:sz w:val="20"/>
                <w:szCs w:val="20"/>
                <w:lang w:val="en-US"/>
              </w:rPr>
              <w:t>)</w:t>
            </w:r>
          </w:p>
        </w:tc>
        <w:tc>
          <w:tcPr>
            <w:tcW w:w="1600" w:type="pct"/>
            <w:shd w:val="clear" w:color="auto" w:fill="FFFFFF"/>
          </w:tcPr>
          <w:p w14:paraId="27909826" w14:textId="06686A45" w:rsidR="00A54F55" w:rsidRPr="00A54F55" w:rsidRDefault="00A54F55" w:rsidP="00A54F55">
            <w:pPr>
              <w:spacing w:before="120"/>
              <w:ind w:right="132"/>
              <w:jc w:val="both"/>
              <w:rPr>
                <w:rFonts w:ascii="Times New Roman" w:hAnsi="Times New Roman" w:cs="Times New Roman"/>
                <w:sz w:val="20"/>
                <w:szCs w:val="20"/>
                <w:lang w:val="en-US"/>
              </w:rPr>
            </w:pPr>
            <w:r>
              <w:rPr>
                <w:rFonts w:ascii="Times New Roman" w:hAnsi="Times New Roman" w:cs="Times New Roman"/>
                <w:sz w:val="20"/>
                <w:szCs w:val="20"/>
                <w:lang w:val="en-US"/>
              </w:rPr>
              <w:t>-</w:t>
            </w:r>
            <w:r w:rsidRPr="00A54F55">
              <w:rPr>
                <w:rFonts w:ascii="Times New Roman" w:hAnsi="Times New Roman" w:cs="Times New Roman"/>
                <w:sz w:val="20"/>
                <w:szCs w:val="20"/>
                <w:lang w:val="en-US"/>
              </w:rPr>
              <w:t xml:space="preserve"> Nghị quyết 198/2025/QH15 chỉ quy định: “Doanh nghiệp thuộc khu vực kinh tế tư nhân, hộ kinh doanh, cá nhân kinh doanh được Nhà nước hỗ trợ lãi suất 2%/năm khi vay vốn để thực hiện các dự án xanh, tuần hoàn và áp dụng khung tiêu chuẩn môi trường, xã hội, quản trị (ESG)”. Nghị quyết của Quốc hội không quy định cụ thể nguồn vốn HTLS, do vậy cơ quan soạn thảo đề xuất quy định sử dụng nguồn NSNN phù hợp với Nghị quyết 198/2025/QH15. </w:t>
            </w:r>
          </w:p>
          <w:p w14:paraId="7129AD9D" w14:textId="113C8D8D" w:rsidR="00A54F55" w:rsidRPr="00A54F55" w:rsidRDefault="00A54F55" w:rsidP="00A54F55">
            <w:pPr>
              <w:spacing w:before="120"/>
              <w:ind w:right="132"/>
              <w:jc w:val="both"/>
              <w:rPr>
                <w:rFonts w:ascii="Times New Roman" w:hAnsi="Times New Roman" w:cs="Times New Roman"/>
                <w:sz w:val="20"/>
                <w:szCs w:val="20"/>
                <w:lang w:val="en-US"/>
              </w:rPr>
            </w:pPr>
            <w:r>
              <w:rPr>
                <w:rFonts w:ascii="Times New Roman" w:hAnsi="Times New Roman" w:cs="Times New Roman"/>
                <w:sz w:val="20"/>
                <w:szCs w:val="20"/>
                <w:lang w:val="en-US"/>
              </w:rPr>
              <w:t>-</w:t>
            </w:r>
            <w:r w:rsidRPr="00A54F55">
              <w:rPr>
                <w:rFonts w:ascii="Times New Roman" w:hAnsi="Times New Roman" w:cs="Times New Roman"/>
                <w:sz w:val="20"/>
                <w:szCs w:val="20"/>
                <w:lang w:val="en-US"/>
              </w:rPr>
              <w:t xml:space="preserve"> Luật Ngân sách nhà nước năm 2025 quy định:</w:t>
            </w:r>
          </w:p>
          <w:p w14:paraId="66F648A2" w14:textId="77777777" w:rsidR="00A54F55" w:rsidRPr="00A54F55" w:rsidRDefault="00A54F55" w:rsidP="00A54F55">
            <w:pPr>
              <w:spacing w:before="120"/>
              <w:ind w:right="132"/>
              <w:jc w:val="both"/>
              <w:rPr>
                <w:rFonts w:ascii="Times New Roman" w:hAnsi="Times New Roman" w:cs="Times New Roman"/>
                <w:sz w:val="20"/>
                <w:szCs w:val="20"/>
                <w:lang w:val="en-US"/>
              </w:rPr>
            </w:pPr>
            <w:r w:rsidRPr="00A54F55">
              <w:rPr>
                <w:rFonts w:ascii="Times New Roman" w:hAnsi="Times New Roman" w:cs="Times New Roman"/>
                <w:sz w:val="20"/>
                <w:szCs w:val="20"/>
                <w:lang w:val="en-US"/>
              </w:rPr>
              <w:t>(i) Số bổ sung cân đối ngân sách là khoản bổ sung từ ngân sách cấp trên cho ngân sách cấp dưới nhằm bảo đảm cho chính quyền cấp dưới cân đối ngân sách để thực hiện nhiệm vụ được giao. (Khoản 24 Điều 4 Luật NSNN)</w:t>
            </w:r>
          </w:p>
          <w:p w14:paraId="114D5E93" w14:textId="77777777" w:rsidR="00A54F55" w:rsidRPr="00A54F55" w:rsidRDefault="00A54F55" w:rsidP="00A54F55">
            <w:pPr>
              <w:spacing w:before="120"/>
              <w:ind w:right="132"/>
              <w:jc w:val="both"/>
              <w:rPr>
                <w:rFonts w:ascii="Times New Roman" w:hAnsi="Times New Roman" w:cs="Times New Roman"/>
                <w:sz w:val="20"/>
                <w:szCs w:val="20"/>
                <w:lang w:val="en-US"/>
              </w:rPr>
            </w:pPr>
            <w:r w:rsidRPr="00A54F55">
              <w:rPr>
                <w:rFonts w:ascii="Times New Roman" w:hAnsi="Times New Roman" w:cs="Times New Roman"/>
                <w:sz w:val="20"/>
                <w:szCs w:val="20"/>
                <w:lang w:val="en-US"/>
              </w:rPr>
              <w:t xml:space="preserve">(ii) Ngân sách địa phương được sử dụng nguồn thu được hưởng 100%, số thu được phân chia theo tỷ lệ phần trăm (%) đối với các khoản thu phân chia và số bổ sung cân đối từ ngân sách cấp trên để cân đối thu, chi ngân sách cấp mình thực hiện các nhiệm vụ kinh tế - xã hội, quốc phòng, an ninh được giao. (Khoản 1 Điều 42 Luật NSNN) </w:t>
            </w:r>
          </w:p>
          <w:p w14:paraId="6E07A3A2" w14:textId="6031DA35" w:rsidR="00D9288C" w:rsidRPr="00F779E2" w:rsidRDefault="00A54F55" w:rsidP="00A54F55">
            <w:pPr>
              <w:spacing w:before="120"/>
              <w:ind w:right="132"/>
              <w:jc w:val="both"/>
              <w:rPr>
                <w:rFonts w:ascii="Times New Roman" w:hAnsi="Times New Roman" w:cs="Times New Roman"/>
                <w:sz w:val="20"/>
                <w:szCs w:val="20"/>
                <w:lang w:val="en-US"/>
              </w:rPr>
            </w:pPr>
            <w:r w:rsidRPr="00A54F55">
              <w:rPr>
                <w:rFonts w:ascii="Times New Roman" w:hAnsi="Times New Roman" w:cs="Times New Roman"/>
                <w:sz w:val="20"/>
                <w:szCs w:val="20"/>
                <w:lang w:val="en-US"/>
              </w:rPr>
              <w:t xml:space="preserve">(iii) Ngân sách trung ương giữ vai trò chủ đạo, bảo đảm thực hiện các nhiệm vụ chi quốc gia, hỗ trợ địa phương chưa cân đối được ngân sách và hỗ trợ địa </w:t>
            </w:r>
            <w:r w:rsidRPr="00A54F55">
              <w:rPr>
                <w:rFonts w:ascii="Times New Roman" w:hAnsi="Times New Roman" w:cs="Times New Roman"/>
                <w:sz w:val="20"/>
                <w:szCs w:val="20"/>
                <w:lang w:val="en-US"/>
              </w:rPr>
              <w:lastRenderedPageBreak/>
              <w:t>phương theo quy định tại Điều 43 của Luật này. (Khoản 2 Điều 9 Luật NSNN)</w:t>
            </w:r>
          </w:p>
        </w:tc>
        <w:tc>
          <w:tcPr>
            <w:tcW w:w="1067" w:type="pct"/>
            <w:shd w:val="clear" w:color="auto" w:fill="FFFFFF"/>
          </w:tcPr>
          <w:p w14:paraId="361D7391" w14:textId="46D49271" w:rsidR="00D9288C" w:rsidRDefault="00D9288C" w:rsidP="003828EF">
            <w:pPr>
              <w:spacing w:before="120"/>
              <w:rPr>
                <w:rFonts w:ascii="Times New Roman" w:hAnsi="Times New Roman" w:cs="Times New Roman"/>
                <w:sz w:val="20"/>
                <w:szCs w:val="20"/>
                <w:lang w:val="en-US"/>
              </w:rPr>
            </w:pPr>
            <w:r>
              <w:rPr>
                <w:rFonts w:ascii="Times New Roman" w:hAnsi="Times New Roman" w:cs="Times New Roman"/>
                <w:sz w:val="20"/>
                <w:szCs w:val="20"/>
                <w:lang w:val="en-US"/>
              </w:rPr>
              <w:lastRenderedPageBreak/>
              <w:t>Phù hợp với quy định của pháp luật hiện hành</w:t>
            </w:r>
          </w:p>
        </w:tc>
        <w:tc>
          <w:tcPr>
            <w:tcW w:w="666" w:type="pct"/>
            <w:shd w:val="clear" w:color="auto" w:fill="FFFFFF"/>
          </w:tcPr>
          <w:p w14:paraId="22E742F1" w14:textId="77777777" w:rsidR="00D9288C" w:rsidRPr="00A811F7" w:rsidRDefault="00D9288C" w:rsidP="003828EF">
            <w:pPr>
              <w:spacing w:before="120"/>
              <w:rPr>
                <w:rFonts w:ascii="Times New Roman" w:hAnsi="Times New Roman" w:cs="Times New Roman"/>
                <w:sz w:val="20"/>
                <w:szCs w:val="20"/>
              </w:rPr>
            </w:pPr>
          </w:p>
        </w:tc>
      </w:tr>
      <w:tr w:rsidR="00AC614E" w:rsidRPr="00A811F7" w14:paraId="027521DC" w14:textId="77777777" w:rsidTr="00C10833">
        <w:tc>
          <w:tcPr>
            <w:tcW w:w="266" w:type="pct"/>
            <w:shd w:val="clear" w:color="auto" w:fill="FFFFFF"/>
          </w:tcPr>
          <w:p w14:paraId="7456B8C5" w14:textId="4710323F" w:rsidR="00AC614E" w:rsidRDefault="00AC614E" w:rsidP="003828EF">
            <w:pPr>
              <w:spacing w:before="120"/>
              <w:rPr>
                <w:rFonts w:ascii="Times New Roman" w:hAnsi="Times New Roman" w:cs="Times New Roman"/>
                <w:sz w:val="20"/>
                <w:szCs w:val="20"/>
                <w:lang w:val="en-US"/>
              </w:rPr>
            </w:pPr>
            <w:r>
              <w:rPr>
                <w:rFonts w:ascii="Times New Roman" w:hAnsi="Times New Roman" w:cs="Times New Roman"/>
                <w:sz w:val="20"/>
                <w:szCs w:val="20"/>
                <w:lang w:val="en-US"/>
              </w:rPr>
              <w:lastRenderedPageBreak/>
              <w:t>4.</w:t>
            </w:r>
          </w:p>
        </w:tc>
        <w:tc>
          <w:tcPr>
            <w:tcW w:w="1401" w:type="pct"/>
            <w:shd w:val="clear" w:color="auto" w:fill="FFFFFF"/>
          </w:tcPr>
          <w:p w14:paraId="3DFB40FF" w14:textId="7C8CD49F" w:rsidR="00AC614E" w:rsidRPr="00AC614E" w:rsidRDefault="00AC614E" w:rsidP="003828EF">
            <w:pPr>
              <w:spacing w:before="120"/>
              <w:rPr>
                <w:rFonts w:ascii="Times New Roman" w:hAnsi="Times New Roman" w:cs="Times New Roman"/>
                <w:sz w:val="20"/>
                <w:szCs w:val="20"/>
                <w:lang w:val="en-US"/>
              </w:rPr>
            </w:pPr>
            <w:r>
              <w:rPr>
                <w:rFonts w:ascii="Times New Roman" w:hAnsi="Times New Roman" w:cs="Times New Roman"/>
                <w:sz w:val="20"/>
                <w:szCs w:val="20"/>
                <w:lang w:val="en-US"/>
              </w:rPr>
              <w:t>Xử lý thu hồi số tiền đã hỗ trợ lãi suất (Điều 7)</w:t>
            </w:r>
          </w:p>
        </w:tc>
        <w:tc>
          <w:tcPr>
            <w:tcW w:w="1600" w:type="pct"/>
            <w:shd w:val="clear" w:color="auto" w:fill="FFFFFF"/>
          </w:tcPr>
          <w:p w14:paraId="6AF951F9" w14:textId="62077E07" w:rsidR="00AC614E" w:rsidRDefault="00C10833" w:rsidP="00D9288C">
            <w:pPr>
              <w:spacing w:before="120"/>
              <w:ind w:right="132"/>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Nghị quyết số </w:t>
            </w:r>
            <w:r w:rsidRPr="00683564">
              <w:rPr>
                <w:rFonts w:ascii="Times New Roman" w:hAnsi="Times New Roman" w:cs="Times New Roman"/>
                <w:sz w:val="20"/>
                <w:szCs w:val="20"/>
              </w:rPr>
              <w:t>198/2025/QH15 ngày 17 tháng 5 năm 2025 của Quốc hội về một số cơ chế, chính sách đặc biệt phát triển kinh tế tư nhân</w:t>
            </w:r>
            <w:r>
              <w:rPr>
                <w:rFonts w:ascii="Times New Roman" w:hAnsi="Times New Roman" w:cs="Times New Roman"/>
                <w:sz w:val="20"/>
                <w:szCs w:val="20"/>
                <w:lang w:val="en-US"/>
              </w:rPr>
              <w:t xml:space="preserve"> quy định:…B</w:t>
            </w:r>
            <w:r w:rsidRPr="00C10833">
              <w:rPr>
                <w:rFonts w:ascii="Times New Roman" w:hAnsi="Times New Roman" w:cs="Times New Roman"/>
                <w:sz w:val="20"/>
                <w:szCs w:val="20"/>
                <w:lang w:val="en-US"/>
              </w:rPr>
              <w:t>ảo đảm công khai, minh bạch, hiệu quả và khả thi; không để trục lợi chính sách, thất thoát, lãng phí.</w:t>
            </w:r>
          </w:p>
        </w:tc>
        <w:tc>
          <w:tcPr>
            <w:tcW w:w="1067" w:type="pct"/>
            <w:shd w:val="clear" w:color="auto" w:fill="FFFFFF"/>
          </w:tcPr>
          <w:p w14:paraId="79CAA767" w14:textId="47A15A7A" w:rsidR="00AC614E" w:rsidRDefault="00C10833" w:rsidP="003828EF">
            <w:pPr>
              <w:spacing w:before="120"/>
              <w:rPr>
                <w:rFonts w:ascii="Times New Roman" w:hAnsi="Times New Roman" w:cs="Times New Roman"/>
                <w:sz w:val="20"/>
                <w:szCs w:val="20"/>
                <w:lang w:val="en-US"/>
              </w:rPr>
            </w:pPr>
            <w:r>
              <w:rPr>
                <w:rFonts w:ascii="Times New Roman" w:hAnsi="Times New Roman" w:cs="Times New Roman"/>
                <w:sz w:val="20"/>
                <w:szCs w:val="20"/>
                <w:lang w:val="en-US"/>
              </w:rPr>
              <w:t>Phù hợp với quy định của pháp luật hiện hành</w:t>
            </w:r>
          </w:p>
        </w:tc>
        <w:tc>
          <w:tcPr>
            <w:tcW w:w="666" w:type="pct"/>
            <w:shd w:val="clear" w:color="auto" w:fill="FFFFFF"/>
          </w:tcPr>
          <w:p w14:paraId="6E8514A0" w14:textId="77777777" w:rsidR="00AC614E" w:rsidRPr="00A811F7" w:rsidRDefault="00AC614E" w:rsidP="003828EF">
            <w:pPr>
              <w:spacing w:before="120"/>
              <w:rPr>
                <w:rFonts w:ascii="Times New Roman" w:hAnsi="Times New Roman" w:cs="Times New Roman"/>
                <w:sz w:val="20"/>
                <w:szCs w:val="20"/>
              </w:rPr>
            </w:pPr>
          </w:p>
        </w:tc>
      </w:tr>
    </w:tbl>
    <w:p w14:paraId="1B3AA6BE" w14:textId="0FAF0E85" w:rsidR="003551DE" w:rsidRPr="00F779E2" w:rsidRDefault="003551DE" w:rsidP="003551DE">
      <w:pPr>
        <w:spacing w:before="120"/>
        <w:rPr>
          <w:rFonts w:ascii="Times New Roman" w:hAnsi="Times New Roman" w:cs="Times New Roman"/>
          <w:b/>
          <w:bCs/>
          <w:sz w:val="28"/>
          <w:szCs w:val="28"/>
        </w:rPr>
      </w:pPr>
      <w:r w:rsidRPr="00F779E2">
        <w:rPr>
          <w:rFonts w:ascii="Times New Roman" w:hAnsi="Times New Roman" w:cs="Times New Roman"/>
          <w:b/>
          <w:bCs/>
          <w:sz w:val="28"/>
          <w:szCs w:val="28"/>
        </w:rPr>
        <w:t>3. Điều ước quốc tế có liên quan đến dự thảo</w:t>
      </w:r>
    </w:p>
    <w:tbl>
      <w:tblPr>
        <w:tblOverlap w:val="never"/>
        <w:tblW w:w="5864" w:type="pct"/>
        <w:tblInd w:w="-99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4A0" w:firstRow="1" w:lastRow="0" w:firstColumn="1" w:lastColumn="0" w:noHBand="0" w:noVBand="1"/>
      </w:tblPr>
      <w:tblGrid>
        <w:gridCol w:w="567"/>
        <w:gridCol w:w="1990"/>
        <w:gridCol w:w="4398"/>
        <w:gridCol w:w="2272"/>
        <w:gridCol w:w="1420"/>
      </w:tblGrid>
      <w:tr w:rsidR="00D9288C" w:rsidRPr="00A811F7" w14:paraId="5A927CEF" w14:textId="77777777" w:rsidTr="00D9288C">
        <w:tc>
          <w:tcPr>
            <w:tcW w:w="266" w:type="pct"/>
            <w:shd w:val="clear" w:color="auto" w:fill="FFFFFF"/>
          </w:tcPr>
          <w:p w14:paraId="186E27F4" w14:textId="744B9C39" w:rsidR="00D9288C" w:rsidRPr="00D9288C" w:rsidRDefault="00D9288C" w:rsidP="003828EF">
            <w:pPr>
              <w:spacing w:before="120"/>
              <w:jc w:val="center"/>
              <w:rPr>
                <w:rFonts w:ascii="Times New Roman" w:hAnsi="Times New Roman" w:cs="Times New Roman"/>
                <w:b/>
                <w:bCs/>
                <w:sz w:val="20"/>
                <w:szCs w:val="20"/>
                <w:lang w:val="en-US"/>
              </w:rPr>
            </w:pPr>
            <w:r>
              <w:rPr>
                <w:rFonts w:ascii="Times New Roman" w:hAnsi="Times New Roman" w:cs="Times New Roman"/>
                <w:b/>
                <w:bCs/>
                <w:sz w:val="20"/>
                <w:szCs w:val="20"/>
                <w:lang w:val="en-US"/>
              </w:rPr>
              <w:t>STT</w:t>
            </w:r>
          </w:p>
        </w:tc>
        <w:tc>
          <w:tcPr>
            <w:tcW w:w="934" w:type="pct"/>
            <w:shd w:val="clear" w:color="auto" w:fill="FFFFFF"/>
            <w:vAlign w:val="center"/>
          </w:tcPr>
          <w:p w14:paraId="341B8EF5" w14:textId="22790980" w:rsidR="00D9288C" w:rsidRPr="00A811F7" w:rsidRDefault="00D9288C" w:rsidP="003828EF">
            <w:pPr>
              <w:spacing w:before="120"/>
              <w:jc w:val="center"/>
              <w:rPr>
                <w:rFonts w:ascii="Times New Roman" w:hAnsi="Times New Roman" w:cs="Times New Roman"/>
                <w:b/>
                <w:bCs/>
                <w:sz w:val="20"/>
                <w:szCs w:val="20"/>
              </w:rPr>
            </w:pPr>
            <w:r w:rsidRPr="00A811F7">
              <w:rPr>
                <w:rFonts w:ascii="Times New Roman" w:hAnsi="Times New Roman" w:cs="Times New Roman"/>
                <w:b/>
                <w:bCs/>
                <w:sz w:val="20"/>
                <w:szCs w:val="20"/>
              </w:rPr>
              <w:t>QUY ĐỊNH CỦA DỰ THẢO VĂN BẢN</w:t>
            </w:r>
          </w:p>
        </w:tc>
        <w:tc>
          <w:tcPr>
            <w:tcW w:w="2065" w:type="pct"/>
            <w:shd w:val="clear" w:color="auto" w:fill="FFFFFF"/>
            <w:vAlign w:val="center"/>
          </w:tcPr>
          <w:p w14:paraId="20480EDE" w14:textId="77777777" w:rsidR="00D9288C" w:rsidRPr="00A811F7" w:rsidRDefault="00D9288C" w:rsidP="003828EF">
            <w:pPr>
              <w:spacing w:before="120"/>
              <w:jc w:val="center"/>
              <w:rPr>
                <w:rFonts w:ascii="Times New Roman" w:hAnsi="Times New Roman" w:cs="Times New Roman"/>
                <w:b/>
                <w:bCs/>
                <w:sz w:val="20"/>
                <w:szCs w:val="20"/>
              </w:rPr>
            </w:pPr>
            <w:r w:rsidRPr="00A811F7">
              <w:rPr>
                <w:rFonts w:ascii="Times New Roman" w:hAnsi="Times New Roman" w:cs="Times New Roman"/>
                <w:b/>
                <w:bCs/>
                <w:sz w:val="20"/>
                <w:szCs w:val="20"/>
              </w:rPr>
              <w:t>QUY ĐỊNH CỦA ĐIỀU ƯỚC QUỐC TẾ CÓ LIÊN QUAN</w:t>
            </w:r>
          </w:p>
        </w:tc>
        <w:tc>
          <w:tcPr>
            <w:tcW w:w="1067" w:type="pct"/>
            <w:shd w:val="clear" w:color="auto" w:fill="FFFFFF"/>
            <w:vAlign w:val="center"/>
          </w:tcPr>
          <w:p w14:paraId="076F2787" w14:textId="77777777" w:rsidR="00D9288C" w:rsidRPr="00A811F7" w:rsidRDefault="00D9288C" w:rsidP="003828EF">
            <w:pPr>
              <w:spacing w:before="120"/>
              <w:jc w:val="center"/>
              <w:rPr>
                <w:rFonts w:ascii="Times New Roman" w:hAnsi="Times New Roman" w:cs="Times New Roman"/>
                <w:b/>
                <w:bCs/>
                <w:sz w:val="20"/>
                <w:szCs w:val="20"/>
              </w:rPr>
            </w:pPr>
            <w:r w:rsidRPr="00A811F7">
              <w:rPr>
                <w:rFonts w:ascii="Times New Roman" w:hAnsi="Times New Roman" w:cs="Times New Roman"/>
                <w:b/>
                <w:bCs/>
                <w:sz w:val="20"/>
                <w:szCs w:val="20"/>
              </w:rPr>
              <w:t>ĐÁNH GIÁ</w:t>
            </w:r>
            <w:r w:rsidRPr="00A811F7">
              <w:rPr>
                <w:rFonts w:ascii="Times New Roman" w:hAnsi="Times New Roman" w:cs="Times New Roman"/>
                <w:b/>
                <w:bCs/>
                <w:sz w:val="20"/>
                <w:szCs w:val="20"/>
              </w:rPr>
              <w:br/>
              <w:t>(Tính tương thích)</w:t>
            </w:r>
          </w:p>
        </w:tc>
        <w:tc>
          <w:tcPr>
            <w:tcW w:w="667" w:type="pct"/>
            <w:shd w:val="clear" w:color="auto" w:fill="FFFFFF"/>
            <w:vAlign w:val="center"/>
          </w:tcPr>
          <w:p w14:paraId="33D61169" w14:textId="77777777" w:rsidR="00D9288C" w:rsidRDefault="00D9288C" w:rsidP="003828EF">
            <w:pPr>
              <w:spacing w:before="120"/>
              <w:jc w:val="center"/>
              <w:rPr>
                <w:rFonts w:ascii="Times New Roman" w:hAnsi="Times New Roman" w:cs="Times New Roman"/>
                <w:b/>
                <w:bCs/>
                <w:sz w:val="20"/>
                <w:szCs w:val="20"/>
              </w:rPr>
            </w:pPr>
            <w:r w:rsidRPr="00A811F7">
              <w:rPr>
                <w:rFonts w:ascii="Times New Roman" w:hAnsi="Times New Roman" w:cs="Times New Roman"/>
                <w:b/>
                <w:bCs/>
                <w:sz w:val="20"/>
                <w:szCs w:val="20"/>
              </w:rPr>
              <w:t>ĐỀ XU</w:t>
            </w:r>
            <w:r w:rsidRPr="00A811F7">
              <w:rPr>
                <w:rFonts w:ascii="Times New Roman" w:hAnsi="Times New Roman" w:cs="Times New Roman"/>
                <w:b/>
                <w:bCs/>
                <w:sz w:val="20"/>
                <w:szCs w:val="20"/>
                <w:lang w:val="en-US"/>
              </w:rPr>
              <w:t>Ấ</w:t>
            </w:r>
            <w:r w:rsidRPr="00A811F7">
              <w:rPr>
                <w:rFonts w:ascii="Times New Roman" w:hAnsi="Times New Roman" w:cs="Times New Roman"/>
                <w:b/>
                <w:bCs/>
                <w:sz w:val="20"/>
                <w:szCs w:val="20"/>
              </w:rPr>
              <w:t xml:space="preserve">T </w:t>
            </w:r>
          </w:p>
          <w:p w14:paraId="4E4C2774" w14:textId="793CFD80" w:rsidR="00D9288C" w:rsidRPr="00A811F7" w:rsidRDefault="00D9288C" w:rsidP="003828EF">
            <w:pPr>
              <w:spacing w:before="120"/>
              <w:jc w:val="center"/>
              <w:rPr>
                <w:rFonts w:ascii="Times New Roman" w:hAnsi="Times New Roman" w:cs="Times New Roman"/>
                <w:b/>
                <w:bCs/>
                <w:sz w:val="20"/>
                <w:szCs w:val="20"/>
              </w:rPr>
            </w:pPr>
            <w:r w:rsidRPr="00A811F7">
              <w:rPr>
                <w:rFonts w:ascii="Times New Roman" w:hAnsi="Times New Roman" w:cs="Times New Roman"/>
                <w:b/>
                <w:bCs/>
                <w:sz w:val="20"/>
                <w:szCs w:val="20"/>
              </w:rPr>
              <w:t>XỬ LÝ</w:t>
            </w:r>
          </w:p>
        </w:tc>
      </w:tr>
      <w:tr w:rsidR="00D9288C" w:rsidRPr="00A811F7" w14:paraId="512D12D5" w14:textId="77777777" w:rsidTr="00D9288C">
        <w:tc>
          <w:tcPr>
            <w:tcW w:w="266" w:type="pct"/>
            <w:shd w:val="clear" w:color="auto" w:fill="FFFFFF"/>
          </w:tcPr>
          <w:p w14:paraId="673119BD" w14:textId="32540F59" w:rsidR="00D9288C" w:rsidRDefault="00D9288C" w:rsidP="00D9288C">
            <w:pPr>
              <w:spacing w:before="120"/>
              <w:ind w:right="117"/>
              <w:jc w:val="both"/>
              <w:rPr>
                <w:rFonts w:ascii="Times New Roman" w:hAnsi="Times New Roman" w:cs="Times New Roman"/>
                <w:sz w:val="20"/>
                <w:szCs w:val="20"/>
                <w:lang w:val="en-US"/>
              </w:rPr>
            </w:pPr>
            <w:r>
              <w:rPr>
                <w:rFonts w:ascii="Times New Roman" w:hAnsi="Times New Roman" w:cs="Times New Roman"/>
                <w:sz w:val="20"/>
                <w:szCs w:val="20"/>
                <w:lang w:val="en-US"/>
              </w:rPr>
              <w:t>1.</w:t>
            </w:r>
          </w:p>
        </w:tc>
        <w:tc>
          <w:tcPr>
            <w:tcW w:w="934" w:type="pct"/>
            <w:shd w:val="clear" w:color="auto" w:fill="FFFFFF"/>
          </w:tcPr>
          <w:p w14:paraId="40CFB6F7" w14:textId="54FF74CF" w:rsidR="00D9288C" w:rsidRPr="00F779E2" w:rsidRDefault="00D9288C" w:rsidP="00D9288C">
            <w:pPr>
              <w:spacing w:before="120"/>
              <w:ind w:right="117"/>
              <w:jc w:val="both"/>
              <w:rPr>
                <w:rFonts w:ascii="Times New Roman" w:hAnsi="Times New Roman" w:cs="Times New Roman"/>
                <w:sz w:val="20"/>
                <w:szCs w:val="20"/>
                <w:lang w:val="en-US"/>
              </w:rPr>
            </w:pPr>
            <w:r>
              <w:rPr>
                <w:rFonts w:ascii="Times New Roman" w:hAnsi="Times New Roman" w:cs="Times New Roman"/>
                <w:sz w:val="20"/>
                <w:szCs w:val="20"/>
                <w:lang w:val="en-US"/>
              </w:rPr>
              <w:t>Phạm vi điều chỉnh (Điều 1)</w:t>
            </w:r>
          </w:p>
        </w:tc>
        <w:tc>
          <w:tcPr>
            <w:tcW w:w="2065" w:type="pct"/>
            <w:shd w:val="clear" w:color="auto" w:fill="FFFFFF"/>
          </w:tcPr>
          <w:p w14:paraId="164A79E6" w14:textId="730264B6" w:rsidR="00D9288C" w:rsidRDefault="00D9288C" w:rsidP="00D9288C">
            <w:pPr>
              <w:ind w:left="164" w:right="136"/>
              <w:jc w:val="both"/>
              <w:rPr>
                <w:rFonts w:ascii="Times New Roman" w:hAnsi="Times New Roman" w:cs="Times New Roman"/>
                <w:sz w:val="20"/>
                <w:szCs w:val="20"/>
              </w:rPr>
            </w:pPr>
            <w:r>
              <w:rPr>
                <w:rFonts w:ascii="Times New Roman" w:hAnsi="Times New Roman" w:cs="Times New Roman"/>
                <w:sz w:val="20"/>
                <w:szCs w:val="20"/>
                <w:lang w:val="en-US"/>
              </w:rPr>
              <w:t xml:space="preserve">- </w:t>
            </w:r>
            <w:r w:rsidRPr="00F779E2">
              <w:rPr>
                <w:rFonts w:ascii="Times New Roman" w:hAnsi="Times New Roman" w:cs="Times New Roman"/>
                <w:sz w:val="20"/>
                <w:szCs w:val="20"/>
              </w:rPr>
              <w:t>Chương trình nghị sự 2030 của Liên Hợp Quốc (SDGs) – Việt Nam cam kết thực hiện các mục tiêu phát triển bền vững, trong đó có mục tiêu số 7 (năng lượng sạch), số 12 (sản xuất và tiêu dùng bền vững), số 13 (hành động vì khí hậu).</w:t>
            </w:r>
          </w:p>
          <w:p w14:paraId="3DDE9DC4" w14:textId="2BB3434F" w:rsidR="00D9288C" w:rsidRDefault="00D9288C" w:rsidP="00D9288C">
            <w:pPr>
              <w:ind w:left="164" w:right="136"/>
              <w:jc w:val="both"/>
              <w:rPr>
                <w:rFonts w:ascii="Times New Roman" w:hAnsi="Times New Roman" w:cs="Times New Roman"/>
                <w:sz w:val="20"/>
                <w:szCs w:val="20"/>
              </w:rPr>
            </w:pPr>
            <w:r>
              <w:rPr>
                <w:rFonts w:ascii="Times New Roman" w:hAnsi="Times New Roman" w:cs="Times New Roman"/>
                <w:sz w:val="20"/>
                <w:szCs w:val="20"/>
                <w:lang w:val="en-US"/>
              </w:rPr>
              <w:t>- H</w:t>
            </w:r>
            <w:r w:rsidRPr="00F779E2">
              <w:rPr>
                <w:rFonts w:ascii="Times New Roman" w:hAnsi="Times New Roman" w:cs="Times New Roman"/>
                <w:sz w:val="20"/>
                <w:szCs w:val="20"/>
              </w:rPr>
              <w:t>iệp định Đối tác Toàn diện và Tiến bộ xuyên Thái Bình Dương (CPTPP) và Hiệp định Thương mại Tự do Việt Nam – EU (EVFTA) đều có chương về thương mại và phát triển bền vững, môi trường.</w:t>
            </w:r>
          </w:p>
          <w:p w14:paraId="7BAAE8E9" w14:textId="2962F9E0" w:rsidR="00D9288C" w:rsidRPr="00A811F7" w:rsidRDefault="00D9288C" w:rsidP="00D9288C">
            <w:pPr>
              <w:ind w:left="164" w:right="136"/>
              <w:jc w:val="both"/>
              <w:rPr>
                <w:rFonts w:ascii="Times New Roman" w:hAnsi="Times New Roman" w:cs="Times New Roman"/>
                <w:sz w:val="20"/>
                <w:szCs w:val="20"/>
              </w:rPr>
            </w:pPr>
            <w:r>
              <w:rPr>
                <w:rFonts w:ascii="Times New Roman" w:hAnsi="Times New Roman" w:cs="Times New Roman"/>
                <w:sz w:val="20"/>
                <w:szCs w:val="20"/>
                <w:lang w:val="en-US"/>
              </w:rPr>
              <w:t xml:space="preserve">- </w:t>
            </w:r>
            <w:r w:rsidRPr="00F779E2">
              <w:rPr>
                <w:rFonts w:ascii="Times New Roman" w:hAnsi="Times New Roman" w:cs="Times New Roman"/>
                <w:sz w:val="20"/>
                <w:szCs w:val="20"/>
              </w:rPr>
              <w:t>Tại COP26 (2021): Việt Nam cam kết đạt phát thải ròng bằng “0” vào năm 2050, giảm 30% lượng phát thải methane vào năm 2030.</w:t>
            </w:r>
          </w:p>
        </w:tc>
        <w:tc>
          <w:tcPr>
            <w:tcW w:w="1067" w:type="pct"/>
            <w:shd w:val="clear" w:color="auto" w:fill="FFFFFF"/>
          </w:tcPr>
          <w:p w14:paraId="66B621E9" w14:textId="1CE17090" w:rsidR="00D9288C" w:rsidRPr="00F779E2" w:rsidRDefault="00D9288C" w:rsidP="00D9288C">
            <w:pPr>
              <w:spacing w:before="120"/>
              <w:jc w:val="both"/>
              <w:rPr>
                <w:rFonts w:ascii="Times New Roman" w:hAnsi="Times New Roman" w:cs="Times New Roman"/>
                <w:sz w:val="20"/>
                <w:szCs w:val="20"/>
                <w:lang w:val="en-US"/>
              </w:rPr>
            </w:pPr>
            <w:r>
              <w:rPr>
                <w:rFonts w:ascii="Times New Roman" w:hAnsi="Times New Roman" w:cs="Times New Roman"/>
                <w:sz w:val="20"/>
                <w:szCs w:val="20"/>
                <w:lang w:val="en-US"/>
              </w:rPr>
              <w:t>Tương thích với điều ước quốc tế</w:t>
            </w:r>
          </w:p>
        </w:tc>
        <w:tc>
          <w:tcPr>
            <w:tcW w:w="667" w:type="pct"/>
            <w:shd w:val="clear" w:color="auto" w:fill="FFFFFF"/>
          </w:tcPr>
          <w:p w14:paraId="743FDDCE" w14:textId="77777777" w:rsidR="00D9288C" w:rsidRPr="00A811F7" w:rsidRDefault="00D9288C" w:rsidP="00D9288C">
            <w:pPr>
              <w:spacing w:before="120"/>
              <w:jc w:val="both"/>
              <w:rPr>
                <w:rFonts w:ascii="Times New Roman" w:hAnsi="Times New Roman" w:cs="Times New Roman"/>
                <w:sz w:val="20"/>
                <w:szCs w:val="20"/>
              </w:rPr>
            </w:pPr>
          </w:p>
        </w:tc>
      </w:tr>
    </w:tbl>
    <w:p w14:paraId="5196B64F" w14:textId="77777777" w:rsidR="00B45298" w:rsidRPr="00A811F7" w:rsidRDefault="00B45298">
      <w:pPr>
        <w:rPr>
          <w:rFonts w:ascii="Times New Roman" w:hAnsi="Times New Roman" w:cs="Times New Roman"/>
        </w:rPr>
      </w:pPr>
    </w:p>
    <w:sectPr w:rsidR="00B45298" w:rsidRPr="00A811F7" w:rsidSect="00FA4FBE">
      <w:headerReference w:type="default" r:id="rId7"/>
      <w:pgSz w:w="11907" w:h="16840" w:code="9"/>
      <w:pgMar w:top="1134" w:right="1134" w:bottom="907"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3C3F90" w14:textId="77777777" w:rsidR="00D8168E" w:rsidRDefault="00D8168E" w:rsidP="00E8504C">
      <w:r>
        <w:separator/>
      </w:r>
    </w:p>
  </w:endnote>
  <w:endnote w:type="continuationSeparator" w:id="0">
    <w:p w14:paraId="3048FBE3" w14:textId="77777777" w:rsidR="00D8168E" w:rsidRDefault="00D8168E" w:rsidP="00E850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281795" w14:textId="77777777" w:rsidR="00D8168E" w:rsidRDefault="00D8168E" w:rsidP="00E8504C">
      <w:r>
        <w:separator/>
      </w:r>
    </w:p>
  </w:footnote>
  <w:footnote w:type="continuationSeparator" w:id="0">
    <w:p w14:paraId="29B9CEC4" w14:textId="77777777" w:rsidR="00D8168E" w:rsidRDefault="00D8168E" w:rsidP="00E850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rPr>
      <w:id w:val="1790778116"/>
      <w:docPartObj>
        <w:docPartGallery w:val="Page Numbers (Top of Page)"/>
        <w:docPartUnique/>
      </w:docPartObj>
    </w:sdtPr>
    <w:sdtEndPr>
      <w:rPr>
        <w:noProof/>
      </w:rPr>
    </w:sdtEndPr>
    <w:sdtContent>
      <w:p w14:paraId="5EC79A91" w14:textId="48934AC9" w:rsidR="00E8504C" w:rsidRPr="00A811F7" w:rsidRDefault="00E8504C">
        <w:pPr>
          <w:pStyle w:val="Header"/>
          <w:jc w:val="center"/>
          <w:rPr>
            <w:rFonts w:ascii="Times New Roman" w:hAnsi="Times New Roman" w:cs="Times New Roman"/>
          </w:rPr>
        </w:pPr>
        <w:r w:rsidRPr="00A811F7">
          <w:rPr>
            <w:rFonts w:ascii="Times New Roman" w:hAnsi="Times New Roman" w:cs="Times New Roman"/>
          </w:rPr>
          <w:fldChar w:fldCharType="begin"/>
        </w:r>
        <w:r w:rsidRPr="00A811F7">
          <w:rPr>
            <w:rFonts w:ascii="Times New Roman" w:hAnsi="Times New Roman" w:cs="Times New Roman"/>
          </w:rPr>
          <w:instrText xml:space="preserve"> PAGE   \* MERGEFORMAT </w:instrText>
        </w:r>
        <w:r w:rsidRPr="00A811F7">
          <w:rPr>
            <w:rFonts w:ascii="Times New Roman" w:hAnsi="Times New Roman" w:cs="Times New Roman"/>
          </w:rPr>
          <w:fldChar w:fldCharType="separate"/>
        </w:r>
        <w:r w:rsidR="00DB3915">
          <w:rPr>
            <w:rFonts w:ascii="Times New Roman" w:hAnsi="Times New Roman" w:cs="Times New Roman"/>
            <w:noProof/>
          </w:rPr>
          <w:t>3</w:t>
        </w:r>
        <w:r w:rsidRPr="00A811F7">
          <w:rPr>
            <w:rFonts w:ascii="Times New Roman" w:hAnsi="Times New Roman" w:cs="Times New Roman"/>
            <w:noProof/>
          </w:rPr>
          <w:fldChar w:fldCharType="end"/>
        </w:r>
      </w:p>
    </w:sdtContent>
  </w:sdt>
  <w:p w14:paraId="4807AF95" w14:textId="77777777" w:rsidR="00E8504C" w:rsidRDefault="00E8504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51DE"/>
    <w:rsid w:val="0000256E"/>
    <w:rsid w:val="00187945"/>
    <w:rsid w:val="001E0FD4"/>
    <w:rsid w:val="001E7654"/>
    <w:rsid w:val="001E76F0"/>
    <w:rsid w:val="00275C19"/>
    <w:rsid w:val="002F2FD5"/>
    <w:rsid w:val="00305838"/>
    <w:rsid w:val="00320527"/>
    <w:rsid w:val="003551DE"/>
    <w:rsid w:val="003B36F7"/>
    <w:rsid w:val="0043645E"/>
    <w:rsid w:val="00454281"/>
    <w:rsid w:val="00590E59"/>
    <w:rsid w:val="00676F34"/>
    <w:rsid w:val="00683564"/>
    <w:rsid w:val="006B4ED7"/>
    <w:rsid w:val="006D1D21"/>
    <w:rsid w:val="00746F7E"/>
    <w:rsid w:val="007A3717"/>
    <w:rsid w:val="008A4821"/>
    <w:rsid w:val="008C56E8"/>
    <w:rsid w:val="009360F4"/>
    <w:rsid w:val="009B630D"/>
    <w:rsid w:val="009C4ED9"/>
    <w:rsid w:val="00A37547"/>
    <w:rsid w:val="00A456E3"/>
    <w:rsid w:val="00A54F55"/>
    <w:rsid w:val="00A710F6"/>
    <w:rsid w:val="00A811F7"/>
    <w:rsid w:val="00AA3CA5"/>
    <w:rsid w:val="00AC614E"/>
    <w:rsid w:val="00B03237"/>
    <w:rsid w:val="00B365D1"/>
    <w:rsid w:val="00B409AC"/>
    <w:rsid w:val="00B45298"/>
    <w:rsid w:val="00B511D6"/>
    <w:rsid w:val="00B84F4E"/>
    <w:rsid w:val="00B95E01"/>
    <w:rsid w:val="00C01DCA"/>
    <w:rsid w:val="00C101DA"/>
    <w:rsid w:val="00C10833"/>
    <w:rsid w:val="00C245C7"/>
    <w:rsid w:val="00C83A41"/>
    <w:rsid w:val="00CF41AA"/>
    <w:rsid w:val="00D4097D"/>
    <w:rsid w:val="00D4615A"/>
    <w:rsid w:val="00D8168E"/>
    <w:rsid w:val="00D9288C"/>
    <w:rsid w:val="00DB3915"/>
    <w:rsid w:val="00E8504C"/>
    <w:rsid w:val="00EE20CF"/>
    <w:rsid w:val="00F61975"/>
    <w:rsid w:val="00F779E2"/>
    <w:rsid w:val="00F875F8"/>
    <w:rsid w:val="00FA4FBE"/>
    <w:rsid w:val="00FB2C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7E9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51DE"/>
    <w:pPr>
      <w:widowControl w:val="0"/>
      <w:spacing w:after="0" w:line="240" w:lineRule="auto"/>
    </w:pPr>
    <w:rPr>
      <w:rFonts w:ascii="Courier New" w:eastAsia="Times New Roman" w:hAnsi="Courier New" w:cs="Courier New"/>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551DE"/>
    <w:pPr>
      <w:spacing w:after="0" w:line="240" w:lineRule="auto"/>
    </w:pPr>
    <w:rPr>
      <w:rFonts w:ascii="Courier New" w:eastAsia="Times New Roman" w:hAnsi="Courier New" w:cs="Courier New"/>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E8504C"/>
    <w:pPr>
      <w:tabs>
        <w:tab w:val="center" w:pos="4680"/>
        <w:tab w:val="right" w:pos="9360"/>
      </w:tabs>
    </w:pPr>
  </w:style>
  <w:style w:type="character" w:customStyle="1" w:styleId="HeaderChar">
    <w:name w:val="Header Char"/>
    <w:basedOn w:val="DefaultParagraphFont"/>
    <w:link w:val="Header"/>
    <w:uiPriority w:val="99"/>
    <w:rsid w:val="00E8504C"/>
    <w:rPr>
      <w:rFonts w:ascii="Courier New" w:eastAsia="Times New Roman" w:hAnsi="Courier New" w:cs="Courier New"/>
      <w:color w:val="000000"/>
      <w:sz w:val="24"/>
      <w:szCs w:val="24"/>
      <w:lang w:val="vi-VN" w:eastAsia="vi-VN"/>
    </w:rPr>
  </w:style>
  <w:style w:type="paragraph" w:styleId="Footer">
    <w:name w:val="footer"/>
    <w:basedOn w:val="Normal"/>
    <w:link w:val="FooterChar"/>
    <w:uiPriority w:val="99"/>
    <w:unhideWhenUsed/>
    <w:rsid w:val="00E8504C"/>
    <w:pPr>
      <w:tabs>
        <w:tab w:val="center" w:pos="4680"/>
        <w:tab w:val="right" w:pos="9360"/>
      </w:tabs>
    </w:pPr>
  </w:style>
  <w:style w:type="character" w:customStyle="1" w:styleId="FooterChar">
    <w:name w:val="Footer Char"/>
    <w:basedOn w:val="DefaultParagraphFont"/>
    <w:link w:val="Footer"/>
    <w:uiPriority w:val="99"/>
    <w:rsid w:val="00E8504C"/>
    <w:rPr>
      <w:rFonts w:ascii="Courier New" w:eastAsia="Times New Roman" w:hAnsi="Courier New" w:cs="Courier New"/>
      <w:color w:val="000000"/>
      <w:sz w:val="24"/>
      <w:szCs w:val="24"/>
      <w:lang w:val="vi-VN" w:eastAsia="vi-VN"/>
    </w:rPr>
  </w:style>
  <w:style w:type="paragraph" w:styleId="ListParagraph">
    <w:name w:val="List Paragraph"/>
    <w:basedOn w:val="Normal"/>
    <w:uiPriority w:val="34"/>
    <w:qFormat/>
    <w:rsid w:val="00305838"/>
    <w:pPr>
      <w:ind w:left="720"/>
      <w:contextualSpacing/>
    </w:pPr>
  </w:style>
  <w:style w:type="paragraph" w:styleId="FootnoteText">
    <w:name w:val="footnote text"/>
    <w:basedOn w:val="Normal"/>
    <w:link w:val="FootnoteTextChar"/>
    <w:uiPriority w:val="99"/>
    <w:semiHidden/>
    <w:unhideWhenUsed/>
    <w:rsid w:val="009C4ED9"/>
    <w:rPr>
      <w:sz w:val="20"/>
      <w:szCs w:val="20"/>
    </w:rPr>
  </w:style>
  <w:style w:type="character" w:customStyle="1" w:styleId="FootnoteTextChar">
    <w:name w:val="Footnote Text Char"/>
    <w:basedOn w:val="DefaultParagraphFont"/>
    <w:link w:val="FootnoteText"/>
    <w:uiPriority w:val="99"/>
    <w:semiHidden/>
    <w:rsid w:val="009C4ED9"/>
    <w:rPr>
      <w:rFonts w:ascii="Courier New" w:eastAsia="Times New Roman" w:hAnsi="Courier New" w:cs="Courier New"/>
      <w:color w:val="000000"/>
      <w:sz w:val="20"/>
      <w:szCs w:val="20"/>
      <w:lang w:val="vi-VN" w:eastAsia="vi-VN"/>
    </w:rPr>
  </w:style>
  <w:style w:type="character" w:styleId="FootnoteReference">
    <w:name w:val="footnote reference"/>
    <w:uiPriority w:val="99"/>
    <w:rsid w:val="009C4ED9"/>
    <w:rPr>
      <w:rFonts w:cs="Times New Roman"/>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51DE"/>
    <w:pPr>
      <w:widowControl w:val="0"/>
      <w:spacing w:after="0" w:line="240" w:lineRule="auto"/>
    </w:pPr>
    <w:rPr>
      <w:rFonts w:ascii="Courier New" w:eastAsia="Times New Roman" w:hAnsi="Courier New" w:cs="Courier New"/>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551DE"/>
    <w:pPr>
      <w:spacing w:after="0" w:line="240" w:lineRule="auto"/>
    </w:pPr>
    <w:rPr>
      <w:rFonts w:ascii="Courier New" w:eastAsia="Times New Roman" w:hAnsi="Courier New" w:cs="Courier New"/>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E8504C"/>
    <w:pPr>
      <w:tabs>
        <w:tab w:val="center" w:pos="4680"/>
        <w:tab w:val="right" w:pos="9360"/>
      </w:tabs>
    </w:pPr>
  </w:style>
  <w:style w:type="character" w:customStyle="1" w:styleId="HeaderChar">
    <w:name w:val="Header Char"/>
    <w:basedOn w:val="DefaultParagraphFont"/>
    <w:link w:val="Header"/>
    <w:uiPriority w:val="99"/>
    <w:rsid w:val="00E8504C"/>
    <w:rPr>
      <w:rFonts w:ascii="Courier New" w:eastAsia="Times New Roman" w:hAnsi="Courier New" w:cs="Courier New"/>
      <w:color w:val="000000"/>
      <w:sz w:val="24"/>
      <w:szCs w:val="24"/>
      <w:lang w:val="vi-VN" w:eastAsia="vi-VN"/>
    </w:rPr>
  </w:style>
  <w:style w:type="paragraph" w:styleId="Footer">
    <w:name w:val="footer"/>
    <w:basedOn w:val="Normal"/>
    <w:link w:val="FooterChar"/>
    <w:uiPriority w:val="99"/>
    <w:unhideWhenUsed/>
    <w:rsid w:val="00E8504C"/>
    <w:pPr>
      <w:tabs>
        <w:tab w:val="center" w:pos="4680"/>
        <w:tab w:val="right" w:pos="9360"/>
      </w:tabs>
    </w:pPr>
  </w:style>
  <w:style w:type="character" w:customStyle="1" w:styleId="FooterChar">
    <w:name w:val="Footer Char"/>
    <w:basedOn w:val="DefaultParagraphFont"/>
    <w:link w:val="Footer"/>
    <w:uiPriority w:val="99"/>
    <w:rsid w:val="00E8504C"/>
    <w:rPr>
      <w:rFonts w:ascii="Courier New" w:eastAsia="Times New Roman" w:hAnsi="Courier New" w:cs="Courier New"/>
      <w:color w:val="000000"/>
      <w:sz w:val="24"/>
      <w:szCs w:val="24"/>
      <w:lang w:val="vi-VN" w:eastAsia="vi-VN"/>
    </w:rPr>
  </w:style>
  <w:style w:type="paragraph" w:styleId="ListParagraph">
    <w:name w:val="List Paragraph"/>
    <w:basedOn w:val="Normal"/>
    <w:uiPriority w:val="34"/>
    <w:qFormat/>
    <w:rsid w:val="00305838"/>
    <w:pPr>
      <w:ind w:left="720"/>
      <w:contextualSpacing/>
    </w:pPr>
  </w:style>
  <w:style w:type="paragraph" w:styleId="FootnoteText">
    <w:name w:val="footnote text"/>
    <w:basedOn w:val="Normal"/>
    <w:link w:val="FootnoteTextChar"/>
    <w:uiPriority w:val="99"/>
    <w:semiHidden/>
    <w:unhideWhenUsed/>
    <w:rsid w:val="009C4ED9"/>
    <w:rPr>
      <w:sz w:val="20"/>
      <w:szCs w:val="20"/>
    </w:rPr>
  </w:style>
  <w:style w:type="character" w:customStyle="1" w:styleId="FootnoteTextChar">
    <w:name w:val="Footnote Text Char"/>
    <w:basedOn w:val="DefaultParagraphFont"/>
    <w:link w:val="FootnoteText"/>
    <w:uiPriority w:val="99"/>
    <w:semiHidden/>
    <w:rsid w:val="009C4ED9"/>
    <w:rPr>
      <w:rFonts w:ascii="Courier New" w:eastAsia="Times New Roman" w:hAnsi="Courier New" w:cs="Courier New"/>
      <w:color w:val="000000"/>
      <w:sz w:val="20"/>
      <w:szCs w:val="20"/>
      <w:lang w:val="vi-VN" w:eastAsia="vi-VN"/>
    </w:rPr>
  </w:style>
  <w:style w:type="character" w:styleId="FootnoteReference">
    <w:name w:val="footnote reference"/>
    <w:uiPriority w:val="99"/>
    <w:rsid w:val="009C4ED9"/>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3812769">
      <w:bodyDiv w:val="1"/>
      <w:marLeft w:val="0"/>
      <w:marRight w:val="0"/>
      <w:marTop w:val="0"/>
      <w:marBottom w:val="0"/>
      <w:divBdr>
        <w:top w:val="none" w:sz="0" w:space="0" w:color="auto"/>
        <w:left w:val="none" w:sz="0" w:space="0" w:color="auto"/>
        <w:bottom w:val="none" w:sz="0" w:space="0" w:color="auto"/>
        <w:right w:val="none" w:sz="0" w:space="0" w:color="auto"/>
      </w:divBdr>
    </w:div>
    <w:div w:id="1948853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201</TotalTime>
  <Pages>3</Pages>
  <Words>979</Words>
  <Characters>5583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Duong Thu Trang (TDCNKT)</dc:creator>
  <cp:keywords/>
  <dc:description/>
  <cp:lastModifiedBy>Nguyen Tuan Anh (TDCNKT)</cp:lastModifiedBy>
  <cp:revision>24</cp:revision>
  <cp:lastPrinted>2025-09-16T02:12:00Z</cp:lastPrinted>
  <dcterms:created xsi:type="dcterms:W3CDTF">2025-07-28T02:43:00Z</dcterms:created>
  <dcterms:modified xsi:type="dcterms:W3CDTF">2025-09-16T02:14:00Z</dcterms:modified>
</cp:coreProperties>
</file>