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199" w:type="dxa"/>
        <w:tblInd w:w="851" w:type="dxa"/>
        <w:tblLook w:val="01E0" w:firstRow="1" w:lastRow="1" w:firstColumn="1" w:lastColumn="1" w:noHBand="0" w:noVBand="0"/>
      </w:tblPr>
      <w:tblGrid>
        <w:gridCol w:w="3460"/>
        <w:gridCol w:w="3911"/>
        <w:gridCol w:w="5828"/>
      </w:tblGrid>
      <w:tr w:rsidR="00910575" w:rsidRPr="00910575" w14:paraId="7B785063" w14:textId="77777777" w:rsidTr="00A46BD6">
        <w:trPr>
          <w:trHeight w:val="1458"/>
        </w:trPr>
        <w:tc>
          <w:tcPr>
            <w:tcW w:w="3460" w:type="dxa"/>
            <w:vAlign w:val="center"/>
          </w:tcPr>
          <w:p w14:paraId="0D181D2D" w14:textId="77777777" w:rsidR="00910575" w:rsidRPr="00910575" w:rsidRDefault="00910575">
            <w:pPr>
              <w:jc w:val="center"/>
              <w:rPr>
                <w:rFonts w:ascii="Times New Roman" w:hAnsi="Times New Roman" w:cs="Times New Roman"/>
                <w:b/>
                <w:color w:val="auto"/>
                <w:lang w:val="en-US" w:eastAsia="en-US"/>
              </w:rPr>
            </w:pPr>
            <w:r w:rsidRPr="00910575">
              <w:rPr>
                <w:rFonts w:ascii="Times New Roman" w:hAnsi="Times New Roman" w:cs="Times New Roman"/>
                <w:b/>
              </w:rPr>
              <w:t>NGÂN HÀNG NHÀ NƯỚC</w:t>
            </w:r>
          </w:p>
          <w:p w14:paraId="71240550" w14:textId="77777777" w:rsidR="00910575" w:rsidRPr="00910575" w:rsidRDefault="00910575">
            <w:pPr>
              <w:jc w:val="center"/>
              <w:rPr>
                <w:rFonts w:ascii="Times New Roman" w:hAnsi="Times New Roman" w:cs="Times New Roman"/>
                <w:b/>
              </w:rPr>
            </w:pPr>
            <w:r w:rsidRPr="00910575">
              <w:rPr>
                <w:rFonts w:ascii="Times New Roman" w:hAnsi="Times New Roman" w:cs="Times New Roman"/>
                <w:b/>
              </w:rPr>
              <w:t>VIỆT NAM</w:t>
            </w:r>
          </w:p>
          <w:p w14:paraId="0DECB039" w14:textId="6D9265F3" w:rsidR="00910575" w:rsidRPr="00910575" w:rsidRDefault="00910575">
            <w:pPr>
              <w:jc w:val="center"/>
              <w:rPr>
                <w:rFonts w:ascii="Times New Roman" w:hAnsi="Times New Roman" w:cs="Times New Roman"/>
                <w:b/>
              </w:rPr>
            </w:pPr>
            <w:r w:rsidRPr="00910575">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3E65472C" wp14:editId="4C5ED807">
                      <wp:simplePos x="0" y="0"/>
                      <wp:positionH relativeFrom="column">
                        <wp:posOffset>706120</wp:posOffset>
                      </wp:positionH>
                      <wp:positionV relativeFrom="paragraph">
                        <wp:posOffset>39370</wp:posOffset>
                      </wp:positionV>
                      <wp:extent cx="711200" cy="0"/>
                      <wp:effectExtent l="10795"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7F9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3.1pt" to="111.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"/>
                  </w:pict>
                </mc:Fallback>
              </mc:AlternateContent>
            </w:r>
          </w:p>
          <w:p w14:paraId="4C312C62" w14:textId="77777777" w:rsidR="00910575" w:rsidRPr="00910575" w:rsidRDefault="00910575">
            <w:pPr>
              <w:ind w:left="312"/>
              <w:jc w:val="center"/>
              <w:rPr>
                <w:rFonts w:ascii="Times New Roman" w:hAnsi="Times New Roman" w:cs="Times New Roman"/>
                <w:sz w:val="28"/>
                <w:szCs w:val="28"/>
              </w:rPr>
            </w:pPr>
          </w:p>
        </w:tc>
        <w:tc>
          <w:tcPr>
            <w:tcW w:w="3911" w:type="dxa"/>
            <w:vAlign w:val="center"/>
          </w:tcPr>
          <w:p w14:paraId="158095DA" w14:textId="77777777" w:rsidR="00910575" w:rsidRPr="00910575" w:rsidRDefault="00910575">
            <w:pPr>
              <w:jc w:val="center"/>
              <w:rPr>
                <w:rFonts w:ascii="Times New Roman" w:hAnsi="Times New Roman" w:cs="Times New Roman"/>
                <w:b/>
              </w:rPr>
            </w:pPr>
          </w:p>
          <w:p w14:paraId="01019568" w14:textId="77777777" w:rsidR="00910575" w:rsidRPr="00910575" w:rsidRDefault="00910575">
            <w:pPr>
              <w:jc w:val="both"/>
              <w:rPr>
                <w:rFonts w:ascii="Times New Roman" w:hAnsi="Times New Roman" w:cs="Times New Roman"/>
                <w:b/>
              </w:rPr>
            </w:pPr>
          </w:p>
        </w:tc>
        <w:tc>
          <w:tcPr>
            <w:tcW w:w="5828" w:type="dxa"/>
            <w:vAlign w:val="center"/>
          </w:tcPr>
          <w:p w14:paraId="34CD55A7" w14:textId="77777777" w:rsidR="00910575" w:rsidRPr="00910575" w:rsidRDefault="00910575">
            <w:pPr>
              <w:jc w:val="center"/>
              <w:rPr>
                <w:rFonts w:ascii="Times New Roman" w:hAnsi="Times New Roman" w:cs="Times New Roman"/>
                <w:b/>
              </w:rPr>
            </w:pPr>
            <w:r w:rsidRPr="00910575">
              <w:rPr>
                <w:rFonts w:ascii="Times New Roman" w:hAnsi="Times New Roman" w:cs="Times New Roman"/>
                <w:b/>
                <w:sz w:val="26"/>
              </w:rPr>
              <w:t>CỘNG HOÀ XÃ HỘI CHỦ NGHĨA VIỆT NAM</w:t>
            </w:r>
          </w:p>
          <w:p w14:paraId="445BBB37" w14:textId="77777777" w:rsidR="00910575" w:rsidRPr="00910575" w:rsidRDefault="00910575">
            <w:pPr>
              <w:jc w:val="center"/>
              <w:rPr>
                <w:rFonts w:ascii="Times New Roman" w:hAnsi="Times New Roman" w:cs="Times New Roman"/>
                <w:b/>
                <w:sz w:val="30"/>
              </w:rPr>
            </w:pPr>
            <w:r w:rsidRPr="00910575">
              <w:rPr>
                <w:rFonts w:ascii="Times New Roman" w:hAnsi="Times New Roman" w:cs="Times New Roman"/>
                <w:b/>
                <w:sz w:val="28"/>
              </w:rPr>
              <w:t>Độc lập - Tự do - Hạnh phúc</w:t>
            </w:r>
          </w:p>
          <w:p w14:paraId="0E2A0044" w14:textId="6B04B76E" w:rsidR="00910575" w:rsidRPr="00910575" w:rsidRDefault="00910575">
            <w:pPr>
              <w:jc w:val="both"/>
              <w:rPr>
                <w:rFonts w:ascii="Times New Roman" w:hAnsi="Times New Roman" w:cs="Times New Roman"/>
                <w:b/>
              </w:rPr>
            </w:pPr>
            <w:r w:rsidRPr="00910575">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4E6829CB" wp14:editId="525A3DE1">
                      <wp:simplePos x="0" y="0"/>
                      <wp:positionH relativeFrom="column">
                        <wp:posOffset>731520</wp:posOffset>
                      </wp:positionH>
                      <wp:positionV relativeFrom="paragraph">
                        <wp:posOffset>24765</wp:posOffset>
                      </wp:positionV>
                      <wp:extent cx="2044700" cy="0"/>
                      <wp:effectExtent l="7620" t="5715" r="508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1656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95pt" to="218.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"/>
                  </w:pict>
                </mc:Fallback>
              </mc:AlternateContent>
            </w:r>
          </w:p>
          <w:p w14:paraId="7C58F33C" w14:textId="1BBAF927" w:rsidR="00910575" w:rsidRPr="00C45C6A" w:rsidRDefault="00910575">
            <w:pPr>
              <w:jc w:val="center"/>
              <w:rPr>
                <w:rFonts w:ascii="Times New Roman" w:hAnsi="Times New Roman" w:cs="Times New Roman"/>
                <w:i/>
              </w:rPr>
            </w:pPr>
            <w:r w:rsidRPr="00910575">
              <w:rPr>
                <w:rFonts w:ascii="Times New Roman" w:hAnsi="Times New Roman" w:cs="Times New Roman"/>
                <w:i/>
                <w:sz w:val="28"/>
              </w:rPr>
              <w:t>Hà Nội, ngày       tháng     năm 202</w:t>
            </w:r>
            <w:r w:rsidRPr="00C45C6A">
              <w:rPr>
                <w:rFonts w:ascii="Times New Roman" w:hAnsi="Times New Roman" w:cs="Times New Roman"/>
                <w:i/>
                <w:sz w:val="28"/>
              </w:rPr>
              <w:t>5</w:t>
            </w:r>
          </w:p>
        </w:tc>
      </w:tr>
    </w:tbl>
    <w:p w14:paraId="475B0F34" w14:textId="22C6F6B3" w:rsidR="00A46BD6" w:rsidRPr="00C45C6A" w:rsidRDefault="00D904C2" w:rsidP="00A46BD6">
      <w:pPr>
        <w:spacing w:before="240"/>
        <w:ind w:right="284"/>
        <w:jc w:val="center"/>
        <w:rPr>
          <w:rFonts w:ascii="Times New Roman" w:hAnsi="Times New Roman" w:cs="Times New Roman"/>
          <w:b/>
          <w:bCs/>
          <w:sz w:val="27"/>
          <w:szCs w:val="27"/>
        </w:rPr>
      </w:pPr>
      <w:r w:rsidRPr="00A46BD6">
        <w:rPr>
          <w:rFonts w:ascii="Times New Roman" w:hAnsi="Times New Roman" w:cs="Times New Roman"/>
          <w:b/>
          <w:bCs/>
          <w:sz w:val="27"/>
          <w:szCs w:val="27"/>
        </w:rPr>
        <w:t xml:space="preserve">BẢN SO SÁNH, THUYẾT MINH </w:t>
      </w:r>
      <w:r w:rsidR="00F327BB" w:rsidRPr="00C45C6A">
        <w:rPr>
          <w:rFonts w:ascii="Times New Roman" w:hAnsi="Times New Roman" w:cs="Times New Roman"/>
          <w:b/>
          <w:bCs/>
          <w:sz w:val="27"/>
          <w:szCs w:val="27"/>
        </w:rPr>
        <w:t xml:space="preserve">MỘT SỐ </w:t>
      </w:r>
      <w:r w:rsidRPr="00A46BD6">
        <w:rPr>
          <w:rFonts w:ascii="Times New Roman" w:hAnsi="Times New Roman" w:cs="Times New Roman"/>
          <w:b/>
          <w:bCs/>
          <w:sz w:val="27"/>
          <w:szCs w:val="27"/>
        </w:rPr>
        <w:t xml:space="preserve">NỘI DUNG </w:t>
      </w:r>
      <w:r w:rsidR="00F327BB" w:rsidRPr="00C45C6A">
        <w:rPr>
          <w:rFonts w:ascii="Times New Roman" w:hAnsi="Times New Roman" w:cs="Times New Roman"/>
          <w:b/>
          <w:bCs/>
          <w:sz w:val="27"/>
          <w:szCs w:val="27"/>
        </w:rPr>
        <w:t>CƠ BẢN TẠI</w:t>
      </w:r>
    </w:p>
    <w:p w14:paraId="099D743B" w14:textId="29CC6EE4" w:rsidR="00F213DC" w:rsidRPr="00C45C6A" w:rsidRDefault="00D904C2" w:rsidP="00A46BD6">
      <w:pPr>
        <w:ind w:right="284"/>
        <w:jc w:val="center"/>
        <w:rPr>
          <w:rFonts w:ascii="Times New Roman" w:hAnsi="Times New Roman" w:cs="Times New Roman"/>
          <w:b/>
          <w:position w:val="-1"/>
          <w:sz w:val="27"/>
          <w:szCs w:val="27"/>
          <w:lang w:eastAsia="en-US"/>
        </w:rPr>
      </w:pPr>
      <w:r w:rsidRPr="00A46BD6">
        <w:rPr>
          <w:rFonts w:ascii="Times New Roman" w:hAnsi="Times New Roman" w:cs="Times New Roman"/>
          <w:b/>
          <w:bCs/>
          <w:sz w:val="27"/>
          <w:szCs w:val="27"/>
        </w:rPr>
        <w:t>DỰ THẢO</w:t>
      </w:r>
      <w:r w:rsidR="00F213DC" w:rsidRPr="00C45C6A">
        <w:rPr>
          <w:rFonts w:ascii="Times New Roman" w:hAnsi="Times New Roman" w:cs="Times New Roman"/>
          <w:b/>
          <w:bCs/>
          <w:sz w:val="27"/>
          <w:szCs w:val="27"/>
        </w:rPr>
        <w:t xml:space="preserve"> </w:t>
      </w:r>
      <w:r w:rsidR="00F213DC" w:rsidRPr="00C45C6A">
        <w:rPr>
          <w:rFonts w:ascii="Times New Roman" w:hAnsi="Times New Roman" w:cs="Times New Roman"/>
          <w:b/>
          <w:position w:val="-1"/>
          <w:sz w:val="27"/>
          <w:szCs w:val="27"/>
          <w:lang w:eastAsia="en-US"/>
        </w:rPr>
        <w:t xml:space="preserve">NGHỊ ĐỊNH </w:t>
      </w:r>
      <w:r w:rsidR="00A46BD6" w:rsidRPr="00C45C6A">
        <w:rPr>
          <w:rFonts w:ascii="Times New Roman" w:hAnsi="Times New Roman" w:cs="Times New Roman"/>
          <w:b/>
          <w:position w:val="-1"/>
          <w:sz w:val="27"/>
          <w:szCs w:val="27"/>
          <w:lang w:eastAsia="en-US"/>
        </w:rPr>
        <w:t>QUY ĐỊNH VỀ HỖ TRỢ LÃI SUẤT TỪ NGÂN SÁCH NHÀ NƯỚC CHO CÁC DOANH NGHIỆP THUỘC KHU VỰC KINH TẾ TƯ NHÂN, HỘ KINH DOANH, CÁ NHÂN KINH DOANH VAY VỐN TẠI CÁC NGÂN HÀNG THƯƠNG MẠI ĐỂ THỰC HIỆN CÁC DỰ ÁN XANH, TUẦN HOÀN VÀ ÁP DỤNG KHUNG TIÊU CHUẨN MÔI TRƯỜNG, XÃ HỘI, QUẢN TRỊ (ESG)</w:t>
      </w:r>
    </w:p>
    <w:p w14:paraId="60479176" w14:textId="7ED3AF02" w:rsidR="00D904C2" w:rsidRPr="00C45C6A" w:rsidRDefault="00D904C2" w:rsidP="00D904C2">
      <w:pPr>
        <w:spacing w:before="120"/>
        <w:jc w:val="center"/>
        <w:rPr>
          <w:rFonts w:ascii="Arial" w:hAnsi="Arial" w:cs="Arial"/>
          <w:b/>
          <w:bCs/>
          <w:sz w:val="20"/>
          <w:szCs w:val="20"/>
        </w:rPr>
      </w:pPr>
    </w:p>
    <w:tbl>
      <w:tblPr>
        <w:tblStyle w:val="TableGrid"/>
        <w:tblW w:w="15593" w:type="dxa"/>
        <w:tblInd w:w="-147" w:type="dxa"/>
        <w:tblLook w:val="04A0" w:firstRow="1" w:lastRow="0" w:firstColumn="1" w:lastColumn="0" w:noHBand="0" w:noVBand="1"/>
      </w:tblPr>
      <w:tblGrid>
        <w:gridCol w:w="1694"/>
        <w:gridCol w:w="8654"/>
        <w:gridCol w:w="5245"/>
      </w:tblGrid>
      <w:tr w:rsidR="000E0710" w:rsidRPr="000E0710" w14:paraId="3AF0828C" w14:textId="77777777" w:rsidTr="00A46BD6">
        <w:trPr>
          <w:trHeight w:val="400"/>
        </w:trPr>
        <w:tc>
          <w:tcPr>
            <w:tcW w:w="1694" w:type="dxa"/>
            <w:tcBorders>
              <w:top w:val="single" w:sz="4" w:space="0" w:color="auto"/>
              <w:left w:val="single" w:sz="4" w:space="0" w:color="auto"/>
              <w:bottom w:val="single" w:sz="4" w:space="0" w:color="auto"/>
              <w:right w:val="single" w:sz="4" w:space="0" w:color="auto"/>
            </w:tcBorders>
            <w:hideMark/>
          </w:tcPr>
          <w:p w14:paraId="74E65B0B" w14:textId="77777777" w:rsidR="000E0710" w:rsidRPr="000E0710" w:rsidRDefault="000E0710">
            <w:pPr>
              <w:jc w:val="center"/>
              <w:rPr>
                <w:rFonts w:ascii="Times New Roman" w:hAnsi="Times New Roman" w:cs="Times New Roman"/>
                <w:b/>
                <w:bCs/>
                <w:color w:val="auto"/>
                <w:sz w:val="26"/>
                <w:szCs w:val="26"/>
                <w:lang w:val="en-US" w:eastAsia="en-US"/>
              </w:rPr>
            </w:pPr>
            <w:proofErr w:type="spellStart"/>
            <w:r w:rsidRPr="000E0710">
              <w:rPr>
                <w:rFonts w:ascii="Times New Roman" w:hAnsi="Times New Roman" w:cs="Times New Roman"/>
                <w:b/>
                <w:bCs/>
                <w:sz w:val="26"/>
                <w:szCs w:val="26"/>
                <w:lang w:val="en-US"/>
              </w:rPr>
              <w:t>Nội</w:t>
            </w:r>
            <w:proofErr w:type="spellEnd"/>
            <w:r w:rsidRPr="000E0710">
              <w:rPr>
                <w:rFonts w:ascii="Times New Roman" w:hAnsi="Times New Roman" w:cs="Times New Roman"/>
                <w:b/>
                <w:bCs/>
                <w:sz w:val="26"/>
                <w:szCs w:val="26"/>
                <w:lang w:val="en-US"/>
              </w:rPr>
              <w:t xml:space="preserve"> dung</w:t>
            </w:r>
          </w:p>
        </w:tc>
        <w:tc>
          <w:tcPr>
            <w:tcW w:w="8654" w:type="dxa"/>
            <w:tcBorders>
              <w:top w:val="single" w:sz="4" w:space="0" w:color="auto"/>
              <w:left w:val="single" w:sz="4" w:space="0" w:color="auto"/>
              <w:bottom w:val="single" w:sz="4" w:space="0" w:color="auto"/>
              <w:right w:val="single" w:sz="4" w:space="0" w:color="auto"/>
            </w:tcBorders>
            <w:hideMark/>
          </w:tcPr>
          <w:p w14:paraId="5745E33E" w14:textId="025459AA" w:rsidR="000E0710" w:rsidRPr="000E0710" w:rsidRDefault="000E0710">
            <w:pPr>
              <w:jc w:val="center"/>
              <w:rPr>
                <w:rFonts w:ascii="Times New Roman" w:hAnsi="Times New Roman" w:cs="Times New Roman"/>
                <w:b/>
                <w:bCs/>
                <w:sz w:val="26"/>
                <w:szCs w:val="26"/>
                <w:lang w:val="en-US"/>
              </w:rPr>
            </w:pPr>
            <w:proofErr w:type="spellStart"/>
            <w:r w:rsidRPr="000E0710">
              <w:rPr>
                <w:rFonts w:ascii="Times New Roman" w:hAnsi="Times New Roman" w:cs="Times New Roman"/>
                <w:b/>
                <w:bCs/>
                <w:sz w:val="26"/>
                <w:szCs w:val="26"/>
                <w:lang w:val="en-US"/>
              </w:rPr>
              <w:t>Dự</w:t>
            </w:r>
            <w:proofErr w:type="spellEnd"/>
            <w:r w:rsidRPr="000E0710">
              <w:rPr>
                <w:rFonts w:ascii="Times New Roman" w:hAnsi="Times New Roman" w:cs="Times New Roman"/>
                <w:b/>
                <w:bCs/>
                <w:sz w:val="26"/>
                <w:szCs w:val="26"/>
                <w:lang w:val="en-US"/>
              </w:rPr>
              <w:t xml:space="preserve"> </w:t>
            </w:r>
            <w:proofErr w:type="spellStart"/>
            <w:r w:rsidRPr="000E0710">
              <w:rPr>
                <w:rFonts w:ascii="Times New Roman" w:hAnsi="Times New Roman" w:cs="Times New Roman"/>
                <w:b/>
                <w:bCs/>
                <w:sz w:val="26"/>
                <w:szCs w:val="26"/>
                <w:lang w:val="en-US"/>
              </w:rPr>
              <w:t>thảo</w:t>
            </w:r>
            <w:proofErr w:type="spellEnd"/>
            <w:r w:rsidRPr="000E0710">
              <w:rPr>
                <w:rFonts w:ascii="Times New Roman" w:hAnsi="Times New Roman" w:cs="Times New Roman"/>
                <w:b/>
                <w:bCs/>
                <w:sz w:val="26"/>
                <w:szCs w:val="26"/>
                <w:lang w:val="en-US"/>
              </w:rPr>
              <w:t xml:space="preserve"> </w:t>
            </w:r>
            <w:proofErr w:type="spellStart"/>
            <w:r w:rsidRPr="000E0710">
              <w:rPr>
                <w:rFonts w:ascii="Times New Roman" w:hAnsi="Times New Roman" w:cs="Times New Roman"/>
                <w:b/>
                <w:bCs/>
                <w:sz w:val="26"/>
                <w:szCs w:val="26"/>
                <w:lang w:val="en-US"/>
              </w:rPr>
              <w:t>Nghị</w:t>
            </w:r>
            <w:proofErr w:type="spellEnd"/>
            <w:r w:rsidRPr="000E0710">
              <w:rPr>
                <w:rFonts w:ascii="Times New Roman" w:hAnsi="Times New Roman" w:cs="Times New Roman"/>
                <w:b/>
                <w:bCs/>
                <w:sz w:val="26"/>
                <w:szCs w:val="26"/>
                <w:lang w:val="en-US"/>
              </w:rPr>
              <w:t xml:space="preserve"> </w:t>
            </w:r>
            <w:proofErr w:type="spellStart"/>
            <w:r w:rsidRPr="000E0710">
              <w:rPr>
                <w:rFonts w:ascii="Times New Roman" w:hAnsi="Times New Roman" w:cs="Times New Roman"/>
                <w:b/>
                <w:bCs/>
                <w:sz w:val="26"/>
                <w:szCs w:val="26"/>
                <w:lang w:val="en-US"/>
              </w:rPr>
              <w:t>định</w:t>
            </w:r>
            <w:proofErr w:type="spellEnd"/>
            <w:r w:rsidRPr="000E0710">
              <w:rPr>
                <w:rFonts w:ascii="Times New Roman" w:hAnsi="Times New Roman" w:cs="Times New Roman"/>
                <w:b/>
                <w:bCs/>
                <w:sz w:val="26"/>
                <w:szCs w:val="26"/>
                <w:lang w:val="en-US"/>
              </w:rPr>
              <w:t xml:space="preserve"> </w:t>
            </w:r>
          </w:p>
        </w:tc>
        <w:tc>
          <w:tcPr>
            <w:tcW w:w="5245" w:type="dxa"/>
            <w:tcBorders>
              <w:top w:val="single" w:sz="4" w:space="0" w:color="auto"/>
              <w:left w:val="single" w:sz="4" w:space="0" w:color="auto"/>
              <w:bottom w:val="single" w:sz="4" w:space="0" w:color="auto"/>
              <w:right w:val="single" w:sz="4" w:space="0" w:color="auto"/>
            </w:tcBorders>
            <w:hideMark/>
          </w:tcPr>
          <w:p w14:paraId="2F2BB5F7" w14:textId="77777777" w:rsidR="000E0710" w:rsidRPr="000E0710" w:rsidRDefault="000E0710">
            <w:pPr>
              <w:jc w:val="center"/>
              <w:rPr>
                <w:rFonts w:ascii="Times New Roman" w:hAnsi="Times New Roman" w:cs="Times New Roman"/>
                <w:b/>
                <w:bCs/>
                <w:sz w:val="26"/>
                <w:szCs w:val="26"/>
                <w:lang w:val="en-US"/>
              </w:rPr>
            </w:pPr>
            <w:proofErr w:type="spellStart"/>
            <w:r w:rsidRPr="000E0710">
              <w:rPr>
                <w:rFonts w:ascii="Times New Roman" w:hAnsi="Times New Roman" w:cs="Times New Roman"/>
                <w:b/>
                <w:bCs/>
                <w:sz w:val="26"/>
                <w:szCs w:val="26"/>
                <w:lang w:val="en-US"/>
              </w:rPr>
              <w:t>Thuyết</w:t>
            </w:r>
            <w:proofErr w:type="spellEnd"/>
            <w:r w:rsidRPr="000E0710">
              <w:rPr>
                <w:rFonts w:ascii="Times New Roman" w:hAnsi="Times New Roman" w:cs="Times New Roman"/>
                <w:b/>
                <w:bCs/>
                <w:sz w:val="26"/>
                <w:szCs w:val="26"/>
                <w:lang w:val="en-US"/>
              </w:rPr>
              <w:t xml:space="preserve"> </w:t>
            </w:r>
            <w:proofErr w:type="spellStart"/>
            <w:r w:rsidRPr="000E0710">
              <w:rPr>
                <w:rFonts w:ascii="Times New Roman" w:hAnsi="Times New Roman" w:cs="Times New Roman"/>
                <w:b/>
                <w:bCs/>
                <w:sz w:val="26"/>
                <w:szCs w:val="26"/>
                <w:lang w:val="en-US"/>
              </w:rPr>
              <w:t>minh</w:t>
            </w:r>
            <w:proofErr w:type="spellEnd"/>
          </w:p>
        </w:tc>
      </w:tr>
      <w:tr w:rsidR="000E0710" w:rsidRPr="000E0710" w14:paraId="619E0445" w14:textId="77777777" w:rsidTr="00E87CDF">
        <w:trPr>
          <w:trHeight w:val="1266"/>
        </w:trPr>
        <w:tc>
          <w:tcPr>
            <w:tcW w:w="1694" w:type="dxa"/>
            <w:tcBorders>
              <w:top w:val="single" w:sz="4" w:space="0" w:color="auto"/>
              <w:left w:val="single" w:sz="4" w:space="0" w:color="auto"/>
              <w:bottom w:val="single" w:sz="4" w:space="0" w:color="auto"/>
              <w:right w:val="single" w:sz="4" w:space="0" w:color="auto"/>
            </w:tcBorders>
            <w:hideMark/>
          </w:tcPr>
          <w:p w14:paraId="49E3DBC4" w14:textId="77777777" w:rsidR="000E0710" w:rsidRPr="00C45C6A" w:rsidRDefault="000E0710" w:rsidP="00263159">
            <w:pPr>
              <w:jc w:val="both"/>
              <w:rPr>
                <w:rFonts w:ascii="Times New Roman" w:hAnsi="Times New Roman" w:cs="Times New Roman"/>
                <w:sz w:val="26"/>
                <w:szCs w:val="26"/>
              </w:rPr>
            </w:pPr>
            <w:r w:rsidRPr="000E0710">
              <w:rPr>
                <w:rFonts w:ascii="Times New Roman" w:hAnsi="Times New Roman" w:cs="Times New Roman"/>
                <w:sz w:val="26"/>
                <w:szCs w:val="26"/>
              </w:rPr>
              <w:t>Phạm vi điều chỉnh</w:t>
            </w:r>
            <w:r w:rsidRPr="00C45C6A">
              <w:rPr>
                <w:rFonts w:ascii="Times New Roman" w:hAnsi="Times New Roman" w:cs="Times New Roman"/>
                <w:sz w:val="26"/>
                <w:szCs w:val="26"/>
              </w:rPr>
              <w:t xml:space="preserve"> và Đối tượng áp dụng </w:t>
            </w:r>
          </w:p>
          <w:p w14:paraId="37CD0914" w14:textId="759C9875" w:rsidR="000E0710" w:rsidRPr="00263159" w:rsidRDefault="000E0710" w:rsidP="00263159">
            <w:pPr>
              <w:jc w:val="both"/>
              <w:rPr>
                <w:rFonts w:ascii="Times New Roman" w:hAnsi="Times New Roman" w:cs="Times New Roman"/>
                <w:b/>
                <w:bCs/>
                <w:sz w:val="26"/>
                <w:szCs w:val="26"/>
                <w:lang w:val="en-US"/>
              </w:rPr>
            </w:pPr>
            <w:r w:rsidRPr="00263159">
              <w:rPr>
                <w:rFonts w:ascii="Times New Roman" w:hAnsi="Times New Roman" w:cs="Times New Roman"/>
                <w:b/>
                <w:bCs/>
                <w:sz w:val="26"/>
                <w:szCs w:val="26"/>
                <w:lang w:val="en-US"/>
              </w:rPr>
              <w:t>(</w:t>
            </w:r>
            <w:proofErr w:type="spellStart"/>
            <w:r w:rsidRPr="00263159">
              <w:rPr>
                <w:rFonts w:ascii="Times New Roman" w:hAnsi="Times New Roman" w:cs="Times New Roman"/>
                <w:b/>
                <w:bCs/>
                <w:sz w:val="26"/>
                <w:szCs w:val="26"/>
                <w:lang w:val="en-US"/>
              </w:rPr>
              <w:t>Điều</w:t>
            </w:r>
            <w:proofErr w:type="spellEnd"/>
            <w:r w:rsidRPr="00263159">
              <w:rPr>
                <w:rFonts w:ascii="Times New Roman" w:hAnsi="Times New Roman" w:cs="Times New Roman"/>
                <w:b/>
                <w:bCs/>
                <w:sz w:val="26"/>
                <w:szCs w:val="26"/>
                <w:lang w:val="en-US"/>
              </w:rPr>
              <w:t xml:space="preserve"> 1, </w:t>
            </w:r>
            <w:proofErr w:type="spellStart"/>
            <w:r w:rsidRPr="00263159">
              <w:rPr>
                <w:rFonts w:ascii="Times New Roman" w:hAnsi="Times New Roman" w:cs="Times New Roman"/>
                <w:b/>
                <w:bCs/>
                <w:sz w:val="26"/>
                <w:szCs w:val="26"/>
                <w:lang w:val="en-US"/>
              </w:rPr>
              <w:t>Điều</w:t>
            </w:r>
            <w:proofErr w:type="spellEnd"/>
            <w:r w:rsidRPr="00263159">
              <w:rPr>
                <w:rFonts w:ascii="Times New Roman" w:hAnsi="Times New Roman" w:cs="Times New Roman"/>
                <w:b/>
                <w:bCs/>
                <w:sz w:val="26"/>
                <w:szCs w:val="26"/>
                <w:lang w:val="en-US"/>
              </w:rPr>
              <w:t xml:space="preserve"> 2)</w:t>
            </w:r>
          </w:p>
        </w:tc>
        <w:tc>
          <w:tcPr>
            <w:tcW w:w="8654" w:type="dxa"/>
            <w:tcBorders>
              <w:top w:val="single" w:sz="4" w:space="0" w:color="auto"/>
              <w:left w:val="single" w:sz="4" w:space="0" w:color="auto"/>
              <w:bottom w:val="single" w:sz="4" w:space="0" w:color="auto"/>
              <w:right w:val="single" w:sz="4" w:space="0" w:color="auto"/>
            </w:tcBorders>
            <w:hideMark/>
          </w:tcPr>
          <w:p w14:paraId="565F3561" w14:textId="6C2CCBC5" w:rsidR="000E0710" w:rsidRDefault="000E0710" w:rsidP="00263159">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Quy </w:t>
            </w:r>
            <w:proofErr w:type="spellStart"/>
            <w:r>
              <w:rPr>
                <w:rFonts w:ascii="Times New Roman" w:hAnsi="Times New Roman" w:cs="Times New Roman"/>
                <w:sz w:val="26"/>
                <w:szCs w:val="26"/>
                <w:lang w:val="en-US"/>
              </w:rPr>
              <w:t>định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phạm</w:t>
            </w:r>
            <w:proofErr w:type="spellEnd"/>
            <w:r>
              <w:rPr>
                <w:rFonts w:ascii="Times New Roman" w:hAnsi="Times New Roman" w:cs="Times New Roman"/>
                <w:sz w:val="26"/>
                <w:szCs w:val="26"/>
                <w:lang w:val="en-US"/>
              </w:rPr>
              <w:t xml:space="preserve"> vi </w:t>
            </w:r>
            <w:proofErr w:type="spellStart"/>
            <w:r>
              <w:rPr>
                <w:rFonts w:ascii="Times New Roman" w:hAnsi="Times New Roman" w:cs="Times New Roman"/>
                <w:sz w:val="26"/>
                <w:szCs w:val="26"/>
                <w:lang w:val="en-US"/>
              </w:rPr>
              <w:t>điều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chỉnh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theo</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quy</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định</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tại</w:t>
            </w:r>
            <w:proofErr w:type="spellEnd"/>
            <w:r>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Nghị</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quyết</w:t>
            </w:r>
            <w:proofErr w:type="spellEnd"/>
            <w:r w:rsidRPr="000E0710">
              <w:rPr>
                <w:rFonts w:ascii="Times New Roman" w:hAnsi="Times New Roman" w:cs="Times New Roman"/>
                <w:sz w:val="26"/>
                <w:szCs w:val="26"/>
                <w:lang w:val="en-US"/>
              </w:rPr>
              <w:t xml:space="preserve"> 198/2025/QH15 </w:t>
            </w:r>
            <w:proofErr w:type="spellStart"/>
            <w:r w:rsidRPr="000E0710">
              <w:rPr>
                <w:rFonts w:ascii="Times New Roman" w:hAnsi="Times New Roman" w:cs="Times New Roman"/>
                <w:sz w:val="26"/>
                <w:szCs w:val="26"/>
                <w:lang w:val="en-US"/>
              </w:rPr>
              <w:t>ngày</w:t>
            </w:r>
            <w:proofErr w:type="spellEnd"/>
            <w:r w:rsidRPr="000E0710">
              <w:rPr>
                <w:rFonts w:ascii="Times New Roman" w:hAnsi="Times New Roman" w:cs="Times New Roman"/>
                <w:sz w:val="26"/>
                <w:szCs w:val="26"/>
                <w:lang w:val="en-US"/>
              </w:rPr>
              <w:t xml:space="preserve"> 17/5/2025 </w:t>
            </w:r>
            <w:proofErr w:type="spellStart"/>
            <w:r w:rsidRPr="000E0710">
              <w:rPr>
                <w:rFonts w:ascii="Times New Roman" w:hAnsi="Times New Roman" w:cs="Times New Roman"/>
                <w:sz w:val="26"/>
                <w:szCs w:val="26"/>
                <w:lang w:val="en-US"/>
              </w:rPr>
              <w:t>của</w:t>
            </w:r>
            <w:proofErr w:type="spellEnd"/>
            <w:r w:rsidRPr="000E0710">
              <w:rPr>
                <w:rFonts w:ascii="Times New Roman" w:hAnsi="Times New Roman" w:cs="Times New Roman"/>
                <w:sz w:val="26"/>
                <w:szCs w:val="26"/>
                <w:lang w:val="en-US"/>
              </w:rPr>
              <w:t xml:space="preserve"> Quốc </w:t>
            </w:r>
            <w:proofErr w:type="spellStart"/>
            <w:r w:rsidRPr="000E0710">
              <w:rPr>
                <w:rFonts w:ascii="Times New Roman" w:hAnsi="Times New Roman" w:cs="Times New Roman"/>
                <w:sz w:val="26"/>
                <w:szCs w:val="26"/>
                <w:lang w:val="en-US"/>
              </w:rPr>
              <w:t>hội</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về</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một</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số</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cơ</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chế</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chính</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sách</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đặc</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biệt</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phát</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triển</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kinh</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tế</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tư</w:t>
            </w:r>
            <w:proofErr w:type="spellEnd"/>
            <w:r w:rsidRPr="000E0710">
              <w:rPr>
                <w:rFonts w:ascii="Times New Roman" w:hAnsi="Times New Roman" w:cs="Times New Roman"/>
                <w:sz w:val="26"/>
                <w:szCs w:val="26"/>
                <w:lang w:val="en-US"/>
              </w:rPr>
              <w:t xml:space="preserve"> </w:t>
            </w:r>
            <w:proofErr w:type="spellStart"/>
            <w:r w:rsidRPr="000E0710">
              <w:rPr>
                <w:rFonts w:ascii="Times New Roman" w:hAnsi="Times New Roman" w:cs="Times New Roman"/>
                <w:sz w:val="26"/>
                <w:szCs w:val="26"/>
                <w:lang w:val="en-US"/>
              </w:rPr>
              <w:t>nhân</w:t>
            </w:r>
            <w:proofErr w:type="spellEnd"/>
            <w:r w:rsidR="00F86498">
              <w:rPr>
                <w:rFonts w:ascii="Times New Roman" w:hAnsi="Times New Roman" w:cs="Times New Roman"/>
                <w:sz w:val="26"/>
                <w:szCs w:val="26"/>
                <w:lang w:val="en-US"/>
              </w:rPr>
              <w:t>:</w:t>
            </w:r>
            <w:r w:rsidR="00F86498">
              <w:rPr>
                <w:lang w:val="en-US"/>
              </w:rPr>
              <w:t xml:space="preserve"> </w:t>
            </w:r>
            <w:r w:rsidR="00C45C6A" w:rsidRPr="00C45C6A">
              <w:rPr>
                <w:rFonts w:ascii="Times New Roman" w:hAnsi="Times New Roman" w:cs="Times New Roman"/>
                <w:noProof/>
                <w:sz w:val="26"/>
                <w:szCs w:val="26"/>
                <w:lang w:val="en-US"/>
              </w:rPr>
              <w:t>Nghị định này quy định về hỗ trợ lãi suất từ Ngân sách nhà nước đối với các doanh nghiệp thuộc khu vực kinh tế tư nhân, hộ kinh doanh, cá nhân kinh doanh vay vốn tại ngân hàng thương mại để thực hiện dự án xanh, tuần hoàn và áp dụng khung tiêu chuẩn môi trường, xã hội, quản trị (ESG) theo Nghị quyết 198/2025/QH15 ngày 17 tháng 5 năm 2025 của Quốc hội về một số cơ chế, chính sách đặc biệt phát triển kinh tế tư nhân</w:t>
            </w:r>
            <w:r w:rsidR="00C45C6A">
              <w:rPr>
                <w:rFonts w:ascii="Times New Roman" w:hAnsi="Times New Roman" w:cs="Times New Roman"/>
                <w:noProof/>
                <w:sz w:val="26"/>
                <w:szCs w:val="26"/>
                <w:lang w:val="en-US"/>
              </w:rPr>
              <w:t>.</w:t>
            </w:r>
          </w:p>
          <w:p w14:paraId="4576F247" w14:textId="5271AD05" w:rsidR="000E0710" w:rsidRDefault="000E0710" w:rsidP="00263159">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Đối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tượng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áp</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dụng</w:t>
            </w:r>
            <w:proofErr w:type="spellEnd"/>
            <w:r>
              <w:rPr>
                <w:rFonts w:ascii="Times New Roman" w:hAnsi="Times New Roman" w:cs="Times New Roman"/>
                <w:sz w:val="26"/>
                <w:szCs w:val="26"/>
                <w:lang w:val="en-US"/>
              </w:rPr>
              <w:t>:</w:t>
            </w:r>
          </w:p>
          <w:p w14:paraId="0A43FF57" w14:textId="77777777" w:rsidR="00F86498" w:rsidRPr="00F86498" w:rsidRDefault="00F86498" w:rsidP="00F86498">
            <w:pPr>
              <w:jc w:val="both"/>
              <w:rPr>
                <w:rFonts w:ascii="Times New Roman" w:hAnsi="Times New Roman" w:cs="Times New Roman"/>
                <w:sz w:val="26"/>
                <w:szCs w:val="26"/>
                <w:lang w:val="en-US"/>
              </w:rPr>
            </w:pPr>
            <w:r w:rsidRPr="00F86498">
              <w:rPr>
                <w:rFonts w:ascii="Times New Roman" w:hAnsi="Times New Roman" w:cs="Times New Roman"/>
                <w:sz w:val="26"/>
                <w:szCs w:val="26"/>
                <w:lang w:val="en-US"/>
              </w:rPr>
              <w:t xml:space="preserve">1. </w:t>
            </w:r>
            <w:proofErr w:type="spellStart"/>
            <w:r w:rsidRPr="00F86498">
              <w:rPr>
                <w:rFonts w:ascii="Times New Roman" w:hAnsi="Times New Roman" w:cs="Times New Roman"/>
                <w:sz w:val="26"/>
                <w:szCs w:val="26"/>
                <w:lang w:val="en-US"/>
              </w:rPr>
              <w:t>Khách</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hàng</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vay</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vốn</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tại</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các</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ngân</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hàng</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thương</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mại</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để</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thực</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hiện</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các</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dự</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án</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xanh</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tuần</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hoàn</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và</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áp</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dụng</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khung</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tiêu</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chuẩn</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môi</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trường</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xã</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hội</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quản</w:t>
            </w:r>
            <w:proofErr w:type="spellEnd"/>
            <w:r w:rsidRPr="00F86498">
              <w:rPr>
                <w:rFonts w:ascii="Times New Roman" w:hAnsi="Times New Roman" w:cs="Times New Roman"/>
                <w:sz w:val="26"/>
                <w:szCs w:val="26"/>
                <w:lang w:val="en-US"/>
              </w:rPr>
              <w:t xml:space="preserve"> </w:t>
            </w:r>
            <w:proofErr w:type="spellStart"/>
            <w:r w:rsidRPr="00F86498">
              <w:rPr>
                <w:rFonts w:ascii="Times New Roman" w:hAnsi="Times New Roman" w:cs="Times New Roman"/>
                <w:sz w:val="26"/>
                <w:szCs w:val="26"/>
                <w:lang w:val="en-US"/>
              </w:rPr>
              <w:t>trị</w:t>
            </w:r>
            <w:proofErr w:type="spellEnd"/>
            <w:r w:rsidRPr="00F86498">
              <w:rPr>
                <w:rFonts w:ascii="Times New Roman" w:hAnsi="Times New Roman" w:cs="Times New Roman"/>
                <w:sz w:val="26"/>
                <w:szCs w:val="26"/>
                <w:lang w:val="en-US"/>
              </w:rPr>
              <w:t xml:space="preserve"> (ESG) bao </w:t>
            </w:r>
            <w:proofErr w:type="spellStart"/>
            <w:r w:rsidRPr="00F86498">
              <w:rPr>
                <w:rFonts w:ascii="Times New Roman" w:hAnsi="Times New Roman" w:cs="Times New Roman"/>
                <w:sz w:val="26"/>
                <w:szCs w:val="26"/>
                <w:lang w:val="en-US"/>
              </w:rPr>
              <w:t>gồm</w:t>
            </w:r>
            <w:proofErr w:type="spellEnd"/>
            <w:r w:rsidRPr="00F86498">
              <w:rPr>
                <w:rFonts w:ascii="Times New Roman" w:hAnsi="Times New Roman" w:cs="Times New Roman"/>
                <w:sz w:val="26"/>
                <w:szCs w:val="26"/>
                <w:lang w:val="en-US"/>
              </w:rPr>
              <w:t>:</w:t>
            </w:r>
          </w:p>
          <w:p w14:paraId="2878F71F" w14:textId="77777777" w:rsidR="00C45C6A" w:rsidRDefault="00C45C6A" w:rsidP="00F86498">
            <w:pPr>
              <w:jc w:val="both"/>
              <w:rPr>
                <w:rFonts w:ascii="Times New Roman" w:hAnsi="Times New Roman" w:cs="Times New Roman"/>
                <w:sz w:val="26"/>
                <w:szCs w:val="26"/>
                <w:lang w:val="en-US"/>
              </w:rPr>
            </w:pPr>
            <w:r w:rsidRPr="00C45C6A">
              <w:rPr>
                <w:rFonts w:ascii="Times New Roman" w:hAnsi="Times New Roman" w:cs="Times New Roman"/>
                <w:sz w:val="26"/>
                <w:szCs w:val="26"/>
                <w:lang w:val="en-US"/>
              </w:rPr>
              <w:t xml:space="preserve">a) Doanh </w:t>
            </w:r>
            <w:proofErr w:type="spellStart"/>
            <w:r w:rsidRPr="00C45C6A">
              <w:rPr>
                <w:rFonts w:ascii="Times New Roman" w:hAnsi="Times New Roman" w:cs="Times New Roman"/>
                <w:sz w:val="26"/>
                <w:szCs w:val="26"/>
                <w:lang w:val="en-US"/>
              </w:rPr>
              <w:t>nghiệp</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thuộc</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khu</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vực</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kinh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tế</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tư</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nhân</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theo</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Nghị</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định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này</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là</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doanh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nghiệp</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được</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đăng</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ký</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thành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lập</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theo</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quy</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định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của</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Luật</w:t>
            </w:r>
            <w:proofErr w:type="spellEnd"/>
            <w:r w:rsidRPr="00C45C6A">
              <w:rPr>
                <w:rFonts w:ascii="Times New Roman" w:hAnsi="Times New Roman" w:cs="Times New Roman"/>
                <w:sz w:val="26"/>
                <w:szCs w:val="26"/>
                <w:lang w:val="en-US"/>
              </w:rPr>
              <w:t xml:space="preserve"> Doanh </w:t>
            </w:r>
            <w:proofErr w:type="spellStart"/>
            <w:r w:rsidRPr="00C45C6A">
              <w:rPr>
                <w:rFonts w:ascii="Times New Roman" w:hAnsi="Times New Roman" w:cs="Times New Roman"/>
                <w:sz w:val="26"/>
                <w:szCs w:val="26"/>
                <w:lang w:val="en-US"/>
              </w:rPr>
              <w:t>nghiệp</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không</w:t>
            </w:r>
            <w:proofErr w:type="spellEnd"/>
            <w:r w:rsidRPr="00C45C6A">
              <w:rPr>
                <w:rFonts w:ascii="Times New Roman" w:hAnsi="Times New Roman" w:cs="Times New Roman"/>
                <w:sz w:val="26"/>
                <w:szCs w:val="26"/>
                <w:lang w:val="en-US"/>
              </w:rPr>
              <w:t xml:space="preserve"> bao </w:t>
            </w:r>
            <w:proofErr w:type="spellStart"/>
            <w:r w:rsidRPr="00C45C6A">
              <w:rPr>
                <w:rFonts w:ascii="Times New Roman" w:hAnsi="Times New Roman" w:cs="Times New Roman"/>
                <w:sz w:val="26"/>
                <w:szCs w:val="26"/>
                <w:lang w:val="en-US"/>
              </w:rPr>
              <w:t>gồm</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doanh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nghiệp</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nhà</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nước</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theo</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quy</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định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tại</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Luật</w:t>
            </w:r>
            <w:proofErr w:type="spellEnd"/>
            <w:r w:rsidRPr="00C45C6A">
              <w:rPr>
                <w:rFonts w:ascii="Times New Roman" w:hAnsi="Times New Roman" w:cs="Times New Roman"/>
                <w:sz w:val="26"/>
                <w:szCs w:val="26"/>
                <w:lang w:val="en-US"/>
              </w:rPr>
              <w:t xml:space="preserve"> Doanh </w:t>
            </w:r>
            <w:proofErr w:type="spellStart"/>
            <w:r w:rsidRPr="00C45C6A">
              <w:rPr>
                <w:rFonts w:ascii="Times New Roman" w:hAnsi="Times New Roman" w:cs="Times New Roman"/>
                <w:sz w:val="26"/>
                <w:szCs w:val="26"/>
                <w:lang w:val="en-US"/>
              </w:rPr>
              <w:t>nghiệp</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và</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tổ</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chức</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kinh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tế</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có</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vốn</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đầu</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tư</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nước</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ngoài</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thuộc</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một</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trong</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các</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trường</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hợp</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quy</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định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tại</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điểm</w:t>
            </w:r>
            <w:proofErr w:type="spellEnd"/>
            <w:r w:rsidRPr="00C45C6A">
              <w:rPr>
                <w:rFonts w:ascii="Times New Roman" w:hAnsi="Times New Roman" w:cs="Times New Roman"/>
                <w:sz w:val="26"/>
                <w:szCs w:val="26"/>
                <w:lang w:val="en-US"/>
              </w:rPr>
              <w:t xml:space="preserve"> a, b </w:t>
            </w:r>
            <w:proofErr w:type="spellStart"/>
            <w:r w:rsidRPr="00C45C6A">
              <w:rPr>
                <w:rFonts w:ascii="Times New Roman" w:hAnsi="Times New Roman" w:cs="Times New Roman"/>
                <w:sz w:val="26"/>
                <w:szCs w:val="26"/>
                <w:lang w:val="en-US"/>
              </w:rPr>
              <w:t>Khoản</w:t>
            </w:r>
            <w:proofErr w:type="spellEnd"/>
            <w:r w:rsidRPr="00C45C6A">
              <w:rPr>
                <w:rFonts w:ascii="Times New Roman" w:hAnsi="Times New Roman" w:cs="Times New Roman"/>
                <w:sz w:val="26"/>
                <w:szCs w:val="26"/>
                <w:lang w:val="en-US"/>
              </w:rPr>
              <w:t xml:space="preserve"> 1 </w:t>
            </w:r>
            <w:proofErr w:type="spellStart"/>
            <w:r w:rsidRPr="00C45C6A">
              <w:rPr>
                <w:rFonts w:ascii="Times New Roman" w:hAnsi="Times New Roman" w:cs="Times New Roman"/>
                <w:sz w:val="26"/>
                <w:szCs w:val="26"/>
                <w:lang w:val="en-US"/>
              </w:rPr>
              <w:t>Điều</w:t>
            </w:r>
            <w:proofErr w:type="spellEnd"/>
            <w:r w:rsidRPr="00C45C6A">
              <w:rPr>
                <w:rFonts w:ascii="Times New Roman" w:hAnsi="Times New Roman" w:cs="Times New Roman"/>
                <w:sz w:val="26"/>
                <w:szCs w:val="26"/>
                <w:lang w:val="en-US"/>
              </w:rPr>
              <w:t xml:space="preserve"> 23 </w:t>
            </w:r>
            <w:proofErr w:type="spellStart"/>
            <w:r w:rsidRPr="00C45C6A">
              <w:rPr>
                <w:rFonts w:ascii="Times New Roman" w:hAnsi="Times New Roman" w:cs="Times New Roman"/>
                <w:sz w:val="26"/>
                <w:szCs w:val="26"/>
                <w:lang w:val="en-US"/>
              </w:rPr>
              <w:t>Luật</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Đầu</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tư</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và</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pháp</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luật</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điều</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chỉnh</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có</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liên</w:t>
            </w:r>
            <w:proofErr w:type="spellEnd"/>
            <w:r w:rsidRPr="00C45C6A">
              <w:rPr>
                <w:rFonts w:ascii="Times New Roman" w:hAnsi="Times New Roman" w:cs="Times New Roman"/>
                <w:sz w:val="26"/>
                <w:szCs w:val="26"/>
                <w:lang w:val="en-US"/>
              </w:rPr>
              <w:t xml:space="preserve"> </w:t>
            </w:r>
            <w:proofErr w:type="spellStart"/>
            <w:r w:rsidRPr="00C45C6A">
              <w:rPr>
                <w:rFonts w:ascii="Times New Roman" w:hAnsi="Times New Roman" w:cs="Times New Roman"/>
                <w:sz w:val="26"/>
                <w:szCs w:val="26"/>
                <w:lang w:val="en-US"/>
              </w:rPr>
              <w:t>quan</w:t>
            </w:r>
            <w:proofErr w:type="spellEnd"/>
            <w:r w:rsidRPr="00C45C6A">
              <w:rPr>
                <w:rFonts w:ascii="Times New Roman" w:hAnsi="Times New Roman" w:cs="Times New Roman"/>
                <w:sz w:val="26"/>
                <w:szCs w:val="26"/>
                <w:lang w:val="en-US"/>
              </w:rPr>
              <w:t xml:space="preserve">. </w:t>
            </w:r>
          </w:p>
          <w:p w14:paraId="49C76FAC" w14:textId="02A90031" w:rsidR="00F86498" w:rsidRPr="00C45C6A" w:rsidRDefault="00F86498" w:rsidP="00F86498">
            <w:pPr>
              <w:jc w:val="both"/>
              <w:rPr>
                <w:rFonts w:ascii="Times New Roman" w:hAnsi="Times New Roman" w:cs="Times New Roman"/>
                <w:sz w:val="26"/>
                <w:szCs w:val="26"/>
              </w:rPr>
            </w:pPr>
            <w:r w:rsidRPr="00C45C6A">
              <w:rPr>
                <w:rFonts w:ascii="Times New Roman" w:hAnsi="Times New Roman" w:cs="Times New Roman"/>
                <w:sz w:val="26"/>
                <w:szCs w:val="26"/>
              </w:rPr>
              <w:t>b) Hộ kinh doanh, cá nhân kinh doanh theo quy định tại khoản 2, khoản 3 Điều 3 Nghị quyết số 198/2025/QH15 của Quốc hội.</w:t>
            </w:r>
          </w:p>
          <w:p w14:paraId="0313E5FD" w14:textId="77777777" w:rsidR="00F86498" w:rsidRPr="00A40B32" w:rsidRDefault="00F86498" w:rsidP="00F86498">
            <w:pPr>
              <w:jc w:val="both"/>
              <w:rPr>
                <w:rFonts w:ascii="Times New Roman" w:hAnsi="Times New Roman" w:cs="Times New Roman"/>
                <w:sz w:val="26"/>
                <w:szCs w:val="26"/>
              </w:rPr>
            </w:pPr>
            <w:r w:rsidRPr="00A40B32">
              <w:rPr>
                <w:rFonts w:ascii="Times New Roman" w:hAnsi="Times New Roman" w:cs="Times New Roman"/>
                <w:sz w:val="26"/>
                <w:szCs w:val="26"/>
              </w:rPr>
              <w:t xml:space="preserve">2. Ngân hàng thương mại được thành lập và hoạt động theo quy định tại Luật </w:t>
            </w:r>
            <w:r w:rsidRPr="00A40B32">
              <w:rPr>
                <w:rFonts w:ascii="Times New Roman" w:hAnsi="Times New Roman" w:cs="Times New Roman"/>
                <w:sz w:val="26"/>
                <w:szCs w:val="26"/>
              </w:rPr>
              <w:lastRenderedPageBreak/>
              <w:t>Các tổ chức tín dụng.</w:t>
            </w:r>
          </w:p>
          <w:p w14:paraId="67352ABF" w14:textId="2D6ADFD8" w:rsidR="00A46BD6" w:rsidRPr="00A40B32" w:rsidRDefault="00F86498" w:rsidP="00F86498">
            <w:pPr>
              <w:jc w:val="both"/>
              <w:rPr>
                <w:rFonts w:ascii="Times New Roman" w:hAnsi="Times New Roman" w:cs="Times New Roman"/>
                <w:sz w:val="26"/>
                <w:szCs w:val="26"/>
              </w:rPr>
            </w:pPr>
            <w:r w:rsidRPr="00A40B32">
              <w:rPr>
                <w:rFonts w:ascii="Times New Roman" w:hAnsi="Times New Roman" w:cs="Times New Roman"/>
                <w:sz w:val="26"/>
                <w:szCs w:val="26"/>
              </w:rPr>
              <w:t>3. Cơ quan, tổ chức, cá nhân khác có liên quan trong quá trình triển khai Nghị định.</w:t>
            </w:r>
          </w:p>
          <w:p w14:paraId="306BB83D" w14:textId="680A1E31" w:rsidR="00A46BD6" w:rsidRPr="000E0710" w:rsidRDefault="00A46BD6" w:rsidP="000E2BDF">
            <w:pPr>
              <w:jc w:val="both"/>
              <w:rPr>
                <w:rFonts w:ascii="Times New Roman" w:hAnsi="Times New Roman" w:cs="Times New Roman"/>
                <w:sz w:val="26"/>
                <w:szCs w:val="26"/>
              </w:rPr>
            </w:pPr>
          </w:p>
        </w:tc>
        <w:tc>
          <w:tcPr>
            <w:tcW w:w="5245" w:type="dxa"/>
            <w:tcBorders>
              <w:top w:val="single" w:sz="4" w:space="0" w:color="auto"/>
              <w:left w:val="single" w:sz="4" w:space="0" w:color="auto"/>
              <w:bottom w:val="single" w:sz="4" w:space="0" w:color="auto"/>
              <w:right w:val="single" w:sz="4" w:space="0" w:color="auto"/>
            </w:tcBorders>
          </w:tcPr>
          <w:p w14:paraId="063591B0" w14:textId="43BEAEBF" w:rsidR="000E0710" w:rsidRPr="00C45C6A" w:rsidRDefault="00F125B8" w:rsidP="00263159">
            <w:pPr>
              <w:jc w:val="both"/>
              <w:rPr>
                <w:rFonts w:ascii="Times New Roman" w:hAnsi="Times New Roman" w:cs="Times New Roman"/>
                <w:sz w:val="26"/>
                <w:szCs w:val="26"/>
              </w:rPr>
            </w:pPr>
            <w:r w:rsidRPr="00C45C6A">
              <w:rPr>
                <w:rFonts w:ascii="Times New Roman" w:hAnsi="Times New Roman" w:cs="Times New Roman"/>
                <w:sz w:val="26"/>
                <w:szCs w:val="26"/>
              </w:rPr>
              <w:lastRenderedPageBreak/>
              <w:t xml:space="preserve">Quy định các đối tượng được thụ hưởng chính sách hỗ trợ lãi suất từ ngân sách nhà nước khi vay vốn tại ngân hàng thương mại theo quy định tại Nghị quyết 198/2025/QH15 ngày 17/5/2025 của Quốc hội về một số cơ chế, chính sách đặc biệt phát triển kinh tế tư nhân: </w:t>
            </w:r>
            <w:r w:rsidRPr="00F125B8">
              <w:rPr>
                <w:rFonts w:ascii="Times New Roman" w:hAnsi="Times New Roman" w:cs="Times New Roman"/>
                <w:i/>
                <w:iCs/>
                <w:sz w:val="26"/>
                <w:szCs w:val="26"/>
              </w:rPr>
              <w:t>Doanh nghiệp thuộc khu vực kinh tế tư nhân, hộ kinh doanh, cá nhân kinh doanh được Nhà nước hỗ trợ lãi suất 2%/năm khi vay vốn để thực hiện các dự án xanh, tuần hoàn và áp dụng khung tiêu chuẩn môi trường, xã hội, quản trị (ESG).</w:t>
            </w:r>
          </w:p>
          <w:p w14:paraId="5022C9A1" w14:textId="77777777" w:rsidR="000E0710" w:rsidRPr="000E0710" w:rsidRDefault="000E0710" w:rsidP="00263159">
            <w:pPr>
              <w:jc w:val="both"/>
              <w:rPr>
                <w:rFonts w:ascii="Times New Roman" w:hAnsi="Times New Roman" w:cs="Times New Roman"/>
                <w:sz w:val="26"/>
                <w:szCs w:val="26"/>
              </w:rPr>
            </w:pPr>
          </w:p>
        </w:tc>
      </w:tr>
      <w:tr w:rsidR="000E0710" w:rsidRPr="000E0710" w14:paraId="37472405" w14:textId="77777777" w:rsidTr="00A46BD6">
        <w:tc>
          <w:tcPr>
            <w:tcW w:w="1694" w:type="dxa"/>
            <w:tcBorders>
              <w:top w:val="single" w:sz="4" w:space="0" w:color="auto"/>
              <w:left w:val="single" w:sz="4" w:space="0" w:color="auto"/>
              <w:bottom w:val="single" w:sz="4" w:space="0" w:color="auto"/>
              <w:right w:val="single" w:sz="4" w:space="0" w:color="auto"/>
            </w:tcBorders>
            <w:hideMark/>
          </w:tcPr>
          <w:p w14:paraId="4199BBD6" w14:textId="7D0AEF8D" w:rsidR="000E0710" w:rsidRPr="000E0710" w:rsidRDefault="00845D9F" w:rsidP="00263159">
            <w:pPr>
              <w:jc w:val="both"/>
              <w:rPr>
                <w:rFonts w:ascii="Times New Roman" w:hAnsi="Times New Roman" w:cs="Times New Roman"/>
                <w:sz w:val="26"/>
                <w:szCs w:val="26"/>
              </w:rPr>
            </w:pPr>
            <w:r w:rsidRPr="00845D9F">
              <w:rPr>
                <w:rFonts w:ascii="Times New Roman" w:hAnsi="Times New Roman" w:cs="Times New Roman"/>
                <w:sz w:val="26"/>
                <w:szCs w:val="26"/>
              </w:rPr>
              <w:t>Điều kiện được hỗ trợ lãi suất</w:t>
            </w:r>
            <w:r w:rsidR="000E0710" w:rsidRPr="000E0710">
              <w:rPr>
                <w:rFonts w:ascii="Times New Roman" w:hAnsi="Times New Roman" w:cs="Times New Roman"/>
                <w:sz w:val="26"/>
                <w:szCs w:val="26"/>
              </w:rPr>
              <w:br/>
            </w:r>
            <w:r w:rsidR="000E0710" w:rsidRPr="00263159">
              <w:rPr>
                <w:rFonts w:ascii="Times New Roman" w:hAnsi="Times New Roman" w:cs="Times New Roman"/>
                <w:b/>
                <w:bCs/>
                <w:sz w:val="26"/>
                <w:szCs w:val="26"/>
              </w:rPr>
              <w:t xml:space="preserve">(Điều </w:t>
            </w:r>
            <w:r w:rsidR="000E2BDF" w:rsidRPr="00C45C6A">
              <w:rPr>
                <w:rFonts w:ascii="Times New Roman" w:hAnsi="Times New Roman" w:cs="Times New Roman"/>
                <w:b/>
                <w:bCs/>
                <w:sz w:val="26"/>
                <w:szCs w:val="26"/>
              </w:rPr>
              <w:t>3</w:t>
            </w:r>
            <w:r w:rsidR="000E0710" w:rsidRPr="00263159">
              <w:rPr>
                <w:rFonts w:ascii="Times New Roman" w:hAnsi="Times New Roman" w:cs="Times New Roman"/>
                <w:b/>
                <w:bCs/>
                <w:sz w:val="26"/>
                <w:szCs w:val="26"/>
              </w:rPr>
              <w:t>)</w:t>
            </w:r>
          </w:p>
        </w:tc>
        <w:tc>
          <w:tcPr>
            <w:tcW w:w="8654" w:type="dxa"/>
            <w:tcBorders>
              <w:top w:val="single" w:sz="4" w:space="0" w:color="auto"/>
              <w:left w:val="single" w:sz="4" w:space="0" w:color="auto"/>
              <w:bottom w:val="single" w:sz="4" w:space="0" w:color="auto"/>
              <w:right w:val="single" w:sz="4" w:space="0" w:color="auto"/>
            </w:tcBorders>
            <w:hideMark/>
          </w:tcPr>
          <w:p w14:paraId="005CDFDD" w14:textId="77777777" w:rsidR="00C45C6A" w:rsidRPr="00C45C6A" w:rsidRDefault="00C45C6A" w:rsidP="00C45C6A">
            <w:pPr>
              <w:jc w:val="both"/>
              <w:rPr>
                <w:rFonts w:ascii="Times New Roman" w:hAnsi="Times New Roman" w:cs="Times New Roman"/>
                <w:color w:val="auto"/>
                <w:sz w:val="26"/>
                <w:szCs w:val="26"/>
              </w:rPr>
            </w:pPr>
            <w:r w:rsidRPr="00C45C6A">
              <w:rPr>
                <w:rFonts w:ascii="Times New Roman" w:hAnsi="Times New Roman" w:cs="Times New Roman"/>
                <w:color w:val="auto"/>
                <w:sz w:val="26"/>
                <w:szCs w:val="26"/>
              </w:rPr>
              <w:t xml:space="preserve">1. Khách hàng có đề nghị được hỗ trợ lãi suất, đáp ứng các điều kiện vay vốn theo quy định của pháp luật hiện hành về hoạt động cho vay của ngân hàng thương mại đối với khách hàng, sử dụng vốn đúng mục đích theo quy định tại điểm a khoản 2 Điều này. </w:t>
            </w:r>
          </w:p>
          <w:p w14:paraId="0604C03C" w14:textId="77777777" w:rsidR="00C45C6A" w:rsidRPr="00C45C6A" w:rsidRDefault="00C45C6A" w:rsidP="00C45C6A">
            <w:pPr>
              <w:jc w:val="both"/>
              <w:rPr>
                <w:rFonts w:ascii="Times New Roman" w:hAnsi="Times New Roman" w:cs="Times New Roman"/>
                <w:color w:val="auto"/>
                <w:sz w:val="26"/>
                <w:szCs w:val="26"/>
              </w:rPr>
            </w:pPr>
            <w:r w:rsidRPr="00C45C6A">
              <w:rPr>
                <w:rFonts w:ascii="Times New Roman" w:hAnsi="Times New Roman" w:cs="Times New Roman"/>
                <w:color w:val="auto"/>
                <w:sz w:val="26"/>
                <w:szCs w:val="26"/>
              </w:rPr>
              <w:t>2. Khoản vay của khách hàng tại ngân hàng thương mại đáp ứng các điều kiện sau:</w:t>
            </w:r>
          </w:p>
          <w:p w14:paraId="7F4F71F2" w14:textId="77777777" w:rsidR="00C45C6A" w:rsidRPr="00C45C6A" w:rsidRDefault="00C45C6A" w:rsidP="00C45C6A">
            <w:pPr>
              <w:jc w:val="both"/>
              <w:rPr>
                <w:rFonts w:ascii="Times New Roman" w:hAnsi="Times New Roman" w:cs="Times New Roman"/>
                <w:color w:val="auto"/>
                <w:sz w:val="26"/>
                <w:szCs w:val="26"/>
              </w:rPr>
            </w:pPr>
            <w:r w:rsidRPr="00C45C6A">
              <w:rPr>
                <w:rFonts w:ascii="Times New Roman" w:hAnsi="Times New Roman" w:cs="Times New Roman"/>
                <w:color w:val="auto"/>
                <w:sz w:val="26"/>
                <w:szCs w:val="26"/>
              </w:rPr>
              <w:t xml:space="preserve">a) Khoản vay được sử dụng để thực hiện dự án được cơ quan, tổ chức có thẩm quyền xác nhận đáp ứng các tiêu chí là dự án xanh, tuần hoàn và áp dụng khung tiêu chuẩn môi trường, xã hội, quản trị (ESG) theo quy định tại quyết định của Thủ tướng Chính phủ và thuộc Danh sách các dự án xanh, tuần hoàn và áp dụng khung tiêu chuẩn môi trường, xã hội, quản trị (ESG) được công bố trên Cổng thông tin điện tử của Bộ Nông nghiệp và Môi trường. </w:t>
            </w:r>
          </w:p>
          <w:p w14:paraId="25D34950" w14:textId="77777777" w:rsidR="00C45C6A" w:rsidRPr="00C45C6A" w:rsidRDefault="00C45C6A" w:rsidP="00C45C6A">
            <w:pPr>
              <w:jc w:val="both"/>
              <w:rPr>
                <w:rFonts w:ascii="Times New Roman" w:hAnsi="Times New Roman" w:cs="Times New Roman"/>
                <w:color w:val="auto"/>
                <w:sz w:val="26"/>
                <w:szCs w:val="26"/>
              </w:rPr>
            </w:pPr>
            <w:r w:rsidRPr="00C45C6A">
              <w:rPr>
                <w:rFonts w:ascii="Times New Roman" w:hAnsi="Times New Roman" w:cs="Times New Roman"/>
                <w:color w:val="auto"/>
                <w:sz w:val="26"/>
                <w:szCs w:val="26"/>
              </w:rPr>
              <w:t xml:space="preserve">b) Khoản vay bằng đồng Việt Nam, được ký kết thỏa thuận cho vay và giải ngân kể từ ngày Nghị định này có hiệu lực thi hành. </w:t>
            </w:r>
          </w:p>
          <w:p w14:paraId="35B04114" w14:textId="77777777" w:rsidR="00C45C6A" w:rsidRPr="00C45C6A" w:rsidRDefault="00C45C6A" w:rsidP="00C45C6A">
            <w:pPr>
              <w:jc w:val="both"/>
              <w:rPr>
                <w:rFonts w:ascii="Times New Roman" w:hAnsi="Times New Roman" w:cs="Times New Roman"/>
                <w:color w:val="auto"/>
                <w:sz w:val="26"/>
                <w:szCs w:val="26"/>
              </w:rPr>
            </w:pPr>
            <w:r w:rsidRPr="00C45C6A">
              <w:rPr>
                <w:rFonts w:ascii="Times New Roman" w:hAnsi="Times New Roman" w:cs="Times New Roman"/>
                <w:color w:val="auto"/>
                <w:sz w:val="26"/>
                <w:szCs w:val="26"/>
              </w:rPr>
              <w:t>3. Không tiếp tục thực hiện hỗ trợ lãi suất theo Nghị định này đối với:</w:t>
            </w:r>
          </w:p>
          <w:p w14:paraId="45BD6CE3" w14:textId="77777777" w:rsidR="00C45C6A" w:rsidRPr="00C45C6A" w:rsidRDefault="00C45C6A" w:rsidP="00C45C6A">
            <w:pPr>
              <w:jc w:val="both"/>
              <w:rPr>
                <w:rFonts w:ascii="Times New Roman" w:hAnsi="Times New Roman" w:cs="Times New Roman"/>
                <w:color w:val="auto"/>
                <w:sz w:val="26"/>
                <w:szCs w:val="26"/>
              </w:rPr>
            </w:pPr>
            <w:r w:rsidRPr="00C45C6A">
              <w:rPr>
                <w:rFonts w:ascii="Times New Roman" w:hAnsi="Times New Roman" w:cs="Times New Roman"/>
                <w:color w:val="auto"/>
                <w:sz w:val="26"/>
                <w:szCs w:val="26"/>
              </w:rPr>
              <w:t>a) Khoản vay có số dư nợ gốc bị quá hạn và/hoặc số dư lãi chậm trả hoặc đã thực hiện cơ cấu lại thời hạn trả nợ, trừ trường hợp cơ cấu lại thời hạn trả nợ và giữ nguyên nhóm nợ theo quy định của pháp luật.</w:t>
            </w:r>
          </w:p>
          <w:p w14:paraId="2ADC7B7D" w14:textId="0F072B64" w:rsidR="004E0885" w:rsidRPr="000E0710" w:rsidRDefault="00C45C6A" w:rsidP="00C45C6A">
            <w:pPr>
              <w:jc w:val="both"/>
              <w:rPr>
                <w:rFonts w:ascii="Times New Roman" w:hAnsi="Times New Roman" w:cs="Times New Roman"/>
                <w:sz w:val="26"/>
                <w:szCs w:val="26"/>
              </w:rPr>
            </w:pPr>
            <w:r w:rsidRPr="00C45C6A">
              <w:rPr>
                <w:rFonts w:ascii="Times New Roman" w:hAnsi="Times New Roman" w:cs="Times New Roman"/>
                <w:color w:val="auto"/>
                <w:sz w:val="26"/>
                <w:szCs w:val="26"/>
              </w:rPr>
              <w:t>b) Khoản vay thực hiện dự án không còn thuộc Danh sách các dự án xanh, tuần hoàn và áp dụng khung tiêu chuẩn môi trường, xã hội, quản trị (ESG) được công bố trên Cổng thông tin điện tử của Bộ Nông nghiệp và Môi trường.</w:t>
            </w:r>
          </w:p>
        </w:tc>
        <w:tc>
          <w:tcPr>
            <w:tcW w:w="5245" w:type="dxa"/>
            <w:tcBorders>
              <w:top w:val="single" w:sz="4" w:space="0" w:color="auto"/>
              <w:left w:val="single" w:sz="4" w:space="0" w:color="auto"/>
              <w:bottom w:val="single" w:sz="4" w:space="0" w:color="auto"/>
              <w:right w:val="single" w:sz="4" w:space="0" w:color="auto"/>
            </w:tcBorders>
            <w:hideMark/>
          </w:tcPr>
          <w:p w14:paraId="0E8C4BDD" w14:textId="32B91694" w:rsidR="000E0710" w:rsidRPr="00C45C6A" w:rsidRDefault="00263159" w:rsidP="00263159">
            <w:pPr>
              <w:jc w:val="both"/>
              <w:rPr>
                <w:rFonts w:ascii="Times New Roman" w:hAnsi="Times New Roman" w:cs="Times New Roman"/>
                <w:sz w:val="26"/>
                <w:szCs w:val="26"/>
              </w:rPr>
            </w:pPr>
            <w:r w:rsidRPr="00C45C6A">
              <w:rPr>
                <w:rFonts w:ascii="Times New Roman" w:hAnsi="Times New Roman" w:cs="Times New Roman"/>
                <w:sz w:val="26"/>
                <w:szCs w:val="26"/>
              </w:rPr>
              <w:t>Tại dự thảo Nghị định quy định các điều kiện được hỗ trợ lãi suất và các trường hợp không thực hiện hỗ trợ lãi suất, là căn cứ để các cơ quan, tổ chức có liên quan triển khai thực hiện. Theo đó, điều kiện hỗ trợ lãi suất được xây dựng trên nguyên tắc công khai, minh bạch, đúng đối tượng, đúng mục đích, tránh trục lợi chính sách, thuận lợi cho khách hàng</w:t>
            </w:r>
            <w:r w:rsidR="000E2BDF" w:rsidRPr="00C45C6A">
              <w:rPr>
                <w:rFonts w:ascii="Times New Roman" w:hAnsi="Times New Roman" w:cs="Times New Roman"/>
                <w:sz w:val="26"/>
                <w:szCs w:val="26"/>
              </w:rPr>
              <w:t xml:space="preserve"> theo quy định tại Nghị quyết số 198/2025/QH15 của Quốc hội.</w:t>
            </w:r>
          </w:p>
        </w:tc>
      </w:tr>
      <w:tr w:rsidR="00845D9F" w:rsidRPr="000E0710" w14:paraId="530D2C34" w14:textId="77777777" w:rsidTr="00A46BD6">
        <w:tc>
          <w:tcPr>
            <w:tcW w:w="1694" w:type="dxa"/>
            <w:tcBorders>
              <w:top w:val="single" w:sz="4" w:space="0" w:color="auto"/>
              <w:left w:val="single" w:sz="4" w:space="0" w:color="auto"/>
              <w:bottom w:val="single" w:sz="4" w:space="0" w:color="auto"/>
              <w:right w:val="single" w:sz="4" w:space="0" w:color="auto"/>
            </w:tcBorders>
          </w:tcPr>
          <w:p w14:paraId="49152662" w14:textId="77777777" w:rsidR="00845D9F" w:rsidRDefault="00845D9F" w:rsidP="00263159">
            <w:pPr>
              <w:jc w:val="both"/>
              <w:rPr>
                <w:rFonts w:ascii="Times New Roman" w:hAnsi="Times New Roman" w:cs="Times New Roman"/>
                <w:sz w:val="26"/>
                <w:szCs w:val="26"/>
              </w:rPr>
            </w:pPr>
            <w:r w:rsidRPr="00845D9F">
              <w:rPr>
                <w:rFonts w:ascii="Times New Roman" w:hAnsi="Times New Roman" w:cs="Times New Roman"/>
                <w:sz w:val="26"/>
                <w:szCs w:val="26"/>
              </w:rPr>
              <w:t>Thời hạn và mức lãi suất hỗ trợ</w:t>
            </w:r>
          </w:p>
          <w:p w14:paraId="1BB58728" w14:textId="08F70555" w:rsidR="00845D9F" w:rsidRPr="00263159" w:rsidRDefault="00845D9F" w:rsidP="00263159">
            <w:pPr>
              <w:jc w:val="both"/>
              <w:rPr>
                <w:rFonts w:ascii="Times New Roman" w:hAnsi="Times New Roman" w:cs="Times New Roman"/>
                <w:b/>
                <w:bCs/>
                <w:sz w:val="26"/>
                <w:szCs w:val="26"/>
                <w:lang w:val="en-US"/>
              </w:rPr>
            </w:pPr>
            <w:r w:rsidRPr="00263159">
              <w:rPr>
                <w:rFonts w:ascii="Times New Roman" w:hAnsi="Times New Roman" w:cs="Times New Roman"/>
                <w:b/>
                <w:bCs/>
                <w:sz w:val="26"/>
                <w:szCs w:val="26"/>
                <w:lang w:val="en-US"/>
              </w:rPr>
              <w:t>(</w:t>
            </w:r>
            <w:proofErr w:type="spellStart"/>
            <w:r w:rsidRPr="00263159">
              <w:rPr>
                <w:rFonts w:ascii="Times New Roman" w:hAnsi="Times New Roman" w:cs="Times New Roman"/>
                <w:b/>
                <w:bCs/>
                <w:sz w:val="26"/>
                <w:szCs w:val="26"/>
                <w:lang w:val="en-US"/>
              </w:rPr>
              <w:t>Điều</w:t>
            </w:r>
            <w:proofErr w:type="spellEnd"/>
            <w:r w:rsidRPr="00263159">
              <w:rPr>
                <w:rFonts w:ascii="Times New Roman" w:hAnsi="Times New Roman" w:cs="Times New Roman"/>
                <w:b/>
                <w:bCs/>
                <w:sz w:val="26"/>
                <w:szCs w:val="26"/>
                <w:lang w:val="en-US"/>
              </w:rPr>
              <w:t xml:space="preserve"> </w:t>
            </w:r>
            <w:r w:rsidR="000E2BDF">
              <w:rPr>
                <w:rFonts w:ascii="Times New Roman" w:hAnsi="Times New Roman" w:cs="Times New Roman"/>
                <w:b/>
                <w:bCs/>
                <w:sz w:val="26"/>
                <w:szCs w:val="26"/>
                <w:lang w:val="en-US"/>
              </w:rPr>
              <w:t>4</w:t>
            </w:r>
            <w:r w:rsidRPr="00263159">
              <w:rPr>
                <w:rFonts w:ascii="Times New Roman" w:hAnsi="Times New Roman" w:cs="Times New Roman"/>
                <w:b/>
                <w:bCs/>
                <w:sz w:val="26"/>
                <w:szCs w:val="26"/>
                <w:lang w:val="en-US"/>
              </w:rPr>
              <w:t>)</w:t>
            </w:r>
          </w:p>
        </w:tc>
        <w:tc>
          <w:tcPr>
            <w:tcW w:w="8654" w:type="dxa"/>
            <w:tcBorders>
              <w:top w:val="single" w:sz="4" w:space="0" w:color="auto"/>
              <w:left w:val="single" w:sz="4" w:space="0" w:color="auto"/>
              <w:bottom w:val="single" w:sz="4" w:space="0" w:color="auto"/>
              <w:right w:val="single" w:sz="4" w:space="0" w:color="auto"/>
            </w:tcBorders>
          </w:tcPr>
          <w:p w14:paraId="3E5B2F8F" w14:textId="77777777" w:rsidR="000E2BDF" w:rsidRPr="000E2BDF" w:rsidRDefault="000E2BDF" w:rsidP="000E2BDF">
            <w:pPr>
              <w:jc w:val="both"/>
              <w:rPr>
                <w:rFonts w:ascii="Times New Roman" w:hAnsi="Times New Roman" w:cs="Times New Roman"/>
                <w:sz w:val="26"/>
                <w:szCs w:val="26"/>
              </w:rPr>
            </w:pPr>
            <w:r w:rsidRPr="000E2BDF">
              <w:rPr>
                <w:rFonts w:ascii="Times New Roman" w:hAnsi="Times New Roman" w:cs="Times New Roman"/>
                <w:sz w:val="26"/>
                <w:szCs w:val="26"/>
              </w:rPr>
              <w:t>1. Thời hạn được hỗ trợ lãi suất được xác định theo thời hạn cho vay của ngân hàng thương mại đối với khách hàng theo quy định của pháp luật hiện hành.</w:t>
            </w:r>
          </w:p>
          <w:p w14:paraId="1E0ED3CA" w14:textId="4B3C49C7" w:rsidR="00845D9F" w:rsidRPr="00845D9F" w:rsidRDefault="000E2BDF" w:rsidP="000E2BDF">
            <w:pPr>
              <w:jc w:val="both"/>
              <w:rPr>
                <w:rFonts w:ascii="Times New Roman" w:hAnsi="Times New Roman" w:cs="Times New Roman"/>
                <w:sz w:val="26"/>
                <w:szCs w:val="26"/>
              </w:rPr>
            </w:pPr>
            <w:r w:rsidRPr="000E2BDF">
              <w:rPr>
                <w:rFonts w:ascii="Times New Roman" w:hAnsi="Times New Roman" w:cs="Times New Roman"/>
                <w:sz w:val="26"/>
                <w:szCs w:val="26"/>
              </w:rPr>
              <w:t>2. Mức lãi suất hỗ trợ đối với khách hàng là 2%/năm, tính trên số dư nợ  gốc tiền vay và thời hạn quy định tại khoản 1 Điều này.</w:t>
            </w:r>
          </w:p>
        </w:tc>
        <w:tc>
          <w:tcPr>
            <w:tcW w:w="5245" w:type="dxa"/>
            <w:tcBorders>
              <w:top w:val="single" w:sz="4" w:space="0" w:color="auto"/>
              <w:left w:val="single" w:sz="4" w:space="0" w:color="auto"/>
              <w:bottom w:val="single" w:sz="4" w:space="0" w:color="auto"/>
              <w:right w:val="single" w:sz="4" w:space="0" w:color="auto"/>
            </w:tcBorders>
          </w:tcPr>
          <w:p w14:paraId="00A12291" w14:textId="580A7C79" w:rsidR="00845D9F" w:rsidRPr="00C45C6A" w:rsidRDefault="0043096D" w:rsidP="00263159">
            <w:pPr>
              <w:jc w:val="both"/>
              <w:rPr>
                <w:rFonts w:ascii="Times New Roman" w:hAnsi="Times New Roman" w:cs="Times New Roman"/>
                <w:sz w:val="26"/>
                <w:szCs w:val="26"/>
              </w:rPr>
            </w:pPr>
            <w:r w:rsidRPr="00C45C6A">
              <w:rPr>
                <w:rFonts w:ascii="Times New Roman" w:hAnsi="Times New Roman" w:cs="Times New Roman"/>
                <w:sz w:val="26"/>
                <w:szCs w:val="26"/>
              </w:rPr>
              <w:t>- Thời hạn được hỗ trợ lãi suất theo thời hạn của khoản vay.</w:t>
            </w:r>
          </w:p>
          <w:p w14:paraId="39DFA016" w14:textId="4D1893E4" w:rsidR="0043096D" w:rsidRPr="00C45C6A" w:rsidRDefault="0043096D" w:rsidP="00263159">
            <w:pPr>
              <w:jc w:val="both"/>
              <w:rPr>
                <w:rFonts w:ascii="Times New Roman" w:hAnsi="Times New Roman" w:cs="Times New Roman"/>
                <w:sz w:val="26"/>
                <w:szCs w:val="26"/>
              </w:rPr>
            </w:pPr>
            <w:r w:rsidRPr="00C45C6A">
              <w:rPr>
                <w:rFonts w:ascii="Times New Roman" w:hAnsi="Times New Roman" w:cs="Times New Roman"/>
                <w:sz w:val="26"/>
                <w:szCs w:val="26"/>
              </w:rPr>
              <w:t>- Mức hỗ trợ lãi suất được quy định theo Nghị quyết 198/2025/QH15 của Quốc hội là 2%/năm.</w:t>
            </w:r>
          </w:p>
        </w:tc>
      </w:tr>
      <w:tr w:rsidR="00845D9F" w:rsidRPr="000E0710" w14:paraId="6E48F5CE" w14:textId="77777777" w:rsidTr="00A46BD6">
        <w:tc>
          <w:tcPr>
            <w:tcW w:w="1694" w:type="dxa"/>
            <w:tcBorders>
              <w:top w:val="single" w:sz="4" w:space="0" w:color="auto"/>
              <w:left w:val="single" w:sz="4" w:space="0" w:color="auto"/>
              <w:bottom w:val="single" w:sz="4" w:space="0" w:color="auto"/>
              <w:right w:val="single" w:sz="4" w:space="0" w:color="auto"/>
            </w:tcBorders>
          </w:tcPr>
          <w:p w14:paraId="4B56AE59" w14:textId="5D85124B" w:rsidR="00845D9F" w:rsidRPr="00C45C6A" w:rsidRDefault="0043096D" w:rsidP="00263159">
            <w:pPr>
              <w:jc w:val="both"/>
              <w:rPr>
                <w:rFonts w:ascii="Times New Roman" w:hAnsi="Times New Roman" w:cs="Times New Roman"/>
                <w:sz w:val="26"/>
                <w:szCs w:val="26"/>
              </w:rPr>
            </w:pPr>
            <w:r w:rsidRPr="0043096D">
              <w:rPr>
                <w:rFonts w:ascii="Times New Roman" w:hAnsi="Times New Roman" w:cs="Times New Roman"/>
                <w:sz w:val="26"/>
                <w:szCs w:val="26"/>
              </w:rPr>
              <w:t xml:space="preserve">Lập dự toán và thực hiện dự toán và </w:t>
            </w:r>
            <w:r w:rsidRPr="0043096D">
              <w:rPr>
                <w:rFonts w:ascii="Times New Roman" w:hAnsi="Times New Roman" w:cs="Times New Roman"/>
                <w:sz w:val="26"/>
                <w:szCs w:val="26"/>
              </w:rPr>
              <w:lastRenderedPageBreak/>
              <w:t>quyết toán hỗ trợ lãi suất</w:t>
            </w:r>
            <w:r w:rsidRPr="00C45C6A">
              <w:rPr>
                <w:rFonts w:ascii="Times New Roman" w:hAnsi="Times New Roman" w:cs="Times New Roman"/>
                <w:sz w:val="26"/>
                <w:szCs w:val="26"/>
              </w:rPr>
              <w:t xml:space="preserve"> </w:t>
            </w:r>
            <w:r w:rsidRPr="00C45C6A">
              <w:rPr>
                <w:rFonts w:ascii="Times New Roman" w:hAnsi="Times New Roman" w:cs="Times New Roman"/>
                <w:b/>
                <w:bCs/>
                <w:sz w:val="26"/>
                <w:szCs w:val="26"/>
              </w:rPr>
              <w:t xml:space="preserve">(Điều </w:t>
            </w:r>
            <w:r w:rsidR="000E2BDF" w:rsidRPr="00C45C6A">
              <w:rPr>
                <w:rFonts w:ascii="Times New Roman" w:hAnsi="Times New Roman" w:cs="Times New Roman"/>
                <w:b/>
                <w:bCs/>
                <w:sz w:val="26"/>
                <w:szCs w:val="26"/>
              </w:rPr>
              <w:t>5</w:t>
            </w:r>
            <w:r w:rsidRPr="00C45C6A">
              <w:rPr>
                <w:rFonts w:ascii="Times New Roman" w:hAnsi="Times New Roman" w:cs="Times New Roman"/>
                <w:b/>
                <w:bCs/>
                <w:sz w:val="26"/>
                <w:szCs w:val="26"/>
              </w:rPr>
              <w:t>)</w:t>
            </w:r>
          </w:p>
        </w:tc>
        <w:tc>
          <w:tcPr>
            <w:tcW w:w="8654" w:type="dxa"/>
            <w:tcBorders>
              <w:top w:val="single" w:sz="4" w:space="0" w:color="auto"/>
              <w:left w:val="single" w:sz="4" w:space="0" w:color="auto"/>
              <w:bottom w:val="single" w:sz="4" w:space="0" w:color="auto"/>
              <w:right w:val="single" w:sz="4" w:space="0" w:color="auto"/>
            </w:tcBorders>
          </w:tcPr>
          <w:p w14:paraId="7B458786" w14:textId="77777777" w:rsidR="00C45C6A" w:rsidRPr="00C45C6A" w:rsidRDefault="00C45C6A" w:rsidP="00C45C6A">
            <w:pPr>
              <w:tabs>
                <w:tab w:val="left" w:pos="1189"/>
              </w:tabs>
              <w:jc w:val="both"/>
              <w:rPr>
                <w:rFonts w:ascii="Times New Roman" w:hAnsi="Times New Roman" w:cs="Times New Roman"/>
                <w:sz w:val="26"/>
                <w:szCs w:val="26"/>
              </w:rPr>
            </w:pPr>
            <w:r w:rsidRPr="00C45C6A">
              <w:rPr>
                <w:rFonts w:ascii="Times New Roman" w:hAnsi="Times New Roman" w:cs="Times New Roman"/>
                <w:sz w:val="26"/>
                <w:szCs w:val="26"/>
              </w:rPr>
              <w:lastRenderedPageBreak/>
              <w:t xml:space="preserve">1. Ủy ban nhân dân các tỉnh, thành phố trực thuộc trung ương (sau đây gọi chung là Ủy ban nhân dân cấp tỉnh) lập dự toán, thực hiện dự toán, quyết toán tiền hỗ trợ lãi suất trong quy trình lập dự toán, thực hiện dự toán, quyết toán </w:t>
            </w:r>
            <w:r w:rsidRPr="00C45C6A">
              <w:rPr>
                <w:rFonts w:ascii="Times New Roman" w:hAnsi="Times New Roman" w:cs="Times New Roman"/>
                <w:sz w:val="26"/>
                <w:szCs w:val="26"/>
              </w:rPr>
              <w:lastRenderedPageBreak/>
              <w:t>ngân sách địa phương hằng năm theo quy định của Luật Ngân sách nhà nước và pháp luật có liên quan.</w:t>
            </w:r>
          </w:p>
          <w:p w14:paraId="356D23B4" w14:textId="77777777" w:rsidR="00C45C6A" w:rsidRPr="00C45C6A" w:rsidRDefault="00C45C6A" w:rsidP="00C45C6A">
            <w:pPr>
              <w:tabs>
                <w:tab w:val="left" w:pos="1189"/>
              </w:tabs>
              <w:jc w:val="both"/>
              <w:rPr>
                <w:rFonts w:ascii="Times New Roman" w:hAnsi="Times New Roman" w:cs="Times New Roman"/>
                <w:sz w:val="26"/>
                <w:szCs w:val="26"/>
              </w:rPr>
            </w:pPr>
            <w:r w:rsidRPr="00C45C6A">
              <w:rPr>
                <w:rFonts w:ascii="Times New Roman" w:hAnsi="Times New Roman" w:cs="Times New Roman"/>
                <w:sz w:val="26"/>
                <w:szCs w:val="26"/>
              </w:rPr>
              <w:t xml:space="preserve">2. Ủy ban nhân dân cấp tỉnh xây dựng dự toán chi hỗ trợ lãi suất trong dự toán chi ngân sách của cấp tỉnh hằng năm trên cơ sở dự kiến nhu cầu hỗ trợ lãi suất của các doanh nghiệp thuộc khu vực kinh tế tư nhân, hộ kinh doanh, cá nhân kinh doanh vay vốn thực hiện dự án xanh, tuần hoàn và áp dụng khung tiêu chuẩn môi trường, xã hội, quản trị (ESG) trên địa bàn tỉnh. </w:t>
            </w:r>
          </w:p>
          <w:p w14:paraId="576B5F0D" w14:textId="36FF8C54" w:rsidR="0043096D" w:rsidRPr="0043096D" w:rsidRDefault="00C45C6A" w:rsidP="00C45C6A">
            <w:pPr>
              <w:tabs>
                <w:tab w:val="left" w:pos="1189"/>
              </w:tabs>
              <w:jc w:val="both"/>
              <w:rPr>
                <w:rFonts w:ascii="Times New Roman" w:hAnsi="Times New Roman" w:cs="Times New Roman"/>
                <w:sz w:val="26"/>
                <w:szCs w:val="26"/>
              </w:rPr>
            </w:pPr>
            <w:r w:rsidRPr="00C45C6A">
              <w:rPr>
                <w:rFonts w:ascii="Times New Roman" w:hAnsi="Times New Roman" w:cs="Times New Roman"/>
                <w:sz w:val="26"/>
                <w:szCs w:val="26"/>
              </w:rPr>
              <w:t>3. Ủy ban nhân dân cấp tỉnh thực hiện dự toán, quyết toán ngân sách địa phương hằng năm trên cơ sở đề nghị của khách hàng (theo Mẫu số 01 tại Phụ lục ban hành kèm theo Nghị định này), thông tin do ngân hàng thương mại cung cấp (theo Mẫu số 02 tại Phụ lục ban hành kèm theo Nghị định này), thông tin về dự án thuộc Danh sách dự án xanh, tuần hoàn và áp dụng khung tiêu chuẩn môi trường, xã hội, quản trị (ESG) được công bố trên Cổng thông tin điện tử của Bộ Nông nghiệp và Môi trường tại thời điểm hỗ trợ lãi suất.</w:t>
            </w:r>
          </w:p>
        </w:tc>
        <w:tc>
          <w:tcPr>
            <w:tcW w:w="5245" w:type="dxa"/>
            <w:tcBorders>
              <w:top w:val="single" w:sz="4" w:space="0" w:color="auto"/>
              <w:left w:val="single" w:sz="4" w:space="0" w:color="auto"/>
              <w:bottom w:val="single" w:sz="4" w:space="0" w:color="auto"/>
              <w:right w:val="single" w:sz="4" w:space="0" w:color="auto"/>
            </w:tcBorders>
          </w:tcPr>
          <w:p w14:paraId="1EDB4011" w14:textId="5DF8191C" w:rsidR="00845D9F" w:rsidRPr="00C45C6A" w:rsidRDefault="0043096D" w:rsidP="00263159">
            <w:pPr>
              <w:jc w:val="both"/>
              <w:rPr>
                <w:rFonts w:ascii="Times New Roman" w:hAnsi="Times New Roman" w:cs="Times New Roman"/>
                <w:sz w:val="26"/>
                <w:szCs w:val="26"/>
              </w:rPr>
            </w:pPr>
            <w:r w:rsidRPr="00C45C6A">
              <w:rPr>
                <w:rFonts w:ascii="Times New Roman" w:hAnsi="Times New Roman" w:cs="Times New Roman"/>
                <w:sz w:val="26"/>
                <w:szCs w:val="26"/>
              </w:rPr>
              <w:lastRenderedPageBreak/>
              <w:t xml:space="preserve">- Quy trình lập dự toán, thực hiện dự toán và quyết toán hỗ trợ lãi suất hằng năm được quy định theo trình tự, thủ tục lập dự toán, </w:t>
            </w:r>
            <w:r w:rsidR="00F86498" w:rsidRPr="00C45C6A">
              <w:rPr>
                <w:rFonts w:ascii="Times New Roman" w:hAnsi="Times New Roman" w:cs="Times New Roman"/>
                <w:sz w:val="26"/>
                <w:szCs w:val="26"/>
              </w:rPr>
              <w:t xml:space="preserve">thực hiện </w:t>
            </w:r>
            <w:r w:rsidR="00F86498" w:rsidRPr="00C45C6A">
              <w:rPr>
                <w:rFonts w:ascii="Times New Roman" w:hAnsi="Times New Roman" w:cs="Times New Roman"/>
                <w:sz w:val="26"/>
                <w:szCs w:val="26"/>
              </w:rPr>
              <w:lastRenderedPageBreak/>
              <w:t>dự toán</w:t>
            </w:r>
            <w:r w:rsidRPr="00C45C6A">
              <w:rPr>
                <w:rFonts w:ascii="Times New Roman" w:hAnsi="Times New Roman" w:cs="Times New Roman"/>
                <w:sz w:val="26"/>
                <w:szCs w:val="26"/>
              </w:rPr>
              <w:t>, quyết toán ngân sách nhà nước tại Luật Ngân sách nhà nước và các văn bản pháp luật có liên quan.</w:t>
            </w:r>
          </w:p>
          <w:p w14:paraId="7404BADF" w14:textId="4F838879" w:rsidR="0043096D" w:rsidRPr="00C45C6A" w:rsidRDefault="0043096D" w:rsidP="00263159">
            <w:pPr>
              <w:jc w:val="both"/>
              <w:rPr>
                <w:rFonts w:ascii="Times New Roman" w:hAnsi="Times New Roman" w:cs="Times New Roman"/>
                <w:sz w:val="26"/>
                <w:szCs w:val="26"/>
              </w:rPr>
            </w:pPr>
            <w:r w:rsidRPr="00C45C6A">
              <w:rPr>
                <w:rFonts w:ascii="Times New Roman" w:hAnsi="Times New Roman" w:cs="Times New Roman"/>
                <w:sz w:val="26"/>
                <w:szCs w:val="26"/>
              </w:rPr>
              <w:t>- Nguồn kinh phí hỗ trợ lãi suất được bố trí trong dự toán chi ngân sách địa phương hằng năm.</w:t>
            </w:r>
          </w:p>
          <w:p w14:paraId="4D2A63F1" w14:textId="6C3E1079" w:rsidR="00202712" w:rsidRPr="00C45C6A" w:rsidRDefault="00202712" w:rsidP="00F86498">
            <w:pPr>
              <w:jc w:val="both"/>
              <w:rPr>
                <w:rFonts w:ascii="Times New Roman" w:hAnsi="Times New Roman" w:cs="Times New Roman"/>
                <w:sz w:val="26"/>
                <w:szCs w:val="26"/>
              </w:rPr>
            </w:pPr>
          </w:p>
        </w:tc>
      </w:tr>
      <w:tr w:rsidR="00845D9F" w:rsidRPr="000E0710" w14:paraId="1EA671F9" w14:textId="77777777" w:rsidTr="00A46BD6">
        <w:tc>
          <w:tcPr>
            <w:tcW w:w="1694" w:type="dxa"/>
            <w:tcBorders>
              <w:top w:val="single" w:sz="4" w:space="0" w:color="auto"/>
              <w:left w:val="single" w:sz="4" w:space="0" w:color="auto"/>
              <w:bottom w:val="single" w:sz="4" w:space="0" w:color="auto"/>
              <w:right w:val="single" w:sz="4" w:space="0" w:color="auto"/>
            </w:tcBorders>
          </w:tcPr>
          <w:p w14:paraId="0AB8209C" w14:textId="78986FE9" w:rsidR="00845D9F" w:rsidRPr="00C45C6A" w:rsidRDefault="000E2BDF" w:rsidP="00263159">
            <w:pPr>
              <w:jc w:val="both"/>
              <w:rPr>
                <w:rFonts w:ascii="Times New Roman" w:hAnsi="Times New Roman" w:cs="Times New Roman"/>
                <w:sz w:val="26"/>
                <w:szCs w:val="26"/>
              </w:rPr>
            </w:pPr>
            <w:r w:rsidRPr="000E2BDF">
              <w:rPr>
                <w:rFonts w:ascii="Times New Roman" w:hAnsi="Times New Roman" w:cs="Times New Roman"/>
                <w:sz w:val="26"/>
                <w:szCs w:val="26"/>
              </w:rPr>
              <w:lastRenderedPageBreak/>
              <w:t xml:space="preserve">Nguồn vốn thực hiện chính sách </w:t>
            </w:r>
            <w:r w:rsidR="00D07A44" w:rsidRPr="00C45C6A">
              <w:rPr>
                <w:rFonts w:ascii="Times New Roman" w:hAnsi="Times New Roman" w:cs="Times New Roman"/>
                <w:b/>
                <w:bCs/>
                <w:sz w:val="26"/>
                <w:szCs w:val="26"/>
              </w:rPr>
              <w:t xml:space="preserve">(Điều </w:t>
            </w:r>
            <w:r w:rsidRPr="00C45C6A">
              <w:rPr>
                <w:rFonts w:ascii="Times New Roman" w:hAnsi="Times New Roman" w:cs="Times New Roman"/>
                <w:b/>
                <w:bCs/>
                <w:sz w:val="26"/>
                <w:szCs w:val="26"/>
              </w:rPr>
              <w:t>6</w:t>
            </w:r>
            <w:r w:rsidR="00D07A44" w:rsidRPr="00C45C6A">
              <w:rPr>
                <w:rFonts w:ascii="Times New Roman" w:hAnsi="Times New Roman" w:cs="Times New Roman"/>
                <w:b/>
                <w:bCs/>
                <w:sz w:val="26"/>
                <w:szCs w:val="26"/>
              </w:rPr>
              <w:t>)</w:t>
            </w:r>
          </w:p>
        </w:tc>
        <w:tc>
          <w:tcPr>
            <w:tcW w:w="8654" w:type="dxa"/>
            <w:tcBorders>
              <w:top w:val="single" w:sz="4" w:space="0" w:color="auto"/>
              <w:left w:val="single" w:sz="4" w:space="0" w:color="auto"/>
              <w:bottom w:val="single" w:sz="4" w:space="0" w:color="auto"/>
              <w:right w:val="single" w:sz="4" w:space="0" w:color="auto"/>
            </w:tcBorders>
          </w:tcPr>
          <w:p w14:paraId="4BBDCAB4"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1. Nguồn kinh phí hỗ trợ lãi suất</w:t>
            </w:r>
          </w:p>
          <w:p w14:paraId="4B1626B1"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Ngân sách nhà nước bố trí kinh phí hằng năm để hỗ trợ lãi suất, cụ thể như sau:</w:t>
            </w:r>
          </w:p>
          <w:p w14:paraId="2BD74332"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 xml:space="preserve">a) Đối với các địa phương tự cân đối được ngân sách để thực hiện chính sách hỗ trợ lãi suất, ngân sách địa phương bố trí kinh phí trong kế hoạch chi hằng năm của địa phương mình để hỗ trợ lãi suất. </w:t>
            </w:r>
          </w:p>
          <w:p w14:paraId="7C39A868"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 xml:space="preserve">b) Đối với các địa phương chưa tự cân đối được để thực hiện chính sách hỗ trợ lãi suất, kinh phí thực hiện hỗ trợ lãi suất thực hiện theo Nghị định này được bố trí từ ngân sách địa phương và ngân sách trung ương. </w:t>
            </w:r>
          </w:p>
          <w:p w14:paraId="54C7AC6E" w14:textId="4AFE966A" w:rsidR="00845D9F" w:rsidRPr="00845D9F"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 xml:space="preserve"> 2. Các ngân hàng thương mại bố trí nguồn vốn cho vay để khách hàng thực hiện các dự án xanh, tuần hoàn và áp dụng khung tiêu chuẩn môi trường, xã hội, quản trị (ESG) theo quy định tại Nghị định này, bao gồm nguồn vốn tự có và huy động của các ngân hàng thương mại và các nguồn vốn hợp pháp khác theo quy định của pháp luật.</w:t>
            </w:r>
          </w:p>
        </w:tc>
        <w:tc>
          <w:tcPr>
            <w:tcW w:w="5245" w:type="dxa"/>
            <w:tcBorders>
              <w:top w:val="single" w:sz="4" w:space="0" w:color="auto"/>
              <w:left w:val="single" w:sz="4" w:space="0" w:color="auto"/>
              <w:bottom w:val="single" w:sz="4" w:space="0" w:color="auto"/>
              <w:right w:val="single" w:sz="4" w:space="0" w:color="auto"/>
            </w:tcBorders>
          </w:tcPr>
          <w:p w14:paraId="637CAD2B" w14:textId="77777777" w:rsidR="00F86498" w:rsidRPr="00C45C6A" w:rsidRDefault="00D07A44" w:rsidP="00F86498">
            <w:pPr>
              <w:jc w:val="both"/>
              <w:rPr>
                <w:rFonts w:ascii="Times New Roman" w:hAnsi="Times New Roman" w:cs="Times New Roman"/>
                <w:sz w:val="26"/>
                <w:szCs w:val="26"/>
              </w:rPr>
            </w:pPr>
            <w:r w:rsidRPr="00C45C6A">
              <w:rPr>
                <w:rFonts w:ascii="Times New Roman" w:hAnsi="Times New Roman" w:cs="Times New Roman"/>
                <w:sz w:val="26"/>
                <w:szCs w:val="26"/>
              </w:rPr>
              <w:t xml:space="preserve"> </w:t>
            </w:r>
            <w:r w:rsidR="00F86498" w:rsidRPr="00C45C6A">
              <w:rPr>
                <w:rFonts w:ascii="Times New Roman" w:hAnsi="Times New Roman" w:cs="Times New Roman"/>
                <w:sz w:val="26"/>
                <w:szCs w:val="26"/>
              </w:rPr>
              <w:t>- Tại dự thảo Nghị định quy định rõ nguồn vốn để thực hiện chính sách bao gồm: (i) Nguồn kinh phí được bố trí từ ngân sách nhà nước để thực hiện hỗ trợ lãi suất và (ii) Nguồn vốn cho vay khách hàng từ các ngân hàng thương mại.</w:t>
            </w:r>
          </w:p>
          <w:p w14:paraId="410C2FC6" w14:textId="77777777" w:rsidR="00F86498" w:rsidRPr="00C45C6A" w:rsidRDefault="00F86498" w:rsidP="00F86498">
            <w:pPr>
              <w:jc w:val="both"/>
              <w:rPr>
                <w:rFonts w:ascii="Times New Roman" w:hAnsi="Times New Roman" w:cs="Times New Roman"/>
                <w:sz w:val="26"/>
                <w:szCs w:val="26"/>
              </w:rPr>
            </w:pPr>
            <w:r w:rsidRPr="00C45C6A">
              <w:rPr>
                <w:rFonts w:ascii="Times New Roman" w:hAnsi="Times New Roman" w:cs="Times New Roman"/>
                <w:sz w:val="26"/>
                <w:szCs w:val="26"/>
              </w:rPr>
              <w:t>- Căn cứ để xác định nguồn kinh phí được bố trí từ ngân sách nhà nước thực hiện hỗ trợ lãi suất:</w:t>
            </w:r>
          </w:p>
          <w:p w14:paraId="0B91A104" w14:textId="77777777" w:rsidR="00F86498" w:rsidRPr="00C45C6A" w:rsidRDefault="00F86498" w:rsidP="00F86498">
            <w:pPr>
              <w:jc w:val="both"/>
              <w:rPr>
                <w:rFonts w:ascii="Times New Roman" w:hAnsi="Times New Roman" w:cs="Times New Roman"/>
                <w:sz w:val="26"/>
                <w:szCs w:val="26"/>
              </w:rPr>
            </w:pPr>
            <w:r w:rsidRPr="00C45C6A">
              <w:rPr>
                <w:rFonts w:ascii="Times New Roman" w:hAnsi="Times New Roman" w:cs="Times New Roman"/>
                <w:sz w:val="26"/>
                <w:szCs w:val="26"/>
              </w:rPr>
              <w:t xml:space="preserve">+ Nghị quyết 198/2025/QH15 chỉ quy định: “Doanh nghiệp thuộc khu vực kinh tế tư nhân, hộ kinh doanh, cá nhân kinh doanh được Nhà nước hỗ trợ lãi suất 2%/năm khi vay vốn để thực hiện các dự án xanh, tuần hoàn và áp dụng khung tiêu chuẩn môi trường, xã hội, quản trị (ESG)”. Nghị quyết của Quốc hội không quy định cụ thể nguồn vốn HTLS, do vậy cơ quan soạn thảo đề xuất quy định sử dụng nguồn NSNN phù hợp với Nghị quyết 198/2025/QH15. </w:t>
            </w:r>
          </w:p>
          <w:p w14:paraId="6CDAC103" w14:textId="77777777" w:rsidR="00F86498" w:rsidRPr="00C45C6A" w:rsidRDefault="00F86498" w:rsidP="00F86498">
            <w:pPr>
              <w:jc w:val="both"/>
              <w:rPr>
                <w:rFonts w:ascii="Times New Roman" w:hAnsi="Times New Roman" w:cs="Times New Roman"/>
                <w:sz w:val="26"/>
                <w:szCs w:val="26"/>
              </w:rPr>
            </w:pPr>
            <w:r w:rsidRPr="00C45C6A">
              <w:rPr>
                <w:rFonts w:ascii="Times New Roman" w:hAnsi="Times New Roman" w:cs="Times New Roman"/>
                <w:sz w:val="26"/>
                <w:szCs w:val="26"/>
              </w:rPr>
              <w:t>+ Luật Ngân sách nhà nước năm 2025 quy định:</w:t>
            </w:r>
          </w:p>
          <w:p w14:paraId="1F2B7086" w14:textId="77777777" w:rsidR="00F86498" w:rsidRPr="00A40B32" w:rsidRDefault="00F86498" w:rsidP="00F86498">
            <w:pPr>
              <w:jc w:val="both"/>
              <w:rPr>
                <w:rFonts w:ascii="Times New Roman" w:hAnsi="Times New Roman" w:cs="Times New Roman"/>
                <w:sz w:val="26"/>
                <w:szCs w:val="26"/>
              </w:rPr>
            </w:pPr>
            <w:r w:rsidRPr="00C45C6A">
              <w:rPr>
                <w:rFonts w:ascii="Times New Roman" w:hAnsi="Times New Roman" w:cs="Times New Roman"/>
                <w:sz w:val="26"/>
                <w:szCs w:val="26"/>
              </w:rPr>
              <w:t xml:space="preserve">(i) Số bổ sung cân đối ngân sách là khoản bổ </w:t>
            </w:r>
            <w:r w:rsidRPr="00C45C6A">
              <w:rPr>
                <w:rFonts w:ascii="Times New Roman" w:hAnsi="Times New Roman" w:cs="Times New Roman"/>
                <w:sz w:val="26"/>
                <w:szCs w:val="26"/>
              </w:rPr>
              <w:lastRenderedPageBreak/>
              <w:t xml:space="preserve">sung từ ngân sách cấp trên cho ngân sách cấp dưới nhằm bảo đảm cho chính quyền cấp dưới cân đối ngân sách để thực hiện nhiệm vụ được giao. </w:t>
            </w:r>
            <w:r w:rsidRPr="00A40B32">
              <w:rPr>
                <w:rFonts w:ascii="Times New Roman" w:hAnsi="Times New Roman" w:cs="Times New Roman"/>
                <w:sz w:val="26"/>
                <w:szCs w:val="26"/>
              </w:rPr>
              <w:t>(Khoản 24 Điều 4 Luật NSNN)</w:t>
            </w:r>
          </w:p>
          <w:p w14:paraId="608895D3" w14:textId="77777777" w:rsidR="00F86498" w:rsidRPr="00A40B32" w:rsidRDefault="00F86498" w:rsidP="00F86498">
            <w:pPr>
              <w:jc w:val="both"/>
              <w:rPr>
                <w:rFonts w:ascii="Times New Roman" w:hAnsi="Times New Roman" w:cs="Times New Roman"/>
                <w:sz w:val="26"/>
                <w:szCs w:val="26"/>
              </w:rPr>
            </w:pPr>
            <w:r w:rsidRPr="00A40B32">
              <w:rPr>
                <w:rFonts w:ascii="Times New Roman" w:hAnsi="Times New Roman" w:cs="Times New Roman"/>
                <w:sz w:val="26"/>
                <w:szCs w:val="26"/>
              </w:rPr>
              <w:t xml:space="preserve">(ii) Ngân sách địa phương được sử dụng nguồn thu được hưởng 100%, số thu được phân chia theo tỷ lệ phần trăm (%) đối với các khoản thu phân chia và số bổ sung cân đối từ ngân sách cấp trên để cân đối thu, chi ngân sách cấp mình thực hiện các nhiệm vụ kinh tế - xã hội, quốc phòng, an ninh được giao. (Khoản 1 Điều 42 Luật NSNN) </w:t>
            </w:r>
          </w:p>
          <w:p w14:paraId="72E8B4FD" w14:textId="77777777" w:rsidR="00F86498" w:rsidRPr="00A40B32" w:rsidRDefault="00F86498" w:rsidP="00F86498">
            <w:pPr>
              <w:jc w:val="both"/>
              <w:rPr>
                <w:rFonts w:ascii="Times New Roman" w:hAnsi="Times New Roman" w:cs="Times New Roman"/>
                <w:sz w:val="26"/>
                <w:szCs w:val="26"/>
              </w:rPr>
            </w:pPr>
            <w:r w:rsidRPr="00A40B32">
              <w:rPr>
                <w:rFonts w:ascii="Times New Roman" w:hAnsi="Times New Roman" w:cs="Times New Roman"/>
                <w:sz w:val="26"/>
                <w:szCs w:val="26"/>
              </w:rPr>
              <w:t>(iii) Ngân sách trung ương giữ vai trò chủ đạo, bảo đảm thực hiện các nhiệm vụ chi quốc gia, hỗ trợ địa phương chưa cân đối được ngân sách và hỗ trợ địa phương theo quy định tại Điều 43 của Luật này. (Khoản 2 Điều 9 Luật NSNN)</w:t>
            </w:r>
          </w:p>
          <w:p w14:paraId="647438FB" w14:textId="77777777" w:rsidR="00F86498" w:rsidRPr="00A40B32" w:rsidRDefault="00F86498" w:rsidP="00F86498">
            <w:pPr>
              <w:jc w:val="both"/>
              <w:rPr>
                <w:rFonts w:ascii="Times New Roman" w:hAnsi="Times New Roman" w:cs="Times New Roman"/>
                <w:sz w:val="26"/>
                <w:szCs w:val="26"/>
              </w:rPr>
            </w:pPr>
            <w:r w:rsidRPr="00A40B32">
              <w:rPr>
                <w:rFonts w:ascii="Times New Roman" w:hAnsi="Times New Roman" w:cs="Times New Roman"/>
                <w:sz w:val="26"/>
                <w:szCs w:val="26"/>
              </w:rPr>
              <w:t>Căn cứ các quy định nêu trên, về nguồn kinh phí hỗ trợ lãi suất, Dự thảo Nghị định quy định: Ngân sách nhà nước bố trí kinh phí hằng năm để hỗ trợ lãi suất, cụ thể như sau:</w:t>
            </w:r>
          </w:p>
          <w:p w14:paraId="59BAE4C0" w14:textId="77777777" w:rsidR="00F86498" w:rsidRPr="00A40B32" w:rsidRDefault="00F86498" w:rsidP="00F86498">
            <w:pPr>
              <w:jc w:val="both"/>
              <w:rPr>
                <w:rFonts w:ascii="Times New Roman" w:hAnsi="Times New Roman" w:cs="Times New Roman"/>
                <w:sz w:val="26"/>
                <w:szCs w:val="26"/>
              </w:rPr>
            </w:pPr>
            <w:r w:rsidRPr="00A40B32">
              <w:rPr>
                <w:rFonts w:ascii="Times New Roman" w:hAnsi="Times New Roman" w:cs="Times New Roman"/>
                <w:sz w:val="26"/>
                <w:szCs w:val="26"/>
              </w:rPr>
              <w:t xml:space="preserve">+ Đối với các địa phương tự cân đối được ngân sách để thực hiện chính sách hỗ trợ lãi suất, ngân sách địa phương bố trí kinh phí trong kế hoạch chi hằng năm của địa phương mình để hỗ trợ lãi suất. </w:t>
            </w:r>
          </w:p>
          <w:p w14:paraId="71E68558" w14:textId="77777777" w:rsidR="00F86498" w:rsidRPr="00A40B32" w:rsidRDefault="00F86498" w:rsidP="00F86498">
            <w:pPr>
              <w:jc w:val="both"/>
              <w:rPr>
                <w:rFonts w:ascii="Times New Roman" w:hAnsi="Times New Roman" w:cs="Times New Roman"/>
                <w:sz w:val="26"/>
                <w:szCs w:val="26"/>
              </w:rPr>
            </w:pPr>
            <w:r w:rsidRPr="00A40B32">
              <w:rPr>
                <w:rFonts w:ascii="Times New Roman" w:hAnsi="Times New Roman" w:cs="Times New Roman"/>
                <w:sz w:val="26"/>
                <w:szCs w:val="26"/>
              </w:rPr>
              <w:t>+ Đối với các địa phương chưa tự cân đối được để thực hiện chính sách hỗ trợ lãi suất, kinh phí thực hiện hỗ trợ lãi suất theo Nghị định này được bố trí từ ngân sách địa phương và ngân sách trung ương.</w:t>
            </w:r>
          </w:p>
          <w:p w14:paraId="0B2ED4CD" w14:textId="33967AE1" w:rsidR="00845D9F" w:rsidRPr="00A40B32" w:rsidRDefault="00F86498" w:rsidP="00F86498">
            <w:pPr>
              <w:jc w:val="both"/>
              <w:rPr>
                <w:rFonts w:ascii="Times New Roman" w:hAnsi="Times New Roman" w:cs="Times New Roman"/>
                <w:sz w:val="26"/>
                <w:szCs w:val="26"/>
              </w:rPr>
            </w:pPr>
            <w:r w:rsidRPr="00A40B32">
              <w:rPr>
                <w:rFonts w:ascii="Times New Roman" w:hAnsi="Times New Roman" w:cs="Times New Roman"/>
                <w:sz w:val="26"/>
                <w:szCs w:val="26"/>
              </w:rPr>
              <w:t xml:space="preserve">Đồng thời, quy định việc các ngân hàng thương mại đảm bảo nguồn vốn cho vay để khách hàng thực hiện các dự án xanh, tuần hoàn và áp dụng </w:t>
            </w:r>
            <w:r w:rsidRPr="00A40B32">
              <w:rPr>
                <w:rFonts w:ascii="Times New Roman" w:hAnsi="Times New Roman" w:cs="Times New Roman"/>
                <w:sz w:val="26"/>
                <w:szCs w:val="26"/>
              </w:rPr>
              <w:lastRenderedPageBreak/>
              <w:t>khung tiêu chuẩn môi trường, xã hội, quản trị (ESG), bao gồm nguồn vốn tự có và huy động của các ngân hàng thương mại và các nguồn vốn hợp pháp khác theo quy định của pháp luật.</w:t>
            </w:r>
          </w:p>
        </w:tc>
      </w:tr>
      <w:tr w:rsidR="000E2BDF" w:rsidRPr="000E0710" w14:paraId="587AAD5B" w14:textId="77777777" w:rsidTr="00A46BD6">
        <w:tc>
          <w:tcPr>
            <w:tcW w:w="1694" w:type="dxa"/>
            <w:tcBorders>
              <w:top w:val="single" w:sz="4" w:space="0" w:color="auto"/>
              <w:left w:val="single" w:sz="4" w:space="0" w:color="auto"/>
              <w:bottom w:val="single" w:sz="4" w:space="0" w:color="auto"/>
              <w:right w:val="single" w:sz="4" w:space="0" w:color="auto"/>
            </w:tcBorders>
          </w:tcPr>
          <w:p w14:paraId="78F7356E" w14:textId="056A390A" w:rsidR="000E2BDF" w:rsidRPr="00C45C6A" w:rsidRDefault="000E2BDF" w:rsidP="00263159">
            <w:pPr>
              <w:jc w:val="both"/>
              <w:rPr>
                <w:rFonts w:ascii="Times New Roman" w:hAnsi="Times New Roman" w:cs="Times New Roman"/>
                <w:sz w:val="26"/>
                <w:szCs w:val="26"/>
              </w:rPr>
            </w:pPr>
            <w:r w:rsidRPr="000E2BDF">
              <w:rPr>
                <w:rFonts w:ascii="Times New Roman" w:hAnsi="Times New Roman" w:cs="Times New Roman"/>
                <w:sz w:val="26"/>
                <w:szCs w:val="26"/>
              </w:rPr>
              <w:lastRenderedPageBreak/>
              <w:t>Xử lý thu hồi số tiền đã hỗ trợ lãi suất</w:t>
            </w:r>
            <w:r w:rsidRPr="00C45C6A">
              <w:rPr>
                <w:rFonts w:ascii="Times New Roman" w:hAnsi="Times New Roman" w:cs="Times New Roman"/>
                <w:sz w:val="26"/>
                <w:szCs w:val="26"/>
              </w:rPr>
              <w:t xml:space="preserve"> </w:t>
            </w:r>
            <w:r w:rsidRPr="00C45C6A">
              <w:rPr>
                <w:rFonts w:ascii="Times New Roman" w:hAnsi="Times New Roman" w:cs="Times New Roman"/>
                <w:b/>
                <w:bCs/>
                <w:sz w:val="26"/>
                <w:szCs w:val="26"/>
              </w:rPr>
              <w:t>(Điều 7)</w:t>
            </w:r>
          </w:p>
        </w:tc>
        <w:tc>
          <w:tcPr>
            <w:tcW w:w="8654" w:type="dxa"/>
            <w:tcBorders>
              <w:top w:val="single" w:sz="4" w:space="0" w:color="auto"/>
              <w:left w:val="single" w:sz="4" w:space="0" w:color="auto"/>
              <w:bottom w:val="single" w:sz="4" w:space="0" w:color="auto"/>
              <w:right w:val="single" w:sz="4" w:space="0" w:color="auto"/>
            </w:tcBorders>
          </w:tcPr>
          <w:p w14:paraId="60A0F13A" w14:textId="77777777" w:rsidR="00A40B32" w:rsidRPr="00A40B32" w:rsidRDefault="00A40B32" w:rsidP="00A40B32">
            <w:pPr>
              <w:jc w:val="both"/>
              <w:rPr>
                <w:rFonts w:ascii="Times New Roman" w:hAnsi="Times New Roman" w:cs="Times New Roman"/>
                <w:sz w:val="26"/>
                <w:szCs w:val="26"/>
              </w:rPr>
            </w:pPr>
            <w:r w:rsidRPr="00A40B32">
              <w:rPr>
                <w:rFonts w:ascii="Times New Roman" w:hAnsi="Times New Roman" w:cs="Times New Roman"/>
                <w:sz w:val="26"/>
                <w:szCs w:val="26"/>
              </w:rPr>
              <w:t>Trong quá trình thực hiện, trường hợp Ủy ban nhân dân cấp tỉnh nhận được văn bản của cơ quan có thẩm quyền về việc khách hàng không thuộc đối tượng, không đáp ứng điều kiện được hỗ trợ lãi suất hoặc thông báo của ngân hàng về khoản vay của khách hàng vi phạm điều kiện hỗ trợ lãi suất, Ủy ban nhân dân cấp tỉnh nơi khách hàng gửi hồ sơ đề nghị hỗ trợ lãi suất thông báo cho khách hàng và thực hiện thu hồi số tiền đã hỗ trợ lãi suất.</w:t>
            </w:r>
          </w:p>
          <w:p w14:paraId="3EC9A842" w14:textId="5AA0A9DA" w:rsidR="000E2BDF" w:rsidRPr="000E2BDF" w:rsidRDefault="000E2BDF" w:rsidP="000E2BDF">
            <w:pPr>
              <w:jc w:val="both"/>
              <w:rPr>
                <w:rFonts w:ascii="Times New Roman" w:hAnsi="Times New Roman" w:cs="Times New Roman"/>
                <w:sz w:val="26"/>
                <w:szCs w:val="26"/>
              </w:rPr>
            </w:pPr>
          </w:p>
        </w:tc>
        <w:tc>
          <w:tcPr>
            <w:tcW w:w="5245" w:type="dxa"/>
            <w:tcBorders>
              <w:top w:val="single" w:sz="4" w:space="0" w:color="auto"/>
              <w:left w:val="single" w:sz="4" w:space="0" w:color="auto"/>
              <w:bottom w:val="single" w:sz="4" w:space="0" w:color="auto"/>
              <w:right w:val="single" w:sz="4" w:space="0" w:color="auto"/>
            </w:tcBorders>
          </w:tcPr>
          <w:p w14:paraId="5948CA03" w14:textId="4437C6D0" w:rsidR="000E2BDF" w:rsidRPr="00C45C6A" w:rsidRDefault="00CC2D74" w:rsidP="00263159">
            <w:pPr>
              <w:jc w:val="both"/>
              <w:rPr>
                <w:rFonts w:ascii="Times New Roman" w:hAnsi="Times New Roman" w:cs="Times New Roman"/>
                <w:sz w:val="26"/>
                <w:szCs w:val="26"/>
              </w:rPr>
            </w:pPr>
            <w:r w:rsidRPr="00C45C6A">
              <w:rPr>
                <w:rFonts w:ascii="Times New Roman" w:hAnsi="Times New Roman" w:cs="Times New Roman"/>
                <w:sz w:val="26"/>
                <w:szCs w:val="26"/>
              </w:rPr>
              <w:t>Nghị quyết số 198/2025/QH15 ngày 17 tháng 5 năm 2025 của Quốc hội về một số cơ chế, chính sách đặc biệt phát triển kinh tế tư nhân quy định:…</w:t>
            </w:r>
            <w:r w:rsidRPr="00C45C6A">
              <w:rPr>
                <w:rFonts w:ascii="Times New Roman" w:hAnsi="Times New Roman" w:cs="Times New Roman"/>
                <w:i/>
                <w:iCs/>
                <w:sz w:val="26"/>
                <w:szCs w:val="26"/>
              </w:rPr>
              <w:t>Bảo đảm công khai, minh bạch, hiệu quả và khả thi; không để trục lợi chính sách, thất thoát, lãng phí.</w:t>
            </w:r>
            <w:r w:rsidRPr="00C45C6A">
              <w:rPr>
                <w:rFonts w:ascii="Times New Roman" w:hAnsi="Times New Roman" w:cs="Times New Roman"/>
                <w:sz w:val="26"/>
                <w:szCs w:val="26"/>
              </w:rPr>
              <w:t xml:space="preserve"> Trên cơ sở đó, dự thảo Nghị định quy định về trường hợp thực hiện thu hồi số tiền đã hỗ trợ lãi suất để</w:t>
            </w:r>
            <w:r w:rsidR="005C0326" w:rsidRPr="00C45C6A">
              <w:rPr>
                <w:rFonts w:ascii="Times New Roman" w:hAnsi="Times New Roman" w:cs="Times New Roman"/>
                <w:sz w:val="26"/>
                <w:szCs w:val="26"/>
              </w:rPr>
              <w:t xml:space="preserve"> bảo toàn, sử dụng hiệu quả nguồn vốn ngân sách nhà nước thực hiện chính sách.</w:t>
            </w:r>
          </w:p>
        </w:tc>
      </w:tr>
      <w:tr w:rsidR="000E2BDF" w:rsidRPr="000E0710" w14:paraId="78C42AAB" w14:textId="77777777" w:rsidTr="00A46BD6">
        <w:tc>
          <w:tcPr>
            <w:tcW w:w="1694" w:type="dxa"/>
            <w:tcBorders>
              <w:top w:val="single" w:sz="4" w:space="0" w:color="auto"/>
              <w:left w:val="single" w:sz="4" w:space="0" w:color="auto"/>
              <w:bottom w:val="single" w:sz="4" w:space="0" w:color="auto"/>
              <w:right w:val="single" w:sz="4" w:space="0" w:color="auto"/>
            </w:tcBorders>
          </w:tcPr>
          <w:p w14:paraId="4C073E65" w14:textId="75F4721C" w:rsidR="000E2BDF" w:rsidRPr="00C45C6A" w:rsidRDefault="000E2BDF" w:rsidP="00263159">
            <w:pPr>
              <w:jc w:val="both"/>
              <w:rPr>
                <w:rFonts w:ascii="Times New Roman" w:hAnsi="Times New Roman" w:cs="Times New Roman"/>
                <w:sz w:val="26"/>
                <w:szCs w:val="26"/>
              </w:rPr>
            </w:pPr>
            <w:r w:rsidRPr="000E2BDF">
              <w:rPr>
                <w:rFonts w:ascii="Times New Roman" w:hAnsi="Times New Roman" w:cs="Times New Roman"/>
                <w:sz w:val="26"/>
                <w:szCs w:val="26"/>
              </w:rPr>
              <w:t>Tổ chức thực hiện</w:t>
            </w:r>
            <w:r w:rsidRPr="00C45C6A">
              <w:rPr>
                <w:rFonts w:ascii="Times New Roman" w:hAnsi="Times New Roman" w:cs="Times New Roman"/>
                <w:sz w:val="26"/>
                <w:szCs w:val="26"/>
              </w:rPr>
              <w:t xml:space="preserve"> </w:t>
            </w:r>
            <w:r w:rsidRPr="00C45C6A">
              <w:rPr>
                <w:rFonts w:ascii="Times New Roman" w:hAnsi="Times New Roman" w:cs="Times New Roman"/>
                <w:b/>
                <w:bCs/>
                <w:sz w:val="26"/>
                <w:szCs w:val="26"/>
              </w:rPr>
              <w:t>(Điều 8)</w:t>
            </w:r>
          </w:p>
        </w:tc>
        <w:tc>
          <w:tcPr>
            <w:tcW w:w="8654" w:type="dxa"/>
            <w:tcBorders>
              <w:top w:val="single" w:sz="4" w:space="0" w:color="auto"/>
              <w:left w:val="single" w:sz="4" w:space="0" w:color="auto"/>
              <w:bottom w:val="single" w:sz="4" w:space="0" w:color="auto"/>
              <w:right w:val="single" w:sz="4" w:space="0" w:color="auto"/>
            </w:tcBorders>
          </w:tcPr>
          <w:p w14:paraId="307098A6"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1. Ngân hàng Nhà nước Việt Nam</w:t>
            </w:r>
          </w:p>
          <w:p w14:paraId="6A9CF42A"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a) Hướng dẫn các ngân hàng thương mại thực hiện các quy định tại Nghị định này.</w:t>
            </w:r>
          </w:p>
          <w:p w14:paraId="224FE3A0"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 xml:space="preserve">b) Theo dõi tình hình triển khai thực hiện Nghị định này; chủ trì, tổng hợp các khó khăn, vướng mắc có liên quan đến việc thực hiện cho vay theo quy định tại Nghị định này để xử lý theo thẩm quyền hoặc báo cáo cấp có thẩm quyền xem xét xử lý. </w:t>
            </w:r>
          </w:p>
          <w:p w14:paraId="6DDC27F8"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c) Đầu mối thực hiện báo cáo định kỳ hoặc đột xuất theo yêu cầu của cấp có thẩm quyền.</w:t>
            </w:r>
          </w:p>
          <w:p w14:paraId="31F653CC"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2. Bộ Nông nghiệp và Môi trường</w:t>
            </w:r>
          </w:p>
          <w:p w14:paraId="51F998F1"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 xml:space="preserve">a) Trình Thủ tướng Chính phủ ban hành Quyết định hướng dẫn xác nhận dự án xanh, tuần hoàn và áp dụng khung tiêu chuẩn môi trường, xã hội, quản trị (ESG) để được hưởng chính sách hỗ trợ lãi suất theo quy định tại Nghị định này. </w:t>
            </w:r>
          </w:p>
          <w:p w14:paraId="6F6D3B9A"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 xml:space="preserve">b) Theo dõi, tổng hợp, cập nhật và công bố trên Cổng thông tin điện tử của Bộ Nông nghiệp và Môi trường Danh sách các dự án xanh, tuần hoàn và áp dụng khung tiêu chuẩn môi trường, xã hội, quản trị (ESG) theo văn bản xác nhận hoặc quyết định thu hồi văn bản xác nhận của cơ quan, tổ chức có thẩm quyền vào ngày 30/6 và 31/12 hằng năm làm cơ sở để Ủy ban nhân dân cấp tỉnh tra soát, thực hiện hỗ trợ lãi suất. Danh sách bao gồm tối thiểu các thông tin: tên dự án; </w:t>
            </w:r>
            <w:r w:rsidRPr="00C45C6A">
              <w:rPr>
                <w:rFonts w:ascii="Times New Roman" w:hAnsi="Times New Roman" w:cs="Times New Roman"/>
                <w:sz w:val="26"/>
                <w:szCs w:val="26"/>
              </w:rPr>
              <w:lastRenderedPageBreak/>
              <w:t>tên chủ dự án, địa điểm thực hiện dự án; thời gian được cơ quan, tổ chức có thẩm quyền xác nhận là dự án xanh, tuần hoàn và áp dụng khung tiêu chuẩn môi trường, xã hội, quản trị (ESG); tình trạng đang duy trì hoặc đã có quyết định bị thu hồi, ngày thu hồi văn bản xác nhận dự án xanh, tuần hoàn và áp dụng khung tiêu chuẩn môi trường, xã hội, quản trị (ESG). Dữ liệu trên Cổng thông tin điện tử của Bộ Nông nghiệp và Môi trường về Danh sách các dự án xanh, tuần hoàn và áp dụng khung tiêu chuẩn môi trường, xã hội, quản trị (ESG) cần được lưu giữ riêng tại từng thời điểm công bố để đảm bảo lưu giữ và không có sự biến động so với thời điểm công bố.</w:t>
            </w:r>
          </w:p>
          <w:p w14:paraId="4C946BEB"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 xml:space="preserve">c) Hướng dẫn các ngân hàng thương mại, Ủy ban nhân dân cấp tỉnh và các tổ chức, cá nhân liên quan kết nối liên thông, tra cứu Danh sách các dự án xanh, tuần hoàn và áp dụng khung tiêu chuẩn môi trường, xã hội, quản trị (ESG) theo văn bản xác nhận của cơ quan/tổ chức có thẩm quyền đảm bảo thuận tiện, dễ dàng. </w:t>
            </w:r>
          </w:p>
          <w:p w14:paraId="74FD02A4"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3. Bộ Tài chính</w:t>
            </w:r>
          </w:p>
          <w:p w14:paraId="295B397A"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a) Bố trí kịp thời nguồn vốn từ ngân sách nhà nước cho các địa phương theo quy định tại Nghị định này.</w:t>
            </w:r>
          </w:p>
          <w:p w14:paraId="2BB8C661"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b) Kịp thời xử lý các khó khăn, vướng mắc có liên quan đến việc lập dự toán, thực hiện dự toán và quyết toán hỗ trợ lãi suất theo quy định tại Nghị định này.</w:t>
            </w:r>
          </w:p>
          <w:p w14:paraId="6A9F2E88"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4. Ủy ban nhân dân cấp tỉnh</w:t>
            </w:r>
          </w:p>
          <w:p w14:paraId="77C9198E"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a) Hướng dẫn quy trình thực hiện hỗ trợ lãi suất cho khách hàng theo quy định tại Nghị định này.</w:t>
            </w:r>
          </w:p>
          <w:p w14:paraId="78E649FA"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b) Theo dõi việc triển khai các dự án xanh, tuần hoàn và áp dụng khung tiêu chuẩn môi trường, xã hội, quản trị (ESG) trên địa bàn được vay vốn hỗ trợ lãi suất theo Nghị định này.</w:t>
            </w:r>
          </w:p>
          <w:p w14:paraId="35B10384"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c) Phối hợp với Ngân hàng Nhà nước Việt Nam và các cơ quan liên quan xử lý các khó khăn vướng mắc phát sinh trong quá trình thực hiện hỗ trợ lãi suất trên địa bàn theo Nghị định này.</w:t>
            </w:r>
          </w:p>
          <w:p w14:paraId="62E0B6FE"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5. Ngân hàng thương mại</w:t>
            </w:r>
          </w:p>
          <w:p w14:paraId="61D91885"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a) Thực hiện cho vay đối với khách hàng để thực hiện dự án xanh, tuần hoàn và áp dụng khung tiêu chuẩn tiêu chuẩn môi trường, xã hội, quản trị (ESG) theo quy định tại Nghị định này và các quy định pháp luật có liên quan.</w:t>
            </w:r>
          </w:p>
          <w:p w14:paraId="608E95E2"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b) Phối hợp với chính quyền địa phương triển khai hỗ trợ lãi suất theo quy định tại Nghị định này và hướng dẫn của Ủy ban nhân dân cấp tỉnh.</w:t>
            </w:r>
          </w:p>
          <w:p w14:paraId="5918EAB3"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lastRenderedPageBreak/>
              <w:t>c) Phối hợp cung cấp thông tin cho Ủy ban nhân dân cấp tỉnh, cơ quan có thẩm quyền trường hợp phát hiện khoản vay của khách hàng vi phạm điều kiện hỗ trợ lãi suất để thực hiện xử lý thu hồi số tiền đã hỗ trợ lãi suất theo quy định tại Điều 7 Nghị định này.</w:t>
            </w:r>
          </w:p>
          <w:p w14:paraId="2BF0A893"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d) Kịp thời báo cáo cấp có thẩm quyền các khó khăn, vướng mắc trong triển khai thực hiện các quy định tại Nghị định này.</w:t>
            </w:r>
          </w:p>
          <w:p w14:paraId="4A7FD72F"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6. Khách hàng vay vốn</w:t>
            </w:r>
          </w:p>
          <w:p w14:paraId="256F005D"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 xml:space="preserve">a) Sử dụng vốn vay được hỗ trợ lãi suất đúng mục đích, triển khai thực hiện dự án theo đúng quy định tại Quyết định của Thủ tướng Chính phủ về dự án xanh, tuần hoàn và áp dụng khung tiêu chuẩn môi trường, xã hội, quản trị (ESG). </w:t>
            </w:r>
          </w:p>
          <w:p w14:paraId="2E6DC4E8" w14:textId="77777777" w:rsidR="00C45C6A" w:rsidRPr="00C45C6A"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b) Chịu trách nhiệm về tính chính xác, hợp lệ và hợp pháp của các hồ sơ, thông tin, tài liệu cung cấp cho ngân hàng thương mại và Ủy ban nhân dân cấp tỉnh và có trách nhiệm phối hợp với ngân hàng thương mại trong việc báo cáo cấp có thẩm quyền về tình hình triển khai dự án được hỗ trợ lãi suất.</w:t>
            </w:r>
          </w:p>
          <w:p w14:paraId="4CF18334" w14:textId="4427B8F2" w:rsidR="000E2BDF" w:rsidRPr="000E2BDF" w:rsidRDefault="00C45C6A" w:rsidP="00C45C6A">
            <w:pPr>
              <w:jc w:val="both"/>
              <w:rPr>
                <w:rFonts w:ascii="Times New Roman" w:hAnsi="Times New Roman" w:cs="Times New Roman"/>
                <w:sz w:val="26"/>
                <w:szCs w:val="26"/>
              </w:rPr>
            </w:pPr>
            <w:r w:rsidRPr="00C45C6A">
              <w:rPr>
                <w:rFonts w:ascii="Times New Roman" w:hAnsi="Times New Roman" w:cs="Times New Roman"/>
                <w:sz w:val="26"/>
                <w:szCs w:val="26"/>
              </w:rPr>
              <w:t>c) Hoàn trả ngân sách nhà nước số tiền hỗ trợ lãi suất theo quy định tại Điều 7 Nghị định này.</w:t>
            </w:r>
          </w:p>
        </w:tc>
        <w:tc>
          <w:tcPr>
            <w:tcW w:w="5245" w:type="dxa"/>
            <w:tcBorders>
              <w:top w:val="single" w:sz="4" w:space="0" w:color="auto"/>
              <w:left w:val="single" w:sz="4" w:space="0" w:color="auto"/>
              <w:bottom w:val="single" w:sz="4" w:space="0" w:color="auto"/>
              <w:right w:val="single" w:sz="4" w:space="0" w:color="auto"/>
            </w:tcBorders>
          </w:tcPr>
          <w:p w14:paraId="1DA7FB6F" w14:textId="77777777" w:rsidR="00CC2D74" w:rsidRPr="00C45C6A" w:rsidRDefault="000E2BDF" w:rsidP="00263159">
            <w:pPr>
              <w:jc w:val="both"/>
              <w:rPr>
                <w:rFonts w:ascii="Times New Roman" w:hAnsi="Times New Roman" w:cs="Times New Roman"/>
                <w:sz w:val="26"/>
                <w:szCs w:val="26"/>
              </w:rPr>
            </w:pPr>
            <w:r w:rsidRPr="00C45C6A">
              <w:rPr>
                <w:rFonts w:ascii="Times New Roman" w:hAnsi="Times New Roman" w:cs="Times New Roman"/>
                <w:sz w:val="26"/>
                <w:szCs w:val="26"/>
              </w:rPr>
              <w:lastRenderedPageBreak/>
              <w:t xml:space="preserve">Quy định </w:t>
            </w:r>
            <w:r w:rsidR="00CC2D74" w:rsidRPr="00C45C6A">
              <w:rPr>
                <w:rFonts w:ascii="Times New Roman" w:hAnsi="Times New Roman" w:cs="Times New Roman"/>
                <w:sz w:val="26"/>
                <w:szCs w:val="26"/>
              </w:rPr>
              <w:t xml:space="preserve">cụ thể </w:t>
            </w:r>
            <w:r w:rsidRPr="00C45C6A">
              <w:rPr>
                <w:rFonts w:ascii="Times New Roman" w:hAnsi="Times New Roman" w:cs="Times New Roman"/>
                <w:sz w:val="26"/>
                <w:szCs w:val="26"/>
              </w:rPr>
              <w:t>trách nhiệm của các cơ quan, tổ chức, cá nhân có liên quan trong quá trình triển khai chính sách</w:t>
            </w:r>
            <w:r w:rsidR="00CC2D74" w:rsidRPr="00C45C6A">
              <w:rPr>
                <w:rFonts w:ascii="Times New Roman" w:hAnsi="Times New Roman" w:cs="Times New Roman"/>
                <w:sz w:val="26"/>
                <w:szCs w:val="26"/>
              </w:rPr>
              <w:t xml:space="preserve"> như: </w:t>
            </w:r>
          </w:p>
          <w:p w14:paraId="6E3A8B01" w14:textId="638B9273" w:rsidR="00CC2D74" w:rsidRPr="00C45C6A" w:rsidRDefault="00CC2D74" w:rsidP="00263159">
            <w:pPr>
              <w:jc w:val="both"/>
              <w:rPr>
                <w:rFonts w:ascii="Times New Roman" w:hAnsi="Times New Roman" w:cs="Times New Roman"/>
                <w:sz w:val="26"/>
                <w:szCs w:val="26"/>
              </w:rPr>
            </w:pPr>
            <w:r w:rsidRPr="00C45C6A">
              <w:rPr>
                <w:rFonts w:ascii="Times New Roman" w:hAnsi="Times New Roman" w:cs="Times New Roman"/>
                <w:sz w:val="26"/>
                <w:szCs w:val="26"/>
              </w:rPr>
              <w:t>- NHNN (cơ quan chủ trì trình ban hành chính sách) có trách nhiệm trong việc theo dõi, tổng hợp khó khăn, vướng mắc trong quá trình triển khai để xử lý theo thẩm quyền hoặc báo cáo cấp có thẩm quyền.</w:t>
            </w:r>
          </w:p>
          <w:p w14:paraId="098E6AAE" w14:textId="39C8869F" w:rsidR="000E2BDF" w:rsidRPr="00C45C6A" w:rsidRDefault="00CC2D74" w:rsidP="00263159">
            <w:pPr>
              <w:jc w:val="both"/>
              <w:rPr>
                <w:rFonts w:ascii="Times New Roman" w:hAnsi="Times New Roman" w:cs="Times New Roman"/>
                <w:sz w:val="26"/>
                <w:szCs w:val="26"/>
              </w:rPr>
            </w:pPr>
            <w:r w:rsidRPr="00C45C6A">
              <w:rPr>
                <w:rFonts w:ascii="Times New Roman" w:hAnsi="Times New Roman" w:cs="Times New Roman"/>
                <w:sz w:val="26"/>
                <w:szCs w:val="26"/>
              </w:rPr>
              <w:t>- Bộ Nông nghiệp và Môi trường (cơ quan quản lý nhà nước về lĩnh vực môi trường) có trách nhiệm trong việc hướng dẫn xác nhận dự án và cập nhật trên Cổng thông tin điện tử làm cơ sở để các cơ quan, ngân hàng thương mại triển khai thực hiện.</w:t>
            </w:r>
          </w:p>
          <w:p w14:paraId="1DB04C72" w14:textId="1F02823A" w:rsidR="00CC2D74" w:rsidRPr="00C45C6A" w:rsidRDefault="00CC2D74" w:rsidP="00263159">
            <w:pPr>
              <w:jc w:val="both"/>
              <w:rPr>
                <w:rFonts w:ascii="Times New Roman" w:hAnsi="Times New Roman" w:cs="Times New Roman"/>
                <w:sz w:val="26"/>
                <w:szCs w:val="26"/>
              </w:rPr>
            </w:pPr>
            <w:r w:rsidRPr="00C45C6A">
              <w:rPr>
                <w:rFonts w:ascii="Times New Roman" w:hAnsi="Times New Roman" w:cs="Times New Roman"/>
                <w:sz w:val="26"/>
                <w:szCs w:val="26"/>
              </w:rPr>
              <w:t xml:space="preserve">- Bộ Tài chính (cơ quan quản lý nhà nước về ngân sách nhà nước) có trách nhiệm trong việc bố trí nguồn vốn, hướng dẫn các địa phương thực hiện lập dự toán, </w:t>
            </w:r>
            <w:r w:rsidR="00FD3CC2" w:rsidRPr="00C45C6A">
              <w:rPr>
                <w:rFonts w:ascii="Times New Roman" w:hAnsi="Times New Roman" w:cs="Times New Roman"/>
                <w:sz w:val="26"/>
                <w:szCs w:val="26"/>
              </w:rPr>
              <w:t xml:space="preserve">thực hiện dự toán, </w:t>
            </w:r>
            <w:r w:rsidRPr="00C45C6A">
              <w:rPr>
                <w:rFonts w:ascii="Times New Roman" w:hAnsi="Times New Roman" w:cs="Times New Roman"/>
                <w:sz w:val="26"/>
                <w:szCs w:val="26"/>
              </w:rPr>
              <w:t>quyết toán tiền hỗ trợ lãi suất.</w:t>
            </w:r>
          </w:p>
          <w:p w14:paraId="68434BE9" w14:textId="1E6285FC" w:rsidR="00CC2D74" w:rsidRPr="00C45C6A" w:rsidRDefault="00CC2D74" w:rsidP="00263159">
            <w:pPr>
              <w:jc w:val="both"/>
              <w:rPr>
                <w:rFonts w:ascii="Times New Roman" w:hAnsi="Times New Roman" w:cs="Times New Roman"/>
                <w:sz w:val="26"/>
                <w:szCs w:val="26"/>
              </w:rPr>
            </w:pPr>
            <w:r w:rsidRPr="00C45C6A">
              <w:rPr>
                <w:rFonts w:ascii="Times New Roman" w:hAnsi="Times New Roman" w:cs="Times New Roman"/>
                <w:sz w:val="26"/>
                <w:szCs w:val="26"/>
              </w:rPr>
              <w:lastRenderedPageBreak/>
              <w:t>- Trách nhiệm của các cơ quan, tổ chức khác: Ủy ban nhân dân cấp tỉnh, ngân hàng thương mại, khách hàng trong việc tổ chức thực hiện hỗ trợ lãi suất.</w:t>
            </w:r>
          </w:p>
        </w:tc>
      </w:tr>
      <w:tr w:rsidR="00FD3CC2" w:rsidRPr="000E0710" w14:paraId="203A6193" w14:textId="77777777" w:rsidTr="00A46BD6">
        <w:tc>
          <w:tcPr>
            <w:tcW w:w="1694" w:type="dxa"/>
            <w:tcBorders>
              <w:top w:val="single" w:sz="4" w:space="0" w:color="auto"/>
              <w:left w:val="single" w:sz="4" w:space="0" w:color="auto"/>
              <w:bottom w:val="single" w:sz="4" w:space="0" w:color="auto"/>
              <w:right w:val="single" w:sz="4" w:space="0" w:color="auto"/>
            </w:tcBorders>
          </w:tcPr>
          <w:p w14:paraId="101FDB45" w14:textId="140EBDE9" w:rsidR="00FD3CC2" w:rsidRPr="00C45C6A" w:rsidRDefault="00FD3CC2" w:rsidP="00263159">
            <w:pPr>
              <w:jc w:val="both"/>
              <w:rPr>
                <w:rFonts w:ascii="Times New Roman" w:hAnsi="Times New Roman" w:cs="Times New Roman"/>
                <w:sz w:val="26"/>
                <w:szCs w:val="26"/>
              </w:rPr>
            </w:pPr>
            <w:r w:rsidRPr="00FD3CC2">
              <w:rPr>
                <w:rFonts w:ascii="Times New Roman" w:hAnsi="Times New Roman" w:cs="Times New Roman"/>
                <w:sz w:val="26"/>
                <w:szCs w:val="26"/>
              </w:rPr>
              <w:lastRenderedPageBreak/>
              <w:t>Hiệu lực thi hành và tổ chức thực hiện</w:t>
            </w:r>
            <w:r w:rsidRPr="00C45C6A">
              <w:rPr>
                <w:rFonts w:ascii="Times New Roman" w:hAnsi="Times New Roman" w:cs="Times New Roman"/>
                <w:sz w:val="26"/>
                <w:szCs w:val="26"/>
              </w:rPr>
              <w:t xml:space="preserve"> </w:t>
            </w:r>
            <w:r w:rsidRPr="00C45C6A">
              <w:rPr>
                <w:rFonts w:ascii="Times New Roman" w:hAnsi="Times New Roman" w:cs="Times New Roman"/>
                <w:b/>
                <w:bCs/>
                <w:sz w:val="26"/>
                <w:szCs w:val="26"/>
              </w:rPr>
              <w:t>(Điều 9)</w:t>
            </w:r>
          </w:p>
        </w:tc>
        <w:tc>
          <w:tcPr>
            <w:tcW w:w="8654" w:type="dxa"/>
            <w:tcBorders>
              <w:top w:val="single" w:sz="4" w:space="0" w:color="auto"/>
              <w:left w:val="single" w:sz="4" w:space="0" w:color="auto"/>
              <w:bottom w:val="single" w:sz="4" w:space="0" w:color="auto"/>
              <w:right w:val="single" w:sz="4" w:space="0" w:color="auto"/>
            </w:tcBorders>
          </w:tcPr>
          <w:p w14:paraId="790684FC" w14:textId="77777777" w:rsidR="00C45C6A" w:rsidRPr="00C45C6A" w:rsidRDefault="00C45C6A" w:rsidP="00C45C6A">
            <w:pPr>
              <w:rPr>
                <w:rFonts w:ascii="Times New Roman" w:hAnsi="Times New Roman" w:cs="Times New Roman"/>
                <w:sz w:val="26"/>
                <w:szCs w:val="26"/>
              </w:rPr>
            </w:pPr>
            <w:r w:rsidRPr="00C45C6A">
              <w:rPr>
                <w:rFonts w:ascii="Times New Roman" w:hAnsi="Times New Roman" w:cs="Times New Roman"/>
                <w:sz w:val="26"/>
                <w:szCs w:val="26"/>
              </w:rPr>
              <w:t>1. Nghị định này có hiệu lực thi hành kể từ ngày …./…/….</w:t>
            </w:r>
          </w:p>
          <w:p w14:paraId="0A28A47F" w14:textId="77777777" w:rsidR="00C45C6A" w:rsidRPr="00C45C6A" w:rsidRDefault="00C45C6A" w:rsidP="00C45C6A">
            <w:pPr>
              <w:rPr>
                <w:rFonts w:ascii="Times New Roman" w:hAnsi="Times New Roman" w:cs="Times New Roman"/>
                <w:sz w:val="26"/>
                <w:szCs w:val="26"/>
              </w:rPr>
            </w:pPr>
            <w:r w:rsidRPr="00C45C6A">
              <w:rPr>
                <w:rFonts w:ascii="Times New Roman" w:hAnsi="Times New Roman" w:cs="Times New Roman"/>
                <w:sz w:val="26"/>
                <w:szCs w:val="26"/>
              </w:rPr>
              <w:t>2. Thời gian thực hiện chính sách hỗ trợ lãi suất theo quy định tại Nghị định này được áp dụng đối với khoản cho vay được giải ngân đến hết ngày 31 tháng 12 năm 2030 hoặc kết thúc sớm hơn theo quyết định của cấp có thẩm quyền.</w:t>
            </w:r>
          </w:p>
          <w:p w14:paraId="312B99D8" w14:textId="543B53CF" w:rsidR="00FD3CC2" w:rsidRPr="00FD3CC2" w:rsidRDefault="00C45C6A" w:rsidP="00C45C6A">
            <w:pPr>
              <w:rPr>
                <w:rFonts w:ascii="Times New Roman" w:hAnsi="Times New Roman" w:cs="Times New Roman"/>
                <w:sz w:val="26"/>
                <w:szCs w:val="26"/>
              </w:rPr>
            </w:pPr>
            <w:r w:rsidRPr="00C45C6A">
              <w:rPr>
                <w:rFonts w:ascii="Times New Roman" w:hAnsi="Times New Roman" w:cs="Times New Roman"/>
                <w:sz w:val="26"/>
                <w:szCs w:val="26"/>
              </w:rPr>
              <w:t>3. Các Bộ trưởng, Thủ trưởng cơ quan ngang Bộ, Thủ trưởng cơ quan thuộc Chính phủ, Chủ tịch Ủy ban nhân dân các tỉnh, thành phố trực thuộc Trung ương, Chủ tịch Hội đồng quản trị, Chủ tịch Hội đồng thành viên và Tổng Giám đốc ngân hàng thương mại chịu trách nhiệm thi hành Nghị định này./.</w:t>
            </w:r>
          </w:p>
        </w:tc>
        <w:tc>
          <w:tcPr>
            <w:tcW w:w="5245" w:type="dxa"/>
            <w:tcBorders>
              <w:top w:val="single" w:sz="4" w:space="0" w:color="auto"/>
              <w:left w:val="single" w:sz="4" w:space="0" w:color="auto"/>
              <w:bottom w:val="single" w:sz="4" w:space="0" w:color="auto"/>
              <w:right w:val="single" w:sz="4" w:space="0" w:color="auto"/>
            </w:tcBorders>
          </w:tcPr>
          <w:p w14:paraId="70B9BAA6" w14:textId="7ACB06B9" w:rsidR="00FD3CC2" w:rsidRPr="00C45C6A" w:rsidRDefault="00FD3CC2" w:rsidP="00FD3CC2">
            <w:pPr>
              <w:jc w:val="both"/>
              <w:rPr>
                <w:rFonts w:ascii="Times New Roman" w:hAnsi="Times New Roman" w:cs="Times New Roman"/>
                <w:sz w:val="26"/>
                <w:szCs w:val="26"/>
              </w:rPr>
            </w:pPr>
            <w:r w:rsidRPr="00C45C6A">
              <w:rPr>
                <w:rFonts w:ascii="Times New Roman" w:hAnsi="Times New Roman" w:cs="Times New Roman"/>
                <w:sz w:val="26"/>
                <w:szCs w:val="26"/>
              </w:rPr>
              <w:t>Nghị quyết số 198/2025/QH15 của Quốc hội, Nghị quyết số 139/NQ-CP của Chính phủ không quy định thời gian thực hiện chính sách. Tuy nhiên, do đây là chính sách hỗ trợ từ ngân sách nhà nước cần có thời hạn thực hiện, do vậy, căn cứ Quyết định số 1658/QĐ-TTg ngày 1/10/2021 của Thủ tướng Chính phủ phê duyệt Chiến lược quốc gia về tăng trưởng xanh giai đoạn 2021 - 2030, tầm nhìn 2050, NHNN đề xuất thời gian thực hiện chính sách đối với các khoản giải ngân đến hết năm 2030. Trên cơ sở Chiến lược quốc gia về tăng trưởng xanh của giai đoạn tiếp theo, NHNN sẽ phối hợp với các cơ quan liên quan đánh giá và đề xuất thực hiện giai đoạn tiếp theo (nếu cần thiết).</w:t>
            </w:r>
          </w:p>
        </w:tc>
      </w:tr>
    </w:tbl>
    <w:p w14:paraId="4B65A44D" w14:textId="23F5FE97" w:rsidR="00D904C2" w:rsidRPr="000E0710" w:rsidRDefault="00D904C2" w:rsidP="00D904C2">
      <w:pPr>
        <w:spacing w:before="120"/>
        <w:rPr>
          <w:rFonts w:ascii="Times New Roman" w:hAnsi="Times New Roman" w:cs="Times New Roman"/>
          <w:b/>
          <w:bCs/>
          <w:sz w:val="20"/>
          <w:szCs w:val="20"/>
        </w:rPr>
      </w:pPr>
    </w:p>
    <w:p w14:paraId="2F34B515" w14:textId="047630E5" w:rsidR="000E0710" w:rsidRPr="00C45C6A" w:rsidRDefault="00A46BD6" w:rsidP="00A46BD6">
      <w:pPr>
        <w:spacing w:before="120"/>
        <w:jc w:val="right"/>
        <w:rPr>
          <w:rFonts w:ascii="Times New Roman" w:hAnsi="Times New Roman" w:cs="Times New Roman"/>
          <w:b/>
          <w:bCs/>
          <w:sz w:val="26"/>
          <w:szCs w:val="26"/>
        </w:rPr>
      </w:pPr>
      <w:r w:rsidRPr="00C45C6A">
        <w:rPr>
          <w:rFonts w:ascii="Times New Roman" w:hAnsi="Times New Roman" w:cs="Times New Roman"/>
          <w:b/>
          <w:bCs/>
          <w:sz w:val="26"/>
          <w:szCs w:val="26"/>
        </w:rPr>
        <w:t>NGÂN HÀNG NHÀ NƯỚC VIỆT NAM</w:t>
      </w:r>
    </w:p>
    <w:sectPr w:rsidR="000E0710" w:rsidRPr="00C45C6A" w:rsidSect="00E87CDF">
      <w:headerReference w:type="even" r:id="rId8"/>
      <w:headerReference w:type="default" r:id="rId9"/>
      <w:pgSz w:w="16840" w:h="11907" w:orient="landscape" w:code="9"/>
      <w:pgMar w:top="993" w:right="851" w:bottom="709" w:left="85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B1E8F" w14:textId="77777777" w:rsidR="00AA219C" w:rsidRDefault="00AA219C">
      <w:r>
        <w:separator/>
      </w:r>
    </w:p>
  </w:endnote>
  <w:endnote w:type="continuationSeparator" w:id="0">
    <w:p w14:paraId="5572B78E" w14:textId="77777777" w:rsidR="00AA219C" w:rsidRDefault="00AA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6B7C0" w14:textId="77777777" w:rsidR="00AA219C" w:rsidRDefault="00AA219C">
      <w:r>
        <w:separator/>
      </w:r>
    </w:p>
  </w:footnote>
  <w:footnote w:type="continuationSeparator" w:id="0">
    <w:p w14:paraId="40A6C984" w14:textId="77777777" w:rsidR="00AA219C" w:rsidRDefault="00AA2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F0EE" w14:textId="77777777" w:rsidR="005D5614" w:rsidRDefault="005D561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45303"/>
      <w:docPartObj>
        <w:docPartGallery w:val="Page Numbers (Top of Page)"/>
        <w:docPartUnique/>
      </w:docPartObj>
    </w:sdtPr>
    <w:sdtEndPr>
      <w:rPr>
        <w:rFonts w:ascii="Times New Roman" w:hAnsi="Times New Roman" w:cs="Times New Roman"/>
        <w:noProof/>
      </w:rPr>
    </w:sdtEndPr>
    <w:sdtContent>
      <w:p w14:paraId="1D2CFF6E" w14:textId="77777777" w:rsidR="003D3DDA" w:rsidRDefault="003D3DDA">
        <w:pPr>
          <w:pStyle w:val="Header"/>
          <w:jc w:val="center"/>
        </w:pPr>
      </w:p>
      <w:p w14:paraId="1EC930D2" w14:textId="624FE0F9" w:rsidR="003D3DDA" w:rsidRPr="003D3DDA" w:rsidRDefault="003D3DDA">
        <w:pPr>
          <w:pStyle w:val="Header"/>
          <w:jc w:val="center"/>
          <w:rPr>
            <w:rFonts w:ascii="Times New Roman" w:hAnsi="Times New Roman" w:cs="Times New Roman"/>
          </w:rPr>
        </w:pPr>
        <w:r w:rsidRPr="003D3DDA">
          <w:rPr>
            <w:rFonts w:ascii="Times New Roman" w:hAnsi="Times New Roman" w:cs="Times New Roman"/>
          </w:rPr>
          <w:fldChar w:fldCharType="begin"/>
        </w:r>
        <w:r w:rsidRPr="003D3DDA">
          <w:rPr>
            <w:rFonts w:ascii="Times New Roman" w:hAnsi="Times New Roman" w:cs="Times New Roman"/>
          </w:rPr>
          <w:instrText xml:space="preserve"> PAGE   \* MERGEFORMAT </w:instrText>
        </w:r>
        <w:r w:rsidRPr="003D3DDA">
          <w:rPr>
            <w:rFonts w:ascii="Times New Roman" w:hAnsi="Times New Roman" w:cs="Times New Roman"/>
          </w:rPr>
          <w:fldChar w:fldCharType="separate"/>
        </w:r>
        <w:r w:rsidR="00E87CDF">
          <w:rPr>
            <w:rFonts w:ascii="Times New Roman" w:hAnsi="Times New Roman" w:cs="Times New Roman"/>
            <w:noProof/>
          </w:rPr>
          <w:t>7</w:t>
        </w:r>
        <w:r w:rsidRPr="003D3DDA">
          <w:rPr>
            <w:rFonts w:ascii="Times New Roman" w:hAnsi="Times New Roman" w:cs="Times New Roman"/>
            <w:noProof/>
          </w:rPr>
          <w:fldChar w:fldCharType="end"/>
        </w:r>
      </w:p>
    </w:sdtContent>
  </w:sdt>
  <w:p w14:paraId="05332CD1" w14:textId="77777777" w:rsidR="003D3DDA" w:rsidRDefault="003D3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F2099"/>
    <w:multiLevelType w:val="hybridMultilevel"/>
    <w:tmpl w:val="A858BD0C"/>
    <w:lvl w:ilvl="0" w:tplc="FA1EFF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7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4C2"/>
    <w:rsid w:val="00092ABC"/>
    <w:rsid w:val="000E0710"/>
    <w:rsid w:val="000E2BDF"/>
    <w:rsid w:val="000F0A11"/>
    <w:rsid w:val="0012492D"/>
    <w:rsid w:val="001704CA"/>
    <w:rsid w:val="00174DDC"/>
    <w:rsid w:val="00202712"/>
    <w:rsid w:val="00263159"/>
    <w:rsid w:val="00337516"/>
    <w:rsid w:val="003575B4"/>
    <w:rsid w:val="0037303E"/>
    <w:rsid w:val="003D3DDA"/>
    <w:rsid w:val="003F41C0"/>
    <w:rsid w:val="0042681A"/>
    <w:rsid w:val="0043096D"/>
    <w:rsid w:val="00443009"/>
    <w:rsid w:val="004651CA"/>
    <w:rsid w:val="00465D8E"/>
    <w:rsid w:val="0049138F"/>
    <w:rsid w:val="004A7620"/>
    <w:rsid w:val="004C546E"/>
    <w:rsid w:val="004E0885"/>
    <w:rsid w:val="004E7C80"/>
    <w:rsid w:val="00551399"/>
    <w:rsid w:val="00577406"/>
    <w:rsid w:val="00592F4C"/>
    <w:rsid w:val="005A15B0"/>
    <w:rsid w:val="005A243D"/>
    <w:rsid w:val="005C0326"/>
    <w:rsid w:val="005D5614"/>
    <w:rsid w:val="005D5B78"/>
    <w:rsid w:val="005D7E02"/>
    <w:rsid w:val="005E3A06"/>
    <w:rsid w:val="005E64AD"/>
    <w:rsid w:val="006945D0"/>
    <w:rsid w:val="006C0620"/>
    <w:rsid w:val="006E011C"/>
    <w:rsid w:val="00746D6A"/>
    <w:rsid w:val="0076383E"/>
    <w:rsid w:val="00773CCA"/>
    <w:rsid w:val="007D04CC"/>
    <w:rsid w:val="00836AC3"/>
    <w:rsid w:val="00845D9F"/>
    <w:rsid w:val="00893AAE"/>
    <w:rsid w:val="008D4E90"/>
    <w:rsid w:val="008E62DE"/>
    <w:rsid w:val="00910575"/>
    <w:rsid w:val="009D31E2"/>
    <w:rsid w:val="009F20B3"/>
    <w:rsid w:val="009F5899"/>
    <w:rsid w:val="00A05D98"/>
    <w:rsid w:val="00A40B32"/>
    <w:rsid w:val="00A449FF"/>
    <w:rsid w:val="00A46BD6"/>
    <w:rsid w:val="00AA219C"/>
    <w:rsid w:val="00B34115"/>
    <w:rsid w:val="00B45298"/>
    <w:rsid w:val="00B54551"/>
    <w:rsid w:val="00BD62A2"/>
    <w:rsid w:val="00BF100E"/>
    <w:rsid w:val="00C45C6A"/>
    <w:rsid w:val="00C76FC5"/>
    <w:rsid w:val="00C81232"/>
    <w:rsid w:val="00CB50FD"/>
    <w:rsid w:val="00CC2D74"/>
    <w:rsid w:val="00D07A44"/>
    <w:rsid w:val="00D82342"/>
    <w:rsid w:val="00D904C2"/>
    <w:rsid w:val="00DF78DD"/>
    <w:rsid w:val="00E33871"/>
    <w:rsid w:val="00E55F02"/>
    <w:rsid w:val="00E66446"/>
    <w:rsid w:val="00E87CDF"/>
    <w:rsid w:val="00EA503D"/>
    <w:rsid w:val="00EE549B"/>
    <w:rsid w:val="00F125B8"/>
    <w:rsid w:val="00F213DC"/>
    <w:rsid w:val="00F327BB"/>
    <w:rsid w:val="00F8175E"/>
    <w:rsid w:val="00F86498"/>
    <w:rsid w:val="00F928DB"/>
    <w:rsid w:val="00FC6ED3"/>
    <w:rsid w:val="00FD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F0D5"/>
  <w15:docId w15:val="{108CFEEF-4ABC-4135-92D9-EC1D68B7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C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4C2"/>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115"/>
    <w:pPr>
      <w:ind w:left="720"/>
      <w:contextualSpacing/>
    </w:pPr>
  </w:style>
  <w:style w:type="paragraph" w:styleId="BalloonText">
    <w:name w:val="Balloon Text"/>
    <w:basedOn w:val="Normal"/>
    <w:link w:val="BalloonTextChar"/>
    <w:uiPriority w:val="99"/>
    <w:semiHidden/>
    <w:unhideWhenUsed/>
    <w:rsid w:val="00F327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7BB"/>
    <w:rPr>
      <w:rFonts w:ascii="Segoe UI" w:eastAsia="Times New Roman" w:hAnsi="Segoe UI" w:cs="Segoe UI"/>
      <w:color w:val="000000"/>
      <w:sz w:val="18"/>
      <w:szCs w:val="18"/>
      <w:lang w:val="vi-VN" w:eastAsia="vi-VN"/>
    </w:rPr>
  </w:style>
  <w:style w:type="paragraph" w:styleId="Header">
    <w:name w:val="header"/>
    <w:basedOn w:val="Normal"/>
    <w:link w:val="HeaderChar"/>
    <w:uiPriority w:val="99"/>
    <w:unhideWhenUsed/>
    <w:rsid w:val="003D3DDA"/>
    <w:pPr>
      <w:tabs>
        <w:tab w:val="center" w:pos="4680"/>
        <w:tab w:val="right" w:pos="9360"/>
      </w:tabs>
    </w:pPr>
  </w:style>
  <w:style w:type="character" w:customStyle="1" w:styleId="HeaderChar">
    <w:name w:val="Header Char"/>
    <w:basedOn w:val="DefaultParagraphFont"/>
    <w:link w:val="Header"/>
    <w:uiPriority w:val="99"/>
    <w:rsid w:val="003D3DD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3D3DDA"/>
    <w:pPr>
      <w:tabs>
        <w:tab w:val="center" w:pos="4680"/>
        <w:tab w:val="right" w:pos="9360"/>
      </w:tabs>
    </w:pPr>
  </w:style>
  <w:style w:type="character" w:customStyle="1" w:styleId="FooterChar">
    <w:name w:val="Footer Char"/>
    <w:basedOn w:val="DefaultParagraphFont"/>
    <w:link w:val="Footer"/>
    <w:uiPriority w:val="99"/>
    <w:rsid w:val="003D3DDA"/>
    <w:rPr>
      <w:rFonts w:ascii="Courier New" w:eastAsia="Times New Roman" w:hAnsi="Courier New" w:cs="Courier New"/>
      <w:color w:val="000000"/>
      <w:sz w:val="24"/>
      <w:szCs w:val="24"/>
      <w:lang w:val="vi-VN" w:eastAsia="vi-VN"/>
    </w:rPr>
  </w:style>
  <w:style w:type="paragraph" w:styleId="NormalWeb">
    <w:name w:val="Normal (Web)"/>
    <w:basedOn w:val="Normal"/>
    <w:uiPriority w:val="99"/>
    <w:unhideWhenUsed/>
    <w:rsid w:val="00443009"/>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basedOn w:val="DefaultParagraphFont"/>
    <w:uiPriority w:val="22"/>
    <w:qFormat/>
    <w:rsid w:val="00443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5773">
      <w:bodyDiv w:val="1"/>
      <w:marLeft w:val="0"/>
      <w:marRight w:val="0"/>
      <w:marTop w:val="0"/>
      <w:marBottom w:val="0"/>
      <w:divBdr>
        <w:top w:val="none" w:sz="0" w:space="0" w:color="auto"/>
        <w:left w:val="none" w:sz="0" w:space="0" w:color="auto"/>
        <w:bottom w:val="none" w:sz="0" w:space="0" w:color="auto"/>
        <w:right w:val="none" w:sz="0" w:space="0" w:color="auto"/>
      </w:divBdr>
    </w:div>
    <w:div w:id="672344716">
      <w:bodyDiv w:val="1"/>
      <w:marLeft w:val="0"/>
      <w:marRight w:val="0"/>
      <w:marTop w:val="0"/>
      <w:marBottom w:val="0"/>
      <w:divBdr>
        <w:top w:val="none" w:sz="0" w:space="0" w:color="auto"/>
        <w:left w:val="none" w:sz="0" w:space="0" w:color="auto"/>
        <w:bottom w:val="none" w:sz="0" w:space="0" w:color="auto"/>
        <w:right w:val="none" w:sz="0" w:space="0" w:color="auto"/>
      </w:divBdr>
    </w:div>
    <w:div w:id="10154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013D2-5E54-4BDF-9813-C8C7EF7A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Thu Trang (TDCNKT)</dc:creator>
  <cp:keywords/>
  <dc:description/>
  <cp:lastModifiedBy>Ha Le</cp:lastModifiedBy>
  <cp:revision>23</cp:revision>
  <cp:lastPrinted>2025-08-04T08:42:00Z</cp:lastPrinted>
  <dcterms:created xsi:type="dcterms:W3CDTF">2025-07-28T01:21:00Z</dcterms:created>
  <dcterms:modified xsi:type="dcterms:W3CDTF">2025-09-17T01:28:00Z</dcterms:modified>
</cp:coreProperties>
</file>