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55" w:type="dxa"/>
        <w:tblInd w:w="108" w:type="dxa"/>
        <w:tblLayout w:type="fixed"/>
        <w:tblLook w:val="04A0" w:firstRow="1" w:lastRow="0" w:firstColumn="1" w:lastColumn="0" w:noHBand="0" w:noVBand="1"/>
      </w:tblPr>
      <w:tblGrid>
        <w:gridCol w:w="3218"/>
        <w:gridCol w:w="5737"/>
      </w:tblGrid>
      <w:tr w:rsidR="00736CFB" w:rsidRPr="00BE6BD6" w14:paraId="3DA6BDB1" w14:textId="77777777" w:rsidTr="001F2FF2">
        <w:tc>
          <w:tcPr>
            <w:tcW w:w="3218" w:type="dxa"/>
          </w:tcPr>
          <w:p w14:paraId="7BF6E8E8" w14:textId="77777777" w:rsidR="00736CFB" w:rsidRPr="00BE6BD6" w:rsidRDefault="00736CFB" w:rsidP="001F2FF2">
            <w:pPr>
              <w:pStyle w:val="Heading2"/>
              <w:spacing w:before="120"/>
              <w:ind w:left="-108" w:right="-108"/>
              <w:jc w:val="center"/>
              <w:rPr>
                <w:rFonts w:ascii="Times New Roman" w:hAnsi="Times New Roman"/>
                <w:b w:val="0"/>
                <w:sz w:val="26"/>
                <w:szCs w:val="26"/>
              </w:rPr>
            </w:pPr>
            <w:r w:rsidRPr="00BE6BD6">
              <w:rPr>
                <w:rFonts w:ascii="Times New Roman" w:hAnsi="Times New Roman"/>
                <w:b w:val="0"/>
                <w:sz w:val="26"/>
                <w:szCs w:val="26"/>
              </w:rPr>
              <w:t>BỘ CÔNG THƯƠNG</w:t>
            </w:r>
          </w:p>
          <w:p w14:paraId="4A5213C0" w14:textId="77777777" w:rsidR="00736CFB" w:rsidRPr="00BE6BD6" w:rsidRDefault="00736CFB" w:rsidP="001F2FF2">
            <w:pPr>
              <w:jc w:val="center"/>
              <w:rPr>
                <w:b/>
              </w:rPr>
            </w:pPr>
            <w:r w:rsidRPr="00BE6BD6">
              <w:rPr>
                <w:b/>
                <w:sz w:val="26"/>
                <w:szCs w:val="26"/>
              </w:rPr>
              <w:t>CỤC CÔNG NGHIỆP</w:t>
            </w:r>
          </w:p>
        </w:tc>
        <w:tc>
          <w:tcPr>
            <w:tcW w:w="5737" w:type="dxa"/>
          </w:tcPr>
          <w:p w14:paraId="49CC962D" w14:textId="77777777" w:rsidR="00736CFB" w:rsidRPr="00BE6BD6" w:rsidRDefault="00736CFB" w:rsidP="001F2FF2">
            <w:pPr>
              <w:pStyle w:val="Heading2"/>
              <w:spacing w:before="120"/>
              <w:jc w:val="center"/>
              <w:rPr>
                <w:rFonts w:ascii="Times New Roman" w:hAnsi="Times New Roman"/>
                <w:sz w:val="26"/>
                <w:szCs w:val="26"/>
              </w:rPr>
            </w:pPr>
            <w:r w:rsidRPr="00BE6BD6">
              <w:rPr>
                <w:rFonts w:ascii="Times New Roman" w:hAnsi="Times New Roman"/>
                <w:sz w:val="26"/>
                <w:szCs w:val="26"/>
              </w:rPr>
              <w:t>CỘNG HOÀ XÃ HỘI CHỦ NGHĨA VIỆT NAM</w:t>
            </w:r>
          </w:p>
          <w:p w14:paraId="48AA05A1" w14:textId="77777777" w:rsidR="00736CFB" w:rsidRPr="00BE6BD6" w:rsidRDefault="00736CFB" w:rsidP="001F2FF2">
            <w:pPr>
              <w:jc w:val="center"/>
            </w:pPr>
            <w:r w:rsidRPr="00BE6BD6">
              <w:rPr>
                <w:b/>
                <w:sz w:val="28"/>
                <w:szCs w:val="28"/>
              </w:rPr>
              <w:t>Độc lập - Tự do - Hạnh phúc</w:t>
            </w:r>
          </w:p>
        </w:tc>
      </w:tr>
      <w:tr w:rsidR="00736CFB" w:rsidRPr="00BE6BD6" w14:paraId="0743CF57" w14:textId="77777777" w:rsidTr="001F2FF2">
        <w:trPr>
          <w:trHeight w:val="100"/>
        </w:trPr>
        <w:tc>
          <w:tcPr>
            <w:tcW w:w="3218" w:type="dxa"/>
          </w:tcPr>
          <w:p w14:paraId="40C7FEBA" w14:textId="6AD60B5C" w:rsidR="00736CFB" w:rsidRPr="00BE6BD6" w:rsidRDefault="00736CFB" w:rsidP="001F2FF2">
            <w:pPr>
              <w:overflowPunct w:val="0"/>
              <w:autoSpaceDE w:val="0"/>
              <w:autoSpaceDN w:val="0"/>
              <w:adjustRightInd w:val="0"/>
              <w:jc w:val="center"/>
              <w:rPr>
                <w:b/>
                <w:sz w:val="28"/>
              </w:rPr>
            </w:pPr>
            <w:r w:rsidRPr="00BE6BD6">
              <w:rPr>
                <w:b/>
                <w:noProof/>
                <w:sz w:val="28"/>
                <w:lang w:val="vi-VN" w:eastAsia="vi-VN"/>
              </w:rPr>
              <mc:AlternateContent>
                <mc:Choice Requires="wps">
                  <w:drawing>
                    <wp:anchor distT="0" distB="0" distL="114300" distR="114300" simplePos="0" relativeHeight="251660288" behindDoc="0" locked="0" layoutInCell="1" allowOverlap="1" wp14:anchorId="4642AE09" wp14:editId="7BD9BA89">
                      <wp:simplePos x="0" y="0"/>
                      <wp:positionH relativeFrom="column">
                        <wp:posOffset>387350</wp:posOffset>
                      </wp:positionH>
                      <wp:positionV relativeFrom="paragraph">
                        <wp:posOffset>67310</wp:posOffset>
                      </wp:positionV>
                      <wp:extent cx="1002030" cy="0"/>
                      <wp:effectExtent l="12065" t="5080" r="5080" b="13970"/>
                      <wp:wrapNone/>
                      <wp:docPr id="78920528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7BF39" id="_x0000_t32" coordsize="21600,21600" o:spt="32" o:oned="t" path="m,l21600,21600e" filled="f">
                      <v:path arrowok="t" fillok="f" o:connecttype="none"/>
                      <o:lock v:ext="edit" shapetype="t"/>
                    </v:shapetype>
                    <v:shape id="Straight Arrow Connector 5" o:spid="_x0000_s1026" type="#_x0000_t32" style="position:absolute;margin-left:30.5pt;margin-top:5.3pt;width:7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"/>
                  </w:pict>
                </mc:Fallback>
              </mc:AlternateContent>
            </w:r>
          </w:p>
        </w:tc>
        <w:tc>
          <w:tcPr>
            <w:tcW w:w="5737" w:type="dxa"/>
          </w:tcPr>
          <w:p w14:paraId="5383EDBA" w14:textId="19289A92" w:rsidR="00736CFB" w:rsidRPr="00BE6BD6" w:rsidRDefault="00736CFB" w:rsidP="001F2FF2">
            <w:pPr>
              <w:overflowPunct w:val="0"/>
              <w:autoSpaceDE w:val="0"/>
              <w:autoSpaceDN w:val="0"/>
              <w:adjustRightInd w:val="0"/>
              <w:jc w:val="center"/>
              <w:rPr>
                <w:b/>
                <w:sz w:val="28"/>
                <w:szCs w:val="28"/>
              </w:rPr>
            </w:pPr>
            <w:r w:rsidRPr="00BE6BD6">
              <w:rPr>
                <w:i/>
                <w:noProof/>
                <w:sz w:val="28"/>
                <w:szCs w:val="28"/>
                <w:lang w:val="vi-VN" w:eastAsia="vi-VN"/>
              </w:rPr>
              <mc:AlternateContent>
                <mc:Choice Requires="wps">
                  <w:drawing>
                    <wp:anchor distT="0" distB="0" distL="114300" distR="114300" simplePos="0" relativeHeight="251661312" behindDoc="0" locked="0" layoutInCell="1" allowOverlap="1" wp14:anchorId="071B6E0F" wp14:editId="5D04B88B">
                      <wp:simplePos x="0" y="0"/>
                      <wp:positionH relativeFrom="column">
                        <wp:posOffset>702310</wp:posOffset>
                      </wp:positionH>
                      <wp:positionV relativeFrom="paragraph">
                        <wp:posOffset>41275</wp:posOffset>
                      </wp:positionV>
                      <wp:extent cx="2106930" cy="0"/>
                      <wp:effectExtent l="8255" t="7620" r="8890" b="11430"/>
                      <wp:wrapNone/>
                      <wp:docPr id="122512036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6C565" id="Straight Arrow Connector 4" o:spid="_x0000_s1026" type="#_x0000_t32" style="position:absolute;margin-left:55.3pt;margin-top:3.25pt;width:165.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WG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"/>
                  </w:pict>
                </mc:Fallback>
              </mc:AlternateContent>
            </w:r>
          </w:p>
        </w:tc>
      </w:tr>
      <w:tr w:rsidR="00736CFB" w:rsidRPr="00BE6BD6" w14:paraId="48348756" w14:textId="77777777" w:rsidTr="001F2FF2">
        <w:tc>
          <w:tcPr>
            <w:tcW w:w="3218" w:type="dxa"/>
          </w:tcPr>
          <w:p w14:paraId="4F75FD1E" w14:textId="06FD458A" w:rsidR="00736CFB" w:rsidRPr="00BE6BD6" w:rsidRDefault="00736CFB" w:rsidP="001F2FF2">
            <w:pPr>
              <w:overflowPunct w:val="0"/>
              <w:autoSpaceDE w:val="0"/>
              <w:autoSpaceDN w:val="0"/>
              <w:adjustRightInd w:val="0"/>
              <w:jc w:val="center"/>
              <w:rPr>
                <w:sz w:val="26"/>
                <w:szCs w:val="26"/>
              </w:rPr>
            </w:pPr>
            <w:r w:rsidRPr="00BE6BD6">
              <w:rPr>
                <w:sz w:val="26"/>
                <w:szCs w:val="26"/>
              </w:rPr>
              <w:t xml:space="preserve">Số: </w:t>
            </w:r>
            <w:r w:rsidR="008144AF">
              <w:rPr>
                <w:rFonts w:ascii="Bernard MT Condensed" w:hAnsi="Bernard MT Condensed"/>
                <w:sz w:val="26"/>
                <w:szCs w:val="26"/>
              </w:rPr>
              <w:t xml:space="preserve"> </w:t>
            </w:r>
            <w:r w:rsidR="0019480A">
              <w:rPr>
                <w:rFonts w:ascii="Bernard MT Condensed" w:hAnsi="Bernard MT Condensed"/>
                <w:sz w:val="26"/>
                <w:szCs w:val="26"/>
              </w:rPr>
              <w:t xml:space="preserve">   </w:t>
            </w:r>
            <w:r w:rsidR="008144AF">
              <w:rPr>
                <w:rFonts w:ascii="Bernard MT Condensed" w:hAnsi="Bernard MT Condensed"/>
                <w:sz w:val="26"/>
                <w:szCs w:val="26"/>
              </w:rPr>
              <w:t xml:space="preserve"> </w:t>
            </w:r>
            <w:r w:rsidRPr="00BE6BD6">
              <w:rPr>
                <w:sz w:val="26"/>
                <w:szCs w:val="26"/>
              </w:rPr>
              <w:t>/</w:t>
            </w:r>
            <w:r w:rsidR="00C35D57">
              <w:rPr>
                <w:sz w:val="26"/>
                <w:szCs w:val="26"/>
              </w:rPr>
              <w:t>BC</w:t>
            </w:r>
            <w:r w:rsidRPr="00BE6BD6">
              <w:rPr>
                <w:sz w:val="26"/>
                <w:szCs w:val="26"/>
              </w:rPr>
              <w:t>-CN</w:t>
            </w:r>
          </w:p>
        </w:tc>
        <w:tc>
          <w:tcPr>
            <w:tcW w:w="5737" w:type="dxa"/>
          </w:tcPr>
          <w:p w14:paraId="7C7C50CB" w14:textId="6832BE2A" w:rsidR="00736CFB" w:rsidRPr="00BE6BD6" w:rsidRDefault="00736CFB" w:rsidP="001F2FF2">
            <w:pPr>
              <w:overflowPunct w:val="0"/>
              <w:autoSpaceDE w:val="0"/>
              <w:autoSpaceDN w:val="0"/>
              <w:adjustRightInd w:val="0"/>
              <w:jc w:val="center"/>
              <w:rPr>
                <w:sz w:val="28"/>
              </w:rPr>
            </w:pPr>
            <w:r w:rsidRPr="00BE6BD6">
              <w:rPr>
                <w:i/>
                <w:sz w:val="28"/>
                <w:szCs w:val="28"/>
              </w:rPr>
              <w:t>Hà Nội, ngày</w:t>
            </w:r>
            <w:r w:rsidR="00825BE5">
              <w:rPr>
                <w:i/>
                <w:sz w:val="28"/>
                <w:szCs w:val="28"/>
              </w:rPr>
              <w:t xml:space="preserve"> </w:t>
            </w:r>
            <w:r w:rsidR="008144AF">
              <w:rPr>
                <w:i/>
                <w:sz w:val="28"/>
                <w:szCs w:val="28"/>
              </w:rPr>
              <w:t xml:space="preserve">  </w:t>
            </w:r>
            <w:r w:rsidRPr="00BE6BD6">
              <w:rPr>
                <w:rFonts w:ascii="Bernard MT Condensed" w:hAnsi="Bernard MT Condensed"/>
                <w:sz w:val="26"/>
                <w:szCs w:val="26"/>
              </w:rPr>
              <w:t xml:space="preserve"> </w:t>
            </w:r>
            <w:r w:rsidRPr="00BE6BD6">
              <w:rPr>
                <w:i/>
                <w:sz w:val="28"/>
                <w:szCs w:val="28"/>
              </w:rPr>
              <w:t xml:space="preserve"> tháng </w:t>
            </w:r>
            <w:r w:rsidR="008144AF">
              <w:rPr>
                <w:i/>
                <w:sz w:val="28"/>
                <w:szCs w:val="28"/>
              </w:rPr>
              <w:t xml:space="preserve"> </w:t>
            </w:r>
            <w:r w:rsidR="003F6434">
              <w:rPr>
                <w:i/>
                <w:sz w:val="28"/>
                <w:szCs w:val="28"/>
              </w:rPr>
              <w:t xml:space="preserve"> </w:t>
            </w:r>
            <w:r w:rsidR="008144AF">
              <w:rPr>
                <w:i/>
                <w:sz w:val="28"/>
                <w:szCs w:val="28"/>
              </w:rPr>
              <w:t xml:space="preserve"> </w:t>
            </w:r>
            <w:r w:rsidRPr="00BE6BD6">
              <w:rPr>
                <w:i/>
                <w:sz w:val="28"/>
                <w:szCs w:val="28"/>
              </w:rPr>
              <w:t xml:space="preserve"> năm 2025</w:t>
            </w:r>
          </w:p>
        </w:tc>
      </w:tr>
    </w:tbl>
    <w:p w14:paraId="2238D75E" w14:textId="03E40325" w:rsidR="00736CFB" w:rsidRPr="00C35D57" w:rsidRDefault="00C35D57" w:rsidP="00736CFB">
      <w:pPr>
        <w:pStyle w:val="Heading1"/>
        <w:spacing w:before="360"/>
        <w:rPr>
          <w:rFonts w:ascii="Times New Roman" w:hAnsi="Times New Roman"/>
          <w:szCs w:val="28"/>
        </w:rPr>
      </w:pPr>
      <w:r>
        <w:rPr>
          <w:rFonts w:ascii="Times New Roman" w:hAnsi="Times New Roman"/>
          <w:szCs w:val="28"/>
        </w:rPr>
        <w:t>BÁO CÁO</w:t>
      </w:r>
    </w:p>
    <w:p w14:paraId="79AB04EA" w14:textId="2CAE2042" w:rsidR="00736CFB" w:rsidRPr="00BE6BD6" w:rsidRDefault="00736CFB" w:rsidP="00736CFB">
      <w:pPr>
        <w:jc w:val="center"/>
        <w:rPr>
          <w:b/>
          <w:bCs/>
          <w:sz w:val="28"/>
          <w:szCs w:val="28"/>
          <w:lang w:val="vi-VN"/>
        </w:rPr>
      </w:pPr>
      <w:r w:rsidRPr="00BE6BD6">
        <w:rPr>
          <w:b/>
          <w:bCs/>
          <w:sz w:val="28"/>
          <w:szCs w:val="28"/>
          <w:lang w:val="vi-VN"/>
        </w:rPr>
        <w:t xml:space="preserve">Về việc </w:t>
      </w:r>
      <w:r w:rsidR="00C35D57">
        <w:rPr>
          <w:b/>
          <w:bCs/>
          <w:sz w:val="28"/>
          <w:szCs w:val="28"/>
        </w:rPr>
        <w:t>đ</w:t>
      </w:r>
      <w:r w:rsidR="00C35D57" w:rsidRPr="00C35D57">
        <w:rPr>
          <w:b/>
          <w:bCs/>
          <w:sz w:val="28"/>
          <w:szCs w:val="28"/>
          <w:lang w:val="vi-VN"/>
        </w:rPr>
        <w:t>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Thông tư quy định về chế độ và biểu mẫu báo cáo thực hiện dự án được xác nhận ưu đãi, hậu kiểm ưu đãi đối với dự án sản xuất sản phẩm công nghiệp hỗ trợ thuộc danh mục sản phẩm công nghiệp hỗ trợ ưu tiên phát triển</w:t>
      </w:r>
    </w:p>
    <w:p w14:paraId="30E8880F" w14:textId="44CC7F89" w:rsidR="00736CFB" w:rsidRPr="00BE6BD6" w:rsidRDefault="00736CFB" w:rsidP="00736CFB">
      <w:pPr>
        <w:spacing w:before="360" w:after="240"/>
        <w:jc w:val="center"/>
        <w:rPr>
          <w:sz w:val="28"/>
          <w:szCs w:val="28"/>
          <w:lang w:val="vi-VN"/>
        </w:rPr>
      </w:pPr>
      <w:r w:rsidRPr="00BE6BD6">
        <w:rPr>
          <w:rFonts w:ascii=".VnTime" w:hAnsi=".VnTime"/>
          <w:noProof/>
          <w:szCs w:val="28"/>
        </w:rPr>
        <mc:AlternateContent>
          <mc:Choice Requires="wps">
            <w:drawing>
              <wp:anchor distT="0" distB="0" distL="114300" distR="114300" simplePos="0" relativeHeight="251659264" behindDoc="0" locked="0" layoutInCell="1" allowOverlap="1" wp14:anchorId="4259E04F" wp14:editId="47D801DE">
                <wp:simplePos x="0" y="0"/>
                <wp:positionH relativeFrom="column">
                  <wp:posOffset>2310765</wp:posOffset>
                </wp:positionH>
                <wp:positionV relativeFrom="paragraph">
                  <wp:posOffset>59690</wp:posOffset>
                </wp:positionV>
                <wp:extent cx="1087755" cy="0"/>
                <wp:effectExtent l="9525" t="10160" r="7620" b="8890"/>
                <wp:wrapNone/>
                <wp:docPr id="11165776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ECE7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5pt,4.7pt" to="26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uBsAEAAEgDAAAOAAAAZHJzL2Uyb0RvYy54bWysU8Fu2zAMvQ/YPwi6L3YCZO2MOD2k7S7d&#10;FqDdBzCSbAuVRYFU4uTvJ6lJVmy3YT4Iokg+vfdEr+6OoxMHQ2zRt3I+q6UwXqG2vm/lz5fHT7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"/>
            </w:pict>
          </mc:Fallback>
        </mc:AlternateContent>
      </w:r>
      <w:r w:rsidRPr="00BE6BD6">
        <w:rPr>
          <w:sz w:val="28"/>
          <w:szCs w:val="28"/>
          <w:lang w:val="vi-VN"/>
        </w:rPr>
        <w:t>K</w:t>
      </w:r>
      <w:r w:rsidRPr="008144AF">
        <w:rPr>
          <w:sz w:val="28"/>
          <w:szCs w:val="28"/>
          <w:lang w:val="vi-VN"/>
        </w:rPr>
        <w:t>í</w:t>
      </w:r>
      <w:r w:rsidRPr="00BE6BD6">
        <w:rPr>
          <w:sz w:val="28"/>
          <w:szCs w:val="28"/>
          <w:lang w:val="vi-VN"/>
        </w:rPr>
        <w:t xml:space="preserve">nh gửi: Bộ </w:t>
      </w:r>
      <w:r w:rsidRPr="008144AF">
        <w:rPr>
          <w:sz w:val="28"/>
          <w:szCs w:val="28"/>
          <w:lang w:val="vi-VN"/>
        </w:rPr>
        <w:t>t</w:t>
      </w:r>
      <w:r w:rsidRPr="00BE6BD6">
        <w:rPr>
          <w:sz w:val="28"/>
          <w:szCs w:val="28"/>
          <w:lang w:val="vi-VN"/>
        </w:rPr>
        <w:t xml:space="preserve">rưởng Nguyễn Hồng Diên </w:t>
      </w:r>
    </w:p>
    <w:p w14:paraId="52AF4C82" w14:textId="77777777" w:rsidR="00C35D57" w:rsidRDefault="008144AF" w:rsidP="00167F14">
      <w:pPr>
        <w:spacing w:after="120"/>
        <w:ind w:firstLine="567"/>
        <w:jc w:val="both"/>
        <w:rPr>
          <w:sz w:val="28"/>
          <w:szCs w:val="28"/>
        </w:rPr>
      </w:pPr>
      <w:r w:rsidRPr="008144AF">
        <w:rPr>
          <w:sz w:val="28"/>
          <w:szCs w:val="28"/>
          <w:lang w:val="vi-VN"/>
        </w:rPr>
        <w:t>Căn cứ Nghị định số 205/2025/NĐ-CP ngày 14 tháng 7 năm 2025 của Chính phủ sửa đổi, bổ sung một số điều của Nghị định số 111/2015/NĐ-CP ngày 03 tháng 11 năm 2015 của Chính phủ về phát triển công nghiệp hỗ trợ</w:t>
      </w:r>
      <w:r w:rsidR="00C35D57" w:rsidRPr="00C35D57">
        <w:rPr>
          <w:sz w:val="28"/>
          <w:szCs w:val="28"/>
          <w:lang w:val="vi-VN"/>
        </w:rPr>
        <w:t>;</w:t>
      </w:r>
      <w:r w:rsidRPr="008144AF">
        <w:rPr>
          <w:sz w:val="28"/>
          <w:szCs w:val="28"/>
          <w:lang w:val="vi-VN"/>
        </w:rPr>
        <w:t xml:space="preserve"> </w:t>
      </w:r>
    </w:p>
    <w:p w14:paraId="0AC03A39" w14:textId="3169281F" w:rsidR="00C35D57" w:rsidRDefault="00C35D57" w:rsidP="00C35D57">
      <w:pPr>
        <w:spacing w:after="120"/>
        <w:ind w:firstLine="567"/>
        <w:jc w:val="both"/>
        <w:rPr>
          <w:sz w:val="28"/>
          <w:szCs w:val="28"/>
        </w:rPr>
      </w:pPr>
      <w:r>
        <w:rPr>
          <w:sz w:val="28"/>
          <w:szCs w:val="28"/>
        </w:rPr>
        <w:t xml:space="preserve">Thực hiện chỉ đạo của Bộ trưởng tại Phiếu trình ngày 20 tháng 8 năm 2025 của Cục Công nghiệp về việc xây dựng </w:t>
      </w:r>
      <w:r w:rsidRPr="00C35D57">
        <w:rPr>
          <w:sz w:val="28"/>
          <w:szCs w:val="28"/>
        </w:rPr>
        <w:t>Thông tư quy định về chế độ và biểu mẫu báo cáo thực hiện dự án được xác nhận ưu đãi, hậu kiểm ưu đãi đối với dự án sản xuất sản phẩm công nghiệp hỗ trợ thuộc danh mục sản phẩm công nghiệp hỗ trợ ưu tiên phát triển</w:t>
      </w:r>
      <w:r>
        <w:rPr>
          <w:sz w:val="28"/>
          <w:szCs w:val="28"/>
        </w:rPr>
        <w:t xml:space="preserve">, </w:t>
      </w:r>
      <w:r w:rsidRPr="00080CA7">
        <w:rPr>
          <w:sz w:val="28"/>
          <w:szCs w:val="28"/>
        </w:rPr>
        <w:t>Cục Công nghiệp</w:t>
      </w:r>
      <w:r w:rsidRPr="00080CA7">
        <w:rPr>
          <w:sz w:val="28"/>
          <w:szCs w:val="28"/>
          <w:lang w:val="vi-VN"/>
        </w:rPr>
        <w:t xml:space="preserve"> đ</w:t>
      </w:r>
      <w:r w:rsidRPr="00080CA7">
        <w:rPr>
          <w:sz w:val="28"/>
          <w:szCs w:val="28"/>
        </w:rPr>
        <w:t>ã ti</w:t>
      </w:r>
      <w:r w:rsidRPr="00080CA7">
        <w:rPr>
          <w:sz w:val="28"/>
          <w:szCs w:val="28"/>
          <w:lang w:val="vi-VN"/>
        </w:rPr>
        <w:t>ến h</w:t>
      </w:r>
      <w:r w:rsidRPr="00080CA7">
        <w:rPr>
          <w:sz w:val="28"/>
          <w:szCs w:val="28"/>
        </w:rPr>
        <w:t>ành đánh giá th</w:t>
      </w:r>
      <w:r w:rsidRPr="00080CA7">
        <w:rPr>
          <w:sz w:val="28"/>
          <w:szCs w:val="28"/>
          <w:lang w:val="vi-VN"/>
        </w:rPr>
        <w:t>ủ tục h</w:t>
      </w:r>
      <w:r w:rsidRPr="00080CA7">
        <w:rPr>
          <w:sz w:val="28"/>
          <w:szCs w:val="28"/>
        </w:rPr>
        <w:t>ành chính, vi</w:t>
      </w:r>
      <w:r w:rsidRPr="00080CA7">
        <w:rPr>
          <w:sz w:val="28"/>
          <w:szCs w:val="28"/>
          <w:lang w:val="vi-VN"/>
        </w:rPr>
        <w:t>ệc ph</w:t>
      </w:r>
      <w:r w:rsidRPr="00080CA7">
        <w:rPr>
          <w:sz w:val="28"/>
          <w:szCs w:val="28"/>
        </w:rPr>
        <w:t>ân quy</w:t>
      </w:r>
      <w:r w:rsidRPr="00080CA7">
        <w:rPr>
          <w:sz w:val="28"/>
          <w:szCs w:val="28"/>
          <w:lang w:val="vi-VN"/>
        </w:rPr>
        <w:t>ền, ph</w:t>
      </w:r>
      <w:r w:rsidRPr="00080CA7">
        <w:rPr>
          <w:sz w:val="28"/>
          <w:szCs w:val="28"/>
        </w:rPr>
        <w:t>ân c</w:t>
      </w:r>
      <w:r w:rsidRPr="00080CA7">
        <w:rPr>
          <w:sz w:val="28"/>
          <w:szCs w:val="28"/>
          <w:lang w:val="vi-VN"/>
        </w:rPr>
        <w:t xml:space="preserve">ấp trong </w:t>
      </w:r>
      <w:r w:rsidRPr="00080CA7">
        <w:rPr>
          <w:sz w:val="28"/>
          <w:szCs w:val="28"/>
        </w:rPr>
        <w:t>d</w:t>
      </w:r>
      <w:r w:rsidRPr="00080CA7">
        <w:rPr>
          <w:sz w:val="28"/>
          <w:szCs w:val="28"/>
          <w:lang w:val="vi-VN"/>
        </w:rPr>
        <w:t>ự thảo</w:t>
      </w:r>
      <w:r>
        <w:rPr>
          <w:sz w:val="28"/>
          <w:szCs w:val="28"/>
        </w:rPr>
        <w:t xml:space="preserve"> Thông tư </w:t>
      </w:r>
      <w:r w:rsidRPr="003C4AE9">
        <w:rPr>
          <w:sz w:val="28"/>
          <w:szCs w:val="28"/>
          <w:lang w:val="vi-VN"/>
        </w:rPr>
        <w:t>quy định về chế độ và biểu mẫu báo cáo thực hiện dự án được xác nhận ưu đãi, hậu kiểm ưu đãi đối với dự án sản xuất sản phẩm công nghiệp hỗ trợ thuộc Danh mục sản phẩm công nghiệp hỗ trợ ưu tiên phát triển</w:t>
      </w:r>
      <w:r w:rsidR="00EC382F">
        <w:rPr>
          <w:sz w:val="28"/>
          <w:szCs w:val="28"/>
        </w:rPr>
        <w:t xml:space="preserve"> </w:t>
      </w:r>
      <w:r w:rsidR="00EC382F" w:rsidRPr="00EC382F">
        <w:rPr>
          <w:i/>
          <w:iCs/>
          <w:sz w:val="28"/>
          <w:szCs w:val="28"/>
        </w:rPr>
        <w:t>(sau đây gọi tắt là Dự thảo Thông tư)</w:t>
      </w:r>
      <w:r w:rsidRPr="00080CA7">
        <w:rPr>
          <w:sz w:val="28"/>
          <w:szCs w:val="28"/>
          <w:lang w:val="vi-VN"/>
        </w:rPr>
        <w:t>. Kết quả như sau:</w:t>
      </w:r>
    </w:p>
    <w:p w14:paraId="216EAFF3" w14:textId="77777777" w:rsidR="00C35D57" w:rsidRDefault="00C35D57" w:rsidP="00167F14">
      <w:pPr>
        <w:spacing w:after="120"/>
        <w:ind w:firstLine="567"/>
        <w:jc w:val="both"/>
        <w:rPr>
          <w:b/>
          <w:bCs/>
          <w:sz w:val="28"/>
          <w:szCs w:val="28"/>
        </w:rPr>
      </w:pPr>
      <w:r w:rsidRPr="00C35D57">
        <w:rPr>
          <w:b/>
          <w:bCs/>
          <w:sz w:val="28"/>
          <w:szCs w:val="28"/>
        </w:rPr>
        <w:t xml:space="preserve">I. TỔ CHỨC THỰC HIỆN ĐÁNH GIÁ </w:t>
      </w:r>
    </w:p>
    <w:p w14:paraId="7A8195F3" w14:textId="1E90508B" w:rsidR="00C35D57" w:rsidRDefault="00C35D57" w:rsidP="00167F14">
      <w:pPr>
        <w:spacing w:after="120"/>
        <w:ind w:firstLine="567"/>
        <w:jc w:val="both"/>
        <w:rPr>
          <w:b/>
          <w:bCs/>
          <w:sz w:val="28"/>
          <w:szCs w:val="28"/>
        </w:rPr>
      </w:pPr>
      <w:r w:rsidRPr="00C35D57">
        <w:rPr>
          <w:b/>
          <w:bCs/>
          <w:sz w:val="28"/>
          <w:szCs w:val="28"/>
        </w:rPr>
        <w:t>1.1. Bối cảnh xây dựng dự thảo Thông tư</w:t>
      </w:r>
    </w:p>
    <w:p w14:paraId="1D535226" w14:textId="7DF6A76A" w:rsidR="008144AF" w:rsidRPr="004678F3" w:rsidRDefault="004678F3" w:rsidP="00167F14">
      <w:pPr>
        <w:spacing w:after="120"/>
        <w:ind w:firstLine="567"/>
        <w:jc w:val="both"/>
        <w:rPr>
          <w:color w:val="000000"/>
          <w:sz w:val="28"/>
          <w:szCs w:val="28"/>
          <w:lang w:val="vi-VN"/>
        </w:rPr>
      </w:pPr>
      <w:r w:rsidRPr="004678F3">
        <w:rPr>
          <w:sz w:val="28"/>
          <w:szCs w:val="28"/>
          <w:lang w:val="vi-VN"/>
        </w:rPr>
        <w:t>Thực hiện</w:t>
      </w:r>
      <w:r w:rsidR="00736CFB" w:rsidRPr="00BE6BD6">
        <w:rPr>
          <w:sz w:val="28"/>
          <w:szCs w:val="28"/>
          <w:lang w:val="vi-VN"/>
        </w:rPr>
        <w:t xml:space="preserve"> quy định tại </w:t>
      </w:r>
      <w:r w:rsidR="00736CFB" w:rsidRPr="008144AF">
        <w:rPr>
          <w:sz w:val="28"/>
          <w:szCs w:val="28"/>
          <w:lang w:val="vi-VN"/>
        </w:rPr>
        <w:t xml:space="preserve">khoản </w:t>
      </w:r>
      <w:r w:rsidR="008144AF" w:rsidRPr="008144AF">
        <w:rPr>
          <w:sz w:val="28"/>
          <w:szCs w:val="28"/>
          <w:lang w:val="vi-VN"/>
        </w:rPr>
        <w:t xml:space="preserve">5 Điều 11 </w:t>
      </w:r>
      <w:bookmarkStart w:id="0" w:name="khoan_5_11"/>
      <w:r w:rsidR="008144AF" w:rsidRPr="008144AF">
        <w:rPr>
          <w:sz w:val="28"/>
          <w:szCs w:val="28"/>
          <w:lang w:val="vi-VN"/>
        </w:rPr>
        <w:t>Nghị định số 111/2015/NĐ-CP ngày 03 tháng 11 năm 2015 của Chính phủ về phát triển công nghiệp hỗ trợ, trong đó giao Bộ Công Thương quy định cụ thể hồ sơ ưu đãi và thủ tục hậu kiểm ưu đãi</w:t>
      </w:r>
      <w:bookmarkEnd w:id="0"/>
      <w:r w:rsidR="008144AF" w:rsidRPr="008144AF">
        <w:rPr>
          <w:sz w:val="28"/>
          <w:szCs w:val="28"/>
          <w:lang w:val="vi-VN"/>
        </w:rPr>
        <w:t xml:space="preserve">, Bộ Công Thương đã ban hành </w:t>
      </w:r>
      <w:r w:rsidR="008144AF" w:rsidRPr="00CC372C">
        <w:rPr>
          <w:color w:val="000000"/>
          <w:sz w:val="28"/>
          <w:szCs w:val="28"/>
          <w:lang w:val="vi-VN"/>
        </w:rPr>
        <w:t>Thông tư số 55/2015/TT-BCT ngày 30 tháng 12 năm 2015 quy định trình tự, thủ tục xác nhận ưu đãi và hậu kiểm ưu đãi đối với Dự án sản xuất sản phẩm công nghiệp hỗ trợ thuộc Danh mục sản phẩm công nghiệp hỗ trợ ưu tiên phát triển và Thông tư số 19/2021/TT-BCT ngày 23 tháng 11 năm 2021 sửa đổi, bổ sung Thông tư số 55/2015/TT-BCT</w:t>
      </w:r>
      <w:r w:rsidR="008144AF" w:rsidRPr="008144AF">
        <w:rPr>
          <w:color w:val="000000"/>
          <w:sz w:val="28"/>
          <w:szCs w:val="28"/>
          <w:lang w:val="vi-VN"/>
        </w:rPr>
        <w:t>.</w:t>
      </w:r>
      <w:r w:rsidR="00675CD6" w:rsidRPr="00675CD6">
        <w:rPr>
          <w:color w:val="000000"/>
          <w:sz w:val="28"/>
          <w:szCs w:val="28"/>
          <w:lang w:val="vi-VN"/>
        </w:rPr>
        <w:t xml:space="preserve"> </w:t>
      </w:r>
    </w:p>
    <w:p w14:paraId="1ABED842" w14:textId="0D093AC9" w:rsidR="008144AF" w:rsidRPr="008347DB" w:rsidRDefault="00675CD6" w:rsidP="00167F14">
      <w:pPr>
        <w:spacing w:after="120"/>
        <w:ind w:firstLine="567"/>
        <w:jc w:val="both"/>
        <w:rPr>
          <w:sz w:val="28"/>
          <w:szCs w:val="28"/>
          <w:lang w:val="vi-VN"/>
        </w:rPr>
      </w:pPr>
      <w:r w:rsidRPr="00675CD6">
        <w:rPr>
          <w:color w:val="000000"/>
          <w:sz w:val="28"/>
          <w:szCs w:val="28"/>
          <w:lang w:val="vi-VN"/>
        </w:rPr>
        <w:t xml:space="preserve">Ngày 14 tháng 7 năm 2025, Chính phủ ban hành </w:t>
      </w:r>
      <w:r w:rsidRPr="008144AF">
        <w:rPr>
          <w:sz w:val="28"/>
          <w:szCs w:val="28"/>
          <w:lang w:val="vi-VN"/>
        </w:rPr>
        <w:t>Nghị định số 205/2025/NĐ-CP</w:t>
      </w:r>
      <w:r w:rsidRPr="00675CD6">
        <w:rPr>
          <w:sz w:val="28"/>
          <w:szCs w:val="28"/>
          <w:lang w:val="vi-VN"/>
        </w:rPr>
        <w:t xml:space="preserve"> </w:t>
      </w:r>
      <w:r w:rsidRPr="008144AF">
        <w:rPr>
          <w:sz w:val="28"/>
          <w:szCs w:val="28"/>
          <w:lang w:val="vi-VN"/>
        </w:rPr>
        <w:t>sửa đổi, bổ sung một số điều của Nghị định số 111/2015/NĐ-CP ngày 03 tháng 11 năm 2015 của Chính phủ về phát triển công nghiệp hỗ trợ</w:t>
      </w:r>
      <w:r w:rsidRPr="004678F3">
        <w:rPr>
          <w:sz w:val="28"/>
          <w:szCs w:val="28"/>
          <w:lang w:val="vi-VN"/>
        </w:rPr>
        <w:t xml:space="preserve">, trong đó </w:t>
      </w:r>
      <w:r w:rsidR="004678F3" w:rsidRPr="004678F3">
        <w:rPr>
          <w:sz w:val="28"/>
          <w:szCs w:val="28"/>
          <w:lang w:val="vi-VN"/>
        </w:rPr>
        <w:t xml:space="preserve">tại khoản 9 và khoản 10 Điều 1 </w:t>
      </w:r>
      <w:r w:rsidRPr="004678F3">
        <w:rPr>
          <w:sz w:val="28"/>
          <w:szCs w:val="28"/>
          <w:lang w:val="vi-VN"/>
        </w:rPr>
        <w:t xml:space="preserve">đã </w:t>
      </w:r>
      <w:r w:rsidR="004678F3" w:rsidRPr="004678F3">
        <w:rPr>
          <w:sz w:val="28"/>
          <w:szCs w:val="28"/>
          <w:lang w:val="vi-VN"/>
        </w:rPr>
        <w:t>quy định về đối tượng, điều kiện và</w:t>
      </w:r>
      <w:r w:rsidRPr="004678F3">
        <w:rPr>
          <w:sz w:val="28"/>
          <w:szCs w:val="28"/>
          <w:lang w:val="vi-VN"/>
        </w:rPr>
        <w:t xml:space="preserve"> trình tự, thủ tục </w:t>
      </w:r>
      <w:r w:rsidR="004678F3" w:rsidRPr="004678F3">
        <w:rPr>
          <w:sz w:val="28"/>
          <w:szCs w:val="28"/>
          <w:lang w:val="vi-VN"/>
        </w:rPr>
        <w:t>cấp Giấy xác nhận ưu đãi</w:t>
      </w:r>
      <w:r w:rsidR="00425017" w:rsidRPr="004678F3">
        <w:rPr>
          <w:sz w:val="28"/>
          <w:szCs w:val="28"/>
          <w:lang w:val="vi-VN"/>
        </w:rPr>
        <w:t xml:space="preserve"> </w:t>
      </w:r>
      <w:r w:rsidR="004678F3" w:rsidRPr="004678F3">
        <w:rPr>
          <w:sz w:val="28"/>
          <w:szCs w:val="28"/>
          <w:lang w:val="vi-VN"/>
        </w:rPr>
        <w:t>và hậu kiểm ưu đãi.</w:t>
      </w:r>
    </w:p>
    <w:p w14:paraId="054B62A0" w14:textId="7D1180D7" w:rsidR="00310514" w:rsidRDefault="004678F3" w:rsidP="00167F14">
      <w:pPr>
        <w:spacing w:after="120"/>
        <w:ind w:firstLine="567"/>
        <w:jc w:val="both"/>
        <w:rPr>
          <w:sz w:val="28"/>
          <w:szCs w:val="28"/>
        </w:rPr>
      </w:pPr>
      <w:r w:rsidRPr="008347DB">
        <w:rPr>
          <w:sz w:val="28"/>
          <w:szCs w:val="28"/>
          <w:lang w:val="vi-VN"/>
        </w:rPr>
        <w:lastRenderedPageBreak/>
        <w:t>Căn cứ</w:t>
      </w:r>
      <w:r w:rsidR="003F3D67" w:rsidRPr="008347DB">
        <w:rPr>
          <w:sz w:val="28"/>
          <w:szCs w:val="28"/>
          <w:lang w:val="vi-VN"/>
        </w:rPr>
        <w:t xml:space="preserve"> </w:t>
      </w:r>
      <w:r w:rsidRPr="008347DB">
        <w:rPr>
          <w:sz w:val="28"/>
          <w:szCs w:val="28"/>
          <w:lang w:val="vi-VN"/>
        </w:rPr>
        <w:t xml:space="preserve">khoản 12 Điều 1 </w:t>
      </w:r>
      <w:r w:rsidRPr="008144AF">
        <w:rPr>
          <w:sz w:val="28"/>
          <w:szCs w:val="28"/>
          <w:lang w:val="vi-VN"/>
        </w:rPr>
        <w:t>Nghị định số 205/2025/NĐ-CP</w:t>
      </w:r>
      <w:r w:rsidR="003F3D67" w:rsidRPr="008347DB">
        <w:rPr>
          <w:sz w:val="28"/>
          <w:szCs w:val="28"/>
          <w:lang w:val="vi-VN"/>
        </w:rPr>
        <w:t>, Bộ Công Thương chủ trì</w:t>
      </w:r>
      <w:r w:rsidR="003F3D67" w:rsidRPr="008347DB">
        <w:rPr>
          <w:lang w:val="vi-VN"/>
        </w:rPr>
        <w:t xml:space="preserve"> </w:t>
      </w:r>
      <w:r w:rsidR="003F3D67" w:rsidRPr="008347DB">
        <w:rPr>
          <w:sz w:val="28"/>
          <w:szCs w:val="28"/>
          <w:lang w:val="vi-VN"/>
        </w:rPr>
        <w:t>quy định cụ thể về các biểu mẫu báo cáo liên quan đến việc thực hiện xác nhận ưu đãi, hậu kiểm ưu đãi đối với dự án sản xuất sản phẩm công nghiệp hỗ trợ thuộc Danh mục sản phẩm công nghiệp hỗ trợ ưu tiên phát triển.</w:t>
      </w:r>
    </w:p>
    <w:p w14:paraId="53A81164" w14:textId="005D79A6" w:rsidR="00C35D57" w:rsidRPr="00F477E0" w:rsidRDefault="00C35D57" w:rsidP="00167F14">
      <w:pPr>
        <w:spacing w:after="120"/>
        <w:ind w:firstLine="567"/>
        <w:jc w:val="both"/>
        <w:rPr>
          <w:b/>
          <w:bCs/>
          <w:sz w:val="28"/>
          <w:szCs w:val="28"/>
        </w:rPr>
      </w:pPr>
      <w:r w:rsidRPr="00F477E0">
        <w:rPr>
          <w:b/>
          <w:bCs/>
          <w:sz w:val="28"/>
          <w:szCs w:val="28"/>
        </w:rPr>
        <w:t xml:space="preserve">1.2 </w:t>
      </w:r>
      <w:r w:rsidRPr="00F477E0">
        <w:rPr>
          <w:b/>
          <w:bCs/>
          <w:sz w:val="28"/>
          <w:szCs w:val="28"/>
        </w:rPr>
        <w:t>Mục đích, yêu cầu đánh giá</w:t>
      </w:r>
    </w:p>
    <w:p w14:paraId="443AB2D4" w14:textId="1AEB49AE" w:rsidR="00C35D57" w:rsidRDefault="00C35D57" w:rsidP="00167F14">
      <w:pPr>
        <w:spacing w:after="120"/>
        <w:ind w:firstLine="567"/>
        <w:jc w:val="both"/>
        <w:rPr>
          <w:sz w:val="28"/>
          <w:szCs w:val="28"/>
        </w:rPr>
      </w:pPr>
      <w:r w:rsidRPr="00C35D57">
        <w:rPr>
          <w:sz w:val="28"/>
          <w:szCs w:val="28"/>
        </w:rPr>
        <w:t xml:space="preserve">Việc đánh giá TTHC trong Dự thảo Thông tư nhằm đánh giá tính hợp hiến, hợp pháp, sự cần thiết, sự phù hợp của TTHC và các quy định có liên quan đến TTHC được đánh giá, với mục tiêu quản lý nhà nước và những thay đổi về kinh tế - xã hội, công nghệ và các điều kiện khách quan khác. </w:t>
      </w:r>
    </w:p>
    <w:p w14:paraId="1D5F3DB6" w14:textId="36390327" w:rsidR="00C35D57" w:rsidRPr="00C35D57" w:rsidRDefault="00C35D57" w:rsidP="00167F14">
      <w:pPr>
        <w:spacing w:after="120"/>
        <w:ind w:firstLine="567"/>
        <w:jc w:val="both"/>
        <w:rPr>
          <w:sz w:val="28"/>
          <w:szCs w:val="28"/>
        </w:rPr>
      </w:pPr>
      <w:r w:rsidRPr="00C35D57">
        <w:rPr>
          <w:sz w:val="28"/>
          <w:szCs w:val="28"/>
        </w:rPr>
        <w:t>Việc đánh giá TTHC trong Dự thảo Thông tư phải đảm bảo tính công khai, minh bạch, khách quan, công bằng, tính liên thông, kịp thời, chính xác, không gây phiền hà trong quá trình triển khai thực hiện; đề cao trách nhiệm của cán bộ, công chức trong giải quyết TTHC cho cá nhân, doanh nghiệp, tổ chức; tiết kiệm thời gian và chi phí của cơ quan, tổ chức và cá nhân trong thực hiện TTHC.</w:t>
      </w:r>
    </w:p>
    <w:p w14:paraId="294CB35F" w14:textId="41FE69C9" w:rsidR="00736CFB" w:rsidRDefault="00736CFB" w:rsidP="00736CFB">
      <w:pPr>
        <w:widowControl w:val="0"/>
        <w:spacing w:after="80"/>
        <w:ind w:firstLine="567"/>
        <w:jc w:val="both"/>
        <w:rPr>
          <w:bCs/>
          <w:sz w:val="28"/>
          <w:szCs w:val="28"/>
        </w:rPr>
      </w:pPr>
      <w:r w:rsidRPr="00BE6BD6">
        <w:rPr>
          <w:b/>
          <w:sz w:val="28"/>
          <w:szCs w:val="28"/>
          <w:lang w:val="vi-VN"/>
        </w:rPr>
        <w:t xml:space="preserve">II. </w:t>
      </w:r>
      <w:r w:rsidR="00F477E0">
        <w:rPr>
          <w:b/>
          <w:sz w:val="28"/>
          <w:szCs w:val="28"/>
        </w:rPr>
        <w:t>KẾT QUẢ ĐÁNH GIÁ</w:t>
      </w:r>
    </w:p>
    <w:p w14:paraId="546F6326" w14:textId="4AA545A9" w:rsidR="00F477E0" w:rsidRDefault="00F477E0" w:rsidP="00736CFB">
      <w:pPr>
        <w:widowControl w:val="0"/>
        <w:spacing w:after="80"/>
        <w:ind w:firstLine="567"/>
        <w:jc w:val="both"/>
        <w:rPr>
          <w:sz w:val="28"/>
          <w:szCs w:val="28"/>
        </w:rPr>
      </w:pPr>
      <w:r w:rsidRPr="00080CA7">
        <w:rPr>
          <w:b/>
          <w:bCs/>
          <w:sz w:val="28"/>
          <w:szCs w:val="28"/>
          <w:lang w:val="vi-VN"/>
        </w:rPr>
        <w:t>1. Đánh giá thủ tục hành chính</w:t>
      </w:r>
    </w:p>
    <w:p w14:paraId="2E7FEC45" w14:textId="48FC4351" w:rsidR="00F477E0" w:rsidRPr="00F477E0" w:rsidRDefault="00F477E0" w:rsidP="00F477E0">
      <w:pPr>
        <w:widowControl w:val="0"/>
        <w:spacing w:after="80"/>
        <w:ind w:firstLine="567"/>
        <w:jc w:val="both"/>
        <w:rPr>
          <w:b/>
          <w:bCs/>
          <w:sz w:val="28"/>
          <w:szCs w:val="28"/>
        </w:rPr>
      </w:pPr>
      <w:r w:rsidRPr="00F477E0">
        <w:rPr>
          <w:b/>
          <w:bCs/>
          <w:sz w:val="28"/>
          <w:szCs w:val="28"/>
        </w:rPr>
        <w:t>1.1. Số lượng, tên TTHC được quy định trong Dự thảo Thông tư</w:t>
      </w:r>
    </w:p>
    <w:p w14:paraId="7BB7F859" w14:textId="6C59F3CB" w:rsidR="00F477E0" w:rsidRDefault="00F477E0" w:rsidP="00F477E0">
      <w:pPr>
        <w:widowControl w:val="0"/>
        <w:spacing w:after="80"/>
        <w:ind w:firstLine="567"/>
        <w:jc w:val="both"/>
        <w:rPr>
          <w:sz w:val="28"/>
          <w:szCs w:val="28"/>
        </w:rPr>
      </w:pPr>
      <w:r>
        <w:rPr>
          <w:sz w:val="28"/>
          <w:szCs w:val="28"/>
        </w:rPr>
        <w:t>Dự thảo Thông tư quy định 0</w:t>
      </w:r>
      <w:r w:rsidR="0089002E">
        <w:rPr>
          <w:sz w:val="28"/>
          <w:szCs w:val="28"/>
        </w:rPr>
        <w:t>2</w:t>
      </w:r>
      <w:r>
        <w:rPr>
          <w:sz w:val="28"/>
          <w:szCs w:val="28"/>
        </w:rPr>
        <w:t xml:space="preserve"> Thủ tục hành chính, bao gồm:</w:t>
      </w:r>
    </w:p>
    <w:p w14:paraId="366856BF" w14:textId="63FB1AEA" w:rsidR="00F477E0" w:rsidRDefault="00F477E0" w:rsidP="00F477E0">
      <w:pPr>
        <w:widowControl w:val="0"/>
        <w:spacing w:after="80"/>
        <w:ind w:firstLine="567"/>
        <w:jc w:val="both"/>
        <w:rPr>
          <w:sz w:val="28"/>
          <w:szCs w:val="28"/>
        </w:rPr>
      </w:pPr>
      <w:r>
        <w:rPr>
          <w:sz w:val="28"/>
          <w:szCs w:val="28"/>
        </w:rPr>
        <w:t xml:space="preserve">- Thủ tục hành chính Cấp lại </w:t>
      </w:r>
      <w:r w:rsidRPr="00F477E0">
        <w:rPr>
          <w:sz w:val="28"/>
          <w:szCs w:val="28"/>
        </w:rPr>
        <w:t>Giấy xác nhận ưu đãi</w:t>
      </w:r>
      <w:r>
        <w:rPr>
          <w:sz w:val="28"/>
          <w:szCs w:val="28"/>
        </w:rPr>
        <w:t xml:space="preserve"> (thủ tục hành chính mới);</w:t>
      </w:r>
    </w:p>
    <w:p w14:paraId="6439F981" w14:textId="25A481B7" w:rsidR="00F477E0" w:rsidRPr="00F477E0" w:rsidRDefault="00F477E0" w:rsidP="00F477E0">
      <w:pPr>
        <w:widowControl w:val="0"/>
        <w:spacing w:after="80"/>
        <w:ind w:firstLine="567"/>
        <w:jc w:val="both"/>
        <w:rPr>
          <w:sz w:val="28"/>
          <w:szCs w:val="28"/>
        </w:rPr>
      </w:pPr>
      <w:r>
        <w:rPr>
          <w:sz w:val="28"/>
          <w:szCs w:val="28"/>
        </w:rPr>
        <w:t>- Thủ tục hành chính Điều chỉnh Giấy xác nhận ưu đãi (thủ tục hành chính mới).</w:t>
      </w:r>
    </w:p>
    <w:p w14:paraId="67085FB2" w14:textId="6D275029" w:rsidR="00F477E0" w:rsidRPr="00F477E0" w:rsidRDefault="00F477E0" w:rsidP="00F477E0">
      <w:pPr>
        <w:widowControl w:val="0"/>
        <w:spacing w:after="80"/>
        <w:ind w:firstLine="567"/>
        <w:jc w:val="both"/>
        <w:rPr>
          <w:b/>
          <w:bCs/>
          <w:sz w:val="28"/>
          <w:szCs w:val="28"/>
        </w:rPr>
      </w:pPr>
      <w:r w:rsidRPr="00F477E0">
        <w:rPr>
          <w:b/>
          <w:bCs/>
          <w:sz w:val="28"/>
          <w:szCs w:val="28"/>
        </w:rPr>
        <w:t xml:space="preserve">1.2. </w:t>
      </w:r>
      <w:r w:rsidRPr="00F477E0">
        <w:rPr>
          <w:b/>
          <w:bCs/>
          <w:sz w:val="28"/>
          <w:szCs w:val="28"/>
        </w:rPr>
        <w:t>Đánh giá sự cần thiết, tính hợp lý, tính hợp pháp và chi phí tuân thủ TTHC trong Dự thảo Thông tư</w:t>
      </w:r>
    </w:p>
    <w:p w14:paraId="6A2CBB0E" w14:textId="77777777" w:rsidR="00EC382F" w:rsidRDefault="00EC382F" w:rsidP="00EC382F">
      <w:pPr>
        <w:widowControl w:val="0"/>
        <w:spacing w:after="80"/>
        <w:ind w:firstLine="567"/>
        <w:jc w:val="both"/>
        <w:rPr>
          <w:b/>
          <w:bCs/>
          <w:sz w:val="28"/>
          <w:szCs w:val="28"/>
        </w:rPr>
      </w:pPr>
      <w:r>
        <w:rPr>
          <w:b/>
          <w:bCs/>
          <w:sz w:val="28"/>
          <w:szCs w:val="28"/>
        </w:rPr>
        <w:t xml:space="preserve">1.2.1. </w:t>
      </w:r>
      <w:r w:rsidRPr="00EC382F">
        <w:rPr>
          <w:b/>
          <w:bCs/>
          <w:sz w:val="28"/>
          <w:szCs w:val="28"/>
        </w:rPr>
        <w:t>Sự cần thiết</w:t>
      </w:r>
    </w:p>
    <w:p w14:paraId="4F64D07E" w14:textId="38FA0208" w:rsidR="00EC382F" w:rsidRPr="00EC382F" w:rsidRDefault="00F477E0" w:rsidP="00EC382F">
      <w:pPr>
        <w:widowControl w:val="0"/>
        <w:spacing w:after="80"/>
        <w:ind w:firstLine="567"/>
        <w:jc w:val="both"/>
        <w:rPr>
          <w:sz w:val="28"/>
          <w:szCs w:val="28"/>
        </w:rPr>
      </w:pPr>
      <w:r>
        <w:rPr>
          <w:sz w:val="28"/>
          <w:szCs w:val="28"/>
        </w:rPr>
        <w:t>Các thủ tục hành chính nêu trên đã được quy định</w:t>
      </w:r>
      <w:r w:rsidR="00BD7BAD">
        <w:rPr>
          <w:sz w:val="28"/>
          <w:szCs w:val="28"/>
        </w:rPr>
        <w:t xml:space="preserve"> chi tiết về </w:t>
      </w:r>
      <w:r w:rsidR="00EC382F">
        <w:rPr>
          <w:sz w:val="28"/>
          <w:szCs w:val="28"/>
        </w:rPr>
        <w:t xml:space="preserve">tên gọi, hồ sơ, </w:t>
      </w:r>
      <w:r w:rsidR="00BD7BAD">
        <w:rPr>
          <w:sz w:val="28"/>
          <w:szCs w:val="28"/>
        </w:rPr>
        <w:t>trình tự, thủ tục thực hiện</w:t>
      </w:r>
      <w:r>
        <w:rPr>
          <w:sz w:val="28"/>
          <w:szCs w:val="28"/>
        </w:rPr>
        <w:t xml:space="preserve"> tại </w:t>
      </w:r>
      <w:r w:rsidRPr="00F477E0">
        <w:rPr>
          <w:sz w:val="28"/>
          <w:szCs w:val="28"/>
        </w:rPr>
        <w:t>Nghị định số 205/2025/NĐ-CP ngày 14 tháng 7 năm 2025 của Chính phủ sửa đổi, bổ sung một số điều của Nghị định số 111/2015/NĐ-CP ngày 03 tháng 11 năm 2015 của Chính phủ về phát triển công nghiệp hỗ trợ</w:t>
      </w:r>
      <w:r>
        <w:rPr>
          <w:sz w:val="28"/>
          <w:szCs w:val="28"/>
        </w:rPr>
        <w:t>.</w:t>
      </w:r>
      <w:r w:rsidR="009F5EC5">
        <w:rPr>
          <w:sz w:val="28"/>
          <w:szCs w:val="28"/>
        </w:rPr>
        <w:t xml:space="preserve"> </w:t>
      </w:r>
      <w:r w:rsidR="00BD7BAD">
        <w:rPr>
          <w:sz w:val="28"/>
          <w:szCs w:val="28"/>
        </w:rPr>
        <w:t xml:space="preserve">Dự thảo Thông tư chỉ quy định Biểu mẫu Giấy cấp lại Giấy xác nhận ưu đãi và Giấy điều chỉnh giấy xác nhận ưu đãi. Việc này phù hợp với quy định tại </w:t>
      </w:r>
      <w:r w:rsidR="00BD7BAD">
        <w:rPr>
          <w:sz w:val="28"/>
          <w:szCs w:val="28"/>
        </w:rPr>
        <w:t>khoản 2 Điều 1 Nghị định số 92/2017/NĐ-CP ngày 07 tháng 8 năm 2017 của Chính phủ s</w:t>
      </w:r>
      <w:r w:rsidR="00BD7BAD" w:rsidRPr="00BD7BAD">
        <w:rPr>
          <w:sz w:val="28"/>
          <w:szCs w:val="28"/>
        </w:rPr>
        <w:t xml:space="preserve">ửa đổi, bổ sung một số điều, khoản của </w:t>
      </w:r>
      <w:r w:rsidR="00BD7BAD">
        <w:rPr>
          <w:sz w:val="28"/>
          <w:szCs w:val="28"/>
        </w:rPr>
        <w:t>các Nghị định liên quan đến</w:t>
      </w:r>
      <w:r w:rsidR="00BD7BAD" w:rsidRPr="00BD7BAD">
        <w:rPr>
          <w:sz w:val="28"/>
          <w:szCs w:val="28"/>
        </w:rPr>
        <w:t xml:space="preserve"> kiểm soát thủ tục hành chính</w:t>
      </w:r>
      <w:r w:rsidR="00EC382F">
        <w:rPr>
          <w:sz w:val="28"/>
          <w:szCs w:val="28"/>
        </w:rPr>
        <w:t xml:space="preserve">, cụ thể </w:t>
      </w:r>
      <w:bookmarkStart w:id="1" w:name="khoan_2_8"/>
      <w:r w:rsidR="00EC382F" w:rsidRPr="00EC382F">
        <w:rPr>
          <w:sz w:val="28"/>
          <w:szCs w:val="28"/>
        </w:rPr>
        <w:t>một thủ tục hành chính cụ thể chỉ hoàn thành khi đáp ứng đầy đủ các bộ phận tạo thành cơ bản sau đây:</w:t>
      </w:r>
      <w:bookmarkEnd w:id="1"/>
    </w:p>
    <w:p w14:paraId="699F4504" w14:textId="77777777" w:rsidR="00EC382F" w:rsidRPr="00EC382F" w:rsidRDefault="00EC382F" w:rsidP="00EC382F">
      <w:pPr>
        <w:widowControl w:val="0"/>
        <w:spacing w:after="80"/>
        <w:ind w:firstLine="567"/>
        <w:jc w:val="both"/>
        <w:rPr>
          <w:sz w:val="28"/>
          <w:szCs w:val="28"/>
        </w:rPr>
      </w:pPr>
      <w:r w:rsidRPr="00EC382F">
        <w:rPr>
          <w:sz w:val="28"/>
          <w:szCs w:val="28"/>
        </w:rPr>
        <w:t>a) Tên thủ tục hành chính;</w:t>
      </w:r>
    </w:p>
    <w:p w14:paraId="1E27A317" w14:textId="77777777" w:rsidR="00EC382F" w:rsidRPr="00EC382F" w:rsidRDefault="00EC382F" w:rsidP="00EC382F">
      <w:pPr>
        <w:widowControl w:val="0"/>
        <w:spacing w:after="80"/>
        <w:ind w:firstLine="567"/>
        <w:jc w:val="both"/>
        <w:rPr>
          <w:sz w:val="28"/>
          <w:szCs w:val="28"/>
        </w:rPr>
      </w:pPr>
      <w:r w:rsidRPr="00EC382F">
        <w:rPr>
          <w:sz w:val="28"/>
          <w:szCs w:val="28"/>
        </w:rPr>
        <w:t>b) Trình tự thực hiện;</w:t>
      </w:r>
    </w:p>
    <w:p w14:paraId="71A86DC3" w14:textId="77777777" w:rsidR="00EC382F" w:rsidRPr="00EC382F" w:rsidRDefault="00EC382F" w:rsidP="00EC382F">
      <w:pPr>
        <w:widowControl w:val="0"/>
        <w:spacing w:after="80"/>
        <w:ind w:firstLine="567"/>
        <w:jc w:val="both"/>
        <w:rPr>
          <w:sz w:val="28"/>
          <w:szCs w:val="28"/>
        </w:rPr>
      </w:pPr>
      <w:r w:rsidRPr="00EC382F">
        <w:rPr>
          <w:sz w:val="28"/>
          <w:szCs w:val="28"/>
        </w:rPr>
        <w:t>c) Cách thức thực hiện;</w:t>
      </w:r>
    </w:p>
    <w:p w14:paraId="6587CBD2" w14:textId="77777777" w:rsidR="00EC382F" w:rsidRPr="00EC382F" w:rsidRDefault="00EC382F" w:rsidP="00EC382F">
      <w:pPr>
        <w:widowControl w:val="0"/>
        <w:spacing w:after="80"/>
        <w:ind w:firstLine="567"/>
        <w:jc w:val="both"/>
        <w:rPr>
          <w:sz w:val="28"/>
          <w:szCs w:val="28"/>
        </w:rPr>
      </w:pPr>
      <w:r w:rsidRPr="00EC382F">
        <w:rPr>
          <w:sz w:val="28"/>
          <w:szCs w:val="28"/>
        </w:rPr>
        <w:t>d) Hồ sơ;</w:t>
      </w:r>
    </w:p>
    <w:p w14:paraId="25A32C67" w14:textId="77777777" w:rsidR="00EC382F" w:rsidRPr="00EC382F" w:rsidRDefault="00EC382F" w:rsidP="00EC382F">
      <w:pPr>
        <w:widowControl w:val="0"/>
        <w:spacing w:after="80"/>
        <w:ind w:firstLine="567"/>
        <w:jc w:val="both"/>
        <w:rPr>
          <w:sz w:val="28"/>
          <w:szCs w:val="28"/>
        </w:rPr>
      </w:pPr>
      <w:r w:rsidRPr="00EC382F">
        <w:rPr>
          <w:sz w:val="28"/>
          <w:szCs w:val="28"/>
        </w:rPr>
        <w:t>đ) Thời hạn giải quyết;</w:t>
      </w:r>
    </w:p>
    <w:p w14:paraId="7FEB4195" w14:textId="77777777" w:rsidR="00EC382F" w:rsidRPr="00EC382F" w:rsidRDefault="00EC382F" w:rsidP="00EC382F">
      <w:pPr>
        <w:widowControl w:val="0"/>
        <w:spacing w:after="80"/>
        <w:ind w:firstLine="567"/>
        <w:jc w:val="both"/>
        <w:rPr>
          <w:sz w:val="28"/>
          <w:szCs w:val="28"/>
        </w:rPr>
      </w:pPr>
      <w:r w:rsidRPr="00EC382F">
        <w:rPr>
          <w:sz w:val="28"/>
          <w:szCs w:val="28"/>
        </w:rPr>
        <w:t>e) Đối tượng thực hiện thủ tục hành chính;</w:t>
      </w:r>
    </w:p>
    <w:p w14:paraId="7F3FECFB" w14:textId="77777777" w:rsidR="00EC382F" w:rsidRPr="00EC382F" w:rsidRDefault="00EC382F" w:rsidP="00EC382F">
      <w:pPr>
        <w:widowControl w:val="0"/>
        <w:spacing w:after="80"/>
        <w:ind w:firstLine="567"/>
        <w:jc w:val="both"/>
        <w:rPr>
          <w:sz w:val="28"/>
          <w:szCs w:val="28"/>
        </w:rPr>
      </w:pPr>
      <w:r w:rsidRPr="00EC382F">
        <w:rPr>
          <w:sz w:val="28"/>
          <w:szCs w:val="28"/>
        </w:rPr>
        <w:lastRenderedPageBreak/>
        <w:t>g) Cơ quan thực hiện thủ tục hành chính;</w:t>
      </w:r>
    </w:p>
    <w:p w14:paraId="52736320" w14:textId="77777777" w:rsidR="00EC382F" w:rsidRPr="00EC382F" w:rsidRDefault="00EC382F" w:rsidP="00EC382F">
      <w:pPr>
        <w:widowControl w:val="0"/>
        <w:spacing w:after="80"/>
        <w:ind w:firstLine="567"/>
        <w:jc w:val="both"/>
        <w:rPr>
          <w:sz w:val="28"/>
          <w:szCs w:val="28"/>
        </w:rPr>
      </w:pPr>
      <w:r w:rsidRPr="00EC382F">
        <w:rPr>
          <w:sz w:val="28"/>
          <w:szCs w:val="28"/>
        </w:rPr>
        <w:t>h) Kết quả thực hiện thủ tục hành chính;</w:t>
      </w:r>
    </w:p>
    <w:p w14:paraId="2FAEABE7" w14:textId="77777777" w:rsidR="00EC382F" w:rsidRPr="00EC382F" w:rsidRDefault="00EC382F" w:rsidP="00EC382F">
      <w:pPr>
        <w:widowControl w:val="0"/>
        <w:spacing w:after="80"/>
        <w:ind w:firstLine="567"/>
        <w:jc w:val="both"/>
        <w:rPr>
          <w:sz w:val="28"/>
          <w:szCs w:val="28"/>
        </w:rPr>
      </w:pPr>
      <w:r w:rsidRPr="00EC382F">
        <w:rPr>
          <w:sz w:val="28"/>
          <w:szCs w:val="28"/>
        </w:rPr>
        <w:t>i) Trường hợp thủ tục hành chính phải có mẫu đơn, mẫu tờ khai hành chính; mẫu kết quả thực hiện thủ tục hành chính; yêu cầu, điều kiện; phí, lệ phí thì mẫu đơn, mẫu tờ khai hành chính; mẫu kết quả thực hiện thủ tục hành chính; yêu cầu, điều kiện; phí, lệ phí là bộ phận tạo thành của thủ tục hành chính.</w:t>
      </w:r>
    </w:p>
    <w:p w14:paraId="351A1856" w14:textId="77777777" w:rsidR="00EC382F" w:rsidRDefault="00EC382F" w:rsidP="00EC382F">
      <w:pPr>
        <w:spacing w:after="120"/>
        <w:ind w:firstLine="567"/>
        <w:jc w:val="both"/>
        <w:rPr>
          <w:b/>
          <w:bCs/>
          <w:sz w:val="28"/>
          <w:szCs w:val="28"/>
        </w:rPr>
      </w:pPr>
      <w:r>
        <w:rPr>
          <w:b/>
          <w:bCs/>
          <w:sz w:val="28"/>
          <w:szCs w:val="28"/>
        </w:rPr>
        <w:t xml:space="preserve">1.2.2. </w:t>
      </w:r>
      <w:r w:rsidRPr="00EC382F">
        <w:rPr>
          <w:b/>
          <w:bCs/>
          <w:sz w:val="28"/>
          <w:szCs w:val="28"/>
        </w:rPr>
        <w:t>Tính hợp lý, hợp pháp</w:t>
      </w:r>
    </w:p>
    <w:p w14:paraId="61A0B4AC" w14:textId="4712BE44" w:rsidR="00EC382F" w:rsidRDefault="00EC382F" w:rsidP="00EC382F">
      <w:pPr>
        <w:spacing w:after="120"/>
        <w:ind w:firstLine="567"/>
        <w:jc w:val="both"/>
        <w:rPr>
          <w:sz w:val="28"/>
          <w:szCs w:val="28"/>
        </w:rPr>
      </w:pPr>
      <w:r w:rsidRPr="008347DB">
        <w:rPr>
          <w:sz w:val="28"/>
          <w:szCs w:val="28"/>
          <w:lang w:val="vi-VN"/>
        </w:rPr>
        <w:t xml:space="preserve">Căn cứ khoản 12 Điều 1 </w:t>
      </w:r>
      <w:r w:rsidRPr="008144AF">
        <w:rPr>
          <w:sz w:val="28"/>
          <w:szCs w:val="28"/>
          <w:lang w:val="vi-VN"/>
        </w:rPr>
        <w:t>Nghị định số 205/2025/NĐ-CP</w:t>
      </w:r>
      <w:r w:rsidRPr="008347DB">
        <w:rPr>
          <w:sz w:val="28"/>
          <w:szCs w:val="28"/>
          <w:lang w:val="vi-VN"/>
        </w:rPr>
        <w:t>, Bộ Công Thương chủ trì</w:t>
      </w:r>
      <w:r w:rsidRPr="008347DB">
        <w:rPr>
          <w:lang w:val="vi-VN"/>
        </w:rPr>
        <w:t xml:space="preserve"> </w:t>
      </w:r>
      <w:r w:rsidRPr="008347DB">
        <w:rPr>
          <w:sz w:val="28"/>
          <w:szCs w:val="28"/>
          <w:lang w:val="vi-VN"/>
        </w:rPr>
        <w:t>quy định cụ thể về các biểu mẫu báo cáo liên quan đến việc thực hiện xác nhận ưu đãi, hậu kiểm ưu đãi đối với dự án sản xuất sản phẩm công nghiệp hỗ trợ thuộc Danh mục sản phẩm công nghiệp hỗ trợ ưu tiên phát triển.</w:t>
      </w:r>
      <w:r>
        <w:rPr>
          <w:sz w:val="28"/>
          <w:szCs w:val="28"/>
        </w:rPr>
        <w:t xml:space="preserve"> Do đó, việc Dự thảo Thông tư quy định các biểu mẫu liên quan đến t</w:t>
      </w:r>
      <w:r>
        <w:rPr>
          <w:sz w:val="28"/>
          <w:szCs w:val="28"/>
        </w:rPr>
        <w:t xml:space="preserve">hủ tục hành chính Cấp lại </w:t>
      </w:r>
      <w:r w:rsidRPr="00F477E0">
        <w:rPr>
          <w:sz w:val="28"/>
          <w:szCs w:val="28"/>
        </w:rPr>
        <w:t>Giấy xác nhận ưu đãi</w:t>
      </w:r>
      <w:r>
        <w:rPr>
          <w:sz w:val="28"/>
          <w:szCs w:val="28"/>
        </w:rPr>
        <w:t xml:space="preserve"> và t</w:t>
      </w:r>
      <w:r>
        <w:rPr>
          <w:sz w:val="28"/>
          <w:szCs w:val="28"/>
        </w:rPr>
        <w:t>hủ tục hành chính Điều chỉnh Giấy xác nhận ưu đãi</w:t>
      </w:r>
      <w:r>
        <w:rPr>
          <w:sz w:val="28"/>
          <w:szCs w:val="28"/>
        </w:rPr>
        <w:t xml:space="preserve"> là hợp lý, hợp pháp.</w:t>
      </w:r>
    </w:p>
    <w:p w14:paraId="3697502E" w14:textId="77777777" w:rsidR="00EC382F" w:rsidRDefault="00EC382F" w:rsidP="00EC382F">
      <w:pPr>
        <w:spacing w:after="120"/>
        <w:ind w:firstLine="567"/>
        <w:jc w:val="both"/>
        <w:rPr>
          <w:sz w:val="28"/>
          <w:szCs w:val="28"/>
        </w:rPr>
      </w:pPr>
      <w:r>
        <w:rPr>
          <w:b/>
          <w:bCs/>
          <w:sz w:val="28"/>
          <w:szCs w:val="28"/>
        </w:rPr>
        <w:t xml:space="preserve">1.2.3. </w:t>
      </w:r>
      <w:r w:rsidRPr="00EC382F">
        <w:rPr>
          <w:b/>
          <w:bCs/>
          <w:sz w:val="28"/>
          <w:szCs w:val="28"/>
        </w:rPr>
        <w:t>C</w:t>
      </w:r>
      <w:r w:rsidRPr="00EC382F">
        <w:rPr>
          <w:b/>
          <w:bCs/>
          <w:sz w:val="28"/>
          <w:szCs w:val="28"/>
        </w:rPr>
        <w:t xml:space="preserve">hi phí tuân thủ </w:t>
      </w:r>
      <w:r>
        <w:rPr>
          <w:b/>
          <w:bCs/>
          <w:sz w:val="28"/>
          <w:szCs w:val="28"/>
        </w:rPr>
        <w:t>t</w:t>
      </w:r>
      <w:r w:rsidRPr="00EC382F">
        <w:rPr>
          <w:b/>
          <w:bCs/>
          <w:sz w:val="28"/>
          <w:szCs w:val="28"/>
        </w:rPr>
        <w:t>hủ tục hành chính</w:t>
      </w:r>
      <w:r>
        <w:rPr>
          <w:sz w:val="28"/>
          <w:szCs w:val="28"/>
        </w:rPr>
        <w:t xml:space="preserve"> </w:t>
      </w:r>
    </w:p>
    <w:p w14:paraId="5B38D9BA" w14:textId="76CD21D1" w:rsidR="00EC382F" w:rsidRPr="00EC382F" w:rsidRDefault="00EC382F" w:rsidP="00EC382F">
      <w:pPr>
        <w:spacing w:after="120"/>
        <w:ind w:firstLine="567"/>
        <w:jc w:val="both"/>
        <w:rPr>
          <w:sz w:val="28"/>
          <w:szCs w:val="28"/>
        </w:rPr>
      </w:pPr>
      <w:r>
        <w:rPr>
          <w:sz w:val="28"/>
          <w:szCs w:val="28"/>
        </w:rPr>
        <w:t xml:space="preserve">Biểu mẫu </w:t>
      </w:r>
      <w:r w:rsidRPr="00EC382F">
        <w:rPr>
          <w:sz w:val="28"/>
          <w:szCs w:val="28"/>
        </w:rPr>
        <w:t>kết quả thực hiện thủ tục hành chính</w:t>
      </w:r>
      <w:r>
        <w:rPr>
          <w:sz w:val="28"/>
          <w:szCs w:val="28"/>
        </w:rPr>
        <w:t xml:space="preserve"> do các cơ quan có thẩm quyền giải quyết thủ tục hành chính thực hiện, do đó không gây phát sinh chi phí tuân thủ cho các đối tượng thực hiện thủ tục hành chính.</w:t>
      </w:r>
    </w:p>
    <w:p w14:paraId="37A0108A" w14:textId="59E06F30" w:rsidR="00BD7BAD" w:rsidRPr="005437CA" w:rsidRDefault="005437CA" w:rsidP="00BD7BAD">
      <w:pPr>
        <w:widowControl w:val="0"/>
        <w:spacing w:after="80"/>
        <w:ind w:firstLine="567"/>
        <w:jc w:val="both"/>
        <w:rPr>
          <w:b/>
          <w:bCs/>
          <w:sz w:val="28"/>
          <w:szCs w:val="28"/>
        </w:rPr>
      </w:pPr>
      <w:r>
        <w:rPr>
          <w:b/>
          <w:bCs/>
          <w:sz w:val="28"/>
          <w:szCs w:val="28"/>
        </w:rPr>
        <w:t>2. Việc phân quyền, phân cấp</w:t>
      </w:r>
    </w:p>
    <w:p w14:paraId="31FCFBC1" w14:textId="68025828" w:rsidR="0089002E" w:rsidRDefault="005437CA" w:rsidP="005437CA">
      <w:pPr>
        <w:widowControl w:val="0"/>
        <w:spacing w:after="80"/>
        <w:ind w:firstLine="567"/>
        <w:jc w:val="both"/>
        <w:rPr>
          <w:sz w:val="28"/>
          <w:szCs w:val="28"/>
        </w:rPr>
      </w:pPr>
      <w:r w:rsidRPr="005437CA">
        <w:rPr>
          <w:sz w:val="28"/>
          <w:szCs w:val="28"/>
        </w:rPr>
        <w:t>Ngày 12</w:t>
      </w:r>
      <w:r>
        <w:rPr>
          <w:sz w:val="28"/>
          <w:szCs w:val="28"/>
        </w:rPr>
        <w:t xml:space="preserve"> tháng </w:t>
      </w:r>
      <w:r w:rsidRPr="005437CA">
        <w:rPr>
          <w:sz w:val="28"/>
          <w:szCs w:val="28"/>
        </w:rPr>
        <w:t>06</w:t>
      </w:r>
      <w:r>
        <w:rPr>
          <w:sz w:val="28"/>
          <w:szCs w:val="28"/>
        </w:rPr>
        <w:t xml:space="preserve"> năm </w:t>
      </w:r>
      <w:r w:rsidRPr="005437CA">
        <w:rPr>
          <w:sz w:val="28"/>
          <w:szCs w:val="28"/>
        </w:rPr>
        <w:t>2025, Chính phủ đã ban hành Nghị định số 146/2025/NĐ-CP quy</w:t>
      </w:r>
      <w:r>
        <w:rPr>
          <w:sz w:val="28"/>
          <w:szCs w:val="28"/>
        </w:rPr>
        <w:t xml:space="preserve"> </w:t>
      </w:r>
      <w:r w:rsidRPr="005437CA">
        <w:rPr>
          <w:sz w:val="28"/>
          <w:szCs w:val="28"/>
        </w:rPr>
        <w:t xml:space="preserve">định về phân quyền, phân cấp trong lĩnh vực công nghiệp và thương mại, trong đó khoản </w:t>
      </w:r>
      <w:r>
        <w:rPr>
          <w:sz w:val="28"/>
          <w:szCs w:val="28"/>
        </w:rPr>
        <w:t>1</w:t>
      </w:r>
      <w:r w:rsidRPr="005437CA">
        <w:rPr>
          <w:sz w:val="28"/>
          <w:szCs w:val="28"/>
        </w:rPr>
        <w:t xml:space="preserve"> Điều </w:t>
      </w:r>
      <w:r>
        <w:rPr>
          <w:sz w:val="28"/>
          <w:szCs w:val="28"/>
        </w:rPr>
        <w:t>54</w:t>
      </w:r>
      <w:r w:rsidRPr="005437CA">
        <w:rPr>
          <w:sz w:val="28"/>
          <w:szCs w:val="28"/>
        </w:rPr>
        <w:t xml:space="preserve"> quy định phân cấp</w:t>
      </w:r>
      <w:r>
        <w:rPr>
          <w:sz w:val="28"/>
          <w:szCs w:val="28"/>
        </w:rPr>
        <w:t xml:space="preserve"> “T</w:t>
      </w:r>
      <w:r w:rsidRPr="005437CA">
        <w:rPr>
          <w:sz w:val="28"/>
          <w:szCs w:val="28"/>
        </w:rPr>
        <w:t>hẩm quyền của Bộ Công Thương về cấp Giấy xác nhận ưu đãi dự án sản xuất sản phẩm công nghiệp hỗ trợ thuộc Danh mục sản phẩm công nghiệp hỗ trợ ưu tiên phát triển của các doanh nghiệp nhỏ và vừa quy định tại </w:t>
      </w:r>
      <w:bookmarkStart w:id="2" w:name="dc_164"/>
      <w:r w:rsidRPr="005437CA">
        <w:rPr>
          <w:sz w:val="28"/>
          <w:szCs w:val="28"/>
        </w:rPr>
        <w:t>điểm a khoản 2 Điều 11 Nghị định số 111/2015/NĐ-CP</w:t>
      </w:r>
      <w:bookmarkEnd w:id="2"/>
      <w:r w:rsidRPr="005437CA">
        <w:rPr>
          <w:sz w:val="28"/>
          <w:szCs w:val="28"/>
        </w:rPr>
        <w:t> do Ủy ban nhân dân cấp tỉnh thực hiện.</w:t>
      </w:r>
      <w:r>
        <w:rPr>
          <w:sz w:val="28"/>
          <w:szCs w:val="28"/>
        </w:rPr>
        <w:t xml:space="preserve">”. </w:t>
      </w:r>
    </w:p>
    <w:p w14:paraId="4C0604D6" w14:textId="0FAF6AF7" w:rsidR="005437CA" w:rsidRPr="005437CA" w:rsidRDefault="005437CA" w:rsidP="005437CA">
      <w:pPr>
        <w:widowControl w:val="0"/>
        <w:spacing w:after="80"/>
        <w:ind w:firstLine="567"/>
        <w:jc w:val="both"/>
        <w:rPr>
          <w:sz w:val="28"/>
          <w:szCs w:val="28"/>
        </w:rPr>
      </w:pPr>
      <w:r>
        <w:rPr>
          <w:sz w:val="28"/>
          <w:szCs w:val="28"/>
        </w:rPr>
        <w:t xml:space="preserve">Tại mục 5 khoản 9 Điều 1 </w:t>
      </w:r>
      <w:r w:rsidRPr="008144AF">
        <w:rPr>
          <w:sz w:val="28"/>
          <w:szCs w:val="28"/>
          <w:lang w:val="vi-VN"/>
        </w:rPr>
        <w:t>Nghị định số 205/2025/NĐ-CP ngày 14 tháng 7 năm 2025 của Chính phủ sửa đổi, bổ sung một số điều của Nghị định số 111/2015/NĐ-CP ngày 03 tháng 11 năm 2015 của Chính phủ về phát triển công nghiệp hỗ trợ</w:t>
      </w:r>
      <w:r>
        <w:rPr>
          <w:sz w:val="28"/>
          <w:szCs w:val="28"/>
        </w:rPr>
        <w:t xml:space="preserve"> đã quy định “</w:t>
      </w:r>
      <w:r w:rsidRPr="005437CA">
        <w:rPr>
          <w:sz w:val="28"/>
          <w:szCs w:val="28"/>
        </w:rPr>
        <w:t>Ủy ban nhân dân cấp tỉnh xác nhận ưu đãi đối với dự án sản xuất sản phẩm công nghiệp hỗ trợ thuộc Danh mục sản phẩm công nghiệp hỗ trợ ưu tiên phát triển của các doanh nghiệp nhỏ và vừa</w:t>
      </w:r>
      <w:r>
        <w:rPr>
          <w:sz w:val="28"/>
          <w:szCs w:val="28"/>
        </w:rPr>
        <w:t>”.</w:t>
      </w:r>
    </w:p>
    <w:p w14:paraId="25E27EA6" w14:textId="219B2462" w:rsidR="00F477E0" w:rsidRDefault="005437CA" w:rsidP="005437CA">
      <w:pPr>
        <w:widowControl w:val="0"/>
        <w:spacing w:after="80"/>
        <w:ind w:firstLine="567"/>
        <w:jc w:val="both"/>
        <w:rPr>
          <w:sz w:val="28"/>
          <w:szCs w:val="28"/>
        </w:rPr>
      </w:pPr>
      <w:r>
        <w:rPr>
          <w:sz w:val="28"/>
          <w:szCs w:val="28"/>
        </w:rPr>
        <w:t xml:space="preserve">Các </w:t>
      </w:r>
      <w:r>
        <w:rPr>
          <w:sz w:val="28"/>
          <w:szCs w:val="28"/>
        </w:rPr>
        <w:t xml:space="preserve">Biểu mẫu </w:t>
      </w:r>
      <w:r w:rsidR="005B4FC3">
        <w:rPr>
          <w:sz w:val="28"/>
          <w:szCs w:val="28"/>
        </w:rPr>
        <w:t xml:space="preserve">tại Dự thảo Thông tư </w:t>
      </w:r>
      <w:r>
        <w:rPr>
          <w:sz w:val="28"/>
          <w:szCs w:val="28"/>
        </w:rPr>
        <w:t xml:space="preserve">được xây dựng và áp dụng chung </w:t>
      </w:r>
      <w:r w:rsidR="005B4FC3">
        <w:rPr>
          <w:sz w:val="28"/>
          <w:szCs w:val="28"/>
        </w:rPr>
        <w:t xml:space="preserve">cho các cơ quan có thẩm quyền giải quyết thủ tục hành </w:t>
      </w:r>
      <w:r w:rsidR="005B4FC3">
        <w:rPr>
          <w:sz w:val="28"/>
          <w:szCs w:val="28"/>
        </w:rPr>
        <w:t xml:space="preserve">chính Cấp lại </w:t>
      </w:r>
      <w:r w:rsidR="005B4FC3" w:rsidRPr="00F477E0">
        <w:rPr>
          <w:sz w:val="28"/>
          <w:szCs w:val="28"/>
        </w:rPr>
        <w:t>Giấy xác nhận ưu đãi</w:t>
      </w:r>
      <w:r w:rsidR="005B4FC3">
        <w:rPr>
          <w:sz w:val="28"/>
          <w:szCs w:val="28"/>
        </w:rPr>
        <w:t xml:space="preserve"> và Điều chỉnh Giấy xác nhận ưu đãi.</w:t>
      </w:r>
    </w:p>
    <w:p w14:paraId="3CDA37F6" w14:textId="77777777" w:rsidR="005B4FC3" w:rsidRPr="005B4FC3" w:rsidRDefault="005437CA" w:rsidP="005437CA">
      <w:pPr>
        <w:widowControl w:val="0"/>
        <w:spacing w:after="80"/>
        <w:ind w:firstLine="567"/>
        <w:jc w:val="both"/>
        <w:rPr>
          <w:b/>
          <w:bCs/>
          <w:sz w:val="28"/>
          <w:szCs w:val="28"/>
        </w:rPr>
      </w:pPr>
      <w:r w:rsidRPr="005B4FC3">
        <w:rPr>
          <w:b/>
          <w:bCs/>
          <w:sz w:val="28"/>
          <w:szCs w:val="28"/>
        </w:rPr>
        <w:t xml:space="preserve">3. Việc ứng dụng, thúc đẩy phát triển khoa học, công nghệ, đổi mới sáng tạo và chuyển đổi số </w:t>
      </w:r>
    </w:p>
    <w:p w14:paraId="4E7AB2D7" w14:textId="77777777" w:rsidR="00DA6A4F" w:rsidRDefault="005B4FC3" w:rsidP="005437CA">
      <w:pPr>
        <w:widowControl w:val="0"/>
        <w:spacing w:after="80"/>
        <w:ind w:firstLine="567"/>
        <w:jc w:val="both"/>
        <w:rPr>
          <w:sz w:val="28"/>
          <w:szCs w:val="28"/>
        </w:rPr>
      </w:pPr>
      <w:r>
        <w:rPr>
          <w:sz w:val="28"/>
          <w:szCs w:val="28"/>
        </w:rPr>
        <w:t>Cách thức thực hiện</w:t>
      </w:r>
      <w:r w:rsidR="00DA6A4F">
        <w:rPr>
          <w:sz w:val="28"/>
          <w:szCs w:val="28"/>
        </w:rPr>
        <w:t xml:space="preserve"> </w:t>
      </w:r>
      <w:r w:rsidR="00DA6A4F">
        <w:rPr>
          <w:sz w:val="28"/>
          <w:szCs w:val="28"/>
        </w:rPr>
        <w:t xml:space="preserve">thủ tục hành chính Cấp lại </w:t>
      </w:r>
      <w:r w:rsidR="00DA6A4F" w:rsidRPr="00F477E0">
        <w:rPr>
          <w:sz w:val="28"/>
          <w:szCs w:val="28"/>
        </w:rPr>
        <w:t>Giấy xác nhận ưu đãi</w:t>
      </w:r>
      <w:r w:rsidR="00DA6A4F">
        <w:rPr>
          <w:sz w:val="28"/>
          <w:szCs w:val="28"/>
        </w:rPr>
        <w:t xml:space="preserve"> và Điều chỉnh Giấy xác nhận ưu đãi</w:t>
      </w:r>
      <w:r w:rsidR="00DA6A4F">
        <w:rPr>
          <w:sz w:val="28"/>
          <w:szCs w:val="28"/>
        </w:rPr>
        <w:t xml:space="preserve"> đã được quy định tại </w:t>
      </w:r>
      <w:r w:rsidR="00DA6A4F" w:rsidRPr="008144AF">
        <w:rPr>
          <w:sz w:val="28"/>
          <w:szCs w:val="28"/>
          <w:lang w:val="vi-VN"/>
        </w:rPr>
        <w:t>Nghị định số 205/2025/NĐ-CP</w:t>
      </w:r>
      <w:r w:rsidR="00DA6A4F">
        <w:rPr>
          <w:sz w:val="28"/>
          <w:szCs w:val="28"/>
        </w:rPr>
        <w:t>, cụ thể:</w:t>
      </w:r>
    </w:p>
    <w:p w14:paraId="789F16A1" w14:textId="52498E7A" w:rsidR="00DA6A4F" w:rsidRDefault="00DA6A4F" w:rsidP="005437CA">
      <w:pPr>
        <w:widowControl w:val="0"/>
        <w:spacing w:after="80"/>
        <w:ind w:firstLine="567"/>
        <w:jc w:val="both"/>
        <w:rPr>
          <w:sz w:val="28"/>
          <w:szCs w:val="28"/>
        </w:rPr>
      </w:pPr>
      <w:r>
        <w:rPr>
          <w:sz w:val="28"/>
          <w:szCs w:val="28"/>
        </w:rPr>
        <w:t xml:space="preserve">- Đối với </w:t>
      </w:r>
      <w:r>
        <w:rPr>
          <w:sz w:val="28"/>
          <w:szCs w:val="28"/>
        </w:rPr>
        <w:t xml:space="preserve">thủ tục hành chính Cấp lại </w:t>
      </w:r>
      <w:r w:rsidRPr="00F477E0">
        <w:rPr>
          <w:sz w:val="28"/>
          <w:szCs w:val="28"/>
        </w:rPr>
        <w:t>Giấy xác nhận ưu đãi</w:t>
      </w:r>
      <w:r>
        <w:rPr>
          <w:sz w:val="28"/>
          <w:szCs w:val="28"/>
        </w:rPr>
        <w:t>: “</w:t>
      </w:r>
      <w:r w:rsidRPr="00DA6A4F">
        <w:rPr>
          <w:sz w:val="28"/>
          <w:szCs w:val="28"/>
        </w:rPr>
        <w:t xml:space="preserve">Doanh nghiệp </w:t>
      </w:r>
      <w:r w:rsidRPr="00DA6A4F">
        <w:rPr>
          <w:sz w:val="28"/>
          <w:szCs w:val="28"/>
        </w:rPr>
        <w:lastRenderedPageBreak/>
        <w:t>nộp 01 bộ hồ sơ theo quy định tại khoản 1 Điều này trực tiếp hoặc qua hệ thống bưu chính hoặc hình thức phù hợp khác tới cơ quan có thẩm quyền đã cấp Giấy xác nhận ưu đãi</w:t>
      </w:r>
      <w:r>
        <w:rPr>
          <w:sz w:val="28"/>
          <w:szCs w:val="28"/>
        </w:rPr>
        <w:t>”.</w:t>
      </w:r>
    </w:p>
    <w:p w14:paraId="45952B93" w14:textId="25F09DD6" w:rsidR="005B4FC3" w:rsidRDefault="00DA6A4F" w:rsidP="005437CA">
      <w:pPr>
        <w:widowControl w:val="0"/>
        <w:spacing w:after="80"/>
        <w:ind w:firstLine="567"/>
        <w:jc w:val="both"/>
        <w:rPr>
          <w:sz w:val="28"/>
          <w:szCs w:val="28"/>
        </w:rPr>
      </w:pPr>
      <w:r>
        <w:rPr>
          <w:sz w:val="28"/>
          <w:szCs w:val="28"/>
        </w:rPr>
        <w:t xml:space="preserve">- Đối với thủ tục hành chính </w:t>
      </w:r>
      <w:r>
        <w:rPr>
          <w:sz w:val="28"/>
          <w:szCs w:val="28"/>
        </w:rPr>
        <w:t>Điều chỉnh Giấy xác nhận ưu đãi</w:t>
      </w:r>
      <w:r>
        <w:rPr>
          <w:sz w:val="28"/>
          <w:szCs w:val="28"/>
        </w:rPr>
        <w:t>: “</w:t>
      </w:r>
      <w:r w:rsidRPr="00DA6A4F">
        <w:rPr>
          <w:sz w:val="28"/>
          <w:szCs w:val="28"/>
        </w:rPr>
        <w:t>Doanh nghiệp nộp 01 bộ hồ sơ theo quy định tại khoản 1 Điều này trực tiếp hoặc qua hệ thống bưu chính hoặc hình thức phù hợp khác tới cơ quan có thẩm quyền đã cấp Giấy xác nhận ưu đãi</w:t>
      </w:r>
      <w:r>
        <w:rPr>
          <w:sz w:val="28"/>
          <w:szCs w:val="28"/>
        </w:rPr>
        <w:t>.”.</w:t>
      </w:r>
    </w:p>
    <w:p w14:paraId="341C6346" w14:textId="77777777" w:rsidR="00DA6A4F" w:rsidRPr="00DA6A4F" w:rsidRDefault="005437CA" w:rsidP="005437CA">
      <w:pPr>
        <w:widowControl w:val="0"/>
        <w:spacing w:after="80"/>
        <w:ind w:firstLine="567"/>
        <w:jc w:val="both"/>
        <w:rPr>
          <w:b/>
          <w:bCs/>
          <w:sz w:val="28"/>
          <w:szCs w:val="28"/>
        </w:rPr>
      </w:pPr>
      <w:r w:rsidRPr="00DA6A4F">
        <w:rPr>
          <w:b/>
          <w:bCs/>
          <w:sz w:val="28"/>
          <w:szCs w:val="28"/>
        </w:rPr>
        <w:t xml:space="preserve">4. Việc đảm bảo bình đẳng giới </w:t>
      </w:r>
    </w:p>
    <w:p w14:paraId="5246EB65" w14:textId="1C138685" w:rsidR="005B4FC3" w:rsidRDefault="005437CA" w:rsidP="005437CA">
      <w:pPr>
        <w:widowControl w:val="0"/>
        <w:spacing w:after="80"/>
        <w:ind w:firstLine="567"/>
        <w:jc w:val="both"/>
        <w:rPr>
          <w:sz w:val="28"/>
          <w:szCs w:val="28"/>
        </w:rPr>
      </w:pPr>
      <w:r w:rsidRPr="005437CA">
        <w:rPr>
          <w:sz w:val="28"/>
          <w:szCs w:val="28"/>
        </w:rPr>
        <w:t>Quy định trong dự thảo Thông tư bảo đảm bình đẳng giới, quyền bình đẳng giới của các đối tượng thực hiện Thông tư, không phân biệt, đối xử về giới giữa các đối tượng thực hiện Thông tư.</w:t>
      </w:r>
    </w:p>
    <w:p w14:paraId="31C6DC5E" w14:textId="77777777" w:rsidR="00DA6A4F" w:rsidRPr="00DA6A4F" w:rsidRDefault="005437CA" w:rsidP="005437CA">
      <w:pPr>
        <w:widowControl w:val="0"/>
        <w:spacing w:after="80"/>
        <w:ind w:firstLine="567"/>
        <w:jc w:val="both"/>
        <w:rPr>
          <w:b/>
          <w:bCs/>
          <w:sz w:val="28"/>
          <w:szCs w:val="28"/>
        </w:rPr>
      </w:pPr>
      <w:r w:rsidRPr="00DA6A4F">
        <w:rPr>
          <w:b/>
          <w:bCs/>
          <w:sz w:val="28"/>
          <w:szCs w:val="28"/>
        </w:rPr>
        <w:t xml:space="preserve"> 5. Việc thực hiện chính sách dân tộc </w:t>
      </w:r>
    </w:p>
    <w:p w14:paraId="7CF5EB3A" w14:textId="77777777" w:rsidR="00DA6A4F" w:rsidRDefault="005437CA" w:rsidP="005437CA">
      <w:pPr>
        <w:widowControl w:val="0"/>
        <w:spacing w:after="80"/>
        <w:ind w:firstLine="567"/>
        <w:jc w:val="both"/>
        <w:rPr>
          <w:sz w:val="28"/>
          <w:szCs w:val="28"/>
        </w:rPr>
      </w:pPr>
      <w:r w:rsidRPr="005437CA">
        <w:rPr>
          <w:sz w:val="28"/>
          <w:szCs w:val="28"/>
        </w:rPr>
        <w:t xml:space="preserve">Các quy định trong dự thảo Thông tư bảo đảm quyền và lợi ích hợp pháp của dân tộc; bình đẳng giữa các dân tộc; các điều kiện bảo đảm phát triển kinh tế - xã hội vùng đồng bào dân tộc thiểu số; việc bảo tồn, phát huy giá trị văn hóa dân tộc; xây dựng khối đại đoàn kết dân tộc. </w:t>
      </w:r>
    </w:p>
    <w:p w14:paraId="69AC2732" w14:textId="0EF2F7CA" w:rsidR="00DA6A4F" w:rsidRPr="00DA6A4F" w:rsidRDefault="005437CA" w:rsidP="00DA6A4F">
      <w:pPr>
        <w:widowControl w:val="0"/>
        <w:spacing w:after="300"/>
        <w:ind w:firstLine="567"/>
        <w:jc w:val="both"/>
        <w:rPr>
          <w:sz w:val="28"/>
          <w:szCs w:val="28"/>
        </w:rPr>
      </w:pPr>
      <w:r w:rsidRPr="005437CA">
        <w:rPr>
          <w:sz w:val="28"/>
          <w:szCs w:val="28"/>
        </w:rPr>
        <w:t xml:space="preserve">Trên đây là bản đánh giá thủ tục hành chính, việc phân quyền, phân cấp, đảm bảo bình đẳng giới, việc thực hiện chính sách dân tộc trong dự thảo Thông tư quy định </w:t>
      </w:r>
      <w:r w:rsidR="00DA6A4F" w:rsidRPr="00DA6A4F">
        <w:rPr>
          <w:sz w:val="28"/>
          <w:szCs w:val="28"/>
        </w:rPr>
        <w:t>về chế độ và biểu mẫu báo cáo thực hiện dự án được xác nhận ưu đãi, hậu kiểm ưu đãi đối với dự án sản xuất sản phẩm công nghiệp hỗ trợ thuộc danh mục sản phẩm công nghiệp hỗ trợ ưu tiên phát triển</w:t>
      </w:r>
      <w:r w:rsidR="00DA6A4F">
        <w:rPr>
          <w:sz w:val="28"/>
          <w:szCs w:val="28"/>
        </w:rPr>
        <w:t>,</w:t>
      </w:r>
      <w:r w:rsidRPr="005437CA">
        <w:rPr>
          <w:sz w:val="28"/>
          <w:szCs w:val="28"/>
        </w:rPr>
        <w:t xml:space="preserve"> Cục </w:t>
      </w:r>
      <w:r w:rsidR="00DA6A4F">
        <w:rPr>
          <w:sz w:val="28"/>
          <w:szCs w:val="28"/>
        </w:rPr>
        <w:t>Công nghiệp</w:t>
      </w:r>
      <w:r w:rsidRPr="005437CA">
        <w:rPr>
          <w:sz w:val="28"/>
          <w:szCs w:val="28"/>
        </w:rPr>
        <w:t xml:space="preserve"> kính trình Bộ trưởng xem xét, quyết định./.</w:t>
      </w:r>
    </w:p>
    <w:tbl>
      <w:tblPr>
        <w:tblW w:w="8927" w:type="dxa"/>
        <w:tblLayout w:type="fixed"/>
        <w:tblLook w:val="0000" w:firstRow="0" w:lastRow="0" w:firstColumn="0" w:lastColumn="0" w:noHBand="0" w:noVBand="0"/>
      </w:tblPr>
      <w:tblGrid>
        <w:gridCol w:w="4644"/>
        <w:gridCol w:w="4283"/>
      </w:tblGrid>
      <w:tr w:rsidR="00736CFB" w:rsidRPr="008347DB" w14:paraId="3E5215F4" w14:textId="77777777" w:rsidTr="001F2FF2">
        <w:trPr>
          <w:trHeight w:val="70"/>
        </w:trPr>
        <w:tc>
          <w:tcPr>
            <w:tcW w:w="4644" w:type="dxa"/>
          </w:tcPr>
          <w:p w14:paraId="5A85ECFF" w14:textId="77777777" w:rsidR="00736CFB" w:rsidRPr="00BE6BD6" w:rsidRDefault="00736CFB" w:rsidP="001F2FF2">
            <w:pPr>
              <w:rPr>
                <w:b/>
                <w:i/>
                <w:sz w:val="24"/>
                <w:szCs w:val="24"/>
                <w:lang w:val="sv-SE"/>
              </w:rPr>
            </w:pPr>
            <w:r w:rsidRPr="00BE6BD6">
              <w:rPr>
                <w:b/>
                <w:i/>
                <w:sz w:val="24"/>
                <w:szCs w:val="24"/>
                <w:lang w:val="sv-SE"/>
              </w:rPr>
              <w:t>Nơi nhận:</w:t>
            </w:r>
          </w:p>
          <w:p w14:paraId="5EE1DFA8" w14:textId="77777777" w:rsidR="00736CFB" w:rsidRPr="00BE6BD6" w:rsidRDefault="00736CFB" w:rsidP="001F2FF2">
            <w:pPr>
              <w:rPr>
                <w:sz w:val="22"/>
                <w:szCs w:val="22"/>
                <w:lang w:val="sv-SE"/>
              </w:rPr>
            </w:pPr>
            <w:r w:rsidRPr="00BE6BD6">
              <w:rPr>
                <w:sz w:val="22"/>
                <w:szCs w:val="22"/>
                <w:lang w:val="sv-SE"/>
              </w:rPr>
              <w:t>- Như trên;</w:t>
            </w:r>
          </w:p>
          <w:p w14:paraId="1A4E14E3" w14:textId="248F88A5" w:rsidR="00736CFB" w:rsidRPr="00BE6BD6" w:rsidRDefault="00736CFB" w:rsidP="001F2FF2">
            <w:pPr>
              <w:rPr>
                <w:sz w:val="22"/>
                <w:szCs w:val="22"/>
                <w:lang w:val="sv-SE"/>
              </w:rPr>
            </w:pPr>
            <w:r w:rsidRPr="00BE6BD6">
              <w:rPr>
                <w:sz w:val="22"/>
                <w:szCs w:val="22"/>
                <w:lang w:val="sv-SE"/>
              </w:rPr>
              <w:t>- TTr. Trương Thanh Hoài</w:t>
            </w:r>
            <w:r w:rsidR="00F3747F" w:rsidRPr="00BE6BD6">
              <w:rPr>
                <w:sz w:val="22"/>
                <w:szCs w:val="22"/>
                <w:lang w:val="sv-SE"/>
              </w:rPr>
              <w:t xml:space="preserve"> (để b</w:t>
            </w:r>
            <w:r w:rsidR="004D6CCF">
              <w:rPr>
                <w:sz w:val="22"/>
                <w:szCs w:val="22"/>
                <w:lang w:val="sv-SE"/>
              </w:rPr>
              <w:t>áo cáo</w:t>
            </w:r>
            <w:r w:rsidR="00F3747F" w:rsidRPr="00BE6BD6">
              <w:rPr>
                <w:sz w:val="22"/>
                <w:szCs w:val="22"/>
                <w:lang w:val="sv-SE"/>
              </w:rPr>
              <w:t>)</w:t>
            </w:r>
            <w:r w:rsidRPr="00BE6BD6">
              <w:rPr>
                <w:sz w:val="22"/>
                <w:szCs w:val="22"/>
                <w:lang w:val="sv-SE"/>
              </w:rPr>
              <w:t>;</w:t>
            </w:r>
          </w:p>
          <w:p w14:paraId="78FDD08A" w14:textId="6A241CCC" w:rsidR="00F3747F" w:rsidRPr="00BE6BD6" w:rsidRDefault="00F3747F" w:rsidP="001F2FF2">
            <w:pPr>
              <w:rPr>
                <w:sz w:val="22"/>
                <w:szCs w:val="22"/>
                <w:lang w:val="sv-SE"/>
              </w:rPr>
            </w:pPr>
            <w:r w:rsidRPr="00BE6BD6">
              <w:rPr>
                <w:sz w:val="22"/>
                <w:szCs w:val="22"/>
                <w:lang w:val="sv-SE"/>
              </w:rPr>
              <w:t xml:space="preserve">- </w:t>
            </w:r>
            <w:r w:rsidR="008347DB">
              <w:rPr>
                <w:sz w:val="22"/>
                <w:szCs w:val="22"/>
                <w:lang w:val="sv-SE"/>
              </w:rPr>
              <w:t>Cục trưởng</w:t>
            </w:r>
            <w:r w:rsidRPr="00BE6BD6">
              <w:rPr>
                <w:sz w:val="22"/>
                <w:szCs w:val="22"/>
                <w:lang w:val="sv-SE"/>
              </w:rPr>
              <w:t xml:space="preserve"> (để </w:t>
            </w:r>
            <w:r w:rsidR="008347DB">
              <w:rPr>
                <w:sz w:val="22"/>
                <w:szCs w:val="22"/>
                <w:lang w:val="sv-SE"/>
              </w:rPr>
              <w:t>báo cáo</w:t>
            </w:r>
            <w:r w:rsidRPr="00BE6BD6">
              <w:rPr>
                <w:sz w:val="22"/>
                <w:szCs w:val="22"/>
                <w:lang w:val="sv-SE"/>
              </w:rPr>
              <w:t>);</w:t>
            </w:r>
          </w:p>
          <w:p w14:paraId="40840EAC" w14:textId="07B13662" w:rsidR="00736CFB" w:rsidRPr="00BE6BD6" w:rsidRDefault="00736CFB" w:rsidP="001F2FF2">
            <w:pPr>
              <w:rPr>
                <w:sz w:val="26"/>
                <w:szCs w:val="26"/>
                <w:lang w:val="sv-SE"/>
              </w:rPr>
            </w:pPr>
            <w:r w:rsidRPr="00BE6BD6">
              <w:rPr>
                <w:sz w:val="22"/>
                <w:szCs w:val="22"/>
                <w:lang w:val="sv-SE"/>
              </w:rPr>
              <w:t xml:space="preserve">- Lưu: VT, </w:t>
            </w:r>
            <w:r w:rsidR="008D24BA">
              <w:rPr>
                <w:sz w:val="22"/>
                <w:szCs w:val="22"/>
                <w:lang w:val="sv-SE"/>
              </w:rPr>
              <w:t>CNHT</w:t>
            </w:r>
            <w:r w:rsidR="004D6CCF">
              <w:rPr>
                <w:sz w:val="22"/>
                <w:szCs w:val="22"/>
                <w:lang w:val="sv-SE"/>
              </w:rPr>
              <w:t xml:space="preserve"> (</w:t>
            </w:r>
            <w:r w:rsidR="008D24BA">
              <w:rPr>
                <w:sz w:val="22"/>
                <w:szCs w:val="22"/>
                <w:lang w:val="sv-SE"/>
              </w:rPr>
              <w:t>TungPTH</w:t>
            </w:r>
            <w:r w:rsidR="004D6CCF">
              <w:rPr>
                <w:sz w:val="22"/>
                <w:szCs w:val="22"/>
                <w:lang w:val="sv-SE"/>
              </w:rPr>
              <w:t>).</w:t>
            </w:r>
          </w:p>
        </w:tc>
        <w:tc>
          <w:tcPr>
            <w:tcW w:w="4283" w:type="dxa"/>
            <w:vAlign w:val="center"/>
          </w:tcPr>
          <w:p w14:paraId="1810D52F" w14:textId="58CF39D9" w:rsidR="008347DB" w:rsidRDefault="008347DB" w:rsidP="008347DB">
            <w:pPr>
              <w:tabs>
                <w:tab w:val="left" w:pos="5812"/>
              </w:tabs>
              <w:spacing w:after="60"/>
              <w:jc w:val="center"/>
              <w:rPr>
                <w:b/>
                <w:sz w:val="28"/>
                <w:szCs w:val="28"/>
                <w:lang w:val="sv-SE"/>
              </w:rPr>
            </w:pPr>
            <w:r>
              <w:rPr>
                <w:b/>
                <w:sz w:val="28"/>
                <w:szCs w:val="28"/>
                <w:lang w:val="sv-SE"/>
              </w:rPr>
              <w:t xml:space="preserve">KT. </w:t>
            </w:r>
            <w:r w:rsidR="00736CFB" w:rsidRPr="00BE6BD6">
              <w:rPr>
                <w:b/>
                <w:sz w:val="28"/>
                <w:szCs w:val="28"/>
                <w:lang w:val="sv-SE"/>
              </w:rPr>
              <w:t>CỤC TRƯỞNG</w:t>
            </w:r>
          </w:p>
          <w:p w14:paraId="1F69E385" w14:textId="7DD1727E" w:rsidR="008347DB" w:rsidRPr="008347DB" w:rsidRDefault="008347DB" w:rsidP="008347DB">
            <w:pPr>
              <w:tabs>
                <w:tab w:val="left" w:pos="5812"/>
              </w:tabs>
              <w:spacing w:after="60"/>
              <w:jc w:val="center"/>
              <w:rPr>
                <w:b/>
                <w:sz w:val="28"/>
                <w:szCs w:val="28"/>
                <w:lang w:val="sv-SE"/>
              </w:rPr>
            </w:pPr>
            <w:r>
              <w:rPr>
                <w:b/>
                <w:sz w:val="28"/>
                <w:szCs w:val="28"/>
                <w:lang w:val="sv-SE"/>
              </w:rPr>
              <w:t>PHÓ CỤC TRƯỞNG</w:t>
            </w:r>
          </w:p>
          <w:p w14:paraId="4D08B2C3" w14:textId="77777777" w:rsidR="00736CFB" w:rsidRPr="00BE6BD6" w:rsidRDefault="00736CFB" w:rsidP="001F2FF2">
            <w:pPr>
              <w:tabs>
                <w:tab w:val="left" w:pos="2410"/>
                <w:tab w:val="left" w:pos="5812"/>
              </w:tabs>
              <w:jc w:val="center"/>
              <w:rPr>
                <w:b/>
                <w:szCs w:val="28"/>
                <w:lang w:val="sv-SE"/>
              </w:rPr>
            </w:pPr>
          </w:p>
          <w:p w14:paraId="6E2547B3" w14:textId="77777777" w:rsidR="00736CFB" w:rsidRPr="00BE6BD6" w:rsidRDefault="00736CFB" w:rsidP="001F2FF2">
            <w:pPr>
              <w:tabs>
                <w:tab w:val="left" w:pos="5812"/>
              </w:tabs>
              <w:jc w:val="center"/>
              <w:rPr>
                <w:sz w:val="28"/>
                <w:szCs w:val="28"/>
                <w:lang w:val="sv-SE"/>
              </w:rPr>
            </w:pPr>
          </w:p>
          <w:p w14:paraId="142A7C87" w14:textId="77777777" w:rsidR="003007F6" w:rsidRDefault="003007F6" w:rsidP="001F2FF2">
            <w:pPr>
              <w:tabs>
                <w:tab w:val="left" w:pos="5812"/>
              </w:tabs>
              <w:jc w:val="center"/>
              <w:rPr>
                <w:b/>
                <w:szCs w:val="28"/>
                <w:lang w:val="sv-SE"/>
              </w:rPr>
            </w:pPr>
          </w:p>
          <w:p w14:paraId="548AB5A4" w14:textId="77777777" w:rsidR="008347DB" w:rsidRDefault="008347DB" w:rsidP="001F2FF2">
            <w:pPr>
              <w:tabs>
                <w:tab w:val="left" w:pos="5812"/>
              </w:tabs>
              <w:jc w:val="center"/>
              <w:rPr>
                <w:b/>
                <w:szCs w:val="28"/>
                <w:lang w:val="sv-SE"/>
              </w:rPr>
            </w:pPr>
          </w:p>
          <w:p w14:paraId="2640103B" w14:textId="77777777" w:rsidR="008347DB" w:rsidRPr="00BE6BD6" w:rsidRDefault="008347DB" w:rsidP="001F2FF2">
            <w:pPr>
              <w:tabs>
                <w:tab w:val="left" w:pos="5812"/>
              </w:tabs>
              <w:jc w:val="center"/>
              <w:rPr>
                <w:b/>
                <w:szCs w:val="28"/>
                <w:lang w:val="sv-SE"/>
              </w:rPr>
            </w:pPr>
          </w:p>
          <w:p w14:paraId="273C85BB" w14:textId="77777777" w:rsidR="00736CFB" w:rsidRPr="00BE6BD6" w:rsidRDefault="00736CFB" w:rsidP="001F2FF2">
            <w:pPr>
              <w:tabs>
                <w:tab w:val="left" w:pos="5812"/>
              </w:tabs>
              <w:rPr>
                <w:b/>
                <w:szCs w:val="28"/>
                <w:lang w:val="sv-SE"/>
              </w:rPr>
            </w:pPr>
          </w:p>
          <w:p w14:paraId="57E31965" w14:textId="11A97506" w:rsidR="00736CFB" w:rsidRPr="00BE6BD6" w:rsidRDefault="008347DB" w:rsidP="001F2FF2">
            <w:pPr>
              <w:tabs>
                <w:tab w:val="left" w:pos="5812"/>
              </w:tabs>
              <w:jc w:val="center"/>
              <w:rPr>
                <w:b/>
                <w:sz w:val="28"/>
                <w:szCs w:val="28"/>
                <w:lang w:val="sv-SE"/>
              </w:rPr>
            </w:pPr>
            <w:r>
              <w:rPr>
                <w:b/>
                <w:sz w:val="28"/>
                <w:szCs w:val="28"/>
                <w:lang w:val="sv-SE"/>
              </w:rPr>
              <w:t>Phạm Văn Quân</w:t>
            </w:r>
          </w:p>
        </w:tc>
      </w:tr>
    </w:tbl>
    <w:p w14:paraId="6E20F872" w14:textId="77777777" w:rsidR="00736CFB" w:rsidRPr="008144AF" w:rsidRDefault="00736CFB" w:rsidP="00736CFB">
      <w:pPr>
        <w:spacing w:after="120"/>
        <w:jc w:val="center"/>
        <w:rPr>
          <w:b/>
          <w:sz w:val="27"/>
          <w:szCs w:val="27"/>
          <w:lang w:val="sv-SE"/>
        </w:rPr>
      </w:pPr>
    </w:p>
    <w:p w14:paraId="4F8E8C54" w14:textId="4114CC75" w:rsidR="00736CFB" w:rsidRPr="00BE6BD6" w:rsidRDefault="00736CFB" w:rsidP="00DA6A4F">
      <w:pPr>
        <w:tabs>
          <w:tab w:val="left" w:pos="1820"/>
        </w:tabs>
        <w:rPr>
          <w:sz w:val="27"/>
          <w:szCs w:val="27"/>
        </w:rPr>
      </w:pPr>
      <w:r w:rsidRPr="00BE6BD6">
        <w:rPr>
          <w:b/>
          <w:noProof/>
          <w:sz w:val="28"/>
          <w:szCs w:val="28"/>
        </w:rPr>
        <mc:AlternateContent>
          <mc:Choice Requires="wps">
            <w:drawing>
              <wp:anchor distT="0" distB="0" distL="114300" distR="114300" simplePos="0" relativeHeight="251663360" behindDoc="0" locked="0" layoutInCell="1" allowOverlap="1" wp14:anchorId="0CFF0CA5" wp14:editId="460CA1D0">
                <wp:simplePos x="0" y="0"/>
                <wp:positionH relativeFrom="column">
                  <wp:posOffset>2558415</wp:posOffset>
                </wp:positionH>
                <wp:positionV relativeFrom="paragraph">
                  <wp:posOffset>-368935</wp:posOffset>
                </wp:positionV>
                <wp:extent cx="774700" cy="317500"/>
                <wp:effectExtent l="0" t="3175" r="0" b="3175"/>
                <wp:wrapNone/>
                <wp:docPr id="10229239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47216" id="Rectangle 2" o:spid="_x0000_s1026" style="position:absolute;margin-left:201.45pt;margin-top:-29.05pt;width:61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" stroked="f"/>
            </w:pict>
          </mc:Fallback>
        </mc:AlternateContent>
      </w:r>
    </w:p>
    <w:p w14:paraId="06385149" w14:textId="2B29AB4C" w:rsidR="000B70E5" w:rsidRPr="000B70E5" w:rsidRDefault="000B70E5" w:rsidP="008D24BA">
      <w:pPr>
        <w:spacing w:after="160" w:line="259" w:lineRule="auto"/>
        <w:rPr>
          <w:sz w:val="28"/>
          <w:szCs w:val="28"/>
        </w:rPr>
      </w:pPr>
    </w:p>
    <w:sectPr w:rsidR="000B70E5" w:rsidRPr="000B70E5" w:rsidSect="00DA6A4F">
      <w:headerReference w:type="default" r:id="rId7"/>
      <w:footerReference w:type="even" r:id="rId8"/>
      <w:pgSz w:w="11909" w:h="16834"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2083" w14:textId="77777777" w:rsidR="008961D1" w:rsidRDefault="008961D1">
      <w:r>
        <w:separator/>
      </w:r>
    </w:p>
  </w:endnote>
  <w:endnote w:type="continuationSeparator" w:id="0">
    <w:p w14:paraId="5B476A74" w14:textId="77777777" w:rsidR="008961D1" w:rsidRDefault="0089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5DEA" w14:textId="77777777" w:rsidR="004549CC" w:rsidRDefault="00000000" w:rsidP="008362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B8EE8" w14:textId="77777777" w:rsidR="004549CC" w:rsidRDefault="004549CC" w:rsidP="008362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AD84" w14:textId="77777777" w:rsidR="008961D1" w:rsidRDefault="008961D1">
      <w:r>
        <w:separator/>
      </w:r>
    </w:p>
  </w:footnote>
  <w:footnote w:type="continuationSeparator" w:id="0">
    <w:p w14:paraId="105D8C60" w14:textId="77777777" w:rsidR="008961D1" w:rsidRDefault="00896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3F9E" w14:textId="77777777" w:rsidR="004549CC" w:rsidRPr="00450B9A" w:rsidRDefault="00000000">
    <w:pPr>
      <w:pStyle w:val="Header"/>
      <w:jc w:val="center"/>
      <w:rPr>
        <w:rFonts w:ascii="Times New Roman" w:hAnsi="Times New Roman"/>
        <w:sz w:val="26"/>
        <w:szCs w:val="26"/>
      </w:rPr>
    </w:pPr>
    <w:r w:rsidRPr="00450B9A">
      <w:rPr>
        <w:rFonts w:ascii="Times New Roman" w:hAnsi="Times New Roman"/>
        <w:sz w:val="26"/>
        <w:szCs w:val="26"/>
      </w:rPr>
      <w:fldChar w:fldCharType="begin"/>
    </w:r>
    <w:r w:rsidRPr="00450B9A">
      <w:rPr>
        <w:rFonts w:ascii="Times New Roman" w:hAnsi="Times New Roman"/>
        <w:sz w:val="26"/>
        <w:szCs w:val="26"/>
      </w:rPr>
      <w:instrText xml:space="preserve"> PAGE   \* MERGEFORMAT </w:instrText>
    </w:r>
    <w:r w:rsidRPr="00450B9A">
      <w:rPr>
        <w:rFonts w:ascii="Times New Roman" w:hAnsi="Times New Roman"/>
        <w:sz w:val="26"/>
        <w:szCs w:val="26"/>
      </w:rPr>
      <w:fldChar w:fldCharType="separate"/>
    </w:r>
    <w:r>
      <w:rPr>
        <w:rFonts w:ascii="Times New Roman" w:hAnsi="Times New Roman"/>
        <w:noProof/>
        <w:sz w:val="26"/>
        <w:szCs w:val="26"/>
      </w:rPr>
      <w:t>3</w:t>
    </w:r>
    <w:r w:rsidRPr="00450B9A">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F6421"/>
    <w:multiLevelType w:val="hybridMultilevel"/>
    <w:tmpl w:val="0806518E"/>
    <w:lvl w:ilvl="0" w:tplc="E9FADC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76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FB"/>
    <w:rsid w:val="000A4E42"/>
    <w:rsid w:val="000B70E5"/>
    <w:rsid w:val="000D2010"/>
    <w:rsid w:val="00104FA9"/>
    <w:rsid w:val="00137786"/>
    <w:rsid w:val="001532B3"/>
    <w:rsid w:val="00167F14"/>
    <w:rsid w:val="0019480A"/>
    <w:rsid w:val="003007F6"/>
    <w:rsid w:val="00310514"/>
    <w:rsid w:val="00330829"/>
    <w:rsid w:val="003C169E"/>
    <w:rsid w:val="003F3D67"/>
    <w:rsid w:val="003F6434"/>
    <w:rsid w:val="00425017"/>
    <w:rsid w:val="0044182B"/>
    <w:rsid w:val="004549CC"/>
    <w:rsid w:val="004678F3"/>
    <w:rsid w:val="004D6CCF"/>
    <w:rsid w:val="005177CB"/>
    <w:rsid w:val="005437CA"/>
    <w:rsid w:val="005566D1"/>
    <w:rsid w:val="005573E7"/>
    <w:rsid w:val="005B4FC3"/>
    <w:rsid w:val="00631566"/>
    <w:rsid w:val="0065260E"/>
    <w:rsid w:val="00663D95"/>
    <w:rsid w:val="00675CD6"/>
    <w:rsid w:val="00736CFB"/>
    <w:rsid w:val="008067AC"/>
    <w:rsid w:val="008144AF"/>
    <w:rsid w:val="00825BE5"/>
    <w:rsid w:val="00827145"/>
    <w:rsid w:val="008347DB"/>
    <w:rsid w:val="00853C72"/>
    <w:rsid w:val="00864106"/>
    <w:rsid w:val="0089002E"/>
    <w:rsid w:val="008961D1"/>
    <w:rsid w:val="008A5E5D"/>
    <w:rsid w:val="008D24BA"/>
    <w:rsid w:val="009F5EC5"/>
    <w:rsid w:val="00A21A93"/>
    <w:rsid w:val="00AA63F5"/>
    <w:rsid w:val="00B67FCC"/>
    <w:rsid w:val="00BD445B"/>
    <w:rsid w:val="00BD7BAD"/>
    <w:rsid w:val="00BE6BD6"/>
    <w:rsid w:val="00BE74C4"/>
    <w:rsid w:val="00BF4630"/>
    <w:rsid w:val="00C10206"/>
    <w:rsid w:val="00C35D57"/>
    <w:rsid w:val="00CD58AA"/>
    <w:rsid w:val="00D202C8"/>
    <w:rsid w:val="00D63436"/>
    <w:rsid w:val="00DA6A4F"/>
    <w:rsid w:val="00E052BA"/>
    <w:rsid w:val="00E473B2"/>
    <w:rsid w:val="00E63BD2"/>
    <w:rsid w:val="00EC382F"/>
    <w:rsid w:val="00EC7F42"/>
    <w:rsid w:val="00EF29C9"/>
    <w:rsid w:val="00F3747F"/>
    <w:rsid w:val="00F477E0"/>
    <w:rsid w:val="00F75F9A"/>
    <w:rsid w:val="00FF7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2626"/>
  <w15:chartTrackingRefBased/>
  <w15:docId w15:val="{8A6E0E60-DCE8-48DC-AF30-85CD0078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F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aliases w:val="H1"/>
    <w:basedOn w:val="Normal"/>
    <w:next w:val="Normal"/>
    <w:link w:val="Heading1Char"/>
    <w:qFormat/>
    <w:rsid w:val="00736CFB"/>
    <w:pPr>
      <w:keepNext/>
      <w:jc w:val="center"/>
      <w:outlineLvl w:val="0"/>
    </w:pPr>
    <w:rPr>
      <w:rFonts w:ascii=".VnTimeH" w:hAnsi=".VnTimeH"/>
      <w:b/>
      <w:sz w:val="28"/>
    </w:rPr>
  </w:style>
  <w:style w:type="paragraph" w:styleId="Heading2">
    <w:name w:val="heading 2"/>
    <w:aliases w:val="l2,H2,HeadB,4"/>
    <w:basedOn w:val="Normal"/>
    <w:next w:val="Normal"/>
    <w:link w:val="Heading2Char"/>
    <w:qFormat/>
    <w:rsid w:val="00736CFB"/>
    <w:pPr>
      <w:keepNext/>
      <w:outlineLvl w:val="1"/>
    </w:pPr>
    <w:rPr>
      <w:rFonts w:ascii=".VnTime" w:hAnsi=".VnTime"/>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36CFB"/>
    <w:rPr>
      <w:rFonts w:ascii=".VnTimeH" w:eastAsia="Times New Roman" w:hAnsi=".VnTimeH" w:cs="Times New Roman"/>
      <w:b/>
      <w:kern w:val="0"/>
      <w:sz w:val="28"/>
      <w:szCs w:val="20"/>
      <w14:ligatures w14:val="none"/>
    </w:rPr>
  </w:style>
  <w:style w:type="character" w:customStyle="1" w:styleId="Heading2Char">
    <w:name w:val="Heading 2 Char"/>
    <w:aliases w:val="l2 Char,H2 Char,HeadB Char,4 Char"/>
    <w:basedOn w:val="DefaultParagraphFont"/>
    <w:link w:val="Heading2"/>
    <w:rsid w:val="00736CFB"/>
    <w:rPr>
      <w:rFonts w:ascii=".VnTime" w:eastAsia="Times New Roman" w:hAnsi=".VnTime" w:cs="Times New Roman"/>
      <w:b/>
      <w:kern w:val="0"/>
      <w:sz w:val="28"/>
      <w:szCs w:val="20"/>
      <w14:ligatures w14:val="none"/>
    </w:rPr>
  </w:style>
  <w:style w:type="paragraph" w:styleId="Header">
    <w:name w:val="header"/>
    <w:aliases w:val="h"/>
    <w:basedOn w:val="Normal"/>
    <w:link w:val="HeaderChar"/>
    <w:uiPriority w:val="99"/>
    <w:rsid w:val="00736CFB"/>
    <w:pPr>
      <w:tabs>
        <w:tab w:val="center" w:pos="4320"/>
        <w:tab w:val="right" w:pos="8640"/>
      </w:tabs>
    </w:pPr>
    <w:rPr>
      <w:rFonts w:ascii=".VnTime" w:hAnsi=".VnTime"/>
      <w:sz w:val="28"/>
    </w:rPr>
  </w:style>
  <w:style w:type="character" w:customStyle="1" w:styleId="HeaderChar">
    <w:name w:val="Header Char"/>
    <w:aliases w:val="h Char"/>
    <w:basedOn w:val="DefaultParagraphFont"/>
    <w:link w:val="Header"/>
    <w:uiPriority w:val="99"/>
    <w:rsid w:val="00736CFB"/>
    <w:rPr>
      <w:rFonts w:ascii=".VnTime" w:eastAsia="Times New Roman" w:hAnsi=".VnTime" w:cs="Times New Roman"/>
      <w:kern w:val="0"/>
      <w:sz w:val="28"/>
      <w:szCs w:val="20"/>
      <w14:ligatures w14:val="none"/>
    </w:rPr>
  </w:style>
  <w:style w:type="paragraph" w:styleId="Footer">
    <w:name w:val="footer"/>
    <w:aliases w:val="Footer-Even"/>
    <w:basedOn w:val="Normal"/>
    <w:link w:val="FooterChar"/>
    <w:uiPriority w:val="99"/>
    <w:rsid w:val="00736CFB"/>
    <w:pPr>
      <w:tabs>
        <w:tab w:val="center" w:pos="4320"/>
        <w:tab w:val="right" w:pos="8640"/>
      </w:tabs>
    </w:pPr>
    <w:rPr>
      <w:rFonts w:ascii=".VnTime" w:hAnsi=".VnTime"/>
      <w:sz w:val="28"/>
    </w:rPr>
  </w:style>
  <w:style w:type="character" w:customStyle="1" w:styleId="FooterChar">
    <w:name w:val="Footer Char"/>
    <w:aliases w:val="Footer-Even Char"/>
    <w:basedOn w:val="DefaultParagraphFont"/>
    <w:link w:val="Footer"/>
    <w:uiPriority w:val="99"/>
    <w:rsid w:val="00736CFB"/>
    <w:rPr>
      <w:rFonts w:ascii=".VnTime" w:eastAsia="Times New Roman" w:hAnsi=".VnTime" w:cs="Times New Roman"/>
      <w:kern w:val="0"/>
      <w:sz w:val="28"/>
      <w:szCs w:val="20"/>
      <w14:ligatures w14:val="none"/>
    </w:rPr>
  </w:style>
  <w:style w:type="character" w:styleId="PageNumber">
    <w:name w:val="page number"/>
    <w:basedOn w:val="DefaultParagraphFont"/>
    <w:rsid w:val="00736CFB"/>
  </w:style>
  <w:style w:type="paragraph" w:styleId="ListParagraph">
    <w:name w:val="List Paragraph"/>
    <w:basedOn w:val="Normal"/>
    <w:uiPriority w:val="34"/>
    <w:qFormat/>
    <w:rsid w:val="001532B3"/>
    <w:pPr>
      <w:ind w:left="720"/>
      <w:contextualSpacing/>
    </w:pPr>
  </w:style>
  <w:style w:type="character" w:styleId="CommentReference">
    <w:name w:val="annotation reference"/>
    <w:uiPriority w:val="99"/>
    <w:semiHidden/>
    <w:unhideWhenUsed/>
    <w:rsid w:val="003C169E"/>
    <w:rPr>
      <w:sz w:val="16"/>
      <w:szCs w:val="16"/>
    </w:rPr>
  </w:style>
  <w:style w:type="paragraph" w:styleId="CommentText">
    <w:name w:val="annotation text"/>
    <w:basedOn w:val="Normal"/>
    <w:link w:val="CommentTextChar"/>
    <w:uiPriority w:val="99"/>
    <w:semiHidden/>
    <w:unhideWhenUsed/>
    <w:rsid w:val="003C169E"/>
    <w:rPr>
      <w:rFonts w:ascii="Calibri" w:eastAsia="Calibri" w:hAnsi="Calibri"/>
    </w:rPr>
  </w:style>
  <w:style w:type="character" w:customStyle="1" w:styleId="CommentTextChar">
    <w:name w:val="Comment Text Char"/>
    <w:basedOn w:val="DefaultParagraphFont"/>
    <w:link w:val="CommentText"/>
    <w:uiPriority w:val="99"/>
    <w:semiHidden/>
    <w:rsid w:val="003C169E"/>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65260E"/>
    <w:rPr>
      <w:color w:val="0563C1" w:themeColor="hyperlink"/>
      <w:u w:val="single"/>
    </w:rPr>
  </w:style>
  <w:style w:type="character" w:styleId="UnresolvedMention">
    <w:name w:val="Unresolved Mention"/>
    <w:basedOn w:val="DefaultParagraphFont"/>
    <w:uiPriority w:val="99"/>
    <w:semiHidden/>
    <w:unhideWhenUsed/>
    <w:rsid w:val="0065260E"/>
    <w:rPr>
      <w:color w:val="605E5C"/>
      <w:shd w:val="clear" w:color="auto" w:fill="E1DFDD"/>
    </w:rPr>
  </w:style>
  <w:style w:type="paragraph" w:styleId="NormalWeb">
    <w:name w:val="Normal (Web)"/>
    <w:basedOn w:val="Normal"/>
    <w:uiPriority w:val="99"/>
    <w:semiHidden/>
    <w:unhideWhenUsed/>
    <w:rsid w:val="00EC38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Documents\Custom%20Office%20Templates\Doc_TGV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Doc_TGV_2024</Template>
  <TotalTime>386</TotalTime>
  <Pages>4</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Truong_Giang</dc:creator>
  <cp:keywords/>
  <dc:description/>
  <cp:lastModifiedBy>Tung Pham</cp:lastModifiedBy>
  <cp:revision>12</cp:revision>
  <cp:lastPrinted>2025-01-13T08:24:00Z</cp:lastPrinted>
  <dcterms:created xsi:type="dcterms:W3CDTF">2025-01-11T06:58:00Z</dcterms:created>
  <dcterms:modified xsi:type="dcterms:W3CDTF">2025-09-12T03:46:00Z</dcterms:modified>
</cp:coreProperties>
</file>